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D6" w:rsidRPr="00E3668B" w:rsidRDefault="00EB2FD6">
      <w:pPr>
        <w:jc w:val="center"/>
        <w:rPr>
          <w:b/>
        </w:rPr>
      </w:pPr>
      <w:bookmarkStart w:id="0" w:name="_GoBack"/>
      <w:bookmarkEnd w:id="0"/>
      <w:r w:rsidRPr="00E3668B">
        <w:rPr>
          <w:b/>
        </w:rPr>
        <w:t>Before the</w:t>
      </w:r>
    </w:p>
    <w:p w:rsidR="00EB2FD6" w:rsidRPr="00E3668B" w:rsidRDefault="00EB2FD6">
      <w:pPr>
        <w:jc w:val="center"/>
        <w:rPr>
          <w:b/>
        </w:rPr>
      </w:pPr>
      <w:r w:rsidRPr="00E3668B">
        <w:rPr>
          <w:b/>
        </w:rPr>
        <w:t>Federal Communications Commission</w:t>
      </w:r>
    </w:p>
    <w:p w:rsidR="00EB2FD6" w:rsidRPr="00E3668B" w:rsidRDefault="00EB2FD6">
      <w:pPr>
        <w:jc w:val="center"/>
        <w:rPr>
          <w:b/>
        </w:rPr>
      </w:pPr>
      <w:r w:rsidRPr="00E3668B">
        <w:rPr>
          <w:b/>
        </w:rPr>
        <w:t>Washington, D.C. 20554</w:t>
      </w:r>
    </w:p>
    <w:p w:rsidR="00EB2FD6" w:rsidRPr="00E3668B" w:rsidRDefault="00EB2FD6"/>
    <w:p w:rsidR="00EB2FD6" w:rsidRPr="00E3668B" w:rsidRDefault="00EB2FD6"/>
    <w:tbl>
      <w:tblPr>
        <w:tblW w:w="0" w:type="auto"/>
        <w:tblLayout w:type="fixed"/>
        <w:tblLook w:val="0000" w:firstRow="0" w:lastRow="0" w:firstColumn="0" w:lastColumn="0" w:noHBand="0" w:noVBand="0"/>
      </w:tblPr>
      <w:tblGrid>
        <w:gridCol w:w="4698"/>
        <w:gridCol w:w="720"/>
        <w:gridCol w:w="4230"/>
      </w:tblGrid>
      <w:tr w:rsidR="00EB2FD6" w:rsidRPr="00E3668B" w:rsidTr="00E159A4">
        <w:trPr>
          <w:trHeight w:val="1440"/>
        </w:trPr>
        <w:tc>
          <w:tcPr>
            <w:tcW w:w="4698" w:type="dxa"/>
          </w:tcPr>
          <w:p w:rsidR="00EB2FD6" w:rsidRPr="00E3668B" w:rsidRDefault="00EB2FD6">
            <w:pPr>
              <w:ind w:right="-18"/>
            </w:pPr>
            <w:r w:rsidRPr="00E3668B">
              <w:t>In the Matter of</w:t>
            </w:r>
          </w:p>
          <w:p w:rsidR="00EB2FD6" w:rsidRPr="00E3668B" w:rsidRDefault="00EB2FD6">
            <w:pPr>
              <w:ind w:right="-18"/>
            </w:pPr>
          </w:p>
          <w:p w:rsidR="00BB04B4" w:rsidRPr="00E3668B" w:rsidRDefault="00BB04B4" w:rsidP="00BB04B4">
            <w:pPr>
              <w:tabs>
                <w:tab w:val="center" w:pos="4680"/>
              </w:tabs>
              <w:suppressAutoHyphens/>
              <w:rPr>
                <w:spacing w:val="-2"/>
              </w:rPr>
            </w:pPr>
            <w:r w:rsidRPr="00E3668B">
              <w:rPr>
                <w:spacing w:val="-2"/>
              </w:rPr>
              <w:t xml:space="preserve">Applications for Consent to Transfer of Control from </w:t>
            </w:r>
            <w:r w:rsidR="008D3B53">
              <w:rPr>
                <w:spacing w:val="-2"/>
              </w:rPr>
              <w:t>License Subsidiaries of Allbritton Communications Co. to Sinclair Television Group, Inc.</w:t>
            </w:r>
            <w:r w:rsidR="00544D53">
              <w:rPr>
                <w:spacing w:val="-2"/>
              </w:rPr>
              <w:t xml:space="preserve"> </w:t>
            </w:r>
          </w:p>
          <w:p w:rsidR="00BB04B4" w:rsidRPr="00E3668B" w:rsidRDefault="00BB04B4" w:rsidP="00BB04B4">
            <w:pPr>
              <w:tabs>
                <w:tab w:val="center" w:pos="4680"/>
              </w:tabs>
              <w:suppressAutoHyphens/>
              <w:rPr>
                <w:spacing w:val="-2"/>
              </w:rPr>
            </w:pPr>
          </w:p>
          <w:p w:rsidR="00EB2FD6" w:rsidRPr="00E3668B" w:rsidRDefault="00EB2FD6" w:rsidP="00B33D1A">
            <w:pPr>
              <w:tabs>
                <w:tab w:val="center" w:pos="4680"/>
              </w:tabs>
              <w:suppressAutoHyphens/>
              <w:rPr>
                <w:i/>
              </w:rPr>
            </w:pPr>
          </w:p>
        </w:tc>
        <w:tc>
          <w:tcPr>
            <w:tcW w:w="720" w:type="dxa"/>
          </w:tcPr>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EB2FD6">
            <w:pPr>
              <w:rPr>
                <w:b/>
              </w:rPr>
            </w:pPr>
            <w:r w:rsidRPr="00E3668B">
              <w:rPr>
                <w:b/>
              </w:rPr>
              <w:t>)</w:t>
            </w:r>
          </w:p>
          <w:p w:rsidR="00EB2FD6" w:rsidRPr="00E3668B" w:rsidRDefault="000863B3">
            <w:pPr>
              <w:rPr>
                <w:b/>
              </w:rPr>
            </w:pPr>
            <w:r>
              <w:rPr>
                <w:b/>
              </w:rPr>
              <w:t>)</w:t>
            </w:r>
          </w:p>
        </w:tc>
        <w:tc>
          <w:tcPr>
            <w:tcW w:w="4230" w:type="dxa"/>
          </w:tcPr>
          <w:p w:rsidR="00EB2FD6" w:rsidRPr="00E3668B" w:rsidRDefault="00EB2FD6"/>
          <w:p w:rsidR="00EB2FD6" w:rsidRDefault="00BB04B4">
            <w:r w:rsidRPr="00E3668B">
              <w:t>MB Docket No. 13-</w:t>
            </w:r>
            <w:r w:rsidR="00300CE5">
              <w:t>203</w:t>
            </w:r>
          </w:p>
          <w:p w:rsidR="002B16D7" w:rsidRDefault="002B16D7"/>
          <w:p w:rsidR="002B16D7" w:rsidRPr="00255B79" w:rsidRDefault="002B16D7">
            <w:pPr>
              <w:rPr>
                <w:i/>
              </w:rPr>
            </w:pPr>
            <w:r>
              <w:t xml:space="preserve">File Nos. </w:t>
            </w:r>
            <w:r w:rsidR="008D3B53">
              <w:t>BTCCDT – 20130809ABW</w:t>
            </w:r>
            <w:r>
              <w:t xml:space="preserve"> </w:t>
            </w:r>
            <w:r>
              <w:rPr>
                <w:i/>
              </w:rPr>
              <w:t>et seq.</w:t>
            </w:r>
          </w:p>
          <w:p w:rsidR="00EB2FD6" w:rsidRPr="00E3668B" w:rsidRDefault="00EB2FD6"/>
          <w:p w:rsidR="00EB2FD6" w:rsidRPr="00E3668B" w:rsidRDefault="00EB2FD6">
            <w:pPr>
              <w:rPr>
                <w:i/>
              </w:rPr>
            </w:pPr>
          </w:p>
        </w:tc>
      </w:tr>
    </w:tbl>
    <w:p w:rsidR="00EB2FD6" w:rsidRPr="00E3668B" w:rsidRDefault="00EB2FD6">
      <w:pPr>
        <w:spacing w:before="120"/>
        <w:jc w:val="center"/>
        <w:rPr>
          <w:b/>
        </w:rPr>
      </w:pPr>
      <w:r w:rsidRPr="00E3668B">
        <w:rPr>
          <w:b/>
          <w:spacing w:val="-2"/>
        </w:rPr>
        <w:t>MEMORANDUM OPINION AND ORDER</w:t>
      </w:r>
      <w:r w:rsidR="0000085A">
        <w:rPr>
          <w:b/>
          <w:spacing w:val="-2"/>
        </w:rPr>
        <w:t xml:space="preserve"> </w:t>
      </w:r>
    </w:p>
    <w:p w:rsidR="00EB2FD6" w:rsidRPr="00E3668B" w:rsidRDefault="00EB2FD6"/>
    <w:p w:rsidR="00EB2FD6" w:rsidRPr="00E3668B" w:rsidRDefault="007E7B28">
      <w:pPr>
        <w:tabs>
          <w:tab w:val="left" w:pos="5760"/>
        </w:tabs>
        <w:rPr>
          <w:b/>
        </w:rPr>
      </w:pPr>
      <w:r>
        <w:rPr>
          <w:b/>
        </w:rPr>
        <w:t>Adopted:  July</w:t>
      </w:r>
      <w:r w:rsidR="00300CE5">
        <w:rPr>
          <w:b/>
        </w:rPr>
        <w:t xml:space="preserve"> </w:t>
      </w:r>
      <w:r w:rsidR="00774606">
        <w:rPr>
          <w:b/>
        </w:rPr>
        <w:t>24</w:t>
      </w:r>
      <w:r>
        <w:rPr>
          <w:b/>
        </w:rPr>
        <w:t>, 2014</w:t>
      </w:r>
      <w:r>
        <w:rPr>
          <w:b/>
        </w:rPr>
        <w:tab/>
        <w:t>Released:  July</w:t>
      </w:r>
      <w:r w:rsidR="00300CE5">
        <w:rPr>
          <w:b/>
        </w:rPr>
        <w:t xml:space="preserve"> </w:t>
      </w:r>
      <w:r w:rsidR="00774606">
        <w:rPr>
          <w:b/>
        </w:rPr>
        <w:t>24</w:t>
      </w:r>
      <w:r w:rsidR="00300CE5">
        <w:rPr>
          <w:b/>
        </w:rPr>
        <w:t>, 2014</w:t>
      </w:r>
    </w:p>
    <w:p w:rsidR="00EB2FD6" w:rsidRPr="00E3668B" w:rsidRDefault="00EB2FD6">
      <w:pPr>
        <w:tabs>
          <w:tab w:val="left" w:pos="5760"/>
        </w:tabs>
        <w:rPr>
          <w:b/>
        </w:rPr>
      </w:pPr>
    </w:p>
    <w:p w:rsidR="00EB2FD6" w:rsidRPr="009351E2" w:rsidRDefault="00EB2FD6">
      <w:pPr>
        <w:tabs>
          <w:tab w:val="left" w:pos="1980"/>
          <w:tab w:val="left" w:pos="5760"/>
        </w:tabs>
        <w:rPr>
          <w:szCs w:val="22"/>
        </w:rPr>
      </w:pPr>
      <w:r w:rsidRPr="009351E2">
        <w:rPr>
          <w:szCs w:val="22"/>
        </w:rPr>
        <w:t>By Chief, Media Bureau</w:t>
      </w:r>
    </w:p>
    <w:p w:rsidR="0053374C" w:rsidRPr="009351E2" w:rsidRDefault="0053374C">
      <w:pPr>
        <w:rPr>
          <w:szCs w:val="22"/>
        </w:rPr>
      </w:pPr>
    </w:p>
    <w:p w:rsidR="005713C1" w:rsidRPr="00EA50DC" w:rsidRDefault="005713C1" w:rsidP="00EA50DC">
      <w:pPr>
        <w:pStyle w:val="Heading1"/>
      </w:pPr>
      <w:r>
        <w:rPr>
          <w:lang w:val="en-US"/>
        </w:rPr>
        <w:t>introduction</w:t>
      </w:r>
    </w:p>
    <w:p w:rsidR="008A6EC4" w:rsidRPr="008A6EC4" w:rsidRDefault="00EA4280" w:rsidP="008A6EC4">
      <w:pPr>
        <w:pStyle w:val="ParaNum"/>
        <w:tabs>
          <w:tab w:val="num" w:pos="1260"/>
        </w:tabs>
        <w:ind w:firstLine="806"/>
        <w:rPr>
          <w:szCs w:val="22"/>
        </w:rPr>
      </w:pPr>
      <w:r w:rsidRPr="00CD5E9E">
        <w:rPr>
          <w:szCs w:val="22"/>
        </w:rPr>
        <w:t xml:space="preserve">    This Memorandum Opinion an</w:t>
      </w:r>
      <w:r w:rsidR="00B65873" w:rsidRPr="00CD5E9E">
        <w:rPr>
          <w:szCs w:val="22"/>
        </w:rPr>
        <w:t>d Order</w:t>
      </w:r>
      <w:r w:rsidR="00B65873" w:rsidRPr="00CD5E9E">
        <w:rPr>
          <w:szCs w:val="22"/>
          <w:lang w:val="en-US"/>
        </w:rPr>
        <w:t xml:space="preserve"> </w:t>
      </w:r>
      <w:r w:rsidR="008D3B53" w:rsidRPr="00CD5E9E">
        <w:rPr>
          <w:szCs w:val="22"/>
        </w:rPr>
        <w:t xml:space="preserve">conditionally grants </w:t>
      </w:r>
      <w:r w:rsidR="00A125B8" w:rsidRPr="00CD5E9E">
        <w:rPr>
          <w:szCs w:val="22"/>
          <w:lang w:val="en-US"/>
        </w:rPr>
        <w:t xml:space="preserve">the </w:t>
      </w:r>
      <w:r w:rsidRPr="00CD5E9E">
        <w:rPr>
          <w:szCs w:val="22"/>
        </w:rPr>
        <w:t>applicati</w:t>
      </w:r>
      <w:r w:rsidR="008D3B53" w:rsidRPr="00CD5E9E">
        <w:rPr>
          <w:szCs w:val="22"/>
        </w:rPr>
        <w:t>ons</w:t>
      </w:r>
      <w:r w:rsidR="00A125B8" w:rsidRPr="00CD5E9E">
        <w:rPr>
          <w:szCs w:val="22"/>
          <w:lang w:val="en-US"/>
        </w:rPr>
        <w:t xml:space="preserve"> </w:t>
      </w:r>
      <w:r w:rsidR="00382D27">
        <w:rPr>
          <w:szCs w:val="22"/>
        </w:rPr>
        <w:t>for transfer of control of</w:t>
      </w:r>
      <w:r w:rsidR="00382D27">
        <w:rPr>
          <w:szCs w:val="22"/>
          <w:lang w:val="en-US"/>
        </w:rPr>
        <w:t xml:space="preserve"> </w:t>
      </w:r>
      <w:r w:rsidR="008D3B53" w:rsidRPr="00CD5E9E">
        <w:rPr>
          <w:szCs w:val="22"/>
          <w:lang w:val="en-US"/>
        </w:rPr>
        <w:t>entities</w:t>
      </w:r>
      <w:r w:rsidRPr="00CD5E9E">
        <w:rPr>
          <w:szCs w:val="22"/>
        </w:rPr>
        <w:t xml:space="preserve"> holding television licenses from </w:t>
      </w:r>
      <w:r w:rsidR="00C41D12" w:rsidRPr="00CD5E9E">
        <w:rPr>
          <w:szCs w:val="22"/>
          <w:lang w:val="en-US"/>
        </w:rPr>
        <w:t xml:space="preserve">subsidiaries of </w:t>
      </w:r>
      <w:r w:rsidR="008D3B53" w:rsidRPr="00CD5E9E">
        <w:rPr>
          <w:szCs w:val="22"/>
          <w:lang w:val="en-US"/>
        </w:rPr>
        <w:t xml:space="preserve">Allbritton Communications Co. </w:t>
      </w:r>
      <w:r w:rsidRPr="00CD5E9E">
        <w:rPr>
          <w:szCs w:val="22"/>
        </w:rPr>
        <w:t xml:space="preserve"> </w:t>
      </w:r>
      <w:r w:rsidR="00300CE5" w:rsidRPr="00CD5E9E">
        <w:rPr>
          <w:szCs w:val="22"/>
          <w:lang w:val="en-US"/>
        </w:rPr>
        <w:t xml:space="preserve">(“Allbritton”) </w:t>
      </w:r>
      <w:r w:rsidRPr="00CD5E9E">
        <w:rPr>
          <w:szCs w:val="22"/>
        </w:rPr>
        <w:t xml:space="preserve">to </w:t>
      </w:r>
      <w:r w:rsidR="00300CE5" w:rsidRPr="00CD5E9E">
        <w:rPr>
          <w:szCs w:val="22"/>
          <w:lang w:val="en-US"/>
        </w:rPr>
        <w:t>Sinclair Televisi</w:t>
      </w:r>
      <w:r w:rsidR="00B65873" w:rsidRPr="00CD5E9E">
        <w:rPr>
          <w:szCs w:val="22"/>
          <w:lang w:val="en-US"/>
        </w:rPr>
        <w:t>on Group, Inc. (“Sinclair”)</w:t>
      </w:r>
      <w:r w:rsidR="008B3307">
        <w:rPr>
          <w:rStyle w:val="FootnoteReference"/>
          <w:szCs w:val="22"/>
          <w:lang w:val="en-US"/>
        </w:rPr>
        <w:footnoteReference w:id="2"/>
      </w:r>
      <w:r w:rsidR="00C73292" w:rsidRPr="00CD5E9E">
        <w:rPr>
          <w:szCs w:val="22"/>
          <w:lang w:val="en-US"/>
        </w:rPr>
        <w:t xml:space="preserve"> as identified in Exhibit A</w:t>
      </w:r>
      <w:r w:rsidR="0006732F">
        <w:rPr>
          <w:szCs w:val="22"/>
          <w:lang w:val="en-US"/>
        </w:rPr>
        <w:t>.</w:t>
      </w:r>
      <w:r w:rsidR="00BF1936" w:rsidRPr="00CD5E9E">
        <w:rPr>
          <w:szCs w:val="22"/>
          <w:lang w:val="en-US"/>
        </w:rPr>
        <w:t xml:space="preserve"> </w:t>
      </w:r>
      <w:r w:rsidRPr="00CD5E9E">
        <w:rPr>
          <w:szCs w:val="22"/>
        </w:rPr>
        <w:t xml:space="preserve"> In ad</w:t>
      </w:r>
      <w:r w:rsidR="00300CE5" w:rsidRPr="00CD5E9E">
        <w:rPr>
          <w:szCs w:val="22"/>
        </w:rPr>
        <w:t>dition,</w:t>
      </w:r>
      <w:r w:rsidR="00B65873" w:rsidRPr="00CD5E9E">
        <w:rPr>
          <w:szCs w:val="22"/>
          <w:lang w:val="en-US"/>
        </w:rPr>
        <w:t xml:space="preserve"> </w:t>
      </w:r>
      <w:r w:rsidR="00F44650" w:rsidRPr="00CD5E9E">
        <w:rPr>
          <w:szCs w:val="22"/>
          <w:lang w:val="en-US"/>
        </w:rPr>
        <w:t xml:space="preserve">the Order denies </w:t>
      </w:r>
      <w:r w:rsidR="0000085A" w:rsidRPr="00CD5E9E">
        <w:rPr>
          <w:szCs w:val="22"/>
          <w:lang w:val="en-US"/>
        </w:rPr>
        <w:t xml:space="preserve">a </w:t>
      </w:r>
      <w:r w:rsidR="00F44650" w:rsidRPr="00CD5E9E">
        <w:rPr>
          <w:szCs w:val="22"/>
          <w:lang w:val="en-US"/>
        </w:rPr>
        <w:t xml:space="preserve">petition to deny from the </w:t>
      </w:r>
      <w:r w:rsidR="00D06367">
        <w:rPr>
          <w:szCs w:val="22"/>
          <w:lang w:val="en-US"/>
        </w:rPr>
        <w:t>Rainbow Push</w:t>
      </w:r>
      <w:r w:rsidR="00F44650" w:rsidRPr="00CD5E9E">
        <w:rPr>
          <w:szCs w:val="22"/>
          <w:lang w:val="en-US"/>
        </w:rPr>
        <w:t xml:space="preserve"> Coalition</w:t>
      </w:r>
      <w:r w:rsidR="00A14E04" w:rsidRPr="00CD5E9E">
        <w:rPr>
          <w:szCs w:val="22"/>
          <w:lang w:val="en-US"/>
        </w:rPr>
        <w:t xml:space="preserve"> (“</w:t>
      </w:r>
      <w:r w:rsidR="00D06367">
        <w:rPr>
          <w:szCs w:val="22"/>
          <w:lang w:val="en-US"/>
        </w:rPr>
        <w:t>Rainbow Push</w:t>
      </w:r>
      <w:r w:rsidR="00A14E04" w:rsidRPr="00CD5E9E">
        <w:rPr>
          <w:szCs w:val="22"/>
          <w:lang w:val="en-US"/>
        </w:rPr>
        <w:t>”)</w:t>
      </w:r>
      <w:r w:rsidR="0000085A" w:rsidRPr="00CD5E9E">
        <w:rPr>
          <w:szCs w:val="22"/>
          <w:lang w:val="en-US"/>
        </w:rPr>
        <w:t>, denies in part and dismisses as moot in part a petition to deny from</w:t>
      </w:r>
      <w:r w:rsidR="00A14E04" w:rsidRPr="00CD5E9E">
        <w:rPr>
          <w:szCs w:val="22"/>
          <w:lang w:val="en-US"/>
        </w:rPr>
        <w:t xml:space="preserve"> the American Cable Association (“ACA”), </w:t>
      </w:r>
      <w:r w:rsidR="003F1122" w:rsidRPr="00CD5E9E">
        <w:rPr>
          <w:szCs w:val="22"/>
          <w:lang w:val="en-US"/>
        </w:rPr>
        <w:t xml:space="preserve">denies an informal objection from Raymie Humbert, and </w:t>
      </w:r>
      <w:r w:rsidR="0000085A" w:rsidRPr="00CD5E9E">
        <w:rPr>
          <w:szCs w:val="22"/>
          <w:lang w:val="en-US"/>
        </w:rPr>
        <w:t xml:space="preserve">dismisses as moot a </w:t>
      </w:r>
      <w:r w:rsidR="003F1122" w:rsidRPr="00CD5E9E">
        <w:rPr>
          <w:szCs w:val="22"/>
          <w:lang w:val="en-US"/>
        </w:rPr>
        <w:t>petition to deny by Free Press and Put People First! PA (“Free Press”).</w:t>
      </w:r>
      <w:r w:rsidR="00C41D12" w:rsidRPr="009351E2">
        <w:rPr>
          <w:rStyle w:val="FootnoteReference"/>
          <w:szCs w:val="22"/>
          <w:lang w:val="en-US"/>
        </w:rPr>
        <w:footnoteReference w:id="3"/>
      </w:r>
      <w:r w:rsidR="003F1122" w:rsidRPr="00CD5E9E">
        <w:rPr>
          <w:szCs w:val="22"/>
          <w:lang w:val="en-US"/>
        </w:rPr>
        <w:t xml:space="preserve">  </w:t>
      </w:r>
    </w:p>
    <w:p w:rsidR="008A6EC4" w:rsidRPr="008A6EC4" w:rsidRDefault="008A6EC4" w:rsidP="00EA50DC">
      <w:pPr>
        <w:pStyle w:val="Heading1"/>
        <w:tabs>
          <w:tab w:val="clear" w:pos="1080"/>
          <w:tab w:val="num" w:pos="1440"/>
        </w:tabs>
      </w:pPr>
      <w:r w:rsidRPr="008A6EC4">
        <w:t>BACKGROUND</w:t>
      </w:r>
    </w:p>
    <w:p w:rsidR="008A6EC4" w:rsidRPr="008A6EC4" w:rsidRDefault="008A6EC4" w:rsidP="008A6EC4">
      <w:pPr>
        <w:pStyle w:val="ParaNum"/>
        <w:tabs>
          <w:tab w:val="num" w:pos="1260"/>
        </w:tabs>
        <w:ind w:firstLine="806"/>
        <w:rPr>
          <w:szCs w:val="22"/>
        </w:rPr>
      </w:pPr>
      <w:r w:rsidRPr="008A6EC4">
        <w:rPr>
          <w:i/>
          <w:color w:val="000000"/>
          <w:lang w:val="en-US"/>
        </w:rPr>
        <w:t xml:space="preserve">The Local Television Ownership Rule and Sharing Arrangements. </w:t>
      </w:r>
      <w:r>
        <w:rPr>
          <w:color w:val="000000"/>
          <w:lang w:val="en-US"/>
        </w:rPr>
        <w:t xml:space="preserve"> </w:t>
      </w:r>
      <w:r>
        <w:t xml:space="preserve">Under </w:t>
      </w:r>
      <w:r w:rsidRPr="008A6EC4">
        <w:rPr>
          <w:lang w:val="en-US"/>
        </w:rPr>
        <w:t xml:space="preserve">the local television ownership </w:t>
      </w:r>
      <w:r w:rsidRPr="00F52A4D">
        <w:t>rule, two television stations licensed in the same</w:t>
      </w:r>
      <w:r w:rsidR="00AE485C">
        <w:t xml:space="preserve"> Nielsen Designated Market Area</w:t>
      </w:r>
      <w:r w:rsidR="00AE485C">
        <w:rPr>
          <w:lang w:val="en-US"/>
        </w:rPr>
        <w:t xml:space="preserve"> </w:t>
      </w:r>
      <w:r w:rsidRPr="00F52A4D">
        <w:t>(“DMA”) that have Grade B</w:t>
      </w:r>
      <w:r>
        <w:t xml:space="preserve"> contour </w:t>
      </w:r>
      <w:r w:rsidRPr="00F52A4D">
        <w:t>overlap</w:t>
      </w:r>
      <w:r w:rsidR="004D0005">
        <w:rPr>
          <w:rStyle w:val="FootnoteReference"/>
        </w:rPr>
        <w:footnoteReference w:id="4"/>
      </w:r>
      <w:r w:rsidR="009C2A17">
        <w:rPr>
          <w:lang w:val="en-US"/>
        </w:rPr>
        <w:t xml:space="preserve"> </w:t>
      </w:r>
      <w:r w:rsidRPr="00F52A4D">
        <w:t>may be commonly owned if: (1) at least one of the stations is not ranked among the top four stations in the DMA; and (2) at least eight independently owned and operating, full power commercial and non-commercial educational television stations would remain in the DMA after the merger.</w:t>
      </w:r>
      <w:r>
        <w:rPr>
          <w:rStyle w:val="FootnoteReference"/>
        </w:rPr>
        <w:footnoteReference w:id="5"/>
      </w:r>
      <w:r>
        <w:rPr>
          <w:lang w:val="en-US"/>
        </w:rPr>
        <w:t xml:space="preserve">  </w:t>
      </w:r>
    </w:p>
    <w:p w:rsidR="00771ECA" w:rsidRPr="00771ECA" w:rsidRDefault="00771ECA" w:rsidP="00771ECA">
      <w:pPr>
        <w:pStyle w:val="ParaNum"/>
        <w:tabs>
          <w:tab w:val="num" w:pos="1260"/>
        </w:tabs>
        <w:ind w:firstLine="806"/>
        <w:rPr>
          <w:szCs w:val="22"/>
        </w:rPr>
      </w:pPr>
      <w:r>
        <w:rPr>
          <w:lang w:val="en-US"/>
        </w:rPr>
        <w:lastRenderedPageBreak/>
        <w:t xml:space="preserve">Following adoption of this rule, </w:t>
      </w:r>
      <w:r w:rsidR="00E44FF3">
        <w:rPr>
          <w:lang w:val="en-US"/>
        </w:rPr>
        <w:t xml:space="preserve">some </w:t>
      </w:r>
      <w:r>
        <w:rPr>
          <w:lang w:val="en-US"/>
        </w:rPr>
        <w:t xml:space="preserve">broadcasters </w:t>
      </w:r>
      <w:r w:rsidR="00900FDC">
        <w:rPr>
          <w:lang w:val="en-US"/>
        </w:rPr>
        <w:t xml:space="preserve">gradually began to </w:t>
      </w:r>
      <w:r>
        <w:rPr>
          <w:lang w:val="en-US"/>
        </w:rPr>
        <w:t>rel</w:t>
      </w:r>
      <w:r w:rsidR="00900FDC">
        <w:rPr>
          <w:lang w:val="en-US"/>
        </w:rPr>
        <w:t>y</w:t>
      </w:r>
      <w:r>
        <w:rPr>
          <w:lang w:val="en-US"/>
        </w:rPr>
        <w:t xml:space="preserve"> on a series of </w:t>
      </w:r>
      <w:r w:rsidR="00E44FF3">
        <w:rPr>
          <w:lang w:val="en-US"/>
        </w:rPr>
        <w:t>sharing and/or financial</w:t>
      </w:r>
      <w:r>
        <w:rPr>
          <w:lang w:val="en-US"/>
        </w:rPr>
        <w:t xml:space="preserve"> arrangements intended to allow a licensee of one station</w:t>
      </w:r>
      <w:r w:rsidR="00897D52">
        <w:rPr>
          <w:lang w:val="en-US"/>
        </w:rPr>
        <w:t xml:space="preserve"> largely</w:t>
      </w:r>
      <w:r>
        <w:rPr>
          <w:lang w:val="en-US"/>
        </w:rPr>
        <w:t xml:space="preserve"> </w:t>
      </w:r>
      <w:r w:rsidR="00606322">
        <w:rPr>
          <w:lang w:val="en-US"/>
        </w:rPr>
        <w:t>to delegate</w:t>
      </w:r>
      <w:r w:rsidR="00900FDC">
        <w:rPr>
          <w:lang w:val="en-US"/>
        </w:rPr>
        <w:t xml:space="preserve"> </w:t>
      </w:r>
      <w:r w:rsidR="00E44FF3">
        <w:rPr>
          <w:lang w:val="en-US"/>
        </w:rPr>
        <w:t xml:space="preserve">its </w:t>
      </w:r>
      <w:r>
        <w:rPr>
          <w:lang w:val="en-US"/>
        </w:rPr>
        <w:t xml:space="preserve">operation </w:t>
      </w:r>
      <w:r w:rsidR="00E44FF3">
        <w:rPr>
          <w:lang w:val="en-US"/>
        </w:rPr>
        <w:t xml:space="preserve">to </w:t>
      </w:r>
      <w:r>
        <w:rPr>
          <w:lang w:val="en-US"/>
        </w:rPr>
        <w:t xml:space="preserve">another station in the same DMA without </w:t>
      </w:r>
      <w:r w:rsidR="00E44FF3">
        <w:rPr>
          <w:lang w:val="en-US"/>
        </w:rPr>
        <w:t>attribution of ownership between the two stations</w:t>
      </w:r>
      <w:r>
        <w:rPr>
          <w:lang w:val="en-US"/>
        </w:rPr>
        <w:t>.</w:t>
      </w:r>
      <w:r>
        <w:rPr>
          <w:szCs w:val="22"/>
          <w:lang w:val="en-US"/>
        </w:rPr>
        <w:t xml:space="preserve"> </w:t>
      </w:r>
      <w:r w:rsidRPr="00771ECA">
        <w:rPr>
          <w:szCs w:val="22"/>
        </w:rPr>
        <w:t xml:space="preserve">Transactions presented to the Commission for review in recent years have increasingly featured complex combinations of sharing arrangements </w:t>
      </w:r>
      <w:r w:rsidR="00E44FF3">
        <w:rPr>
          <w:szCs w:val="22"/>
          <w:lang w:val="en-US"/>
        </w:rPr>
        <w:t>and</w:t>
      </w:r>
      <w:r w:rsidRPr="00771ECA">
        <w:rPr>
          <w:szCs w:val="22"/>
        </w:rPr>
        <w:t xml:space="preserve"> financial ties such as options and loan guarantees linking stations that are a</w:t>
      </w:r>
      <w:r w:rsidR="00AE485C">
        <w:rPr>
          <w:szCs w:val="22"/>
        </w:rPr>
        <w:t>sserted to be separately owned.</w:t>
      </w:r>
      <w:r w:rsidR="00AE485C">
        <w:rPr>
          <w:szCs w:val="22"/>
          <w:lang w:val="en-US"/>
        </w:rPr>
        <w:t xml:space="preserve">  </w:t>
      </w:r>
      <w:r w:rsidRPr="00771ECA">
        <w:rPr>
          <w:szCs w:val="22"/>
        </w:rPr>
        <w:t xml:space="preserve">Determining the full economic effects of these complex arrangements requires careful analysis, including review of the agreements and financial documents, to determine whether the arrangements together give </w:t>
      </w:r>
      <w:r w:rsidR="00E44FF3">
        <w:rPr>
          <w:szCs w:val="22"/>
          <w:lang w:val="en-US"/>
        </w:rPr>
        <w:t>the dominant</w:t>
      </w:r>
      <w:r w:rsidR="00E44FF3" w:rsidRPr="00771ECA">
        <w:rPr>
          <w:szCs w:val="22"/>
        </w:rPr>
        <w:t xml:space="preserve"> </w:t>
      </w:r>
      <w:r w:rsidRPr="00771ECA">
        <w:rPr>
          <w:szCs w:val="22"/>
        </w:rPr>
        <w:t xml:space="preserve">station </w:t>
      </w:r>
      <w:r w:rsidR="00606322">
        <w:rPr>
          <w:szCs w:val="22"/>
          <w:lang w:val="en-US"/>
        </w:rPr>
        <w:t>a level of</w:t>
      </w:r>
      <w:r w:rsidRPr="00771ECA">
        <w:rPr>
          <w:szCs w:val="22"/>
        </w:rPr>
        <w:t xml:space="preserve"> operational and financial influenc</w:t>
      </w:r>
      <w:r w:rsidR="00C5796E">
        <w:rPr>
          <w:szCs w:val="22"/>
          <w:lang w:val="en-US"/>
        </w:rPr>
        <w:t>e</w:t>
      </w:r>
      <w:r w:rsidR="006013F1">
        <w:rPr>
          <w:szCs w:val="22"/>
          <w:lang w:val="en-US"/>
        </w:rPr>
        <w:t xml:space="preserve"> </w:t>
      </w:r>
      <w:r w:rsidR="00E44FF3">
        <w:rPr>
          <w:szCs w:val="22"/>
          <w:lang w:val="en-US"/>
        </w:rPr>
        <w:t xml:space="preserve">over the subordinate station </w:t>
      </w:r>
      <w:r w:rsidR="00606322">
        <w:rPr>
          <w:szCs w:val="22"/>
          <w:lang w:val="en-US"/>
        </w:rPr>
        <w:t>such that we should</w:t>
      </w:r>
      <w:r w:rsidR="00900FDC">
        <w:rPr>
          <w:szCs w:val="22"/>
          <w:lang w:val="en-US"/>
        </w:rPr>
        <w:t xml:space="preserve"> </w:t>
      </w:r>
      <w:r w:rsidR="00E44FF3">
        <w:rPr>
          <w:szCs w:val="22"/>
          <w:lang w:val="en-US"/>
        </w:rPr>
        <w:t>treat the two as co-owned</w:t>
      </w:r>
      <w:r w:rsidRPr="00771ECA">
        <w:rPr>
          <w:szCs w:val="22"/>
        </w:rPr>
        <w:t xml:space="preserve">. </w:t>
      </w:r>
    </w:p>
    <w:p w:rsidR="008A6EC4" w:rsidRPr="008A6EC4" w:rsidRDefault="00F43876" w:rsidP="008A6EC4">
      <w:pPr>
        <w:pStyle w:val="ParaNum"/>
        <w:tabs>
          <w:tab w:val="num" w:pos="1260"/>
        </w:tabs>
        <w:ind w:firstLine="806"/>
        <w:rPr>
          <w:szCs w:val="22"/>
        </w:rPr>
      </w:pPr>
      <w:r>
        <w:rPr>
          <w:color w:val="000000"/>
          <w:lang w:val="en-US"/>
        </w:rPr>
        <w:t xml:space="preserve">The first </w:t>
      </w:r>
      <w:r w:rsidR="008A6EC4">
        <w:rPr>
          <w:color w:val="000000"/>
          <w:lang w:val="en-US"/>
        </w:rPr>
        <w:t xml:space="preserve">popular type of </w:t>
      </w:r>
      <w:r>
        <w:rPr>
          <w:color w:val="000000"/>
          <w:lang w:val="en-US"/>
        </w:rPr>
        <w:t xml:space="preserve">sharing </w:t>
      </w:r>
      <w:r w:rsidR="008A6EC4">
        <w:rPr>
          <w:color w:val="000000"/>
          <w:lang w:val="en-US"/>
        </w:rPr>
        <w:t>arrangement was a</w:t>
      </w:r>
      <w:r w:rsidR="008A6EC4" w:rsidRPr="008A6EC4">
        <w:rPr>
          <w:color w:val="000000"/>
        </w:rPr>
        <w:t xml:space="preserve"> television local marketing agreement or time brokerage agreement</w:t>
      </w:r>
      <w:r w:rsidR="008A6EC4" w:rsidRPr="008A6EC4">
        <w:rPr>
          <w:color w:val="000000"/>
          <w:lang w:val="en-US"/>
        </w:rPr>
        <w:t xml:space="preserve"> (“LMA”)</w:t>
      </w:r>
      <w:r w:rsidR="008A6EC4">
        <w:rPr>
          <w:color w:val="000000"/>
          <w:lang w:val="en-US"/>
        </w:rPr>
        <w:t>, which</w:t>
      </w:r>
      <w:r w:rsidR="008A6EC4" w:rsidRPr="008A6EC4">
        <w:rPr>
          <w:color w:val="000000"/>
        </w:rPr>
        <w:t xml:space="preserve"> is a </w:t>
      </w:r>
      <w:r>
        <w:rPr>
          <w:color w:val="000000"/>
        </w:rPr>
        <w:t xml:space="preserve">contract that involves </w:t>
      </w:r>
      <w:r w:rsidR="008A6EC4" w:rsidRPr="008A6EC4">
        <w:rPr>
          <w:color w:val="000000"/>
        </w:rPr>
        <w:t>sale by a licensee station</w:t>
      </w:r>
      <w:r w:rsidR="008A6EC4" w:rsidRPr="008A6EC4">
        <w:rPr>
          <w:color w:val="000000"/>
          <w:lang w:val="en-US"/>
        </w:rPr>
        <w:t xml:space="preserve"> (the “brokered station”)</w:t>
      </w:r>
      <w:r>
        <w:rPr>
          <w:color w:val="000000"/>
        </w:rPr>
        <w:t xml:space="preserve"> of</w:t>
      </w:r>
      <w:r w:rsidR="008A6EC4" w:rsidRPr="008A6EC4">
        <w:rPr>
          <w:color w:val="000000"/>
        </w:rPr>
        <w:t xml:space="preserve"> blocks of time on its station to a broker</w:t>
      </w:r>
      <w:r w:rsidR="008A6EC4" w:rsidRPr="008A6EC4">
        <w:rPr>
          <w:color w:val="000000"/>
          <w:lang w:val="en-US"/>
        </w:rPr>
        <w:t>ing</w:t>
      </w:r>
      <w:r w:rsidR="008A6EC4" w:rsidRPr="008A6EC4">
        <w:rPr>
          <w:color w:val="000000"/>
        </w:rPr>
        <w:t xml:space="preserve"> station that then supplies the programming and sells the commercial</w:t>
      </w:r>
      <w:r>
        <w:rPr>
          <w:color w:val="000000"/>
          <w:lang w:val="en-US"/>
        </w:rPr>
        <w:t>s</w:t>
      </w:r>
      <w:r w:rsidR="008A6EC4" w:rsidRPr="008A6EC4">
        <w:rPr>
          <w:color w:val="000000"/>
        </w:rPr>
        <w:t xml:space="preserve"> to support the programming.</w:t>
      </w:r>
      <w:r w:rsidR="008A6EC4" w:rsidRPr="00F52A4D">
        <w:rPr>
          <w:rStyle w:val="FootnoteReference"/>
          <w:color w:val="000000"/>
        </w:rPr>
        <w:footnoteReference w:id="6"/>
      </w:r>
      <w:r w:rsidR="008A6EC4" w:rsidRPr="008A6EC4">
        <w:rPr>
          <w:color w:val="000000"/>
          <w:lang w:val="en-US"/>
        </w:rPr>
        <w:t xml:space="preserve"> </w:t>
      </w:r>
      <w:r w:rsidR="008A6EC4" w:rsidRPr="008A6EC4">
        <w:rPr>
          <w:i/>
          <w:color w:val="000000"/>
          <w:lang w:val="en-US"/>
        </w:rPr>
        <w:t xml:space="preserve"> </w:t>
      </w:r>
      <w:r w:rsidR="008A6EC4" w:rsidRPr="008A6EC4">
        <w:rPr>
          <w:color w:val="000000"/>
          <w:szCs w:val="22"/>
        </w:rPr>
        <w:t xml:space="preserve">In 1999, the Commission determined that </w:t>
      </w:r>
      <w:r w:rsidR="008A6EC4">
        <w:rPr>
          <w:color w:val="000000"/>
          <w:szCs w:val="22"/>
          <w:lang w:val="en-US"/>
        </w:rPr>
        <w:t xml:space="preserve">any LMA </w:t>
      </w:r>
      <w:r w:rsidR="008A6EC4" w:rsidRPr="008A6EC4">
        <w:rPr>
          <w:color w:val="000000"/>
          <w:szCs w:val="22"/>
        </w:rPr>
        <w:t>between two television stations in the s</w:t>
      </w:r>
      <w:r>
        <w:rPr>
          <w:color w:val="000000"/>
          <w:szCs w:val="22"/>
        </w:rPr>
        <w:t xml:space="preserve">ame market for more than </w:t>
      </w:r>
      <w:r>
        <w:rPr>
          <w:color w:val="000000"/>
          <w:szCs w:val="22"/>
          <w:lang w:val="en-US"/>
        </w:rPr>
        <w:t>15</w:t>
      </w:r>
      <w:r w:rsidR="008A6EC4" w:rsidRPr="008A6EC4">
        <w:rPr>
          <w:color w:val="000000"/>
          <w:szCs w:val="22"/>
        </w:rPr>
        <w:t xml:space="preserve"> percent of the brokered station’s broadcast hours per week </w:t>
      </w:r>
      <w:r w:rsidR="00606322">
        <w:rPr>
          <w:color w:val="000000"/>
          <w:szCs w:val="22"/>
          <w:lang w:val="en-US"/>
        </w:rPr>
        <w:t>would be</w:t>
      </w:r>
      <w:r w:rsidR="008A6EC4" w:rsidRPr="008A6EC4">
        <w:rPr>
          <w:color w:val="000000"/>
          <w:szCs w:val="22"/>
        </w:rPr>
        <w:t xml:space="preserve"> attributable and count</w:t>
      </w:r>
      <w:r w:rsidR="00900FDC">
        <w:rPr>
          <w:color w:val="000000"/>
          <w:szCs w:val="22"/>
          <w:lang w:val="en-US"/>
        </w:rPr>
        <w:t>ed</w:t>
      </w:r>
      <w:r w:rsidR="008A6EC4" w:rsidRPr="008A6EC4">
        <w:rPr>
          <w:color w:val="000000"/>
          <w:szCs w:val="22"/>
        </w:rPr>
        <w:t xml:space="preserve"> toward the ownership limits of the licensee of the brokering station.</w:t>
      </w:r>
      <w:r w:rsidR="008A6EC4" w:rsidRPr="008179BE">
        <w:rPr>
          <w:rStyle w:val="FootnoteReference"/>
          <w:color w:val="000000"/>
          <w:szCs w:val="22"/>
        </w:rPr>
        <w:footnoteReference w:id="7"/>
      </w:r>
      <w:r w:rsidR="008A6EC4" w:rsidRPr="008A6EC4">
        <w:rPr>
          <w:color w:val="000000"/>
          <w:szCs w:val="22"/>
        </w:rPr>
        <w:t xml:space="preserve">  The Commission concluded that LMAs involving existing combinations of stations entered into prior to November 5, 1996</w:t>
      </w:r>
      <w:r w:rsidR="00A36819">
        <w:rPr>
          <w:color w:val="000000"/>
          <w:szCs w:val="22"/>
          <w:lang w:val="en-US"/>
        </w:rPr>
        <w:t>,</w:t>
      </w:r>
      <w:r w:rsidR="008A6EC4" w:rsidRPr="008A6EC4">
        <w:rPr>
          <w:color w:val="000000"/>
          <w:szCs w:val="22"/>
        </w:rPr>
        <w:t xml:space="preserve"> would be grandfathered.</w:t>
      </w:r>
      <w:r w:rsidR="008A6EC4" w:rsidRPr="008179BE">
        <w:rPr>
          <w:rStyle w:val="FootnoteReference"/>
          <w:color w:val="000000"/>
          <w:szCs w:val="22"/>
        </w:rPr>
        <w:footnoteReference w:id="8"/>
      </w:r>
      <w:r w:rsidR="008A6EC4" w:rsidRPr="008A6EC4">
        <w:rPr>
          <w:color w:val="000000"/>
          <w:szCs w:val="22"/>
        </w:rPr>
        <w:t xml:space="preserve">  The grandfathering protection was intended to “avoid undue disruption of </w:t>
      </w:r>
      <w:r w:rsidR="008A6EC4" w:rsidRPr="008A6EC4">
        <w:rPr>
          <w:i/>
          <w:color w:val="000000"/>
          <w:szCs w:val="22"/>
        </w:rPr>
        <w:t>existing LMA arrangements</w:t>
      </w:r>
      <w:r w:rsidR="008A6EC4" w:rsidRPr="008A6EC4">
        <w:rPr>
          <w:color w:val="000000"/>
          <w:szCs w:val="22"/>
        </w:rPr>
        <w:t xml:space="preserve"> while, at the same time, promote our competition and diversity goals.”</w:t>
      </w:r>
      <w:r w:rsidR="008A6EC4" w:rsidRPr="003A34BA">
        <w:rPr>
          <w:rStyle w:val="FootnoteReference"/>
          <w:color w:val="000000"/>
          <w:szCs w:val="22"/>
        </w:rPr>
        <w:footnoteReference w:id="9"/>
      </w:r>
      <w:r w:rsidR="008A6EC4" w:rsidRPr="008A6EC4">
        <w:rPr>
          <w:color w:val="000000"/>
          <w:szCs w:val="22"/>
        </w:rPr>
        <w:t xml:space="preserve">  </w:t>
      </w:r>
      <w:r w:rsidR="008A6EC4" w:rsidRPr="008A6EC4">
        <w:rPr>
          <w:szCs w:val="22"/>
        </w:rPr>
        <w:t xml:space="preserve">LMAs governing existing station combinations were also </w:t>
      </w:r>
      <w:r w:rsidR="00AC741B">
        <w:rPr>
          <w:szCs w:val="22"/>
          <w:lang w:val="en-US"/>
        </w:rPr>
        <w:t xml:space="preserve">made </w:t>
      </w:r>
      <w:r w:rsidR="008A6EC4" w:rsidRPr="008A6EC4">
        <w:rPr>
          <w:szCs w:val="22"/>
        </w:rPr>
        <w:t>transferable.</w:t>
      </w:r>
      <w:r w:rsidR="008A6EC4" w:rsidRPr="003A34BA">
        <w:rPr>
          <w:rStyle w:val="FootnoteReference"/>
          <w:szCs w:val="22"/>
        </w:rPr>
        <w:footnoteReference w:id="10"/>
      </w:r>
    </w:p>
    <w:p w:rsidR="005D4F8D" w:rsidRPr="00B01083" w:rsidRDefault="00A36819" w:rsidP="00A36819">
      <w:pPr>
        <w:pStyle w:val="ParaNum"/>
        <w:rPr>
          <w:b/>
        </w:rPr>
      </w:pPr>
      <w:r>
        <w:t>Subsequently</w:t>
      </w:r>
      <w:r w:rsidR="008A6EC4" w:rsidRPr="00771ECA">
        <w:t xml:space="preserve">, broadcasters increasingly relied on other sharing arrangements between brokered and brokering stations, most commonly </w:t>
      </w:r>
      <w:r w:rsidR="001F5D5D" w:rsidRPr="00771ECA">
        <w:t>joint sales agreements (“</w:t>
      </w:r>
      <w:r w:rsidR="008A6EC4" w:rsidRPr="00771ECA">
        <w:t>JSAs</w:t>
      </w:r>
      <w:r w:rsidR="001F5D5D" w:rsidRPr="00771ECA">
        <w:t>”)</w:t>
      </w:r>
      <w:r w:rsidR="008A6EC4">
        <w:rPr>
          <w:rStyle w:val="FootnoteReference"/>
          <w:color w:val="000000"/>
          <w:szCs w:val="22"/>
          <w:lang w:val="en-US"/>
        </w:rPr>
        <w:footnoteReference w:id="11"/>
      </w:r>
      <w:r w:rsidR="008A6EC4" w:rsidRPr="00771ECA">
        <w:t xml:space="preserve"> and </w:t>
      </w:r>
      <w:r w:rsidR="001F5D5D" w:rsidRPr="00771ECA">
        <w:t>shared service</w:t>
      </w:r>
      <w:r w:rsidR="00AE485C">
        <w:rPr>
          <w:lang w:val="en-US"/>
        </w:rPr>
        <w:t>s</w:t>
      </w:r>
      <w:r w:rsidR="001F5D5D" w:rsidRPr="00771ECA">
        <w:t xml:space="preserve"> agreements (“</w:t>
      </w:r>
      <w:r w:rsidR="008A6EC4" w:rsidRPr="00771ECA">
        <w:t>SSAs</w:t>
      </w:r>
      <w:r w:rsidR="00900FDC">
        <w:t xml:space="preserve">”).  </w:t>
      </w:r>
      <w:r w:rsidR="000A2AD2">
        <w:t xml:space="preserve">On June 18, 2014, </w:t>
      </w:r>
      <w:r w:rsidR="000A2AD2" w:rsidRPr="00382D27">
        <w:rPr>
          <w:i/>
        </w:rPr>
        <w:t>the</w:t>
      </w:r>
      <w:r w:rsidRPr="00382D27">
        <w:rPr>
          <w:i/>
          <w:lang w:val="en-US"/>
        </w:rPr>
        <w:t xml:space="preserve"> </w:t>
      </w:r>
      <w:r w:rsidRPr="00382D27">
        <w:rPr>
          <w:i/>
          <w:szCs w:val="22"/>
          <w:lang w:val="en-US"/>
        </w:rPr>
        <w:t>2014 Quadrennial Review Report &amp; Order &amp; FNPRM</w:t>
      </w:r>
      <w:r w:rsidR="000A2AD2">
        <w:t xml:space="preserve"> became effective, attributing</w:t>
      </w:r>
      <w:r w:rsidR="001F5D5D" w:rsidRPr="00771ECA">
        <w:t xml:space="preserve"> joint sales agreements</w:t>
      </w:r>
      <w:r w:rsidR="00900FDC">
        <w:t xml:space="preserve"> </w:t>
      </w:r>
      <w:r w:rsidR="001F5D5D" w:rsidRPr="00771ECA">
        <w:t>between broadcast television stations</w:t>
      </w:r>
      <w:r w:rsidR="00900FDC">
        <w:t xml:space="preserve"> </w:t>
      </w:r>
      <w:r w:rsidR="000A2AD2">
        <w:t>in the same market that cover more than 15</w:t>
      </w:r>
      <w:r w:rsidR="00A6116A">
        <w:rPr>
          <w:lang w:val="en-US"/>
        </w:rPr>
        <w:t xml:space="preserve"> percent</w:t>
      </w:r>
      <w:r w:rsidR="000A2AD2">
        <w:t xml:space="preserve"> of the station’s weekly advertising time</w:t>
      </w:r>
      <w:r w:rsidR="001F5D5D" w:rsidRPr="00771ECA">
        <w:t>.</w:t>
      </w:r>
      <w:r w:rsidR="001F5D5D" w:rsidRPr="009351E2">
        <w:rPr>
          <w:rStyle w:val="FootnoteReference"/>
          <w:szCs w:val="22"/>
        </w:rPr>
        <w:footnoteReference w:id="12"/>
      </w:r>
      <w:r w:rsidR="001F5D5D" w:rsidRPr="00771ECA">
        <w:t xml:space="preserve"> The </w:t>
      </w:r>
      <w:r w:rsidR="008A6EC4" w:rsidRPr="00771ECA">
        <w:t xml:space="preserve">Commission provided a two-year transition period starting from the effective date of the rule for parties to amend or terminate any JSAs that would result in a violation </w:t>
      </w:r>
      <w:r w:rsidR="00771ECA">
        <w:t>of the local TV ownership rule.</w:t>
      </w:r>
      <w:r w:rsidR="00771ECA">
        <w:rPr>
          <w:rStyle w:val="FootnoteReference"/>
          <w:szCs w:val="22"/>
        </w:rPr>
        <w:footnoteReference w:id="13"/>
      </w:r>
      <w:r w:rsidR="001F5D5D" w:rsidRPr="00771ECA">
        <w:t xml:space="preserve"> </w:t>
      </w:r>
    </w:p>
    <w:p w:rsidR="001F5D5D" w:rsidRPr="00F05E6D" w:rsidRDefault="00B01083" w:rsidP="00EA50DC">
      <w:pPr>
        <w:pStyle w:val="ParaNum"/>
        <w:tabs>
          <w:tab w:val="num" w:pos="1260"/>
        </w:tabs>
        <w:ind w:firstLine="806"/>
        <w:rPr>
          <w:szCs w:val="22"/>
        </w:rPr>
      </w:pPr>
      <w:r>
        <w:rPr>
          <w:b/>
          <w:szCs w:val="22"/>
          <w:lang w:val="en-US"/>
        </w:rPr>
        <w:t xml:space="preserve">The Transaction.  </w:t>
      </w:r>
      <w:r w:rsidR="00C91EDA" w:rsidRPr="00A46A3D">
        <w:rPr>
          <w:szCs w:val="22"/>
          <w:lang w:val="en-US"/>
        </w:rPr>
        <w:t xml:space="preserve">On July 28, 2013, </w:t>
      </w:r>
      <w:r w:rsidR="002E0F12" w:rsidRPr="00A46A3D">
        <w:rPr>
          <w:szCs w:val="22"/>
          <w:lang w:val="en-US"/>
        </w:rPr>
        <w:t xml:space="preserve">Sinclair and Allbritton </w:t>
      </w:r>
      <w:r w:rsidR="00C91EDA" w:rsidRPr="00A46A3D">
        <w:rPr>
          <w:szCs w:val="22"/>
          <w:lang w:val="en-US"/>
        </w:rPr>
        <w:t xml:space="preserve">entered into </w:t>
      </w:r>
      <w:r w:rsidR="009C2A17">
        <w:rPr>
          <w:szCs w:val="22"/>
          <w:lang w:val="en-US"/>
        </w:rPr>
        <w:t xml:space="preserve">a </w:t>
      </w:r>
      <w:r w:rsidR="00C91EDA" w:rsidRPr="00A46A3D">
        <w:rPr>
          <w:szCs w:val="22"/>
          <w:lang w:val="en-US"/>
        </w:rPr>
        <w:t xml:space="preserve">Purchase </w:t>
      </w:r>
      <w:r w:rsidR="00C41D12" w:rsidRPr="00A46A3D">
        <w:rPr>
          <w:szCs w:val="22"/>
          <w:lang w:val="en-US"/>
        </w:rPr>
        <w:t>Agreement</w:t>
      </w:r>
      <w:r w:rsidR="00CB6477" w:rsidRPr="00A46A3D">
        <w:rPr>
          <w:szCs w:val="22"/>
          <w:lang w:val="en-US"/>
        </w:rPr>
        <w:t xml:space="preserve"> and submitted applications </w:t>
      </w:r>
      <w:r w:rsidR="00A46A3D" w:rsidRPr="00A46A3D">
        <w:rPr>
          <w:szCs w:val="22"/>
          <w:lang w:val="en-US"/>
        </w:rPr>
        <w:t>for approval to transfer</w:t>
      </w:r>
      <w:r w:rsidR="0072371D" w:rsidRPr="00A46A3D">
        <w:rPr>
          <w:szCs w:val="22"/>
          <w:lang w:val="en-US"/>
        </w:rPr>
        <w:t xml:space="preserve"> the entities owning the licenses for Allbritton’s eight full-power television stations </w:t>
      </w:r>
      <w:r w:rsidR="0072371D" w:rsidRPr="00A46A3D">
        <w:rPr>
          <w:szCs w:val="22"/>
        </w:rPr>
        <w:t xml:space="preserve">(the </w:t>
      </w:r>
      <w:r w:rsidR="009D7A0E">
        <w:rPr>
          <w:szCs w:val="22"/>
          <w:lang w:val="en-US"/>
        </w:rPr>
        <w:t>“</w:t>
      </w:r>
      <w:r w:rsidR="0072371D" w:rsidRPr="00A46A3D">
        <w:rPr>
          <w:szCs w:val="22"/>
          <w:lang w:val="en-US"/>
        </w:rPr>
        <w:t>Allbritton</w:t>
      </w:r>
      <w:r w:rsidR="00A46A3D" w:rsidRPr="00A46A3D">
        <w:rPr>
          <w:szCs w:val="22"/>
        </w:rPr>
        <w:t xml:space="preserve"> </w:t>
      </w:r>
      <w:r w:rsidR="00A46A3D" w:rsidRPr="00A46A3D">
        <w:rPr>
          <w:szCs w:val="22"/>
          <w:lang w:val="en-US"/>
        </w:rPr>
        <w:t>S</w:t>
      </w:r>
      <w:r w:rsidR="0072371D" w:rsidRPr="00A46A3D">
        <w:rPr>
          <w:szCs w:val="22"/>
        </w:rPr>
        <w:t>tations”)</w:t>
      </w:r>
      <w:r w:rsidR="00AD05F6" w:rsidRPr="00A46A3D">
        <w:rPr>
          <w:szCs w:val="22"/>
          <w:lang w:val="en-US"/>
        </w:rPr>
        <w:t xml:space="preserve"> </w:t>
      </w:r>
      <w:r w:rsidR="0072371D" w:rsidRPr="00A46A3D">
        <w:rPr>
          <w:szCs w:val="22"/>
          <w:lang w:val="en-US"/>
        </w:rPr>
        <w:t>located in seven markets to Sinclair.</w:t>
      </w:r>
      <w:r w:rsidR="00DF6E4C" w:rsidRPr="00A46A3D">
        <w:rPr>
          <w:rStyle w:val="FootnoteReference"/>
          <w:szCs w:val="22"/>
          <w:lang w:val="en-US"/>
        </w:rPr>
        <w:footnoteReference w:id="14"/>
      </w:r>
      <w:r w:rsidR="0072371D" w:rsidRPr="00A46A3D">
        <w:rPr>
          <w:szCs w:val="22"/>
          <w:lang w:val="en-US"/>
        </w:rPr>
        <w:t xml:space="preserve">  </w:t>
      </w:r>
      <w:r w:rsidR="0072371D" w:rsidRPr="00A46A3D">
        <w:rPr>
          <w:szCs w:val="22"/>
        </w:rPr>
        <w:t xml:space="preserve">In </w:t>
      </w:r>
      <w:r w:rsidR="0072371D" w:rsidRPr="00A46A3D">
        <w:rPr>
          <w:szCs w:val="22"/>
          <w:lang w:val="en-US"/>
        </w:rPr>
        <w:t>four</w:t>
      </w:r>
      <w:r w:rsidR="0072371D" w:rsidRPr="00A46A3D">
        <w:rPr>
          <w:szCs w:val="22"/>
        </w:rPr>
        <w:t xml:space="preserve"> of those markets,</w:t>
      </w:r>
      <w:r w:rsidR="0072371D" w:rsidRPr="00A46A3D">
        <w:rPr>
          <w:szCs w:val="22"/>
          <w:lang w:val="en-US"/>
        </w:rPr>
        <w:t xml:space="preserve"> Sinclair </w:t>
      </w:r>
      <w:r w:rsidR="0072371D" w:rsidRPr="00A46A3D">
        <w:rPr>
          <w:szCs w:val="22"/>
        </w:rPr>
        <w:t xml:space="preserve">does not own any </w:t>
      </w:r>
      <w:r w:rsidR="0072371D" w:rsidRPr="00A46A3D">
        <w:rPr>
          <w:szCs w:val="22"/>
          <w:lang w:val="en-US"/>
        </w:rPr>
        <w:t>television stations</w:t>
      </w:r>
      <w:r w:rsidR="001523FA">
        <w:rPr>
          <w:szCs w:val="22"/>
          <w:lang w:val="en-US"/>
        </w:rPr>
        <w:t xml:space="preserve">, and </w:t>
      </w:r>
      <w:r w:rsidR="00272A3F">
        <w:rPr>
          <w:szCs w:val="22"/>
          <w:lang w:val="en-US"/>
        </w:rPr>
        <w:t xml:space="preserve">it </w:t>
      </w:r>
      <w:r w:rsidR="001523FA">
        <w:rPr>
          <w:szCs w:val="22"/>
          <w:lang w:val="en-US"/>
        </w:rPr>
        <w:t xml:space="preserve">will be acquiring </w:t>
      </w:r>
      <w:r w:rsidR="001523FA">
        <w:rPr>
          <w:szCs w:val="22"/>
          <w:lang w:val="en-US"/>
        </w:rPr>
        <w:lastRenderedPageBreak/>
        <w:t>the stations directly from Allbritton</w:t>
      </w:r>
      <w:r w:rsidR="00897D52">
        <w:rPr>
          <w:szCs w:val="22"/>
        </w:rPr>
        <w:t>.</w:t>
      </w:r>
      <w:r w:rsidR="00897D52">
        <w:rPr>
          <w:szCs w:val="22"/>
          <w:lang w:val="en-US"/>
        </w:rPr>
        <w:t xml:space="preserve">  </w:t>
      </w:r>
      <w:r w:rsidR="001523FA">
        <w:rPr>
          <w:szCs w:val="22"/>
          <w:lang w:val="en-US"/>
        </w:rPr>
        <w:t>Sinclair a</w:t>
      </w:r>
      <w:r w:rsidR="00B9318A">
        <w:rPr>
          <w:szCs w:val="22"/>
          <w:lang w:val="en-US"/>
        </w:rPr>
        <w:t>lready owns stations</w:t>
      </w:r>
      <w:r w:rsidR="001523FA">
        <w:rPr>
          <w:szCs w:val="22"/>
          <w:lang w:val="en-US"/>
        </w:rPr>
        <w:t xml:space="preserve">, </w:t>
      </w:r>
      <w:r w:rsidR="00B9318A">
        <w:rPr>
          <w:szCs w:val="22"/>
          <w:lang w:val="en-US"/>
        </w:rPr>
        <w:t xml:space="preserve">and has entered into </w:t>
      </w:r>
      <w:r w:rsidR="00EF57EB">
        <w:rPr>
          <w:szCs w:val="22"/>
          <w:lang w:val="en-US"/>
        </w:rPr>
        <w:t>sharing arrangements, which it describes as grandfathered LMAs, with additional stations</w:t>
      </w:r>
      <w:r w:rsidR="00B9318A">
        <w:rPr>
          <w:szCs w:val="22"/>
          <w:lang w:val="en-US"/>
        </w:rPr>
        <w:t xml:space="preserve"> </w:t>
      </w:r>
      <w:r w:rsidR="00EF57EB">
        <w:rPr>
          <w:szCs w:val="22"/>
          <w:lang w:val="en-US"/>
        </w:rPr>
        <w:t>in</w:t>
      </w:r>
      <w:r w:rsidR="0072371D" w:rsidRPr="00A46A3D">
        <w:rPr>
          <w:szCs w:val="22"/>
        </w:rPr>
        <w:t xml:space="preserve"> the remaining </w:t>
      </w:r>
      <w:r w:rsidR="0072371D" w:rsidRPr="00A46A3D">
        <w:rPr>
          <w:szCs w:val="22"/>
          <w:lang w:val="en-US"/>
        </w:rPr>
        <w:t>three markets</w:t>
      </w:r>
      <w:r w:rsidR="0072371D" w:rsidRPr="00A46A3D">
        <w:rPr>
          <w:szCs w:val="22"/>
        </w:rPr>
        <w:t>—</w:t>
      </w:r>
      <w:r w:rsidR="0072371D" w:rsidRPr="00A46A3D">
        <w:rPr>
          <w:szCs w:val="22"/>
          <w:lang w:val="en-US"/>
        </w:rPr>
        <w:t>Birmingham, Alabama</w:t>
      </w:r>
      <w:r w:rsidR="00A36819">
        <w:rPr>
          <w:szCs w:val="22"/>
          <w:lang w:val="en-US"/>
        </w:rPr>
        <w:t>;</w:t>
      </w:r>
      <w:r w:rsidR="0072371D" w:rsidRPr="00A46A3D">
        <w:rPr>
          <w:szCs w:val="22"/>
          <w:lang w:val="en-US"/>
        </w:rPr>
        <w:t xml:space="preserve"> Harrisburg, Pennsylvania</w:t>
      </w:r>
      <w:r w:rsidR="00A36819">
        <w:rPr>
          <w:szCs w:val="22"/>
          <w:lang w:val="en-US"/>
        </w:rPr>
        <w:t>;</w:t>
      </w:r>
      <w:r w:rsidR="0072371D" w:rsidRPr="00A46A3D">
        <w:rPr>
          <w:szCs w:val="22"/>
          <w:lang w:val="en-US"/>
        </w:rPr>
        <w:t xml:space="preserve"> and Charleston, South Carolina (the “Overlap Markets”)</w:t>
      </w:r>
      <w:r w:rsidR="0072371D" w:rsidRPr="00A46A3D">
        <w:rPr>
          <w:szCs w:val="22"/>
        </w:rPr>
        <w:t>.</w:t>
      </w:r>
      <w:r w:rsidR="00F52A4D" w:rsidRPr="00A46A3D">
        <w:rPr>
          <w:szCs w:val="22"/>
        </w:rPr>
        <w:t xml:space="preserve"> </w:t>
      </w:r>
      <w:r w:rsidR="00CB6477" w:rsidRPr="00A46A3D">
        <w:rPr>
          <w:szCs w:val="22"/>
          <w:lang w:val="en-US"/>
        </w:rPr>
        <w:t xml:space="preserve"> </w:t>
      </w:r>
      <w:r w:rsidR="001523FA">
        <w:rPr>
          <w:szCs w:val="22"/>
          <w:lang w:val="en-US"/>
        </w:rPr>
        <w:t>Sinclair cannot retain its current holdings and acquire the Allbritton stations in these three markets consistent with the local TV ownership rule.</w:t>
      </w:r>
      <w:r w:rsidR="00900FDC">
        <w:rPr>
          <w:szCs w:val="22"/>
          <w:lang w:val="en-US"/>
        </w:rPr>
        <w:t xml:space="preserve">  Consequently, </w:t>
      </w:r>
      <w:r w:rsidR="00CB6477" w:rsidRPr="00F05E6D">
        <w:rPr>
          <w:szCs w:val="22"/>
        </w:rPr>
        <w:t xml:space="preserve">Sinclair </w:t>
      </w:r>
      <w:r w:rsidR="00FC4D4F">
        <w:rPr>
          <w:szCs w:val="22"/>
          <w:lang w:val="en-US"/>
        </w:rPr>
        <w:t>initially proposed to assign</w:t>
      </w:r>
      <w:r w:rsidR="00900FDC">
        <w:rPr>
          <w:szCs w:val="22"/>
          <w:lang w:val="en-US"/>
        </w:rPr>
        <w:t xml:space="preserve"> </w:t>
      </w:r>
      <w:r w:rsidR="00D86923">
        <w:rPr>
          <w:szCs w:val="22"/>
          <w:lang w:val="en-US"/>
        </w:rPr>
        <w:t xml:space="preserve">the Birmingham and Harrisburg </w:t>
      </w:r>
      <w:r w:rsidR="00CB6477" w:rsidRPr="00F05E6D">
        <w:rPr>
          <w:szCs w:val="22"/>
        </w:rPr>
        <w:t>station</w:t>
      </w:r>
      <w:r w:rsidR="00D86923">
        <w:rPr>
          <w:szCs w:val="22"/>
          <w:lang w:val="en-US"/>
        </w:rPr>
        <w:t>s</w:t>
      </w:r>
      <w:r w:rsidR="00CB6477" w:rsidRPr="00F05E6D">
        <w:rPr>
          <w:szCs w:val="22"/>
        </w:rPr>
        <w:t xml:space="preserve"> to Deerfield Media entities (“Deerfield”) and</w:t>
      </w:r>
      <w:r w:rsidR="00D86923">
        <w:rPr>
          <w:szCs w:val="22"/>
          <w:lang w:val="en-US"/>
        </w:rPr>
        <w:t xml:space="preserve"> proposed to assign the Charleston stations</w:t>
      </w:r>
      <w:r w:rsidR="00CB6477" w:rsidRPr="00F05E6D">
        <w:rPr>
          <w:szCs w:val="22"/>
        </w:rPr>
        <w:t xml:space="preserve"> to Howard Stirk Holdings, LLC (“HSH”).  </w:t>
      </w:r>
      <w:r w:rsidR="00A46A3D" w:rsidRPr="00F05E6D">
        <w:rPr>
          <w:szCs w:val="22"/>
        </w:rPr>
        <w:t xml:space="preserve">Sinclair would have retained a financial interest </w:t>
      </w:r>
      <w:r w:rsidR="00272A3F">
        <w:rPr>
          <w:szCs w:val="22"/>
          <w:lang w:val="en-US"/>
        </w:rPr>
        <w:t xml:space="preserve">in </w:t>
      </w:r>
      <w:r w:rsidR="00A46A3D" w:rsidRPr="00F05E6D">
        <w:rPr>
          <w:szCs w:val="22"/>
        </w:rPr>
        <w:t xml:space="preserve">and shared certain services with each of the stations acquired </w:t>
      </w:r>
      <w:r w:rsidR="00D86923">
        <w:rPr>
          <w:szCs w:val="22"/>
          <w:lang w:val="en-US"/>
        </w:rPr>
        <w:t xml:space="preserve">by Deerfield and HSH through </w:t>
      </w:r>
      <w:r w:rsidR="00A46A3D" w:rsidRPr="00F05E6D">
        <w:rPr>
          <w:szCs w:val="22"/>
        </w:rPr>
        <w:t xml:space="preserve">option, </w:t>
      </w:r>
      <w:r w:rsidR="00EB741A" w:rsidRPr="00F05E6D">
        <w:rPr>
          <w:szCs w:val="22"/>
          <w:lang w:val="en-US"/>
        </w:rPr>
        <w:t>SSA, and JSA arrangements</w:t>
      </w:r>
      <w:r w:rsidR="00FC4D4F">
        <w:rPr>
          <w:szCs w:val="22"/>
          <w:lang w:val="en-US"/>
        </w:rPr>
        <w:t xml:space="preserve">, and other financial </w:t>
      </w:r>
      <w:r w:rsidR="00272A3F">
        <w:rPr>
          <w:szCs w:val="22"/>
          <w:lang w:val="en-US"/>
        </w:rPr>
        <w:t xml:space="preserve">ties </w:t>
      </w:r>
      <w:r w:rsidR="00FC4D4F">
        <w:rPr>
          <w:szCs w:val="22"/>
          <w:lang w:val="en-US"/>
        </w:rPr>
        <w:t>in connection with</w:t>
      </w:r>
      <w:r w:rsidR="00F006C6">
        <w:rPr>
          <w:szCs w:val="22"/>
          <w:lang w:val="en-US"/>
        </w:rPr>
        <w:t xml:space="preserve"> the purchase loan for the stations</w:t>
      </w:r>
      <w:r w:rsidR="00EB741A" w:rsidRPr="00F05E6D">
        <w:rPr>
          <w:szCs w:val="22"/>
          <w:lang w:val="en-US"/>
        </w:rPr>
        <w:t>.</w:t>
      </w:r>
      <w:r w:rsidR="00EB741A">
        <w:rPr>
          <w:rStyle w:val="FootnoteReference"/>
          <w:szCs w:val="22"/>
          <w:lang w:val="en-US"/>
        </w:rPr>
        <w:footnoteReference w:id="15"/>
      </w:r>
      <w:r w:rsidR="008B3307" w:rsidRPr="00F05E6D">
        <w:rPr>
          <w:szCs w:val="22"/>
          <w:lang w:val="en-US"/>
        </w:rPr>
        <w:t xml:space="preserve">  </w:t>
      </w:r>
    </w:p>
    <w:p w:rsidR="009A5AD7" w:rsidRPr="005F075A" w:rsidRDefault="00FF2122" w:rsidP="005F075A">
      <w:pPr>
        <w:pStyle w:val="ParaNum"/>
        <w:tabs>
          <w:tab w:val="num" w:pos="1260"/>
        </w:tabs>
        <w:rPr>
          <w:szCs w:val="22"/>
        </w:rPr>
      </w:pPr>
      <w:r w:rsidRPr="001F5D5D">
        <w:rPr>
          <w:szCs w:val="22"/>
          <w:lang w:val="en-US"/>
        </w:rPr>
        <w:t xml:space="preserve">On December, 6, 2013, the </w:t>
      </w:r>
      <w:r w:rsidRPr="001F5D5D">
        <w:rPr>
          <w:szCs w:val="22"/>
        </w:rPr>
        <w:t xml:space="preserve">Video Division sent a letter </w:t>
      </w:r>
      <w:r w:rsidRPr="001F5D5D">
        <w:rPr>
          <w:szCs w:val="22"/>
          <w:lang w:val="en-US"/>
        </w:rPr>
        <w:t>notifying</w:t>
      </w:r>
      <w:r w:rsidRPr="001F5D5D">
        <w:rPr>
          <w:szCs w:val="22"/>
        </w:rPr>
        <w:t xml:space="preserve"> Applicants</w:t>
      </w:r>
      <w:r w:rsidRPr="001F5D5D">
        <w:rPr>
          <w:szCs w:val="22"/>
          <w:lang w:val="en-US"/>
        </w:rPr>
        <w:t xml:space="preserve"> that the</w:t>
      </w:r>
      <w:r w:rsidR="00A53424" w:rsidRPr="001F5D5D">
        <w:rPr>
          <w:szCs w:val="22"/>
          <w:lang w:val="en-US"/>
        </w:rPr>
        <w:t xml:space="preserve"> original</w:t>
      </w:r>
      <w:r w:rsidRPr="001F5D5D">
        <w:rPr>
          <w:szCs w:val="22"/>
          <w:lang w:val="en-US"/>
        </w:rPr>
        <w:t xml:space="preserve"> proposal would not comply with the local TV ownership rule.  Specifically, </w:t>
      </w:r>
      <w:r w:rsidRPr="001F5D5D">
        <w:rPr>
          <w:szCs w:val="22"/>
        </w:rPr>
        <w:t xml:space="preserve">the proposed transactions would remove grandfathering relief for </w:t>
      </w:r>
      <w:r w:rsidR="00CB6477" w:rsidRPr="001F5D5D">
        <w:rPr>
          <w:szCs w:val="22"/>
          <w:lang w:val="en-US"/>
        </w:rPr>
        <w:t>the LMAs in all three markets</w:t>
      </w:r>
      <w:r w:rsidR="00685F59">
        <w:rPr>
          <w:szCs w:val="22"/>
          <w:lang w:val="en-US"/>
        </w:rPr>
        <w:t>; in addition,</w:t>
      </w:r>
      <w:r w:rsidR="00CB6477" w:rsidRPr="001F5D5D">
        <w:rPr>
          <w:szCs w:val="22"/>
          <w:lang w:val="en-US"/>
        </w:rPr>
        <w:t xml:space="preserve"> grandfathering relief had never been appropriate for the LMA in the Charleston, South Carolina market</w:t>
      </w:r>
      <w:r w:rsidR="00A53424" w:rsidRPr="001F5D5D">
        <w:rPr>
          <w:szCs w:val="22"/>
          <w:lang w:val="en-US"/>
        </w:rPr>
        <w:t xml:space="preserve"> because it was entered into after the grandfathering deadline</w:t>
      </w:r>
      <w:r w:rsidR="00B9318A">
        <w:rPr>
          <w:szCs w:val="22"/>
          <w:lang w:val="en-US"/>
        </w:rPr>
        <w:t xml:space="preserve"> of November 5, 1996</w:t>
      </w:r>
      <w:r w:rsidR="00E36F15">
        <w:rPr>
          <w:szCs w:val="22"/>
          <w:lang w:val="en-US"/>
        </w:rPr>
        <w:t>.</w:t>
      </w:r>
      <w:r w:rsidRPr="009351E2">
        <w:rPr>
          <w:rStyle w:val="FootnoteReference"/>
          <w:szCs w:val="22"/>
        </w:rPr>
        <w:footnoteReference w:id="16"/>
      </w:r>
      <w:r w:rsidR="005F075A">
        <w:rPr>
          <w:szCs w:val="22"/>
          <w:lang w:val="en-US"/>
        </w:rPr>
        <w:t xml:space="preserve">  </w:t>
      </w:r>
      <w:r w:rsidR="00642D73">
        <w:rPr>
          <w:szCs w:val="22"/>
          <w:lang w:val="en-US"/>
        </w:rPr>
        <w:t xml:space="preserve">On January 31, 2014, the Video Division </w:t>
      </w:r>
      <w:r w:rsidR="00DB1E36">
        <w:rPr>
          <w:szCs w:val="22"/>
          <w:lang w:val="en-US"/>
        </w:rPr>
        <w:t xml:space="preserve">held a conference call with all </w:t>
      </w:r>
      <w:r w:rsidR="00A6116A">
        <w:rPr>
          <w:szCs w:val="22"/>
          <w:lang w:val="en-US"/>
        </w:rPr>
        <w:t>p</w:t>
      </w:r>
      <w:r w:rsidR="00642D73">
        <w:rPr>
          <w:szCs w:val="22"/>
          <w:lang w:val="en-US"/>
        </w:rPr>
        <w:t>arties</w:t>
      </w:r>
      <w:r w:rsidR="00DB1E36">
        <w:rPr>
          <w:szCs w:val="22"/>
          <w:lang w:val="en-US"/>
        </w:rPr>
        <w:t xml:space="preserve"> to this proceeding</w:t>
      </w:r>
      <w:r w:rsidR="00642D73">
        <w:rPr>
          <w:szCs w:val="22"/>
          <w:lang w:val="en-US"/>
        </w:rPr>
        <w:t xml:space="preserve"> during which it requested additional financial information regarding the stations in the Overlap Markets.</w:t>
      </w:r>
    </w:p>
    <w:p w:rsidR="00FF2122" w:rsidRPr="009351E2" w:rsidRDefault="00642D73" w:rsidP="00FF2122">
      <w:pPr>
        <w:pStyle w:val="ParaNum"/>
        <w:tabs>
          <w:tab w:val="num" w:pos="1260"/>
        </w:tabs>
        <w:ind w:firstLine="806"/>
        <w:rPr>
          <w:szCs w:val="22"/>
        </w:rPr>
      </w:pPr>
      <w:r>
        <w:rPr>
          <w:szCs w:val="22"/>
          <w:lang w:val="en-US"/>
        </w:rPr>
        <w:t xml:space="preserve">In letters dated March 20 and </w:t>
      </w:r>
      <w:r w:rsidR="00A53424" w:rsidRPr="009351E2">
        <w:rPr>
          <w:szCs w:val="22"/>
          <w:lang w:val="en-US"/>
        </w:rPr>
        <w:t>May 29, 2014</w:t>
      </w:r>
      <w:r w:rsidR="00FF2122" w:rsidRPr="009351E2">
        <w:rPr>
          <w:szCs w:val="22"/>
          <w:lang w:val="en-US"/>
        </w:rPr>
        <w:t xml:space="preserve">, Sinclair </w:t>
      </w:r>
      <w:r w:rsidR="00A53424" w:rsidRPr="009351E2">
        <w:rPr>
          <w:szCs w:val="22"/>
          <w:lang w:val="en-US"/>
        </w:rPr>
        <w:t xml:space="preserve">informed the Commission that it intended to amend </w:t>
      </w:r>
      <w:r w:rsidR="00FF2122" w:rsidRPr="009351E2">
        <w:rPr>
          <w:szCs w:val="22"/>
          <w:lang w:val="en-US"/>
        </w:rPr>
        <w:t>the proposals to “eliminate entirely the creation of any joint sales agreements, as well as all combinations of sharing arrangements and contingent financial interests</w:t>
      </w:r>
      <w:r w:rsidR="008B3307">
        <w:rPr>
          <w:szCs w:val="22"/>
          <w:lang w:val="en-US"/>
        </w:rPr>
        <w:t>.</w:t>
      </w:r>
      <w:r w:rsidR="00FF2122" w:rsidRPr="009351E2">
        <w:rPr>
          <w:szCs w:val="22"/>
          <w:lang w:val="en-US"/>
        </w:rPr>
        <w:t>”</w:t>
      </w:r>
      <w:r w:rsidR="00FF2122" w:rsidRPr="009351E2">
        <w:rPr>
          <w:rStyle w:val="FootnoteReference"/>
          <w:szCs w:val="22"/>
          <w:lang w:val="en-US"/>
        </w:rPr>
        <w:footnoteReference w:id="17"/>
      </w:r>
      <w:r w:rsidR="00FF2122" w:rsidRPr="009351E2">
        <w:rPr>
          <w:szCs w:val="22"/>
          <w:lang w:val="en-US"/>
        </w:rPr>
        <w:t xml:space="preserve"> Sinclair </w:t>
      </w:r>
      <w:r w:rsidR="00A53424" w:rsidRPr="009351E2">
        <w:rPr>
          <w:szCs w:val="22"/>
          <w:lang w:val="en-US"/>
        </w:rPr>
        <w:t xml:space="preserve">said that it </w:t>
      </w:r>
      <w:r w:rsidR="00FF2122" w:rsidRPr="009351E2">
        <w:rPr>
          <w:szCs w:val="22"/>
          <w:lang w:val="en-US"/>
        </w:rPr>
        <w:t xml:space="preserve">engaged a global investment bank to aid with the sale of stations </w:t>
      </w:r>
      <w:r w:rsidR="00A53424" w:rsidRPr="009351E2">
        <w:rPr>
          <w:szCs w:val="22"/>
          <w:lang w:val="en-US"/>
        </w:rPr>
        <w:t xml:space="preserve">in the Overlap Markets but </w:t>
      </w:r>
      <w:r w:rsidR="00FF2122" w:rsidRPr="009351E2">
        <w:rPr>
          <w:szCs w:val="22"/>
          <w:lang w:val="en-US"/>
        </w:rPr>
        <w:t xml:space="preserve">that no viable buyers were found for Sinclair’s stations in </w:t>
      </w:r>
      <w:r w:rsidR="00DB1E36">
        <w:rPr>
          <w:szCs w:val="22"/>
          <w:lang w:val="en-US"/>
        </w:rPr>
        <w:t>either the Birmingham or</w:t>
      </w:r>
      <w:r w:rsidR="00FF2122" w:rsidRPr="009351E2">
        <w:rPr>
          <w:szCs w:val="22"/>
          <w:lang w:val="en-US"/>
        </w:rPr>
        <w:t xml:space="preserve"> Charleston markets.</w:t>
      </w:r>
      <w:r w:rsidR="00FF2122" w:rsidRPr="009351E2">
        <w:rPr>
          <w:rStyle w:val="FootnoteReference"/>
          <w:szCs w:val="22"/>
          <w:lang w:val="en-US"/>
        </w:rPr>
        <w:footnoteReference w:id="18"/>
      </w:r>
      <w:r w:rsidR="00FF2122" w:rsidRPr="009351E2">
        <w:rPr>
          <w:szCs w:val="22"/>
          <w:lang w:val="en-US"/>
        </w:rPr>
        <w:t xml:space="preserve">  </w:t>
      </w:r>
      <w:r w:rsidR="008B3307">
        <w:rPr>
          <w:szCs w:val="22"/>
          <w:lang w:val="en-US"/>
        </w:rPr>
        <w:t xml:space="preserve">Thus, </w:t>
      </w:r>
      <w:r w:rsidR="00B9318A">
        <w:rPr>
          <w:szCs w:val="22"/>
          <w:lang w:val="en-US"/>
        </w:rPr>
        <w:t>Sinclair proposes the following</w:t>
      </w:r>
      <w:r w:rsidR="009751DB">
        <w:rPr>
          <w:szCs w:val="22"/>
          <w:lang w:val="en-US"/>
        </w:rPr>
        <w:t>:</w:t>
      </w:r>
    </w:p>
    <w:p w:rsidR="00FF2122" w:rsidRPr="009351E2" w:rsidRDefault="00187A91" w:rsidP="00A53424">
      <w:pPr>
        <w:pStyle w:val="ParaNum"/>
        <w:tabs>
          <w:tab w:val="num" w:pos="1260"/>
        </w:tabs>
        <w:ind w:firstLine="806"/>
        <w:rPr>
          <w:szCs w:val="22"/>
        </w:rPr>
      </w:pPr>
      <w:r w:rsidRPr="009351E2">
        <w:rPr>
          <w:i/>
          <w:szCs w:val="22"/>
          <w:lang w:val="en-US"/>
        </w:rPr>
        <w:t>Birmingham</w:t>
      </w:r>
      <w:r w:rsidRPr="009351E2">
        <w:rPr>
          <w:szCs w:val="22"/>
          <w:lang w:val="en-US"/>
        </w:rPr>
        <w:t xml:space="preserve">.  </w:t>
      </w:r>
      <w:r w:rsidR="001F70B4" w:rsidRPr="009351E2">
        <w:rPr>
          <w:szCs w:val="22"/>
        </w:rPr>
        <w:t>Sinclair</w:t>
      </w:r>
      <w:r w:rsidR="006B0B21" w:rsidRPr="009351E2">
        <w:rPr>
          <w:szCs w:val="22"/>
        </w:rPr>
        <w:t xml:space="preserve"> </w:t>
      </w:r>
      <w:r w:rsidR="00B33D1A" w:rsidRPr="009351E2">
        <w:rPr>
          <w:szCs w:val="22"/>
          <w:lang w:val="en-US"/>
        </w:rPr>
        <w:t>currently owns stations</w:t>
      </w:r>
      <w:r w:rsidR="0041548C" w:rsidRPr="009351E2">
        <w:rPr>
          <w:szCs w:val="22"/>
          <w:lang w:val="en-US"/>
        </w:rPr>
        <w:t xml:space="preserve"> WTTO(TV), Homewood, Alabama and WABM(TV), Birmingham, Alabama</w:t>
      </w:r>
      <w:r w:rsidR="00A36819">
        <w:rPr>
          <w:szCs w:val="22"/>
          <w:lang w:val="en-US"/>
        </w:rPr>
        <w:t>,</w:t>
      </w:r>
      <w:r w:rsidR="0041548C" w:rsidRPr="009351E2">
        <w:rPr>
          <w:szCs w:val="22"/>
          <w:lang w:val="en-US"/>
        </w:rPr>
        <w:t xml:space="preserve"> and through WTTO(TV) </w:t>
      </w:r>
      <w:r w:rsidR="00685F59">
        <w:rPr>
          <w:szCs w:val="22"/>
          <w:lang w:val="en-US"/>
        </w:rPr>
        <w:t xml:space="preserve">it </w:t>
      </w:r>
      <w:r w:rsidR="00B33D1A" w:rsidRPr="009351E2">
        <w:rPr>
          <w:szCs w:val="22"/>
          <w:lang w:val="en-US"/>
        </w:rPr>
        <w:t>operates Station WDBB(TV)</w:t>
      </w:r>
      <w:r w:rsidR="0041548C" w:rsidRPr="009351E2">
        <w:rPr>
          <w:szCs w:val="22"/>
          <w:lang w:val="en-US"/>
        </w:rPr>
        <w:t xml:space="preserve">, </w:t>
      </w:r>
      <w:r w:rsidR="00810660" w:rsidRPr="009351E2">
        <w:rPr>
          <w:szCs w:val="22"/>
          <w:lang w:val="en-US"/>
        </w:rPr>
        <w:t>Bessemer</w:t>
      </w:r>
      <w:r w:rsidR="0041548C" w:rsidRPr="009351E2">
        <w:rPr>
          <w:szCs w:val="22"/>
          <w:lang w:val="en-US"/>
        </w:rPr>
        <w:t>, Alabama,</w:t>
      </w:r>
      <w:r w:rsidR="00B33D1A" w:rsidRPr="009351E2">
        <w:rPr>
          <w:szCs w:val="22"/>
          <w:lang w:val="en-US"/>
        </w:rPr>
        <w:t xml:space="preserve"> pursuant to a grandfathered LMA.  </w:t>
      </w:r>
      <w:r w:rsidR="00FF2122" w:rsidRPr="009351E2">
        <w:rPr>
          <w:szCs w:val="22"/>
          <w:lang w:val="en-US"/>
        </w:rPr>
        <w:t xml:space="preserve">Under the amended proposal, the licenses of </w:t>
      </w:r>
      <w:r w:rsidR="00685F59">
        <w:rPr>
          <w:szCs w:val="22"/>
          <w:lang w:val="en-US"/>
        </w:rPr>
        <w:t xml:space="preserve">Allbritton stations </w:t>
      </w:r>
      <w:r w:rsidR="00FF2122" w:rsidRPr="009351E2">
        <w:rPr>
          <w:szCs w:val="22"/>
          <w:lang w:val="en-US"/>
        </w:rPr>
        <w:t>WCFT-T</w:t>
      </w:r>
      <w:r w:rsidR="00245EB3">
        <w:rPr>
          <w:szCs w:val="22"/>
          <w:lang w:val="en-US"/>
        </w:rPr>
        <w:t>V</w:t>
      </w:r>
      <w:r w:rsidR="00DB1E36">
        <w:rPr>
          <w:szCs w:val="22"/>
          <w:lang w:val="en-US"/>
        </w:rPr>
        <w:t>, Tuscaloosa, Alabama</w:t>
      </w:r>
      <w:r w:rsidR="00245EB3">
        <w:rPr>
          <w:szCs w:val="22"/>
          <w:lang w:val="en-US"/>
        </w:rPr>
        <w:t xml:space="preserve"> and WJSU-TV</w:t>
      </w:r>
      <w:r w:rsidR="00F05E6D">
        <w:rPr>
          <w:szCs w:val="22"/>
          <w:lang w:val="en-US"/>
        </w:rPr>
        <w:t xml:space="preserve">, </w:t>
      </w:r>
      <w:r w:rsidR="00DB1E36">
        <w:rPr>
          <w:szCs w:val="22"/>
          <w:lang w:val="en-US"/>
        </w:rPr>
        <w:t xml:space="preserve">Anniston, Alabama, </w:t>
      </w:r>
      <w:r w:rsidR="00F05E6D">
        <w:rPr>
          <w:szCs w:val="22"/>
          <w:lang w:val="en-US"/>
        </w:rPr>
        <w:t>both ABC affiliates,</w:t>
      </w:r>
      <w:r w:rsidR="00245EB3">
        <w:rPr>
          <w:szCs w:val="22"/>
          <w:lang w:val="en-US"/>
        </w:rPr>
        <w:t xml:space="preserve"> would be surrendered</w:t>
      </w:r>
      <w:r w:rsidR="00FF2122" w:rsidRPr="009351E2">
        <w:rPr>
          <w:szCs w:val="22"/>
          <w:lang w:val="en-US"/>
        </w:rPr>
        <w:t xml:space="preserve"> for cancellation.  Sinclair would retain WTTO(TV) and WABM(TV)</w:t>
      </w:r>
      <w:r w:rsidR="00F05E6D">
        <w:rPr>
          <w:szCs w:val="22"/>
          <w:lang w:val="en-US"/>
        </w:rPr>
        <w:t>, the My Network affiliate in the market</w:t>
      </w:r>
      <w:r w:rsidR="00FF2122" w:rsidRPr="009351E2">
        <w:rPr>
          <w:szCs w:val="22"/>
          <w:lang w:val="en-US"/>
        </w:rPr>
        <w:t>.  The existing</w:t>
      </w:r>
      <w:r w:rsidR="005F075A">
        <w:rPr>
          <w:szCs w:val="22"/>
          <w:lang w:val="en-US"/>
        </w:rPr>
        <w:t xml:space="preserve"> grandfathered</w:t>
      </w:r>
      <w:r w:rsidR="00FF2122" w:rsidRPr="009351E2">
        <w:rPr>
          <w:szCs w:val="22"/>
          <w:lang w:val="en-US"/>
        </w:rPr>
        <w:t xml:space="preserve"> LMA between WTTO(TV) and WDBB(TV) would also continue.  Sinclair would use the multicasting</w:t>
      </w:r>
      <w:r w:rsidR="004E35E6" w:rsidRPr="009351E2">
        <w:rPr>
          <w:rStyle w:val="FootnoteReference"/>
          <w:szCs w:val="22"/>
          <w:lang w:val="en-US"/>
        </w:rPr>
        <w:footnoteReference w:id="19"/>
      </w:r>
      <w:r w:rsidR="00FF2122" w:rsidRPr="009351E2">
        <w:rPr>
          <w:szCs w:val="22"/>
          <w:lang w:val="en-US"/>
        </w:rPr>
        <w:t xml:space="preserve"> ability of WABM(TV) to broadcast the programming currently offered on </w:t>
      </w:r>
      <w:r w:rsidR="005F075A">
        <w:rPr>
          <w:szCs w:val="22"/>
          <w:lang w:val="en-US"/>
        </w:rPr>
        <w:t xml:space="preserve">both </w:t>
      </w:r>
      <w:r w:rsidR="00FF2122" w:rsidRPr="009351E2">
        <w:rPr>
          <w:szCs w:val="22"/>
          <w:lang w:val="en-US"/>
        </w:rPr>
        <w:t xml:space="preserve">WABM </w:t>
      </w:r>
      <w:r w:rsidR="005F075A">
        <w:rPr>
          <w:szCs w:val="22"/>
          <w:lang w:val="en-US"/>
        </w:rPr>
        <w:t xml:space="preserve">and </w:t>
      </w:r>
      <w:r w:rsidR="00FF2122" w:rsidRPr="009351E2">
        <w:rPr>
          <w:szCs w:val="22"/>
          <w:lang w:val="en-US"/>
        </w:rPr>
        <w:t>WCFT/WJSU</w:t>
      </w:r>
      <w:r w:rsidR="00FF2122" w:rsidRPr="009351E2">
        <w:rPr>
          <w:szCs w:val="22"/>
        </w:rPr>
        <w:t>.</w:t>
      </w:r>
    </w:p>
    <w:p w:rsidR="00FF2122" w:rsidRPr="009351E2" w:rsidRDefault="0041548C" w:rsidP="00841812">
      <w:pPr>
        <w:pStyle w:val="ParaNum"/>
        <w:rPr>
          <w:szCs w:val="22"/>
        </w:rPr>
      </w:pPr>
      <w:r w:rsidRPr="009351E2">
        <w:rPr>
          <w:i/>
          <w:color w:val="000000"/>
          <w:szCs w:val="22"/>
        </w:rPr>
        <w:t>Harrisburg</w:t>
      </w:r>
      <w:r w:rsidRPr="009351E2">
        <w:rPr>
          <w:color w:val="000000"/>
          <w:szCs w:val="22"/>
        </w:rPr>
        <w:t xml:space="preserve">.  </w:t>
      </w:r>
      <w:r w:rsidR="00841812" w:rsidRPr="00841812">
        <w:rPr>
          <w:color w:val="000000"/>
          <w:szCs w:val="22"/>
        </w:rPr>
        <w:t>Sinclair currently owns Station WHP-TV, Harrisburg, Pennsylvania</w:t>
      </w:r>
      <w:r w:rsidR="00D06367">
        <w:rPr>
          <w:color w:val="000000"/>
          <w:szCs w:val="22"/>
          <w:lang w:val="en-US"/>
        </w:rPr>
        <w:t>,</w:t>
      </w:r>
      <w:r w:rsidR="00841812" w:rsidRPr="00841812">
        <w:rPr>
          <w:color w:val="000000"/>
          <w:szCs w:val="22"/>
        </w:rPr>
        <w:t xml:space="preserve"> and through WHP-TV</w:t>
      </w:r>
      <w:r w:rsidR="00D06367">
        <w:rPr>
          <w:color w:val="000000"/>
          <w:szCs w:val="22"/>
          <w:lang w:val="en-US"/>
        </w:rPr>
        <w:t xml:space="preserve"> </w:t>
      </w:r>
      <w:r w:rsidR="00685F59">
        <w:rPr>
          <w:color w:val="000000"/>
          <w:szCs w:val="22"/>
          <w:lang w:val="en-US"/>
        </w:rPr>
        <w:t>it</w:t>
      </w:r>
      <w:r w:rsidR="00841812" w:rsidRPr="00841812">
        <w:rPr>
          <w:color w:val="000000"/>
          <w:szCs w:val="22"/>
        </w:rPr>
        <w:t xml:space="preserve"> </w:t>
      </w:r>
      <w:r w:rsidR="00B9318A">
        <w:rPr>
          <w:color w:val="000000"/>
          <w:szCs w:val="22"/>
          <w:lang w:val="en-US"/>
        </w:rPr>
        <w:t>programs</w:t>
      </w:r>
      <w:r w:rsidR="00D86923">
        <w:rPr>
          <w:color w:val="000000"/>
          <w:szCs w:val="22"/>
          <w:lang w:val="en-US"/>
        </w:rPr>
        <w:t xml:space="preserve"> </w:t>
      </w:r>
      <w:r w:rsidR="00841812" w:rsidRPr="00841812">
        <w:rPr>
          <w:color w:val="000000"/>
          <w:szCs w:val="22"/>
        </w:rPr>
        <w:t xml:space="preserve">WLYH-TV, Lancaster, Pennsylvania, </w:t>
      </w:r>
      <w:r w:rsidR="00B9318A">
        <w:rPr>
          <w:color w:val="000000"/>
          <w:szCs w:val="22"/>
          <w:lang w:val="en-US"/>
        </w:rPr>
        <w:t>pursuant</w:t>
      </w:r>
      <w:r w:rsidR="00841812" w:rsidRPr="00841812">
        <w:rPr>
          <w:color w:val="000000"/>
          <w:szCs w:val="22"/>
        </w:rPr>
        <w:t xml:space="preserve"> to a grandfathered LMA. Under the revised proposal, Sinclair would sell </w:t>
      </w:r>
      <w:r w:rsidR="00685F59">
        <w:rPr>
          <w:color w:val="000000"/>
          <w:szCs w:val="22"/>
          <w:lang w:val="en-US"/>
        </w:rPr>
        <w:t xml:space="preserve">Allbritton station </w:t>
      </w:r>
      <w:r w:rsidR="00841812" w:rsidRPr="00841812">
        <w:rPr>
          <w:color w:val="000000"/>
          <w:szCs w:val="22"/>
        </w:rPr>
        <w:t xml:space="preserve">WHTM-TV to </w:t>
      </w:r>
      <w:r w:rsidR="009C2A17">
        <w:t>Media General, Inc.</w:t>
      </w:r>
      <w:r w:rsidR="009C2A17">
        <w:rPr>
          <w:lang w:val="en-US"/>
        </w:rPr>
        <w:t>,</w:t>
      </w:r>
      <w:r w:rsidR="009C2A17">
        <w:rPr>
          <w:rStyle w:val="FootnoteReference"/>
          <w:lang w:val="en-US"/>
        </w:rPr>
        <w:footnoteReference w:id="20"/>
      </w:r>
      <w:r w:rsidR="009C2A17">
        <w:rPr>
          <w:lang w:val="en-US"/>
        </w:rPr>
        <w:t xml:space="preserve"> </w:t>
      </w:r>
      <w:r w:rsidR="00841812" w:rsidRPr="00841812">
        <w:rPr>
          <w:color w:val="000000"/>
          <w:szCs w:val="22"/>
        </w:rPr>
        <w:t>and retain WHP-TV and continue to program WLYH</w:t>
      </w:r>
      <w:r w:rsidR="00D86923">
        <w:rPr>
          <w:color w:val="000000"/>
          <w:szCs w:val="22"/>
          <w:lang w:val="en-US"/>
        </w:rPr>
        <w:t>-TV</w:t>
      </w:r>
      <w:r w:rsidR="00841812" w:rsidRPr="00841812">
        <w:rPr>
          <w:color w:val="000000"/>
          <w:szCs w:val="22"/>
        </w:rPr>
        <w:t xml:space="preserve">. </w:t>
      </w:r>
    </w:p>
    <w:p w:rsidR="00BF1936" w:rsidRPr="00EA50DC" w:rsidRDefault="00847EF6" w:rsidP="00293B3B">
      <w:pPr>
        <w:pStyle w:val="ParaNum"/>
        <w:tabs>
          <w:tab w:val="num" w:pos="1260"/>
        </w:tabs>
        <w:ind w:firstLine="806"/>
        <w:rPr>
          <w:szCs w:val="22"/>
        </w:rPr>
      </w:pPr>
      <w:r w:rsidRPr="009351E2">
        <w:rPr>
          <w:i/>
          <w:szCs w:val="22"/>
        </w:rPr>
        <w:t>Charleston</w:t>
      </w:r>
      <w:r w:rsidRPr="009351E2">
        <w:rPr>
          <w:i/>
          <w:szCs w:val="22"/>
          <w:lang w:val="en-US"/>
        </w:rPr>
        <w:t>.</w:t>
      </w:r>
      <w:r w:rsidRPr="009351E2">
        <w:rPr>
          <w:szCs w:val="22"/>
          <w:lang w:val="en-US"/>
        </w:rPr>
        <w:t xml:space="preserve">  Sinclair currently owns WMMP(TV), Charleston, South Carolina</w:t>
      </w:r>
      <w:r w:rsidR="00293B3B">
        <w:rPr>
          <w:szCs w:val="22"/>
          <w:lang w:val="en-US"/>
        </w:rPr>
        <w:t xml:space="preserve"> and through WMMP(TV)</w:t>
      </w:r>
      <w:r w:rsidRPr="009351E2">
        <w:rPr>
          <w:szCs w:val="22"/>
        </w:rPr>
        <w:t xml:space="preserve"> </w:t>
      </w:r>
      <w:r w:rsidR="00685F59">
        <w:rPr>
          <w:szCs w:val="22"/>
          <w:lang w:val="en-US"/>
        </w:rPr>
        <w:t xml:space="preserve">it </w:t>
      </w:r>
      <w:r w:rsidR="00B9318A">
        <w:rPr>
          <w:szCs w:val="22"/>
          <w:lang w:val="en-US"/>
        </w:rPr>
        <w:t>programs</w:t>
      </w:r>
      <w:r w:rsidR="00D86923">
        <w:rPr>
          <w:szCs w:val="22"/>
          <w:lang w:val="en-US"/>
        </w:rPr>
        <w:t xml:space="preserve"> </w:t>
      </w:r>
      <w:r w:rsidRPr="009351E2">
        <w:rPr>
          <w:szCs w:val="22"/>
        </w:rPr>
        <w:t xml:space="preserve">WTAT-TV, </w:t>
      </w:r>
      <w:r w:rsidRPr="009351E2">
        <w:rPr>
          <w:szCs w:val="22"/>
          <w:lang w:val="en-US"/>
        </w:rPr>
        <w:t xml:space="preserve">Charleston, South Carolina, </w:t>
      </w:r>
      <w:r w:rsidRPr="009351E2">
        <w:rPr>
          <w:szCs w:val="22"/>
        </w:rPr>
        <w:t>owned by Cunningham Broadcasting</w:t>
      </w:r>
      <w:r w:rsidRPr="009351E2">
        <w:rPr>
          <w:szCs w:val="22"/>
          <w:lang w:val="en-US"/>
        </w:rPr>
        <w:t xml:space="preserve"> (“Cunningham”)</w:t>
      </w:r>
      <w:r w:rsidR="00293B3B">
        <w:rPr>
          <w:szCs w:val="22"/>
        </w:rPr>
        <w:t xml:space="preserve">, </w:t>
      </w:r>
      <w:r w:rsidR="00293B3B">
        <w:rPr>
          <w:szCs w:val="22"/>
          <w:lang w:val="en-US"/>
        </w:rPr>
        <w:t>pursuant to</w:t>
      </w:r>
      <w:r w:rsidRPr="009351E2">
        <w:rPr>
          <w:szCs w:val="22"/>
        </w:rPr>
        <w:t xml:space="preserve"> </w:t>
      </w:r>
      <w:r w:rsidRPr="009351E2">
        <w:rPr>
          <w:szCs w:val="22"/>
          <w:lang w:val="en-US"/>
        </w:rPr>
        <w:t xml:space="preserve">what it </w:t>
      </w:r>
      <w:r w:rsidR="005F075A">
        <w:rPr>
          <w:szCs w:val="22"/>
          <w:lang w:val="en-US"/>
        </w:rPr>
        <w:t>inaccurately described</w:t>
      </w:r>
      <w:r w:rsidRPr="009351E2">
        <w:rPr>
          <w:szCs w:val="22"/>
          <w:lang w:val="en-US"/>
        </w:rPr>
        <w:t xml:space="preserve"> as a</w:t>
      </w:r>
      <w:r w:rsidRPr="009351E2">
        <w:rPr>
          <w:szCs w:val="22"/>
        </w:rPr>
        <w:t xml:space="preserve"> grandfathered</w:t>
      </w:r>
      <w:r w:rsidRPr="009351E2">
        <w:rPr>
          <w:szCs w:val="22"/>
          <w:lang w:val="en-US"/>
        </w:rPr>
        <w:t xml:space="preserve"> LMA</w:t>
      </w:r>
      <w:r w:rsidRPr="009351E2">
        <w:rPr>
          <w:szCs w:val="22"/>
        </w:rPr>
        <w:t>.</w:t>
      </w:r>
      <w:r w:rsidR="00950C68">
        <w:rPr>
          <w:rStyle w:val="FootnoteReference"/>
          <w:szCs w:val="22"/>
        </w:rPr>
        <w:footnoteReference w:id="21"/>
      </w:r>
      <w:r w:rsidR="00950C68">
        <w:rPr>
          <w:szCs w:val="22"/>
          <w:lang w:val="en-US"/>
        </w:rPr>
        <w:t xml:space="preserve">  </w:t>
      </w:r>
      <w:r w:rsidR="004E35E6" w:rsidRPr="00293B3B">
        <w:rPr>
          <w:szCs w:val="22"/>
          <w:lang w:val="en-US"/>
        </w:rPr>
        <w:t>Under the revised proposal, t</w:t>
      </w:r>
      <w:r w:rsidR="00BF1936" w:rsidRPr="00293B3B">
        <w:rPr>
          <w:szCs w:val="22"/>
          <w:lang w:val="en-US"/>
        </w:rPr>
        <w:t xml:space="preserve">he license of </w:t>
      </w:r>
      <w:r w:rsidR="00685F59">
        <w:rPr>
          <w:szCs w:val="22"/>
          <w:lang w:val="en-US"/>
        </w:rPr>
        <w:t xml:space="preserve">Allbritton station </w:t>
      </w:r>
      <w:r w:rsidR="00BF1936" w:rsidRPr="00293B3B">
        <w:rPr>
          <w:szCs w:val="22"/>
          <w:lang w:val="en-US"/>
        </w:rPr>
        <w:t>WCIV(TV)</w:t>
      </w:r>
      <w:r w:rsidR="00841812">
        <w:rPr>
          <w:szCs w:val="22"/>
          <w:lang w:val="en-US"/>
        </w:rPr>
        <w:t>, the ABC affiliate in the market,</w:t>
      </w:r>
      <w:r w:rsidR="00BF1936" w:rsidRPr="00293B3B">
        <w:rPr>
          <w:szCs w:val="22"/>
          <w:lang w:val="en-US"/>
        </w:rPr>
        <w:t xml:space="preserve"> would be surrendered for cancellation.</w:t>
      </w:r>
      <w:r w:rsidR="00F51A69" w:rsidRPr="00293B3B">
        <w:rPr>
          <w:szCs w:val="22"/>
          <w:lang w:val="en-US"/>
        </w:rPr>
        <w:t xml:space="preserve">  Sinclair would retain its interest in WMMP(TV) but the existing LMA</w:t>
      </w:r>
      <w:r w:rsidR="00D06367">
        <w:rPr>
          <w:szCs w:val="22"/>
          <w:lang w:val="en-US"/>
        </w:rPr>
        <w:t>,</w:t>
      </w:r>
      <w:r w:rsidR="00F51A69" w:rsidRPr="00293B3B">
        <w:rPr>
          <w:szCs w:val="22"/>
          <w:lang w:val="en-US"/>
        </w:rPr>
        <w:t xml:space="preserve"> under which WMMP(TV) operates W</w:t>
      </w:r>
      <w:r w:rsidR="00245EB3">
        <w:rPr>
          <w:szCs w:val="22"/>
          <w:lang w:val="en-US"/>
        </w:rPr>
        <w:t>TAT-TV</w:t>
      </w:r>
      <w:r w:rsidR="00D06367">
        <w:rPr>
          <w:szCs w:val="22"/>
          <w:lang w:val="en-US"/>
        </w:rPr>
        <w:t>,</w:t>
      </w:r>
      <w:r w:rsidR="00245EB3">
        <w:rPr>
          <w:szCs w:val="22"/>
          <w:lang w:val="en-US"/>
        </w:rPr>
        <w:t xml:space="preserve"> would be terminated.  </w:t>
      </w:r>
      <w:r w:rsidR="00F51A69" w:rsidRPr="00293B3B">
        <w:rPr>
          <w:szCs w:val="22"/>
          <w:lang w:val="en-US"/>
        </w:rPr>
        <w:t>Cunningham</w:t>
      </w:r>
      <w:r w:rsidR="00D86923">
        <w:rPr>
          <w:szCs w:val="22"/>
          <w:lang w:val="en-US"/>
        </w:rPr>
        <w:t xml:space="preserve"> </w:t>
      </w:r>
      <w:r w:rsidR="00F51A69" w:rsidRPr="00293B3B">
        <w:rPr>
          <w:szCs w:val="22"/>
          <w:lang w:val="en-US"/>
        </w:rPr>
        <w:t>would acquire from Sinclair any assets used to support operation of WTAT-TV</w:t>
      </w:r>
      <w:r w:rsidR="00685F59">
        <w:rPr>
          <w:szCs w:val="22"/>
          <w:lang w:val="en-US"/>
        </w:rPr>
        <w:t>,</w:t>
      </w:r>
      <w:r w:rsidR="00F51A69" w:rsidRPr="00293B3B">
        <w:rPr>
          <w:szCs w:val="22"/>
          <w:lang w:val="en-US"/>
        </w:rPr>
        <w:t xml:space="preserve"> and Sinclair would terminate its option to acquire the assets of WTAT-TV.  </w:t>
      </w:r>
      <w:r w:rsidR="00293B3B">
        <w:rPr>
          <w:szCs w:val="22"/>
          <w:lang w:val="en-US"/>
        </w:rPr>
        <w:t>Moreover, n</w:t>
      </w:r>
      <w:r w:rsidR="00F51A69" w:rsidRPr="00293B3B">
        <w:rPr>
          <w:szCs w:val="22"/>
          <w:lang w:val="en-US"/>
        </w:rPr>
        <w:t xml:space="preserve">o sharing arrangement </w:t>
      </w:r>
      <w:r w:rsidR="00293B3B">
        <w:rPr>
          <w:szCs w:val="22"/>
          <w:lang w:val="en-US"/>
        </w:rPr>
        <w:t xml:space="preserve">of any kind </w:t>
      </w:r>
      <w:r w:rsidR="0007106D">
        <w:rPr>
          <w:szCs w:val="22"/>
          <w:lang w:val="en-US"/>
        </w:rPr>
        <w:t xml:space="preserve">would exist </w:t>
      </w:r>
      <w:r w:rsidR="00F51A69" w:rsidRPr="00293B3B">
        <w:rPr>
          <w:szCs w:val="22"/>
          <w:lang w:val="en-US"/>
        </w:rPr>
        <w:t>between Sinclair</w:t>
      </w:r>
      <w:r w:rsidR="0007106D">
        <w:rPr>
          <w:szCs w:val="22"/>
          <w:lang w:val="en-US"/>
        </w:rPr>
        <w:t>’s WMMP(TV) and Cunningham’s WTAT-TV</w:t>
      </w:r>
      <w:r w:rsidR="005F075A">
        <w:rPr>
          <w:szCs w:val="22"/>
          <w:lang w:val="en-US"/>
        </w:rPr>
        <w:t>.</w:t>
      </w:r>
      <w:r w:rsidR="00F51A69" w:rsidRPr="00293B3B">
        <w:rPr>
          <w:szCs w:val="22"/>
          <w:lang w:val="en-US"/>
        </w:rPr>
        <w:t xml:space="preserve">  Sinclair would use the multicasting capability of WMMP</w:t>
      </w:r>
      <w:r w:rsidR="00EF57EB">
        <w:rPr>
          <w:szCs w:val="22"/>
          <w:lang w:val="en-US"/>
        </w:rPr>
        <w:t>(TV)</w:t>
      </w:r>
      <w:r w:rsidR="00F51A69" w:rsidRPr="00293B3B">
        <w:rPr>
          <w:szCs w:val="22"/>
          <w:lang w:val="en-US"/>
        </w:rPr>
        <w:t xml:space="preserve"> to broadcast the programming</w:t>
      </w:r>
      <w:r w:rsidR="005F075A">
        <w:rPr>
          <w:szCs w:val="22"/>
          <w:lang w:val="en-US"/>
        </w:rPr>
        <w:t xml:space="preserve"> currently offered on both WMMP(TV) </w:t>
      </w:r>
      <w:r w:rsidR="00F51A69" w:rsidRPr="00293B3B">
        <w:rPr>
          <w:szCs w:val="22"/>
          <w:lang w:val="en-US"/>
        </w:rPr>
        <w:t>and WCIV</w:t>
      </w:r>
      <w:r w:rsidR="005F075A">
        <w:rPr>
          <w:szCs w:val="22"/>
          <w:lang w:val="en-US"/>
        </w:rPr>
        <w:t>(TV)</w:t>
      </w:r>
      <w:r w:rsidR="00F51A69" w:rsidRPr="00293B3B">
        <w:rPr>
          <w:szCs w:val="22"/>
          <w:lang w:val="en-US"/>
        </w:rPr>
        <w:t>.</w:t>
      </w:r>
    </w:p>
    <w:p w:rsidR="0047217E" w:rsidRPr="00382D27" w:rsidRDefault="00ED3CA6" w:rsidP="0047217E">
      <w:pPr>
        <w:pStyle w:val="ParaNum"/>
      </w:pPr>
      <w:r>
        <w:rPr>
          <w:lang w:val="en-US"/>
        </w:rPr>
        <w:t>On June 25</w:t>
      </w:r>
      <w:r w:rsidR="001B1789">
        <w:rPr>
          <w:lang w:val="en-US"/>
        </w:rPr>
        <w:t xml:space="preserve"> and June 30</w:t>
      </w:r>
      <w:r>
        <w:rPr>
          <w:lang w:val="en-US"/>
        </w:rPr>
        <w:t xml:space="preserve">, 2014, Sinclair filed </w:t>
      </w:r>
      <w:r w:rsidR="001B1789">
        <w:rPr>
          <w:lang w:val="en-US"/>
        </w:rPr>
        <w:t>amendments</w:t>
      </w:r>
      <w:r w:rsidR="00915550">
        <w:rPr>
          <w:lang w:val="en-US"/>
        </w:rPr>
        <w:t xml:space="preserve"> </w:t>
      </w:r>
      <w:r>
        <w:rPr>
          <w:lang w:val="en-US"/>
        </w:rPr>
        <w:t xml:space="preserve">noting that it would take time to fulfill the voluntary commitments set forth in the May 29, 2014, letter, and </w:t>
      </w:r>
      <w:r w:rsidR="00685F59">
        <w:rPr>
          <w:lang w:val="en-US"/>
        </w:rPr>
        <w:t xml:space="preserve">it </w:t>
      </w:r>
      <w:r>
        <w:rPr>
          <w:lang w:val="en-US"/>
        </w:rPr>
        <w:t>requested a temporary waiver to permit it to follow through on the commitments after consummation of the broader sale of A</w:t>
      </w:r>
      <w:r w:rsidR="003E2272">
        <w:rPr>
          <w:lang w:val="en-US"/>
        </w:rPr>
        <w:t>l</w:t>
      </w:r>
      <w:r>
        <w:rPr>
          <w:lang w:val="en-US"/>
        </w:rPr>
        <w:t>lbritton’s other stations</w:t>
      </w:r>
      <w:r w:rsidR="00B9318A">
        <w:t>.</w:t>
      </w:r>
      <w:r w:rsidR="00D86923">
        <w:t xml:space="preserve"> </w:t>
      </w:r>
      <w:r w:rsidR="009C2A17">
        <w:rPr>
          <w:lang w:val="en-US"/>
        </w:rPr>
        <w:t xml:space="preserve"> </w:t>
      </w:r>
      <w:r w:rsidR="00B9318A">
        <w:t xml:space="preserve">With respect to the proposal to shift ABC programming to a multicast stream in Charleston and Birmingham, </w:t>
      </w:r>
      <w:r w:rsidR="0047217E" w:rsidRPr="0047217E">
        <w:rPr>
          <w:szCs w:val="22"/>
          <w:lang w:val="en-US"/>
        </w:rPr>
        <w:t>Sinclair maintains that it will need to reach agreement</w:t>
      </w:r>
      <w:r w:rsidR="00EF57EB">
        <w:rPr>
          <w:szCs w:val="22"/>
          <w:lang w:val="en-US"/>
        </w:rPr>
        <w:t>s</w:t>
      </w:r>
      <w:r w:rsidR="0047217E" w:rsidRPr="0047217E">
        <w:rPr>
          <w:szCs w:val="22"/>
          <w:lang w:val="en-US"/>
        </w:rPr>
        <w:t xml:space="preserve"> with certain parties </w:t>
      </w:r>
      <w:r w:rsidR="00685F59">
        <w:rPr>
          <w:szCs w:val="22"/>
          <w:lang w:val="en-US"/>
        </w:rPr>
        <w:t>that</w:t>
      </w:r>
      <w:r w:rsidR="00685F59" w:rsidRPr="0047217E">
        <w:rPr>
          <w:szCs w:val="22"/>
          <w:lang w:val="en-US"/>
        </w:rPr>
        <w:t xml:space="preserve"> </w:t>
      </w:r>
      <w:r w:rsidR="0047217E" w:rsidRPr="0047217E">
        <w:rPr>
          <w:szCs w:val="22"/>
          <w:lang w:val="en-US"/>
        </w:rPr>
        <w:t>provide programming to stations WCFT-TV,</w:t>
      </w:r>
      <w:r w:rsidR="00685F59">
        <w:rPr>
          <w:szCs w:val="22"/>
          <w:lang w:val="en-US"/>
        </w:rPr>
        <w:t xml:space="preserve"> </w:t>
      </w:r>
      <w:r w:rsidR="0047217E" w:rsidRPr="0047217E">
        <w:rPr>
          <w:szCs w:val="22"/>
          <w:lang w:val="en-US"/>
        </w:rPr>
        <w:t>WJSU-TV</w:t>
      </w:r>
      <w:r w:rsidR="00685F59">
        <w:rPr>
          <w:szCs w:val="22"/>
          <w:lang w:val="en-US"/>
        </w:rPr>
        <w:t>,</w:t>
      </w:r>
      <w:r w:rsidR="0047217E" w:rsidRPr="0047217E">
        <w:rPr>
          <w:szCs w:val="22"/>
          <w:lang w:val="en-US"/>
        </w:rPr>
        <w:t xml:space="preserve"> and WCIV(TV) to permit their programming to be transferred to </w:t>
      </w:r>
      <w:r w:rsidR="00D06367">
        <w:rPr>
          <w:szCs w:val="22"/>
          <w:lang w:val="en-US"/>
        </w:rPr>
        <w:t>Sinclair</w:t>
      </w:r>
      <w:r w:rsidR="0047217E" w:rsidRPr="0047217E">
        <w:rPr>
          <w:szCs w:val="22"/>
          <w:lang w:val="en-US"/>
        </w:rPr>
        <w:t xml:space="preserve">’s existing stations; that it will need to confer with area MVPDs to ensure continued carriage of ABC programming in the Birmingham and Charleston markets exactly as such carriage exists today; and that  system operators may need to provide thirty days advance notice of changes to their channel lineups. </w:t>
      </w:r>
      <w:r w:rsidR="009C2A17">
        <w:rPr>
          <w:szCs w:val="22"/>
          <w:lang w:val="en-US"/>
        </w:rPr>
        <w:t xml:space="preserve"> </w:t>
      </w:r>
      <w:r w:rsidR="0047217E" w:rsidRPr="0047217E">
        <w:rPr>
          <w:szCs w:val="22"/>
          <w:lang w:val="en-US"/>
        </w:rPr>
        <w:t>Because of the need to re</w:t>
      </w:r>
      <w:r w:rsidR="00D06367">
        <w:rPr>
          <w:szCs w:val="22"/>
          <w:lang w:val="en-US"/>
        </w:rPr>
        <w:t>-</w:t>
      </w:r>
      <w:r w:rsidR="0047217E" w:rsidRPr="0047217E">
        <w:rPr>
          <w:szCs w:val="22"/>
          <w:lang w:val="en-US"/>
        </w:rPr>
        <w:t xml:space="preserve">scan over-the-air television receivers, Sinclair also believes it will need to give the public as much advance notice as possible so that they can prepare for </w:t>
      </w:r>
      <w:r w:rsidR="00685F59">
        <w:rPr>
          <w:szCs w:val="22"/>
          <w:lang w:val="en-US"/>
        </w:rPr>
        <w:t>the cessation</w:t>
      </w:r>
      <w:r w:rsidR="00685F59" w:rsidRPr="0047217E">
        <w:rPr>
          <w:szCs w:val="22"/>
          <w:lang w:val="en-US"/>
        </w:rPr>
        <w:t xml:space="preserve"> </w:t>
      </w:r>
      <w:r w:rsidR="0047217E" w:rsidRPr="0047217E">
        <w:rPr>
          <w:szCs w:val="22"/>
          <w:lang w:val="en-US"/>
        </w:rPr>
        <w:t xml:space="preserve">of operation of the three stations and </w:t>
      </w:r>
      <w:r w:rsidR="00685F59">
        <w:rPr>
          <w:szCs w:val="22"/>
          <w:lang w:val="en-US"/>
        </w:rPr>
        <w:t xml:space="preserve">the appearance </w:t>
      </w:r>
      <w:r w:rsidR="0047217E" w:rsidRPr="0047217E">
        <w:rPr>
          <w:szCs w:val="22"/>
          <w:lang w:val="en-US"/>
        </w:rPr>
        <w:t>on new stations</w:t>
      </w:r>
      <w:r w:rsidR="008D3F25">
        <w:rPr>
          <w:szCs w:val="22"/>
          <w:lang w:val="en-US"/>
        </w:rPr>
        <w:t xml:space="preserve"> of the programming previously carried by the terminated stations</w:t>
      </w:r>
      <w:r w:rsidR="0047217E" w:rsidRPr="0047217E">
        <w:rPr>
          <w:szCs w:val="22"/>
          <w:lang w:val="en-US"/>
        </w:rPr>
        <w:t>.</w:t>
      </w:r>
      <w:r w:rsidR="003E0958">
        <w:rPr>
          <w:szCs w:val="22"/>
          <w:lang w:val="en-US"/>
        </w:rPr>
        <w:t xml:space="preserve">  Consequently, Sinclair has requested a period of 60 days to operate WCFT-TV, WJSU-TV</w:t>
      </w:r>
      <w:r w:rsidR="008D3F25">
        <w:rPr>
          <w:szCs w:val="22"/>
          <w:lang w:val="en-US"/>
        </w:rPr>
        <w:t>,</w:t>
      </w:r>
      <w:r w:rsidR="003E0958">
        <w:rPr>
          <w:szCs w:val="22"/>
          <w:lang w:val="en-US"/>
        </w:rPr>
        <w:t xml:space="preserve"> and WCIV(TV) after consummation of the </w:t>
      </w:r>
      <w:r w:rsidR="008D3F25">
        <w:rPr>
          <w:szCs w:val="22"/>
          <w:lang w:val="en-US"/>
        </w:rPr>
        <w:t xml:space="preserve"> </w:t>
      </w:r>
      <w:r w:rsidR="003E0958">
        <w:rPr>
          <w:szCs w:val="22"/>
          <w:lang w:val="en-US"/>
        </w:rPr>
        <w:t>transaction</w:t>
      </w:r>
      <w:r w:rsidR="008D3F25">
        <w:rPr>
          <w:szCs w:val="22"/>
          <w:lang w:val="en-US"/>
        </w:rPr>
        <w:t xml:space="preserve"> before us</w:t>
      </w:r>
      <w:r w:rsidR="003E0958">
        <w:rPr>
          <w:szCs w:val="22"/>
          <w:lang w:val="en-US"/>
        </w:rPr>
        <w:t>, after which time operation on the stations would cease and the licenses would be surrendered for cancellation.</w:t>
      </w:r>
      <w:r w:rsidR="003A37C9">
        <w:rPr>
          <w:rStyle w:val="FootnoteReference"/>
          <w:szCs w:val="22"/>
          <w:lang w:val="en-US"/>
        </w:rPr>
        <w:footnoteReference w:id="22"/>
      </w:r>
      <w:r w:rsidR="0047217E">
        <w:t xml:space="preserve"> </w:t>
      </w:r>
      <w:r w:rsidR="00D86923">
        <w:t xml:space="preserve">  </w:t>
      </w:r>
    </w:p>
    <w:p w:rsidR="00F006C6" w:rsidRPr="00382D27" w:rsidRDefault="00F006C6" w:rsidP="0047217E">
      <w:pPr>
        <w:pStyle w:val="ParaNum"/>
      </w:pPr>
      <w:r>
        <w:t xml:space="preserve">In </w:t>
      </w:r>
      <w:r w:rsidR="006D07C0">
        <w:rPr>
          <w:lang w:val="en-US"/>
        </w:rPr>
        <w:t xml:space="preserve">the </w:t>
      </w:r>
      <w:r>
        <w:t>Harrisburg</w:t>
      </w:r>
      <w:r w:rsidR="006D07C0">
        <w:rPr>
          <w:lang w:val="en-US"/>
        </w:rPr>
        <w:t xml:space="preserve"> market</w:t>
      </w:r>
      <w:r>
        <w:t xml:space="preserve">, </w:t>
      </w:r>
      <w:r w:rsidR="009C2A17">
        <w:rPr>
          <w:lang w:val="en-US"/>
        </w:rPr>
        <w:t xml:space="preserve">the pending </w:t>
      </w:r>
      <w:r w:rsidR="00C23E70">
        <w:t>assign</w:t>
      </w:r>
      <w:r w:rsidR="009C2A17">
        <w:rPr>
          <w:lang w:val="en-US"/>
        </w:rPr>
        <w:t>ment of</w:t>
      </w:r>
      <w:r w:rsidR="00C23E70">
        <w:t xml:space="preserve"> </w:t>
      </w:r>
      <w:r w:rsidR="009C2A17">
        <w:t>WHTM-TV to Media General, Inc.</w:t>
      </w:r>
      <w:r w:rsidR="009C2A17">
        <w:rPr>
          <w:lang w:val="en-US"/>
        </w:rPr>
        <w:t xml:space="preserve"> </w:t>
      </w:r>
      <w:r w:rsidR="00C23E70">
        <w:t>went on public notice on July 1, 2014</w:t>
      </w:r>
      <w:r w:rsidR="008D3F25">
        <w:rPr>
          <w:lang w:val="en-US"/>
        </w:rPr>
        <w:t>.</w:t>
      </w:r>
      <w:r w:rsidR="009C2A17" w:rsidRPr="009C2A17">
        <w:rPr>
          <w:rStyle w:val="FootnoteReference"/>
          <w:lang w:val="en-US"/>
        </w:rPr>
        <w:t xml:space="preserve"> </w:t>
      </w:r>
      <w:r w:rsidR="009C2A17">
        <w:rPr>
          <w:rStyle w:val="FootnoteReference"/>
          <w:lang w:val="en-US"/>
        </w:rPr>
        <w:footnoteReference w:id="23"/>
      </w:r>
      <w:r w:rsidR="00D235A4">
        <w:t xml:space="preserve"> </w:t>
      </w:r>
      <w:r w:rsidR="008D3F25">
        <w:rPr>
          <w:lang w:val="en-US"/>
        </w:rPr>
        <w:t xml:space="preserve"> T</w:t>
      </w:r>
      <w:r w:rsidR="00D235A4">
        <w:t xml:space="preserve">herefore, </w:t>
      </w:r>
      <w:r w:rsidR="00C23E70">
        <w:t xml:space="preserve">the parties could consummate the sale </w:t>
      </w:r>
      <w:r w:rsidR="0088244C">
        <w:t xml:space="preserve">on </w:t>
      </w:r>
      <w:r w:rsidR="001C0179">
        <w:t xml:space="preserve">July </w:t>
      </w:r>
      <w:r w:rsidR="00C23E70">
        <w:t>31</w:t>
      </w:r>
      <w:r w:rsidR="001C0179">
        <w:t>, 2014,</w:t>
      </w:r>
      <w:r w:rsidR="00D235A4">
        <w:t xml:space="preserve"> at the earliest,</w:t>
      </w:r>
      <w:r w:rsidR="001C0179">
        <w:t xml:space="preserve"> assuming there </w:t>
      </w:r>
      <w:r w:rsidR="00EF57EB">
        <w:rPr>
          <w:lang w:val="en-US"/>
        </w:rPr>
        <w:t xml:space="preserve">is no opposition to </w:t>
      </w:r>
      <w:r w:rsidR="001C0179">
        <w:t>the sale</w:t>
      </w:r>
      <w:r w:rsidR="00D235A4">
        <w:t>.  Sinclair</w:t>
      </w:r>
      <w:r>
        <w:t xml:space="preserve"> states that financing will fall through if the </w:t>
      </w:r>
      <w:r w:rsidR="0007106D">
        <w:t xml:space="preserve">broader transaction is </w:t>
      </w:r>
      <w:r>
        <w:t xml:space="preserve">not granted </w:t>
      </w:r>
      <w:r w:rsidR="0007106D">
        <w:t xml:space="preserve">and consummated </w:t>
      </w:r>
      <w:r>
        <w:t>by July 27, 2014</w:t>
      </w:r>
      <w:r w:rsidR="001C0179">
        <w:t xml:space="preserve">.  </w:t>
      </w:r>
      <w:r w:rsidR="00F72345">
        <w:rPr>
          <w:lang w:val="en-US"/>
        </w:rPr>
        <w:t xml:space="preserve">On </w:t>
      </w:r>
      <w:r w:rsidR="008A480B">
        <w:rPr>
          <w:lang w:val="en-US"/>
        </w:rPr>
        <w:t>July 15, 2014</w:t>
      </w:r>
      <w:r w:rsidR="00F72345">
        <w:rPr>
          <w:lang w:val="en-US"/>
        </w:rPr>
        <w:t>, Sinclair entered into a Consent Decree with the Department of Justice, along with a “Hold Separate Agreement” governing operation of WHTM-TV during the period between consummation of the sale of A</w:t>
      </w:r>
      <w:r w:rsidR="003E2272">
        <w:rPr>
          <w:lang w:val="en-US"/>
        </w:rPr>
        <w:t>llbrit</w:t>
      </w:r>
      <w:r w:rsidR="00F72345">
        <w:rPr>
          <w:lang w:val="en-US"/>
        </w:rPr>
        <w:t>ton and the eventual sale of WHTM-TV to Media General.  Sinclair has requested that we grant</w:t>
      </w:r>
      <w:r w:rsidR="00287951">
        <w:rPr>
          <w:lang w:val="en-US"/>
        </w:rPr>
        <w:t xml:space="preserve"> conditionally</w:t>
      </w:r>
      <w:r w:rsidR="00F72345">
        <w:rPr>
          <w:lang w:val="en-US"/>
        </w:rPr>
        <w:t xml:space="preserve"> the sale of WHTM-TV to Sinclair</w:t>
      </w:r>
      <w:r w:rsidR="00287951">
        <w:rPr>
          <w:lang w:val="en-US"/>
        </w:rPr>
        <w:t>.</w:t>
      </w:r>
      <w:r w:rsidR="00A343B0">
        <w:rPr>
          <w:rStyle w:val="FootnoteReference"/>
          <w:lang w:val="en-US"/>
        </w:rPr>
        <w:footnoteReference w:id="24"/>
      </w:r>
      <w:r w:rsidR="00F72345">
        <w:rPr>
          <w:lang w:val="en-US"/>
        </w:rPr>
        <w:t xml:space="preserve"> </w:t>
      </w:r>
    </w:p>
    <w:p w:rsidR="0059282D" w:rsidRPr="00EA50DC" w:rsidRDefault="00B01083" w:rsidP="008A42F0">
      <w:pPr>
        <w:pStyle w:val="ParaNum"/>
        <w:tabs>
          <w:tab w:val="num" w:pos="1260"/>
        </w:tabs>
        <w:ind w:firstLine="806"/>
        <w:rPr>
          <w:szCs w:val="22"/>
        </w:rPr>
      </w:pPr>
      <w:r>
        <w:rPr>
          <w:b/>
          <w:szCs w:val="22"/>
          <w:lang w:val="en-US"/>
        </w:rPr>
        <w:t xml:space="preserve">Petitions.  </w:t>
      </w:r>
      <w:r w:rsidR="0059282D">
        <w:rPr>
          <w:szCs w:val="22"/>
          <w:lang w:val="en-US"/>
        </w:rPr>
        <w:t xml:space="preserve">We note at the outset that the petitions </w:t>
      </w:r>
      <w:r w:rsidR="003844D1">
        <w:rPr>
          <w:szCs w:val="22"/>
          <w:lang w:val="en-US"/>
        </w:rPr>
        <w:t xml:space="preserve">to deny </w:t>
      </w:r>
      <w:r w:rsidR="0059282D">
        <w:rPr>
          <w:szCs w:val="22"/>
          <w:lang w:val="en-US"/>
        </w:rPr>
        <w:t>were filed assuming the transaction as originally proposed.  Since the May 29, 2014, proposal,</w:t>
      </w:r>
      <w:r w:rsidR="00FE2C1A">
        <w:rPr>
          <w:rStyle w:val="FootnoteReference"/>
          <w:szCs w:val="22"/>
          <w:lang w:val="en-US"/>
        </w:rPr>
        <w:footnoteReference w:id="25"/>
      </w:r>
      <w:r w:rsidR="0059282D">
        <w:rPr>
          <w:szCs w:val="22"/>
          <w:lang w:val="en-US"/>
        </w:rPr>
        <w:t xml:space="preserve"> we have received no pleadings opposing the restructured transaction.  The revised proposal moots most of the allegations raised in the petitions</w:t>
      </w:r>
      <w:r>
        <w:rPr>
          <w:szCs w:val="22"/>
          <w:lang w:val="en-US"/>
        </w:rPr>
        <w:t xml:space="preserve">.  </w:t>
      </w:r>
      <w:r w:rsidR="0059282D">
        <w:rPr>
          <w:szCs w:val="22"/>
          <w:lang w:val="en-US"/>
        </w:rPr>
        <w:t>However, we recognize that this transaction has spawned a large and complex record.  We describe the primary allegations raised in the petitions below.</w:t>
      </w:r>
      <w:r w:rsidR="008B23E2">
        <w:rPr>
          <w:rStyle w:val="FootnoteReference"/>
          <w:szCs w:val="22"/>
          <w:lang w:val="en-US"/>
        </w:rPr>
        <w:footnoteReference w:id="26"/>
      </w:r>
      <w:r w:rsidR="0059282D">
        <w:rPr>
          <w:szCs w:val="22"/>
          <w:lang w:val="en-US"/>
        </w:rPr>
        <w:t xml:space="preserve">  </w:t>
      </w:r>
    </w:p>
    <w:p w:rsidR="00C432DA" w:rsidRPr="009351E2" w:rsidRDefault="00D06367" w:rsidP="008A42F0">
      <w:pPr>
        <w:pStyle w:val="ParaNum"/>
        <w:tabs>
          <w:tab w:val="num" w:pos="1260"/>
        </w:tabs>
        <w:ind w:firstLine="806"/>
        <w:rPr>
          <w:szCs w:val="22"/>
        </w:rPr>
      </w:pPr>
      <w:r>
        <w:rPr>
          <w:i/>
          <w:szCs w:val="22"/>
        </w:rPr>
        <w:t>Rainbow Push</w:t>
      </w:r>
      <w:r w:rsidR="00C432DA" w:rsidRPr="009351E2">
        <w:rPr>
          <w:i/>
          <w:szCs w:val="22"/>
        </w:rPr>
        <w:t xml:space="preserve"> Coalition</w:t>
      </w:r>
      <w:r w:rsidR="00C432DA" w:rsidRPr="009351E2">
        <w:rPr>
          <w:szCs w:val="22"/>
        </w:rPr>
        <w:t xml:space="preserve">.  The </w:t>
      </w:r>
      <w:r>
        <w:rPr>
          <w:szCs w:val="22"/>
        </w:rPr>
        <w:t>Rainbow Push</w:t>
      </w:r>
      <w:r w:rsidR="00C432DA" w:rsidRPr="009351E2">
        <w:rPr>
          <w:szCs w:val="22"/>
        </w:rPr>
        <w:t xml:space="preserve"> petition </w:t>
      </w:r>
      <w:r w:rsidR="00293B3B">
        <w:rPr>
          <w:szCs w:val="22"/>
          <w:lang w:val="en-US"/>
        </w:rPr>
        <w:t>seeks denial of</w:t>
      </w:r>
      <w:r w:rsidR="00C432DA" w:rsidRPr="009351E2">
        <w:rPr>
          <w:szCs w:val="22"/>
        </w:rPr>
        <w:t xml:space="preserve"> </w:t>
      </w:r>
      <w:r w:rsidR="008D3F25">
        <w:rPr>
          <w:szCs w:val="22"/>
          <w:lang w:val="en-US"/>
        </w:rPr>
        <w:t xml:space="preserve">only </w:t>
      </w:r>
      <w:r w:rsidR="00C432DA" w:rsidRPr="009351E2">
        <w:rPr>
          <w:szCs w:val="22"/>
        </w:rPr>
        <w:t xml:space="preserve">the proposed transfer of control of WJLA-TV, Washington, D.C. from </w:t>
      </w:r>
      <w:r w:rsidR="008D3F25">
        <w:rPr>
          <w:szCs w:val="22"/>
          <w:lang w:val="en-US"/>
        </w:rPr>
        <w:t xml:space="preserve">Allbritton to </w:t>
      </w:r>
      <w:r w:rsidR="00C432DA" w:rsidRPr="009351E2">
        <w:rPr>
          <w:szCs w:val="22"/>
        </w:rPr>
        <w:t>Sinclair.</w:t>
      </w:r>
      <w:r w:rsidR="00B83575">
        <w:rPr>
          <w:rStyle w:val="FootnoteReference"/>
          <w:szCs w:val="22"/>
        </w:rPr>
        <w:footnoteReference w:id="27"/>
      </w:r>
      <w:r w:rsidR="00C432DA" w:rsidRPr="009351E2">
        <w:rPr>
          <w:szCs w:val="22"/>
        </w:rPr>
        <w:t xml:space="preserve">  </w:t>
      </w:r>
      <w:r>
        <w:rPr>
          <w:szCs w:val="22"/>
        </w:rPr>
        <w:t>Rainbow Push</w:t>
      </w:r>
      <w:r w:rsidR="00C432DA" w:rsidRPr="009351E2">
        <w:rPr>
          <w:szCs w:val="22"/>
        </w:rPr>
        <w:t xml:space="preserve"> contends that the Commission should examine in hearing whether Sinclair possesses the basic qualifications to be a Commission licensee</w:t>
      </w:r>
      <w:r w:rsidR="00B83575">
        <w:rPr>
          <w:szCs w:val="22"/>
          <w:lang w:val="en-US"/>
        </w:rPr>
        <w:t>, with a particular focus on Sinclair’s use of sharing arrangements with Cunningham and other entities</w:t>
      </w:r>
      <w:r w:rsidR="00C432DA" w:rsidRPr="009351E2">
        <w:rPr>
          <w:szCs w:val="22"/>
        </w:rPr>
        <w:t xml:space="preserve">.  </w:t>
      </w:r>
      <w:r>
        <w:rPr>
          <w:szCs w:val="22"/>
          <w:lang w:val="en-US"/>
        </w:rPr>
        <w:t>Rainbow Push</w:t>
      </w:r>
      <w:r w:rsidR="00245EB3">
        <w:rPr>
          <w:szCs w:val="22"/>
          <w:lang w:val="en-US"/>
        </w:rPr>
        <w:t xml:space="preserve"> argues</w:t>
      </w:r>
      <w:r w:rsidR="00C432DA" w:rsidRPr="009351E2">
        <w:rPr>
          <w:szCs w:val="22"/>
          <w:lang w:val="en-US"/>
        </w:rPr>
        <w:t xml:space="preserve"> that it has demonstrated in earlier proceedings that Sinclair lacks the character qualifications to serve as a licensee.  </w:t>
      </w:r>
      <w:r w:rsidR="0018503E">
        <w:rPr>
          <w:szCs w:val="22"/>
          <w:lang w:val="en-US"/>
        </w:rPr>
        <w:t xml:space="preserve">These allegations have been raised in numerous pleadings since November 16, 1999, when </w:t>
      </w:r>
      <w:r>
        <w:rPr>
          <w:szCs w:val="22"/>
          <w:lang w:val="en-US"/>
        </w:rPr>
        <w:t>Rainbow Push</w:t>
      </w:r>
      <w:r w:rsidR="0018503E">
        <w:rPr>
          <w:szCs w:val="22"/>
          <w:lang w:val="en-US"/>
        </w:rPr>
        <w:t xml:space="preserve"> first filed a petition to deny </w:t>
      </w:r>
      <w:r w:rsidR="008D3F25">
        <w:rPr>
          <w:szCs w:val="22"/>
          <w:lang w:val="en-US"/>
        </w:rPr>
        <w:t xml:space="preserve">approval of </w:t>
      </w:r>
      <w:r w:rsidR="0018503E">
        <w:rPr>
          <w:szCs w:val="22"/>
          <w:lang w:val="en-US"/>
        </w:rPr>
        <w:t>transactions involving sharing agreements with Cunnin</w:t>
      </w:r>
      <w:r w:rsidR="00DD4A61">
        <w:rPr>
          <w:szCs w:val="22"/>
          <w:lang w:val="en-US"/>
        </w:rPr>
        <w:t>g</w:t>
      </w:r>
      <w:r w:rsidR="0018503E">
        <w:rPr>
          <w:szCs w:val="22"/>
          <w:lang w:val="en-US"/>
        </w:rPr>
        <w:t>ham’s</w:t>
      </w:r>
      <w:r w:rsidR="009B5290">
        <w:rPr>
          <w:szCs w:val="22"/>
          <w:lang w:val="en-US"/>
        </w:rPr>
        <w:t xml:space="preserve"> </w:t>
      </w:r>
      <w:r w:rsidR="0018503E">
        <w:rPr>
          <w:szCs w:val="22"/>
          <w:lang w:val="en-US"/>
        </w:rPr>
        <w:t>predecessor Glencairn.</w:t>
      </w:r>
      <w:r w:rsidR="0018503E" w:rsidRPr="0018503E">
        <w:rPr>
          <w:rStyle w:val="FootnoteReference"/>
          <w:szCs w:val="22"/>
        </w:rPr>
        <w:t xml:space="preserve"> </w:t>
      </w:r>
      <w:r w:rsidR="0018503E" w:rsidRPr="009351E2">
        <w:rPr>
          <w:rStyle w:val="FootnoteReference"/>
          <w:szCs w:val="22"/>
        </w:rPr>
        <w:footnoteReference w:id="28"/>
      </w:r>
    </w:p>
    <w:p w:rsidR="00C432DA" w:rsidRPr="009351E2" w:rsidRDefault="00C432DA" w:rsidP="00C432DA">
      <w:pPr>
        <w:pStyle w:val="ParaNum"/>
        <w:tabs>
          <w:tab w:val="num" w:pos="1260"/>
        </w:tabs>
        <w:ind w:firstLine="806"/>
        <w:rPr>
          <w:szCs w:val="22"/>
        </w:rPr>
      </w:pPr>
      <w:r w:rsidRPr="009351E2">
        <w:rPr>
          <w:szCs w:val="22"/>
        </w:rPr>
        <w:t xml:space="preserve">In its opposition, Sinclair states that </w:t>
      </w:r>
      <w:r w:rsidR="00D06367">
        <w:rPr>
          <w:szCs w:val="22"/>
          <w:lang w:val="en-US"/>
        </w:rPr>
        <w:t>Rainbow Push</w:t>
      </w:r>
      <w:r w:rsidRPr="009351E2">
        <w:rPr>
          <w:szCs w:val="22"/>
          <w:lang w:val="en-US"/>
        </w:rPr>
        <w:t xml:space="preserve"> </w:t>
      </w:r>
      <w:r w:rsidRPr="009351E2">
        <w:rPr>
          <w:szCs w:val="22"/>
        </w:rPr>
        <w:t xml:space="preserve">makes no </w:t>
      </w:r>
      <w:r w:rsidR="00735CA0">
        <w:rPr>
          <w:szCs w:val="22"/>
          <w:lang w:val="en-US"/>
        </w:rPr>
        <w:t>concrete</w:t>
      </w:r>
      <w:r w:rsidR="00735CA0" w:rsidRPr="009351E2">
        <w:rPr>
          <w:szCs w:val="22"/>
        </w:rPr>
        <w:t xml:space="preserve"> </w:t>
      </w:r>
      <w:r w:rsidRPr="009351E2">
        <w:rPr>
          <w:szCs w:val="22"/>
        </w:rPr>
        <w:t xml:space="preserve">argument </w:t>
      </w:r>
      <w:r w:rsidR="00735CA0">
        <w:rPr>
          <w:szCs w:val="22"/>
          <w:lang w:val="en-US"/>
        </w:rPr>
        <w:t>that</w:t>
      </w:r>
      <w:r w:rsidRPr="009351E2">
        <w:rPr>
          <w:szCs w:val="22"/>
        </w:rPr>
        <w:t xml:space="preserve"> the pending transaction is contrary to the Commission’s rules or policies.</w:t>
      </w:r>
      <w:r w:rsidRPr="009351E2">
        <w:rPr>
          <w:rStyle w:val="FootnoteReference"/>
          <w:szCs w:val="22"/>
        </w:rPr>
        <w:footnoteReference w:id="29"/>
      </w:r>
      <w:r w:rsidRPr="009351E2">
        <w:rPr>
          <w:szCs w:val="22"/>
        </w:rPr>
        <w:t xml:space="preserve">  </w:t>
      </w:r>
      <w:r w:rsidR="00455F86">
        <w:rPr>
          <w:szCs w:val="22"/>
          <w:lang w:val="en-US"/>
        </w:rPr>
        <w:t xml:space="preserve">Sinclair contends that </w:t>
      </w:r>
      <w:r w:rsidR="00D06367">
        <w:rPr>
          <w:szCs w:val="22"/>
        </w:rPr>
        <w:t>Rainbow Push</w:t>
      </w:r>
      <w:r w:rsidRPr="009351E2">
        <w:rPr>
          <w:szCs w:val="22"/>
        </w:rPr>
        <w:t xml:space="preserve">’s assertions that Sinclair dominates Cunningham are entirely unsupported by </w:t>
      </w:r>
      <w:r w:rsidR="00D06367">
        <w:rPr>
          <w:szCs w:val="22"/>
        </w:rPr>
        <w:t>Rainbow Push</w:t>
      </w:r>
      <w:r w:rsidRPr="009351E2">
        <w:rPr>
          <w:szCs w:val="22"/>
        </w:rPr>
        <w:t xml:space="preserve">’s petition and </w:t>
      </w:r>
      <w:r w:rsidR="00735CA0">
        <w:rPr>
          <w:szCs w:val="22"/>
          <w:lang w:val="en-US"/>
        </w:rPr>
        <w:t xml:space="preserve">that </w:t>
      </w:r>
      <w:r w:rsidRPr="009351E2">
        <w:rPr>
          <w:szCs w:val="22"/>
        </w:rPr>
        <w:t>Cunningham is not a party to the applications.</w:t>
      </w:r>
      <w:r w:rsidRPr="009351E2">
        <w:rPr>
          <w:rStyle w:val="FootnoteReference"/>
          <w:szCs w:val="22"/>
        </w:rPr>
        <w:footnoteReference w:id="30"/>
      </w:r>
      <w:r w:rsidRPr="009351E2">
        <w:rPr>
          <w:szCs w:val="22"/>
        </w:rPr>
        <w:t xml:space="preserve">  Even if Sinclair’s relationship with Cunningham </w:t>
      </w:r>
      <w:r w:rsidRPr="009351E2">
        <w:rPr>
          <w:szCs w:val="22"/>
          <w:lang w:val="en-US"/>
        </w:rPr>
        <w:t>was</w:t>
      </w:r>
      <w:r w:rsidRPr="009351E2">
        <w:rPr>
          <w:szCs w:val="22"/>
        </w:rPr>
        <w:t xml:space="preserve"> relevant, </w:t>
      </w:r>
      <w:r w:rsidR="00455F86">
        <w:rPr>
          <w:szCs w:val="22"/>
          <w:lang w:val="en-US"/>
        </w:rPr>
        <w:t xml:space="preserve">Sinclair argues that </w:t>
      </w:r>
      <w:r w:rsidRPr="009351E2">
        <w:rPr>
          <w:szCs w:val="22"/>
        </w:rPr>
        <w:t>the Commission dete</w:t>
      </w:r>
      <w:r w:rsidR="00810660">
        <w:rPr>
          <w:szCs w:val="22"/>
        </w:rPr>
        <w:t xml:space="preserve">rmined that </w:t>
      </w:r>
      <w:r w:rsidR="00D06367">
        <w:rPr>
          <w:szCs w:val="22"/>
        </w:rPr>
        <w:t>Rainbow Push</w:t>
      </w:r>
      <w:r w:rsidR="00810660">
        <w:rPr>
          <w:szCs w:val="22"/>
        </w:rPr>
        <w:t>’s 2003 petition</w:t>
      </w:r>
      <w:r w:rsidRPr="009351E2">
        <w:rPr>
          <w:szCs w:val="22"/>
        </w:rPr>
        <w:t xml:space="preserve"> </w:t>
      </w:r>
      <w:r w:rsidR="00810660">
        <w:rPr>
          <w:szCs w:val="22"/>
          <w:lang w:val="en-US"/>
        </w:rPr>
        <w:t>is</w:t>
      </w:r>
      <w:r w:rsidRPr="009351E2">
        <w:rPr>
          <w:szCs w:val="22"/>
        </w:rPr>
        <w:t xml:space="preserve"> moot because the applications to which </w:t>
      </w:r>
      <w:r w:rsidR="00D06367">
        <w:rPr>
          <w:szCs w:val="22"/>
        </w:rPr>
        <w:t>Rainbow Push</w:t>
      </w:r>
      <w:r w:rsidRPr="009351E2">
        <w:rPr>
          <w:szCs w:val="22"/>
        </w:rPr>
        <w:t xml:space="preserve"> objected ha</w:t>
      </w:r>
      <w:r w:rsidR="009B5290">
        <w:rPr>
          <w:szCs w:val="22"/>
          <w:lang w:val="en-US"/>
        </w:rPr>
        <w:t>d</w:t>
      </w:r>
      <w:r w:rsidRPr="009351E2">
        <w:rPr>
          <w:szCs w:val="22"/>
        </w:rPr>
        <w:t xml:space="preserve"> been dismissed by the Commission.</w:t>
      </w:r>
      <w:r w:rsidRPr="009351E2">
        <w:rPr>
          <w:rStyle w:val="FootnoteReference"/>
          <w:szCs w:val="22"/>
        </w:rPr>
        <w:footnoteReference w:id="31"/>
      </w:r>
      <w:r w:rsidRPr="009351E2">
        <w:rPr>
          <w:szCs w:val="22"/>
          <w:lang w:val="en-US"/>
        </w:rPr>
        <w:t xml:space="preserve"> </w:t>
      </w:r>
      <w:r w:rsidR="00205009">
        <w:rPr>
          <w:szCs w:val="22"/>
          <w:lang w:val="en-US"/>
        </w:rPr>
        <w:t xml:space="preserve"> </w:t>
      </w:r>
      <w:r w:rsidRPr="009351E2">
        <w:rPr>
          <w:szCs w:val="22"/>
          <w:lang w:val="en-US"/>
        </w:rPr>
        <w:t xml:space="preserve">Sinclair further notes that </w:t>
      </w:r>
      <w:r w:rsidR="00D06367">
        <w:rPr>
          <w:szCs w:val="22"/>
          <w:lang w:val="en-US"/>
        </w:rPr>
        <w:t>Rainbow Push</w:t>
      </w:r>
      <w:r w:rsidRPr="009351E2">
        <w:rPr>
          <w:szCs w:val="22"/>
          <w:lang w:val="en-US"/>
        </w:rPr>
        <w:t>’s challenge is limited to the WJLA transaction, which does not involve a proposed JSA or SSA.</w:t>
      </w:r>
      <w:r w:rsidRPr="009351E2">
        <w:rPr>
          <w:rStyle w:val="FootnoteReference"/>
          <w:szCs w:val="22"/>
          <w:lang w:val="en-US"/>
        </w:rPr>
        <w:footnoteReference w:id="32"/>
      </w:r>
    </w:p>
    <w:p w:rsidR="00C432DA" w:rsidRPr="009351E2" w:rsidRDefault="00C432DA" w:rsidP="00C432DA">
      <w:pPr>
        <w:pStyle w:val="ParaNum"/>
        <w:tabs>
          <w:tab w:val="num" w:pos="1260"/>
        </w:tabs>
        <w:ind w:firstLine="806"/>
        <w:rPr>
          <w:szCs w:val="22"/>
        </w:rPr>
      </w:pPr>
      <w:r w:rsidRPr="009351E2">
        <w:rPr>
          <w:szCs w:val="22"/>
          <w:lang w:val="en-US"/>
        </w:rPr>
        <w:t xml:space="preserve">In its reply, </w:t>
      </w:r>
      <w:r w:rsidR="00D06367">
        <w:rPr>
          <w:szCs w:val="22"/>
          <w:lang w:val="en-US"/>
        </w:rPr>
        <w:t>Rainbow Push</w:t>
      </w:r>
      <w:r w:rsidRPr="009351E2">
        <w:rPr>
          <w:szCs w:val="22"/>
          <w:lang w:val="en-US"/>
        </w:rPr>
        <w:t xml:space="preserve"> states that its allegations remain “live” because its 2004 Petition for Reconsideration and Sinclair’s 2004 Application for Review </w:t>
      </w:r>
      <w:r w:rsidR="001B1457">
        <w:rPr>
          <w:szCs w:val="22"/>
          <w:lang w:val="en-US"/>
        </w:rPr>
        <w:t xml:space="preserve">of </w:t>
      </w:r>
      <w:r w:rsidR="0015448D">
        <w:rPr>
          <w:szCs w:val="22"/>
          <w:lang w:val="en-US"/>
        </w:rPr>
        <w:t xml:space="preserve">the </w:t>
      </w:r>
      <w:r w:rsidR="00A6593B">
        <w:rPr>
          <w:szCs w:val="22"/>
          <w:lang w:val="en-US"/>
        </w:rPr>
        <w:t>2004</w:t>
      </w:r>
      <w:r w:rsidR="0015448D">
        <w:rPr>
          <w:szCs w:val="22"/>
          <w:lang w:val="en-US"/>
        </w:rPr>
        <w:t xml:space="preserve"> licensing decision</w:t>
      </w:r>
      <w:r w:rsidR="00DF3992">
        <w:rPr>
          <w:szCs w:val="22"/>
          <w:lang w:val="en-US"/>
        </w:rPr>
        <w:t xml:space="preserve"> </w:t>
      </w:r>
      <w:r w:rsidR="003E2272" w:rsidRPr="009351E2">
        <w:rPr>
          <w:szCs w:val="22"/>
          <w:lang w:val="en-US"/>
        </w:rPr>
        <w:t>remai</w:t>
      </w:r>
      <w:r w:rsidR="003E2272">
        <w:rPr>
          <w:szCs w:val="22"/>
          <w:lang w:val="en-US"/>
        </w:rPr>
        <w:t>n</w:t>
      </w:r>
      <w:r w:rsidR="003E2272" w:rsidRPr="009351E2">
        <w:rPr>
          <w:szCs w:val="22"/>
          <w:lang w:val="en-US"/>
        </w:rPr>
        <w:t>s</w:t>
      </w:r>
      <w:r w:rsidRPr="009351E2">
        <w:rPr>
          <w:szCs w:val="22"/>
          <w:lang w:val="en-US"/>
        </w:rPr>
        <w:t xml:space="preserve"> pending.</w:t>
      </w:r>
      <w:r w:rsidRPr="009351E2">
        <w:rPr>
          <w:rStyle w:val="FootnoteReference"/>
          <w:szCs w:val="22"/>
          <w:lang w:val="en-US"/>
        </w:rPr>
        <w:footnoteReference w:id="33"/>
      </w:r>
      <w:r w:rsidR="0015448D">
        <w:rPr>
          <w:szCs w:val="22"/>
          <w:lang w:val="en-US"/>
        </w:rPr>
        <w:t xml:space="preserve">  </w:t>
      </w:r>
      <w:r w:rsidR="00D06367">
        <w:rPr>
          <w:szCs w:val="22"/>
          <w:lang w:val="en-US"/>
        </w:rPr>
        <w:t>Rainbow Push</w:t>
      </w:r>
      <w:r w:rsidRPr="009351E2">
        <w:rPr>
          <w:szCs w:val="22"/>
          <w:lang w:val="en-US"/>
        </w:rPr>
        <w:t xml:space="preserve"> also cites to a </w:t>
      </w:r>
      <w:r w:rsidRPr="009351E2">
        <w:rPr>
          <w:i/>
          <w:szCs w:val="22"/>
          <w:lang w:val="en-US"/>
        </w:rPr>
        <w:t>Wall Street Journal</w:t>
      </w:r>
      <w:r w:rsidRPr="009351E2">
        <w:rPr>
          <w:szCs w:val="22"/>
          <w:lang w:val="en-US"/>
        </w:rPr>
        <w:t xml:space="preserve"> investigative report and Free Press report both concerning Sinclair’s practices with sharing agreements in various markets.</w:t>
      </w:r>
      <w:r w:rsidRPr="009351E2">
        <w:rPr>
          <w:rStyle w:val="FootnoteReference"/>
          <w:szCs w:val="22"/>
          <w:lang w:val="en-US"/>
        </w:rPr>
        <w:footnoteReference w:id="34"/>
      </w:r>
      <w:r w:rsidR="009C2A17">
        <w:rPr>
          <w:szCs w:val="22"/>
          <w:lang w:val="en-US"/>
        </w:rPr>
        <w:t xml:space="preserve">  </w:t>
      </w:r>
      <w:r w:rsidRPr="009351E2">
        <w:rPr>
          <w:szCs w:val="22"/>
        </w:rPr>
        <w:t>Sinclair</w:t>
      </w:r>
      <w:r w:rsidRPr="009351E2">
        <w:rPr>
          <w:szCs w:val="22"/>
          <w:lang w:val="en-US"/>
        </w:rPr>
        <w:t>, in a surreply,</w:t>
      </w:r>
      <w:r w:rsidR="00EF57EB">
        <w:rPr>
          <w:szCs w:val="22"/>
        </w:rPr>
        <w:t xml:space="preserve"> contends that </w:t>
      </w:r>
      <w:r w:rsidR="00D06367">
        <w:rPr>
          <w:szCs w:val="22"/>
        </w:rPr>
        <w:t>Rainbow Push</w:t>
      </w:r>
      <w:r w:rsidRPr="009351E2">
        <w:rPr>
          <w:szCs w:val="22"/>
          <w:lang w:val="en-US"/>
        </w:rPr>
        <w:t>’s</w:t>
      </w:r>
      <w:r w:rsidRPr="009351E2">
        <w:rPr>
          <w:szCs w:val="22"/>
        </w:rPr>
        <w:t xml:space="preserve"> reference to the </w:t>
      </w:r>
      <w:r w:rsidRPr="009351E2">
        <w:rPr>
          <w:i/>
          <w:szCs w:val="22"/>
        </w:rPr>
        <w:t>Wall Street Journal</w:t>
      </w:r>
      <w:r w:rsidRPr="009351E2">
        <w:rPr>
          <w:szCs w:val="22"/>
        </w:rPr>
        <w:t xml:space="preserve"> article is hearsay and not reliable evidence, and therefore the article should be stricken from the record in this proceeding</w:t>
      </w:r>
      <w:r w:rsidRPr="009351E2">
        <w:rPr>
          <w:szCs w:val="22"/>
          <w:lang w:val="en-US"/>
        </w:rPr>
        <w:t>.</w:t>
      </w:r>
      <w:r w:rsidRPr="009351E2">
        <w:rPr>
          <w:rStyle w:val="FootnoteReference"/>
          <w:szCs w:val="22"/>
          <w:lang w:val="en-US"/>
        </w:rPr>
        <w:footnoteReference w:id="35"/>
      </w:r>
      <w:r w:rsidRPr="009351E2">
        <w:rPr>
          <w:szCs w:val="22"/>
        </w:rPr>
        <w:t xml:space="preserve"> </w:t>
      </w:r>
      <w:r w:rsidR="009C2A17">
        <w:rPr>
          <w:szCs w:val="22"/>
          <w:lang w:val="en-US"/>
        </w:rPr>
        <w:t xml:space="preserve"> </w:t>
      </w:r>
      <w:r w:rsidRPr="009351E2">
        <w:rPr>
          <w:szCs w:val="22"/>
          <w:lang w:val="en-US"/>
        </w:rPr>
        <w:t xml:space="preserve">Sinclair further contends that </w:t>
      </w:r>
      <w:r w:rsidR="00D06367">
        <w:rPr>
          <w:szCs w:val="22"/>
        </w:rPr>
        <w:t>Rainbow Push</w:t>
      </w:r>
      <w:r w:rsidR="00CC4240">
        <w:rPr>
          <w:szCs w:val="22"/>
          <w:lang w:val="en-US"/>
        </w:rPr>
        <w:t>’s</w:t>
      </w:r>
      <w:r w:rsidRPr="009351E2">
        <w:rPr>
          <w:szCs w:val="22"/>
        </w:rPr>
        <w:t xml:space="preserve"> reference to the Free Press study should also be ignored, citing Sinclair’</w:t>
      </w:r>
      <w:r w:rsidRPr="009351E2">
        <w:rPr>
          <w:szCs w:val="22"/>
          <w:lang w:val="en-US"/>
        </w:rPr>
        <w:t>s own press release critiquing the study.</w:t>
      </w:r>
      <w:r w:rsidRPr="009351E2">
        <w:rPr>
          <w:rStyle w:val="FootnoteReference"/>
          <w:szCs w:val="22"/>
          <w:lang w:val="en-US"/>
        </w:rPr>
        <w:footnoteReference w:id="36"/>
      </w:r>
    </w:p>
    <w:p w:rsidR="00C432DA" w:rsidRPr="005E0617" w:rsidRDefault="00C432DA" w:rsidP="005E0617">
      <w:pPr>
        <w:pStyle w:val="ParaNum"/>
        <w:tabs>
          <w:tab w:val="num" w:pos="1260"/>
        </w:tabs>
        <w:ind w:firstLine="806"/>
        <w:rPr>
          <w:szCs w:val="22"/>
        </w:rPr>
      </w:pPr>
      <w:r w:rsidRPr="009351E2">
        <w:rPr>
          <w:i/>
          <w:szCs w:val="22"/>
        </w:rPr>
        <w:t>American Cable Association</w:t>
      </w:r>
      <w:r w:rsidRPr="009351E2">
        <w:rPr>
          <w:szCs w:val="22"/>
        </w:rPr>
        <w:t xml:space="preserve">.  ACA </w:t>
      </w:r>
      <w:r w:rsidR="00EB230B">
        <w:rPr>
          <w:szCs w:val="22"/>
          <w:lang w:val="en-US"/>
        </w:rPr>
        <w:t xml:space="preserve">petitions </w:t>
      </w:r>
      <w:r w:rsidRPr="009351E2">
        <w:rPr>
          <w:szCs w:val="22"/>
        </w:rPr>
        <w:t xml:space="preserve">to deny all of the </w:t>
      </w:r>
      <w:r w:rsidR="00A6593B">
        <w:rPr>
          <w:szCs w:val="22"/>
          <w:lang w:val="en-US"/>
        </w:rPr>
        <w:t>transfers</w:t>
      </w:r>
      <w:r w:rsidR="00A6593B" w:rsidRPr="009351E2">
        <w:rPr>
          <w:szCs w:val="22"/>
        </w:rPr>
        <w:t xml:space="preserve"> </w:t>
      </w:r>
      <w:r w:rsidRPr="009351E2">
        <w:rPr>
          <w:szCs w:val="22"/>
        </w:rPr>
        <w:t>but focuse</w:t>
      </w:r>
      <w:r w:rsidR="00EB230B">
        <w:rPr>
          <w:szCs w:val="22"/>
          <w:lang w:val="en-US"/>
        </w:rPr>
        <w:t>s</w:t>
      </w:r>
      <w:r w:rsidRPr="009351E2">
        <w:rPr>
          <w:szCs w:val="22"/>
        </w:rPr>
        <w:t xml:space="preserve"> on </w:t>
      </w:r>
      <w:r w:rsidR="00A6593B">
        <w:rPr>
          <w:szCs w:val="22"/>
          <w:lang w:val="en-US"/>
        </w:rPr>
        <w:t>those</w:t>
      </w:r>
      <w:r w:rsidRPr="009351E2">
        <w:rPr>
          <w:szCs w:val="22"/>
        </w:rPr>
        <w:t xml:space="preserve"> </w:t>
      </w:r>
      <w:r w:rsidRPr="009351E2">
        <w:rPr>
          <w:szCs w:val="22"/>
          <w:lang w:val="en-US"/>
        </w:rPr>
        <w:t xml:space="preserve">that </w:t>
      </w:r>
      <w:r w:rsidRPr="009351E2">
        <w:rPr>
          <w:szCs w:val="22"/>
        </w:rPr>
        <w:t>would</w:t>
      </w:r>
      <w:r w:rsidR="004E35E6" w:rsidRPr="009351E2">
        <w:rPr>
          <w:szCs w:val="22"/>
          <w:lang w:val="en-US"/>
        </w:rPr>
        <w:t xml:space="preserve"> have</w:t>
      </w:r>
      <w:r w:rsidRPr="009351E2">
        <w:rPr>
          <w:szCs w:val="22"/>
        </w:rPr>
        <w:t xml:space="preserve"> allow</w:t>
      </w:r>
      <w:r w:rsidR="004E35E6" w:rsidRPr="009351E2">
        <w:rPr>
          <w:szCs w:val="22"/>
          <w:lang w:val="en-US"/>
        </w:rPr>
        <w:t xml:space="preserve">ed </w:t>
      </w:r>
      <w:r w:rsidRPr="009351E2">
        <w:rPr>
          <w:szCs w:val="22"/>
        </w:rPr>
        <w:t>Sinclair to negotiate retransmission consent for both the CBS and ABC affiliates in Harrisburg and the FOX and ABC affiliates in Charleston</w:t>
      </w:r>
      <w:r w:rsidRPr="009351E2">
        <w:rPr>
          <w:szCs w:val="22"/>
          <w:lang w:val="en-US"/>
        </w:rPr>
        <w:t xml:space="preserve">, contending </w:t>
      </w:r>
      <w:r w:rsidR="00A6593B">
        <w:rPr>
          <w:szCs w:val="22"/>
          <w:lang w:val="en-US"/>
        </w:rPr>
        <w:t xml:space="preserve">that those combined negotiations </w:t>
      </w:r>
      <w:r w:rsidRPr="009351E2">
        <w:rPr>
          <w:szCs w:val="22"/>
          <w:lang w:val="en-US"/>
        </w:rPr>
        <w:t>would lead to higher prices for retransmission consent and thus harm consumers</w:t>
      </w:r>
      <w:r w:rsidRPr="009351E2">
        <w:rPr>
          <w:szCs w:val="22"/>
        </w:rPr>
        <w:t>.</w:t>
      </w:r>
      <w:r w:rsidRPr="009351E2">
        <w:rPr>
          <w:rStyle w:val="FootnoteReference"/>
          <w:szCs w:val="22"/>
        </w:rPr>
        <w:footnoteReference w:id="37"/>
      </w:r>
      <w:r w:rsidRPr="009351E2">
        <w:rPr>
          <w:szCs w:val="22"/>
        </w:rPr>
        <w:t xml:space="preserve"> ACA request</w:t>
      </w:r>
      <w:r w:rsidR="00EB230B">
        <w:rPr>
          <w:szCs w:val="22"/>
          <w:lang w:val="en-US"/>
        </w:rPr>
        <w:t>s</w:t>
      </w:r>
      <w:r w:rsidRPr="009351E2">
        <w:rPr>
          <w:szCs w:val="22"/>
        </w:rPr>
        <w:t xml:space="preserve"> that</w:t>
      </w:r>
      <w:r w:rsidRPr="009351E2">
        <w:rPr>
          <w:szCs w:val="22"/>
          <w:lang w:val="en-US"/>
        </w:rPr>
        <w:t>, even if the Commission grant</w:t>
      </w:r>
      <w:r w:rsidR="00A6593B">
        <w:rPr>
          <w:szCs w:val="22"/>
          <w:lang w:val="en-US"/>
        </w:rPr>
        <w:t>s</w:t>
      </w:r>
      <w:r w:rsidRPr="009351E2">
        <w:rPr>
          <w:szCs w:val="22"/>
          <w:lang w:val="en-US"/>
        </w:rPr>
        <w:t xml:space="preserve"> the applications,</w:t>
      </w:r>
      <w:r w:rsidRPr="009351E2">
        <w:rPr>
          <w:szCs w:val="22"/>
        </w:rPr>
        <w:t xml:space="preserve"> </w:t>
      </w:r>
      <w:r w:rsidRPr="009351E2">
        <w:rPr>
          <w:szCs w:val="22"/>
          <w:lang w:val="en-US"/>
        </w:rPr>
        <w:t xml:space="preserve">it should </w:t>
      </w:r>
      <w:r w:rsidRPr="009351E2">
        <w:rPr>
          <w:szCs w:val="22"/>
        </w:rPr>
        <w:t xml:space="preserve">condition approval on assurances that neither Sinclair nor any other third party </w:t>
      </w:r>
      <w:r w:rsidRPr="009351E2">
        <w:rPr>
          <w:szCs w:val="22"/>
          <w:lang w:val="en-US"/>
        </w:rPr>
        <w:t xml:space="preserve">would </w:t>
      </w:r>
      <w:r w:rsidRPr="009351E2">
        <w:rPr>
          <w:szCs w:val="22"/>
        </w:rPr>
        <w:t>use sharing agreements to coordinate negotiations of retransmission consent agreements on behalf of multiple broadcast stations in a single market.</w:t>
      </w:r>
      <w:r w:rsidRPr="009351E2">
        <w:rPr>
          <w:rStyle w:val="FootnoteReference"/>
          <w:szCs w:val="22"/>
        </w:rPr>
        <w:footnoteReference w:id="38"/>
      </w:r>
      <w:r w:rsidRPr="009351E2">
        <w:rPr>
          <w:szCs w:val="22"/>
        </w:rPr>
        <w:t xml:space="preserve">  </w:t>
      </w:r>
      <w:r w:rsidRPr="005E0617">
        <w:rPr>
          <w:szCs w:val="22"/>
        </w:rPr>
        <w:t xml:space="preserve">Applicants assert that </w:t>
      </w:r>
      <w:r w:rsidRPr="005E0617">
        <w:rPr>
          <w:szCs w:val="22"/>
          <w:lang w:val="en-US"/>
        </w:rPr>
        <w:t xml:space="preserve">ACA’s </w:t>
      </w:r>
      <w:r w:rsidRPr="005E0617">
        <w:rPr>
          <w:szCs w:val="22"/>
        </w:rPr>
        <w:t xml:space="preserve">arguments should be addressed in the </w:t>
      </w:r>
      <w:r w:rsidRPr="005E0617">
        <w:rPr>
          <w:i/>
          <w:szCs w:val="22"/>
        </w:rPr>
        <w:t>Retransmission Consent Proceeding</w:t>
      </w:r>
      <w:r w:rsidRPr="005E0617">
        <w:rPr>
          <w:szCs w:val="22"/>
        </w:rPr>
        <w:t>.</w:t>
      </w:r>
      <w:r w:rsidRPr="009351E2">
        <w:rPr>
          <w:szCs w:val="22"/>
          <w:vertAlign w:val="superscript"/>
        </w:rPr>
        <w:footnoteReference w:id="39"/>
      </w:r>
      <w:r w:rsidRPr="005E0617">
        <w:rPr>
          <w:szCs w:val="22"/>
        </w:rPr>
        <w:t xml:space="preserve">  Applicants further contend that ACA</w:t>
      </w:r>
      <w:r w:rsidRPr="005E0617">
        <w:rPr>
          <w:szCs w:val="22"/>
          <w:lang w:val="en-US"/>
        </w:rPr>
        <w:t>’s arguments are speculative and it</w:t>
      </w:r>
      <w:r w:rsidR="005E0617">
        <w:rPr>
          <w:szCs w:val="22"/>
        </w:rPr>
        <w:t xml:space="preserve"> is unable to point to a</w:t>
      </w:r>
      <w:r w:rsidR="005E0617">
        <w:rPr>
          <w:szCs w:val="22"/>
          <w:lang w:val="en-US"/>
        </w:rPr>
        <w:t xml:space="preserve">ny examples </w:t>
      </w:r>
      <w:r w:rsidRPr="005E0617">
        <w:rPr>
          <w:szCs w:val="22"/>
        </w:rPr>
        <w:t>of harm to program diversity or competition for viewers resulting from SSA and JSA arrangements.</w:t>
      </w:r>
      <w:r w:rsidRPr="009351E2">
        <w:rPr>
          <w:rStyle w:val="FootnoteReference"/>
          <w:szCs w:val="22"/>
        </w:rPr>
        <w:footnoteReference w:id="40"/>
      </w:r>
      <w:r w:rsidRPr="005E0617">
        <w:rPr>
          <w:szCs w:val="22"/>
        </w:rPr>
        <w:t xml:space="preserve">  </w:t>
      </w:r>
    </w:p>
    <w:p w:rsidR="00C432DA" w:rsidRPr="00EA50DC" w:rsidRDefault="00C432DA" w:rsidP="00DD4A61">
      <w:pPr>
        <w:pStyle w:val="ParaNum"/>
        <w:rPr>
          <w:i/>
        </w:rPr>
      </w:pPr>
      <w:r w:rsidRPr="009351E2">
        <w:rPr>
          <w:i/>
        </w:rPr>
        <w:t>Free Press.</w:t>
      </w:r>
      <w:r w:rsidRPr="009351E2">
        <w:t xml:space="preserve">    Free Press contends that the use of sharing arrangements like those </w:t>
      </w:r>
      <w:r w:rsidR="009751DB">
        <w:rPr>
          <w:lang w:val="en-US"/>
        </w:rPr>
        <w:t xml:space="preserve">originally </w:t>
      </w:r>
      <w:r w:rsidRPr="009351E2">
        <w:t xml:space="preserve">proposed </w:t>
      </w:r>
      <w:r w:rsidR="009751DB">
        <w:rPr>
          <w:lang w:val="en-US"/>
        </w:rPr>
        <w:t xml:space="preserve">in the Overlap Markets </w:t>
      </w:r>
      <w:r w:rsidR="00E60583">
        <w:rPr>
          <w:lang w:val="en-US"/>
        </w:rPr>
        <w:t>is</w:t>
      </w:r>
      <w:r w:rsidR="00E60583" w:rsidRPr="009351E2">
        <w:t xml:space="preserve"> </w:t>
      </w:r>
      <w:r w:rsidRPr="009351E2">
        <w:t>intended to circumvent the Commission’s l</w:t>
      </w:r>
      <w:r w:rsidR="00C96E22">
        <w:t>ocal TV ownership limits while</w:t>
      </w:r>
      <w:r w:rsidR="00C96E22">
        <w:rPr>
          <w:lang w:val="en-US"/>
        </w:rPr>
        <w:t xml:space="preserve"> </w:t>
      </w:r>
      <w:r w:rsidRPr="009351E2">
        <w:t xml:space="preserve">consolidating operations as if the stations </w:t>
      </w:r>
      <w:r w:rsidR="00E60583">
        <w:rPr>
          <w:lang w:val="en-US"/>
        </w:rPr>
        <w:t>were</w:t>
      </w:r>
      <w:r w:rsidR="00E60583" w:rsidRPr="009351E2">
        <w:t xml:space="preserve"> </w:t>
      </w:r>
      <w:r w:rsidRPr="009351E2">
        <w:t>owned and controlled by a single entity</w:t>
      </w:r>
      <w:r w:rsidR="003B255E">
        <w:rPr>
          <w:lang w:val="en-US"/>
        </w:rPr>
        <w:t>.</w:t>
      </w:r>
      <w:r w:rsidRPr="009351E2">
        <w:rPr>
          <w:rStyle w:val="FootnoteReference"/>
          <w:szCs w:val="22"/>
        </w:rPr>
        <w:footnoteReference w:id="41"/>
      </w:r>
      <w:r w:rsidRPr="009351E2">
        <w:t xml:space="preserve">   Free Press</w:t>
      </w:r>
      <w:r w:rsidRPr="009351E2">
        <w:rPr>
          <w:lang w:val="en-US"/>
        </w:rPr>
        <w:t xml:space="preserve"> further</w:t>
      </w:r>
      <w:r w:rsidRPr="009351E2">
        <w:t xml:space="preserve"> contends that</w:t>
      </w:r>
      <w:r w:rsidRPr="009351E2">
        <w:rPr>
          <w:lang w:val="en-US"/>
        </w:rPr>
        <w:t xml:space="preserve">, even if the Commission finds that the transaction does not </w:t>
      </w:r>
      <w:r w:rsidR="00C96E22">
        <w:rPr>
          <w:lang w:val="en-US"/>
        </w:rPr>
        <w:t>violate a specific rule, it should</w:t>
      </w:r>
      <w:r w:rsidRPr="009351E2">
        <w:rPr>
          <w:lang w:val="en-US"/>
        </w:rPr>
        <w:t xml:space="preserve"> make an independent finding that</w:t>
      </w:r>
      <w:r w:rsidRPr="009351E2">
        <w:t xml:space="preserve"> the assignments are contrary to the public interest and thus violate Section 310(d) of the </w:t>
      </w:r>
      <w:r w:rsidR="00AE7F20">
        <w:rPr>
          <w:lang w:val="en-US"/>
        </w:rPr>
        <w:t xml:space="preserve">Communications </w:t>
      </w:r>
      <w:r w:rsidR="00205009">
        <w:rPr>
          <w:lang w:val="en-US"/>
        </w:rPr>
        <w:t>Act</w:t>
      </w:r>
      <w:r w:rsidRPr="009351E2">
        <w:rPr>
          <w:lang w:val="en-US"/>
        </w:rPr>
        <w:t>.</w:t>
      </w:r>
      <w:r w:rsidRPr="009351E2">
        <w:rPr>
          <w:rStyle w:val="FootnoteReference"/>
          <w:szCs w:val="22"/>
          <w:lang w:val="en-US"/>
        </w:rPr>
        <w:footnoteReference w:id="42"/>
      </w:r>
      <w:r w:rsidRPr="009351E2">
        <w:rPr>
          <w:lang w:val="en-US"/>
        </w:rPr>
        <w:t xml:space="preserve">  </w:t>
      </w:r>
    </w:p>
    <w:p w:rsidR="00C432DA" w:rsidRPr="009351E2" w:rsidRDefault="00C432DA" w:rsidP="00C432DA">
      <w:pPr>
        <w:pStyle w:val="ParaNum"/>
        <w:tabs>
          <w:tab w:val="num" w:pos="1260"/>
        </w:tabs>
        <w:ind w:firstLine="806"/>
        <w:rPr>
          <w:szCs w:val="22"/>
        </w:rPr>
      </w:pPr>
      <w:r w:rsidRPr="009351E2">
        <w:rPr>
          <w:i/>
          <w:szCs w:val="22"/>
        </w:rPr>
        <w:t>Raymie Humbert</w:t>
      </w:r>
      <w:r w:rsidRPr="009351E2">
        <w:rPr>
          <w:szCs w:val="22"/>
        </w:rPr>
        <w:t xml:space="preserve">.  </w:t>
      </w:r>
      <w:r w:rsidR="001354FA">
        <w:rPr>
          <w:szCs w:val="22"/>
          <w:lang w:val="en-US"/>
        </w:rPr>
        <w:t xml:space="preserve">Mr. </w:t>
      </w:r>
      <w:r w:rsidRPr="009351E2">
        <w:rPr>
          <w:szCs w:val="22"/>
        </w:rPr>
        <w:t>Humbert, a citizen of</w:t>
      </w:r>
      <w:r w:rsidRPr="009351E2">
        <w:rPr>
          <w:szCs w:val="22"/>
          <w:lang w:val="en-US"/>
        </w:rPr>
        <w:t xml:space="preserve"> Arizona,</w:t>
      </w:r>
      <w:r w:rsidRPr="009351E2">
        <w:rPr>
          <w:szCs w:val="22"/>
        </w:rPr>
        <w:t xml:space="preserve"> filed a</w:t>
      </w:r>
      <w:r w:rsidRPr="009351E2">
        <w:rPr>
          <w:szCs w:val="22"/>
          <w:lang w:val="en-US"/>
        </w:rPr>
        <w:t xml:space="preserve"> pleading titled a petition to deny</w:t>
      </w:r>
      <w:r w:rsidRPr="009351E2">
        <w:rPr>
          <w:szCs w:val="22"/>
        </w:rPr>
        <w:t>.</w:t>
      </w:r>
      <w:r w:rsidRPr="009351E2">
        <w:rPr>
          <w:rStyle w:val="FootnoteReference"/>
          <w:szCs w:val="22"/>
        </w:rPr>
        <w:footnoteReference w:id="43"/>
      </w:r>
      <w:r w:rsidRPr="009351E2">
        <w:rPr>
          <w:szCs w:val="22"/>
        </w:rPr>
        <w:t xml:space="preserve">  Humbert specifically notes the following</w:t>
      </w:r>
      <w:r w:rsidR="003B255E">
        <w:rPr>
          <w:szCs w:val="22"/>
          <w:lang w:val="en-US"/>
        </w:rPr>
        <w:t xml:space="preserve"> would have resulted from the original proposal</w:t>
      </w:r>
      <w:r w:rsidRPr="009351E2">
        <w:rPr>
          <w:szCs w:val="22"/>
        </w:rPr>
        <w:t>: (i) in Birmingham, Sinclair would control five full-power stations providing three separate networks; (</w:t>
      </w:r>
      <w:r w:rsidRPr="009351E2">
        <w:rPr>
          <w:szCs w:val="22"/>
          <w:lang w:val="en-US"/>
        </w:rPr>
        <w:t>i</w:t>
      </w:r>
      <w:r w:rsidRPr="009351E2">
        <w:rPr>
          <w:szCs w:val="22"/>
        </w:rPr>
        <w:t>i) in Charleston, South Carolina, Sinclair would have a role in three stations in the market; and (iii) in Harrisburg, Sinclair would have a role in three stations in the market, including two of the market’s top</w:t>
      </w:r>
      <w:r w:rsidR="00E60583">
        <w:rPr>
          <w:szCs w:val="22"/>
          <w:lang w:val="en-US"/>
        </w:rPr>
        <w:t>-</w:t>
      </w:r>
      <w:r w:rsidRPr="009351E2">
        <w:rPr>
          <w:szCs w:val="22"/>
        </w:rPr>
        <w:t>four rated stations.</w:t>
      </w:r>
      <w:r w:rsidRPr="009351E2">
        <w:rPr>
          <w:rStyle w:val="FootnoteReference"/>
          <w:szCs w:val="22"/>
        </w:rPr>
        <w:footnoteReference w:id="44"/>
      </w:r>
    </w:p>
    <w:p w:rsidR="00C432DA" w:rsidRPr="009351E2" w:rsidRDefault="00CD36BD" w:rsidP="00EA50DC">
      <w:pPr>
        <w:pStyle w:val="Heading1"/>
      </w:pPr>
      <w:r>
        <w:t>DISCUSSION</w:t>
      </w:r>
    </w:p>
    <w:p w:rsidR="00595BD4" w:rsidRPr="009351E2" w:rsidRDefault="002D43E4" w:rsidP="0018524F">
      <w:pPr>
        <w:pStyle w:val="ParaNum"/>
        <w:tabs>
          <w:tab w:val="num" w:pos="1260"/>
        </w:tabs>
        <w:ind w:firstLine="806"/>
        <w:rPr>
          <w:color w:val="000000"/>
          <w:szCs w:val="22"/>
        </w:rPr>
      </w:pPr>
      <w:r w:rsidRPr="00EA50DC">
        <w:rPr>
          <w:b/>
          <w:szCs w:val="22"/>
          <w:lang w:val="en-US"/>
        </w:rPr>
        <w:t>Standing</w:t>
      </w:r>
      <w:r w:rsidRPr="009351E2">
        <w:rPr>
          <w:szCs w:val="22"/>
          <w:lang w:val="en-US"/>
        </w:rPr>
        <w:t xml:space="preserve">.  </w:t>
      </w:r>
      <w:r w:rsidR="00EF57EB">
        <w:rPr>
          <w:szCs w:val="22"/>
          <w:lang w:val="en-US"/>
        </w:rPr>
        <w:t>Applicants</w:t>
      </w:r>
      <w:r w:rsidR="00AE7F20">
        <w:rPr>
          <w:szCs w:val="22"/>
          <w:lang w:val="en-US"/>
        </w:rPr>
        <w:t>,</w:t>
      </w:r>
      <w:r w:rsidR="001F70B4">
        <w:rPr>
          <w:szCs w:val="22"/>
          <w:lang w:val="en-US"/>
        </w:rPr>
        <w:t xml:space="preserve"> HSH, and Deerfield</w:t>
      </w:r>
      <w:r w:rsidR="00EF57EB">
        <w:rPr>
          <w:szCs w:val="22"/>
          <w:lang w:val="en-US"/>
        </w:rPr>
        <w:t xml:space="preserve"> challenge Petitioners’ standing.  </w:t>
      </w:r>
      <w:r w:rsidR="000E7B00" w:rsidRPr="009351E2">
        <w:rPr>
          <w:color w:val="000000"/>
          <w:szCs w:val="22"/>
        </w:rPr>
        <w:t>Under the Communications Act of 1934</w:t>
      </w:r>
      <w:r w:rsidR="00AE7F20">
        <w:rPr>
          <w:color w:val="000000"/>
          <w:szCs w:val="22"/>
          <w:lang w:val="en-US"/>
        </w:rPr>
        <w:t xml:space="preserve">, </w:t>
      </w:r>
      <w:r w:rsidR="000E7B00" w:rsidRPr="009351E2">
        <w:rPr>
          <w:color w:val="000000"/>
          <w:szCs w:val="22"/>
        </w:rPr>
        <w:t>as amended</w:t>
      </w:r>
      <w:bookmarkStart w:id="1" w:name="FN[FN21]"/>
      <w:bookmarkEnd w:id="1"/>
      <w:r w:rsidR="00AE7F20">
        <w:rPr>
          <w:color w:val="000000"/>
          <w:szCs w:val="22"/>
          <w:lang w:val="en-US"/>
        </w:rPr>
        <w:t xml:space="preserve"> (the “Act”),</w:t>
      </w:r>
      <w:r w:rsidR="00AE7F20" w:rsidRPr="009351E2">
        <w:rPr>
          <w:color w:val="000000"/>
          <w:szCs w:val="22"/>
        </w:rPr>
        <w:t xml:space="preserve"> </w:t>
      </w:r>
      <w:r w:rsidR="000E7B00" w:rsidRPr="009351E2">
        <w:rPr>
          <w:color w:val="000000"/>
          <w:szCs w:val="22"/>
        </w:rPr>
        <w:t>only a “party in interest” has standing to file a</w:t>
      </w:r>
      <w:r w:rsidR="000E7B00" w:rsidRPr="009351E2">
        <w:rPr>
          <w:color w:val="000000"/>
          <w:szCs w:val="22"/>
          <w:lang w:val="en-US"/>
        </w:rPr>
        <w:t xml:space="preserve"> petition to deny.</w:t>
      </w:r>
      <w:r w:rsidR="000E7B00" w:rsidRPr="009351E2">
        <w:rPr>
          <w:rStyle w:val="FootnoteReference"/>
          <w:color w:val="000000"/>
          <w:szCs w:val="22"/>
          <w:lang w:val="en-US"/>
        </w:rPr>
        <w:footnoteReference w:id="45"/>
      </w:r>
      <w:bookmarkStart w:id="2" w:name="SR;1112"/>
      <w:bookmarkStart w:id="3" w:name="SearchTerm"/>
      <w:bookmarkEnd w:id="2"/>
      <w:r w:rsidR="000E7B00" w:rsidRPr="009351E2">
        <w:rPr>
          <w:color w:val="000000"/>
          <w:szCs w:val="22"/>
          <w:lang w:val="en-US"/>
        </w:rPr>
        <w:t xml:space="preserve">  The petition </w:t>
      </w:r>
      <w:r w:rsidR="000E7B00" w:rsidRPr="009351E2">
        <w:rPr>
          <w:color w:val="000000"/>
          <w:szCs w:val="22"/>
        </w:rPr>
        <w:t>must contain</w:t>
      </w:r>
      <w:bookmarkStart w:id="4" w:name="SR;1122"/>
      <w:bookmarkEnd w:id="3"/>
      <w:bookmarkEnd w:id="4"/>
      <w:r w:rsidR="000E7B00" w:rsidRPr="009351E2">
        <w:rPr>
          <w:color w:val="000000"/>
          <w:szCs w:val="22"/>
          <w:lang w:val="en-US"/>
        </w:rPr>
        <w:t xml:space="preserve"> specific allegations of fact </w:t>
      </w:r>
      <w:r w:rsidR="000E7B00" w:rsidRPr="009351E2">
        <w:rPr>
          <w:color w:val="000000"/>
          <w:szCs w:val="22"/>
        </w:rPr>
        <w:t>demonstrating that the petitioner is a party in interest and that a grant of the application would be inconsistent with the public interest, convenience</w:t>
      </w:r>
      <w:r w:rsidR="00E60583">
        <w:rPr>
          <w:color w:val="000000"/>
          <w:szCs w:val="22"/>
          <w:lang w:val="en-US"/>
        </w:rPr>
        <w:t>,</w:t>
      </w:r>
      <w:r w:rsidR="000E7B00" w:rsidRPr="009351E2">
        <w:rPr>
          <w:color w:val="000000"/>
          <w:szCs w:val="22"/>
        </w:rPr>
        <w:t xml:space="preserve"> and necessity</w:t>
      </w:r>
      <w:bookmarkStart w:id="5" w:name="FN[FN22]"/>
      <w:bookmarkEnd w:id="5"/>
      <w:r w:rsidR="000E7B00" w:rsidRPr="009351E2">
        <w:rPr>
          <w:color w:val="000000"/>
          <w:szCs w:val="22"/>
          <w:lang w:val="en-US"/>
        </w:rPr>
        <w:t>.</w:t>
      </w:r>
      <w:r w:rsidR="000E7B00" w:rsidRPr="009351E2">
        <w:rPr>
          <w:rStyle w:val="FootnoteReference"/>
          <w:color w:val="000000"/>
          <w:szCs w:val="22"/>
          <w:lang w:val="en-US"/>
        </w:rPr>
        <w:footnoteReference w:id="46"/>
      </w:r>
      <w:r w:rsidR="00FE7FEB" w:rsidRPr="009351E2">
        <w:rPr>
          <w:color w:val="000000"/>
          <w:szCs w:val="22"/>
          <w:lang w:val="en-US"/>
        </w:rPr>
        <w:t xml:space="preserve">  </w:t>
      </w:r>
      <w:r w:rsidR="000E7B00" w:rsidRPr="009351E2">
        <w:rPr>
          <w:color w:val="000000"/>
          <w:szCs w:val="22"/>
        </w:rPr>
        <w:t>The allegations of fact, except for those of which official notice may be taken, must be supported by an affidavit or declaration under penalty of perjury (“declaration”) of a person with personal knowledge of the facts alleged.</w:t>
      </w:r>
      <w:bookmarkStart w:id="6" w:name="FN[FN23]"/>
      <w:bookmarkEnd w:id="6"/>
      <w:r w:rsidR="000E7B00" w:rsidRPr="009351E2">
        <w:rPr>
          <w:rStyle w:val="FootnoteReference"/>
          <w:color w:val="000000"/>
          <w:szCs w:val="22"/>
        </w:rPr>
        <w:footnoteReference w:id="47"/>
      </w:r>
      <w:r w:rsidR="000E7B00" w:rsidRPr="009351E2">
        <w:rPr>
          <w:color w:val="000000"/>
          <w:szCs w:val="22"/>
          <w:vertAlign w:val="superscript"/>
          <w:lang w:val="en-US"/>
        </w:rPr>
        <w:t xml:space="preserve"> </w:t>
      </w:r>
      <w:r w:rsidR="000E7B00" w:rsidRPr="009351E2">
        <w:rPr>
          <w:color w:val="000000"/>
          <w:szCs w:val="22"/>
          <w:lang w:val="en-US"/>
        </w:rPr>
        <w:t xml:space="preserve"> </w:t>
      </w:r>
      <w:r w:rsidR="000E7B00" w:rsidRPr="009351E2">
        <w:rPr>
          <w:color w:val="000000"/>
          <w:szCs w:val="22"/>
        </w:rPr>
        <w:t>Among the facts to be alleged is that the petitioner is a resident of the station's service area and a regular viewer of the station.</w:t>
      </w:r>
      <w:bookmarkStart w:id="7" w:name="FN[FN24]"/>
      <w:bookmarkEnd w:id="7"/>
      <w:r w:rsidR="000E7B00" w:rsidRPr="009351E2">
        <w:rPr>
          <w:rStyle w:val="FootnoteReference"/>
          <w:color w:val="000000"/>
          <w:szCs w:val="22"/>
        </w:rPr>
        <w:footnoteReference w:id="48"/>
      </w:r>
      <w:r w:rsidR="000E7B00" w:rsidRPr="009351E2">
        <w:rPr>
          <w:color w:val="000000"/>
          <w:szCs w:val="22"/>
          <w:lang w:val="en-US"/>
        </w:rPr>
        <w:t xml:space="preserve">  </w:t>
      </w:r>
      <w:r w:rsidR="000E7B00" w:rsidRPr="00D4694C">
        <w:rPr>
          <w:color w:val="000000"/>
          <w:szCs w:val="22"/>
        </w:rPr>
        <w:t>An organization can establish standing on behalf of its members if it provides an affidavit or declaration “of one or more individuals entitled to standing indicating that the group represents local residents and that the petition is filed on their behalf.</w:t>
      </w:r>
      <w:bookmarkStart w:id="8" w:name="FN[FN25]"/>
      <w:bookmarkEnd w:id="8"/>
      <w:r w:rsidR="006D07C0" w:rsidRPr="00D4694C">
        <w:rPr>
          <w:color w:val="000000"/>
          <w:szCs w:val="22"/>
          <w:lang w:val="en-US"/>
        </w:rPr>
        <w:t>”</w:t>
      </w:r>
      <w:r w:rsidR="00595BD4" w:rsidRPr="00D4694C">
        <w:rPr>
          <w:rStyle w:val="FootnoteReference"/>
          <w:color w:val="000000"/>
          <w:szCs w:val="22"/>
        </w:rPr>
        <w:footnoteReference w:id="49"/>
      </w:r>
    </w:p>
    <w:p w:rsidR="00CA607C" w:rsidRPr="009351E2" w:rsidRDefault="003A18E8" w:rsidP="00FE7FEB">
      <w:pPr>
        <w:pStyle w:val="ParaNum"/>
        <w:tabs>
          <w:tab w:val="num" w:pos="1260"/>
        </w:tabs>
        <w:ind w:firstLine="806"/>
        <w:rPr>
          <w:szCs w:val="22"/>
        </w:rPr>
      </w:pPr>
      <w:bookmarkStart w:id="9" w:name="sp_999_2"/>
      <w:bookmarkStart w:id="10" w:name="SDU_2"/>
      <w:bookmarkEnd w:id="9"/>
      <w:bookmarkEnd w:id="10"/>
      <w:r w:rsidRPr="009351E2">
        <w:rPr>
          <w:szCs w:val="22"/>
          <w:lang w:val="en-US"/>
        </w:rPr>
        <w:t xml:space="preserve">Applicants allege </w:t>
      </w:r>
      <w:r w:rsidR="00E60583">
        <w:rPr>
          <w:szCs w:val="22"/>
          <w:lang w:val="en-US"/>
        </w:rPr>
        <w:t xml:space="preserve">that </w:t>
      </w:r>
      <w:r w:rsidR="00CA607C" w:rsidRPr="009351E2">
        <w:rPr>
          <w:szCs w:val="22"/>
          <w:lang w:val="en-US"/>
        </w:rPr>
        <w:t xml:space="preserve">Free Press, ACA, </w:t>
      </w:r>
      <w:r w:rsidR="00D06367">
        <w:rPr>
          <w:szCs w:val="22"/>
          <w:lang w:val="en-US"/>
        </w:rPr>
        <w:t>Rainbow Push</w:t>
      </w:r>
      <w:r w:rsidR="00CA607C" w:rsidRPr="009351E2">
        <w:rPr>
          <w:szCs w:val="22"/>
          <w:lang w:val="en-US"/>
        </w:rPr>
        <w:t xml:space="preserve">, and Raymie Humbert each </w:t>
      </w:r>
      <w:r w:rsidRPr="009351E2">
        <w:rPr>
          <w:szCs w:val="22"/>
        </w:rPr>
        <w:t>lack standing</w:t>
      </w:r>
      <w:r w:rsidRPr="009351E2">
        <w:rPr>
          <w:szCs w:val="22"/>
          <w:lang w:val="en-US"/>
        </w:rPr>
        <w:t xml:space="preserve"> to be a </w:t>
      </w:r>
      <w:r w:rsidRPr="009351E2">
        <w:rPr>
          <w:rFonts w:eastAsia="Calibri"/>
          <w:color w:val="000000"/>
          <w:szCs w:val="22"/>
        </w:rPr>
        <w:t>“party in interest”</w:t>
      </w:r>
      <w:r w:rsidRPr="009351E2">
        <w:rPr>
          <w:rFonts w:eastAsia="Calibri"/>
          <w:color w:val="000000"/>
          <w:szCs w:val="22"/>
          <w:lang w:val="en-US"/>
        </w:rPr>
        <w:t xml:space="preserve"> qualified to file a petition to deny.</w:t>
      </w:r>
      <w:r w:rsidRPr="009351E2">
        <w:rPr>
          <w:rStyle w:val="FootnoteReference"/>
          <w:rFonts w:eastAsia="Calibri"/>
          <w:color w:val="000000"/>
          <w:szCs w:val="22"/>
          <w:lang w:val="en-US"/>
        </w:rPr>
        <w:footnoteReference w:id="50"/>
      </w:r>
      <w:r w:rsidR="00FE7FEB" w:rsidRPr="009351E2">
        <w:rPr>
          <w:rFonts w:eastAsia="Calibri"/>
          <w:color w:val="000000"/>
          <w:szCs w:val="22"/>
          <w:lang w:val="en-US"/>
        </w:rPr>
        <w:t xml:space="preserve">  </w:t>
      </w:r>
      <w:r w:rsidR="00AE7F20">
        <w:rPr>
          <w:rFonts w:eastAsia="Calibri"/>
          <w:color w:val="000000"/>
          <w:szCs w:val="22"/>
          <w:lang w:val="en-US"/>
        </w:rPr>
        <w:t>A</w:t>
      </w:r>
      <w:r w:rsidRPr="009351E2">
        <w:rPr>
          <w:rFonts w:eastAsia="Calibri"/>
          <w:szCs w:val="22"/>
          <w:lang w:val="en-US"/>
        </w:rPr>
        <w:t xml:space="preserve"> petition to deny must be supported by affidavits of persons with personal knowledge thereof, and the burden of proof for demonstrating </w:t>
      </w:r>
      <w:r w:rsidR="00E60583">
        <w:rPr>
          <w:rFonts w:eastAsia="Calibri"/>
          <w:szCs w:val="22"/>
          <w:lang w:val="en-US"/>
        </w:rPr>
        <w:t>standing under</w:t>
      </w:r>
      <w:r w:rsidRPr="009351E2">
        <w:rPr>
          <w:rFonts w:eastAsia="Calibri"/>
          <w:szCs w:val="22"/>
          <w:lang w:val="en-US"/>
        </w:rPr>
        <w:t xml:space="preserve"> the statute is on the petitioner</w:t>
      </w:r>
      <w:r w:rsidR="00AE7F20">
        <w:rPr>
          <w:rFonts w:eastAsia="Calibri"/>
          <w:szCs w:val="22"/>
          <w:lang w:val="en-US"/>
        </w:rPr>
        <w:t>, Applicants contend</w:t>
      </w:r>
      <w:r w:rsidRPr="009351E2">
        <w:rPr>
          <w:rFonts w:eastAsia="Calibri"/>
          <w:szCs w:val="22"/>
          <w:lang w:val="en-US"/>
        </w:rPr>
        <w:t>.</w:t>
      </w:r>
      <w:r w:rsidRPr="009351E2">
        <w:rPr>
          <w:rStyle w:val="FootnoteReference"/>
          <w:rFonts w:eastAsia="Calibri"/>
          <w:szCs w:val="22"/>
          <w:lang w:val="en-US"/>
        </w:rPr>
        <w:footnoteReference w:id="51"/>
      </w:r>
      <w:r w:rsidR="00FE7FEB" w:rsidRPr="009351E2">
        <w:rPr>
          <w:rFonts w:eastAsia="Calibri"/>
          <w:szCs w:val="22"/>
          <w:lang w:val="en-US"/>
        </w:rPr>
        <w:t xml:space="preserve">  </w:t>
      </w:r>
      <w:r w:rsidRPr="009351E2">
        <w:rPr>
          <w:rFonts w:eastAsia="Calibri"/>
          <w:szCs w:val="22"/>
          <w:lang w:val="en-US"/>
        </w:rPr>
        <w:t xml:space="preserve">Sinclair notes that </w:t>
      </w:r>
      <w:r w:rsidR="00CA607C" w:rsidRPr="009351E2">
        <w:rPr>
          <w:rFonts w:eastAsia="Calibri"/>
          <w:szCs w:val="22"/>
          <w:lang w:val="en-US"/>
        </w:rPr>
        <w:t xml:space="preserve">(i) </w:t>
      </w:r>
      <w:r w:rsidRPr="009351E2">
        <w:rPr>
          <w:rFonts w:eastAsia="Calibri"/>
          <w:szCs w:val="22"/>
          <w:lang w:val="en-US"/>
        </w:rPr>
        <w:t xml:space="preserve">Raymie Humbert’s pleading is not </w:t>
      </w:r>
      <w:r w:rsidR="00CA607C" w:rsidRPr="009351E2">
        <w:rPr>
          <w:rFonts w:eastAsia="Calibri"/>
          <w:szCs w:val="22"/>
          <w:lang w:val="en-US"/>
        </w:rPr>
        <w:t xml:space="preserve">accompanied by an affidavit, (ii) Humbert is not a resident </w:t>
      </w:r>
      <w:r w:rsidR="00E60583" w:rsidRPr="009351E2">
        <w:rPr>
          <w:rFonts w:eastAsia="Calibri"/>
          <w:szCs w:val="22"/>
          <w:lang w:val="en-US"/>
        </w:rPr>
        <w:t xml:space="preserve">viewer </w:t>
      </w:r>
      <w:r w:rsidR="00CA607C" w:rsidRPr="009351E2">
        <w:rPr>
          <w:rFonts w:eastAsia="Calibri"/>
          <w:szCs w:val="22"/>
          <w:lang w:val="en-US"/>
        </w:rPr>
        <w:t xml:space="preserve">of any of the stations considered in these applications, and (iii) Humbert’s petition </w:t>
      </w:r>
      <w:r w:rsidRPr="009351E2">
        <w:rPr>
          <w:rFonts w:eastAsia="Calibri"/>
          <w:szCs w:val="22"/>
          <w:lang w:val="en-US"/>
        </w:rPr>
        <w:t>was not served on the parties.</w:t>
      </w:r>
      <w:r w:rsidR="00CA607C" w:rsidRPr="009351E2">
        <w:rPr>
          <w:rStyle w:val="FootnoteReference"/>
          <w:rFonts w:eastAsia="Calibri"/>
          <w:szCs w:val="22"/>
          <w:lang w:val="en-US"/>
        </w:rPr>
        <w:footnoteReference w:id="52"/>
      </w:r>
      <w:r w:rsidR="00FE7FEB" w:rsidRPr="009351E2">
        <w:rPr>
          <w:szCs w:val="22"/>
          <w:lang w:val="en-US"/>
        </w:rPr>
        <w:t xml:space="preserve">  </w:t>
      </w:r>
      <w:r w:rsidR="000E7B00" w:rsidRPr="009351E2">
        <w:rPr>
          <w:color w:val="000000"/>
          <w:szCs w:val="22"/>
        </w:rPr>
        <w:t>We find that</w:t>
      </w:r>
      <w:r w:rsidR="00E60583">
        <w:rPr>
          <w:color w:val="000000"/>
          <w:szCs w:val="22"/>
          <w:lang w:val="en-US"/>
        </w:rPr>
        <w:t>,</w:t>
      </w:r>
      <w:r w:rsidR="000E7B00" w:rsidRPr="009351E2">
        <w:rPr>
          <w:color w:val="000000"/>
          <w:szCs w:val="22"/>
        </w:rPr>
        <w:t xml:space="preserve"> by failing to include an affidavit or declaration, </w:t>
      </w:r>
      <w:r w:rsidR="00891B1D" w:rsidRPr="009351E2">
        <w:rPr>
          <w:color w:val="000000"/>
          <w:szCs w:val="22"/>
          <w:lang w:val="en-US"/>
        </w:rPr>
        <w:t xml:space="preserve">Humbert has </w:t>
      </w:r>
      <w:r w:rsidR="000E7B00" w:rsidRPr="009351E2">
        <w:rPr>
          <w:color w:val="000000"/>
          <w:szCs w:val="22"/>
        </w:rPr>
        <w:t xml:space="preserve">failed to demonstrate </w:t>
      </w:r>
      <w:r w:rsidR="00891B1D" w:rsidRPr="009351E2">
        <w:rPr>
          <w:color w:val="000000"/>
          <w:szCs w:val="22"/>
          <w:lang w:val="en-US"/>
        </w:rPr>
        <w:t>standing</w:t>
      </w:r>
      <w:r w:rsidR="000E7B00" w:rsidRPr="009351E2">
        <w:rPr>
          <w:color w:val="000000"/>
          <w:szCs w:val="22"/>
        </w:rPr>
        <w:t>.</w:t>
      </w:r>
      <w:bookmarkStart w:id="11" w:name="FN[FN26]"/>
      <w:bookmarkEnd w:id="11"/>
      <w:r w:rsidR="00891B1D" w:rsidRPr="009351E2">
        <w:rPr>
          <w:rStyle w:val="FootnoteReference"/>
          <w:color w:val="000000"/>
          <w:szCs w:val="22"/>
        </w:rPr>
        <w:footnoteReference w:id="53"/>
      </w:r>
      <w:r w:rsidRPr="009351E2">
        <w:rPr>
          <w:color w:val="000000"/>
          <w:szCs w:val="22"/>
          <w:vertAlign w:val="superscript"/>
          <w:lang w:val="en-US"/>
        </w:rPr>
        <w:t xml:space="preserve"> </w:t>
      </w:r>
      <w:r w:rsidRPr="009351E2">
        <w:rPr>
          <w:color w:val="000000"/>
          <w:szCs w:val="22"/>
          <w:lang w:val="en-US"/>
        </w:rPr>
        <w:t xml:space="preserve"> </w:t>
      </w:r>
      <w:r w:rsidR="000E7B00" w:rsidRPr="009351E2">
        <w:rPr>
          <w:color w:val="000000"/>
          <w:szCs w:val="22"/>
        </w:rPr>
        <w:t xml:space="preserve">We will treat </w:t>
      </w:r>
      <w:r w:rsidRPr="009351E2">
        <w:rPr>
          <w:color w:val="000000"/>
          <w:szCs w:val="22"/>
          <w:lang w:val="en-US"/>
        </w:rPr>
        <w:t xml:space="preserve">Humbert’s pleading as an informal objection. </w:t>
      </w:r>
    </w:p>
    <w:p w:rsidR="00205009" w:rsidRPr="00205009" w:rsidRDefault="00FE7FEB" w:rsidP="00205009">
      <w:pPr>
        <w:pStyle w:val="ParaNum"/>
        <w:tabs>
          <w:tab w:val="num" w:pos="1260"/>
        </w:tabs>
        <w:ind w:firstLine="806"/>
        <w:rPr>
          <w:szCs w:val="22"/>
        </w:rPr>
      </w:pPr>
      <w:r w:rsidRPr="009351E2">
        <w:rPr>
          <w:rFonts w:eastAsia="Calibri"/>
          <w:color w:val="000000"/>
          <w:szCs w:val="22"/>
          <w:lang w:val="en-US"/>
        </w:rPr>
        <w:t>With respect to</w:t>
      </w:r>
      <w:r w:rsidR="006D07C0">
        <w:rPr>
          <w:rFonts w:eastAsia="Calibri"/>
          <w:color w:val="000000"/>
          <w:szCs w:val="22"/>
          <w:lang w:val="en-US"/>
        </w:rPr>
        <w:t xml:space="preserve"> the petitioners</w:t>
      </w:r>
      <w:r w:rsidR="00205009">
        <w:rPr>
          <w:rFonts w:eastAsia="Calibri"/>
          <w:color w:val="000000"/>
          <w:szCs w:val="22"/>
          <w:lang w:val="en-US"/>
        </w:rPr>
        <w:t>, certain</w:t>
      </w:r>
      <w:r w:rsidR="00CA09A1">
        <w:rPr>
          <w:rFonts w:eastAsia="Calibri"/>
          <w:color w:val="000000"/>
          <w:szCs w:val="22"/>
          <w:lang w:val="en-US"/>
        </w:rPr>
        <w:t xml:space="preserve"> parties</w:t>
      </w:r>
      <w:r w:rsidR="00205009">
        <w:rPr>
          <w:rFonts w:eastAsia="Calibri"/>
          <w:color w:val="000000"/>
          <w:szCs w:val="22"/>
          <w:lang w:val="en-US"/>
        </w:rPr>
        <w:t xml:space="preserve"> to the proceeding</w:t>
      </w:r>
      <w:r w:rsidR="003B255E">
        <w:rPr>
          <w:rFonts w:eastAsia="Calibri"/>
          <w:color w:val="000000"/>
          <w:szCs w:val="22"/>
          <w:lang w:val="en-US"/>
        </w:rPr>
        <w:t xml:space="preserve"> </w:t>
      </w:r>
      <w:r w:rsidRPr="009351E2">
        <w:rPr>
          <w:rFonts w:eastAsia="Calibri"/>
          <w:color w:val="000000"/>
          <w:szCs w:val="22"/>
          <w:lang w:val="en-US"/>
        </w:rPr>
        <w:t>state</w:t>
      </w:r>
      <w:r w:rsidRPr="009351E2">
        <w:rPr>
          <w:rFonts w:eastAsia="Calibri"/>
          <w:color w:val="000000"/>
          <w:szCs w:val="22"/>
        </w:rPr>
        <w:t xml:space="preserve"> that </w:t>
      </w:r>
      <w:r w:rsidRPr="009351E2">
        <w:rPr>
          <w:rFonts w:eastAsia="Calibri"/>
          <w:color w:val="000000"/>
          <w:szCs w:val="22"/>
          <w:lang w:val="en-US"/>
        </w:rPr>
        <w:t>the D.C. Circuit has previously rejected a claim of organizational standing derived from “broad and conclusory assertions” that fail to be concrete or particularized enough to demonstrate injury.</w:t>
      </w:r>
      <w:r w:rsidRPr="009351E2">
        <w:rPr>
          <w:rStyle w:val="FootnoteReference"/>
          <w:rFonts w:eastAsia="Calibri"/>
          <w:color w:val="000000"/>
          <w:szCs w:val="22"/>
          <w:lang w:val="en-US"/>
        </w:rPr>
        <w:footnoteReference w:id="54"/>
      </w:r>
      <w:r w:rsidRPr="009351E2">
        <w:rPr>
          <w:rFonts w:eastAsia="Calibri"/>
          <w:color w:val="000000"/>
          <w:szCs w:val="22"/>
          <w:lang w:val="en-US"/>
        </w:rPr>
        <w:t xml:space="preserve">  </w:t>
      </w:r>
      <w:r w:rsidR="00CA607C" w:rsidRPr="009351E2">
        <w:rPr>
          <w:szCs w:val="22"/>
        </w:rPr>
        <w:t>In their petitions</w:t>
      </w:r>
      <w:r w:rsidR="00CA607C" w:rsidRPr="009351E2">
        <w:rPr>
          <w:szCs w:val="22"/>
          <w:lang w:val="en-US"/>
        </w:rPr>
        <w:t xml:space="preserve">, however, </w:t>
      </w:r>
      <w:r w:rsidR="00CA607C" w:rsidRPr="009351E2">
        <w:rPr>
          <w:szCs w:val="22"/>
        </w:rPr>
        <w:t xml:space="preserve">Free Press, </w:t>
      </w:r>
      <w:r w:rsidR="00D06367">
        <w:rPr>
          <w:szCs w:val="22"/>
        </w:rPr>
        <w:t>Rainbow Push</w:t>
      </w:r>
      <w:r w:rsidR="00CA607C" w:rsidRPr="009351E2">
        <w:rPr>
          <w:szCs w:val="22"/>
        </w:rPr>
        <w:t>, and ACA give</w:t>
      </w:r>
      <w:r w:rsidR="00CA607C" w:rsidRPr="009351E2">
        <w:rPr>
          <w:szCs w:val="22"/>
          <w:lang w:val="en-US"/>
        </w:rPr>
        <w:t xml:space="preserve"> multiple examples of concrete harms to the public interest, recited in the affidavits attached to their petition</w:t>
      </w:r>
      <w:r w:rsidR="00CA607C" w:rsidRPr="009351E2">
        <w:rPr>
          <w:szCs w:val="22"/>
        </w:rPr>
        <w:t>s</w:t>
      </w:r>
      <w:r w:rsidR="00CA607C" w:rsidRPr="009351E2">
        <w:rPr>
          <w:szCs w:val="22"/>
          <w:lang w:val="en-US"/>
        </w:rPr>
        <w:t xml:space="preserve"> to deny, which they claim would result from grant of the applications.</w:t>
      </w:r>
      <w:r w:rsidR="00CA607C" w:rsidRPr="009351E2">
        <w:rPr>
          <w:rStyle w:val="FootnoteReference"/>
          <w:szCs w:val="22"/>
          <w:lang w:val="en-US"/>
        </w:rPr>
        <w:footnoteReference w:id="55"/>
      </w:r>
      <w:r w:rsidR="00CA607C" w:rsidRPr="009351E2">
        <w:rPr>
          <w:szCs w:val="22"/>
        </w:rPr>
        <w:t xml:space="preserve">  </w:t>
      </w:r>
      <w:r w:rsidR="00CA607C" w:rsidRPr="001C4047">
        <w:rPr>
          <w:szCs w:val="22"/>
          <w:lang w:val="en-US"/>
        </w:rPr>
        <w:t xml:space="preserve">This is in contrast to the speculative and conclusory assertions and the overall vagueness of the declarations at issue in </w:t>
      </w:r>
      <w:r w:rsidR="00CA607C" w:rsidRPr="001C4047">
        <w:rPr>
          <w:i/>
          <w:szCs w:val="22"/>
          <w:lang w:val="en-US"/>
        </w:rPr>
        <w:t>Rainbow/Push Coalition</w:t>
      </w:r>
      <w:r w:rsidR="00CA607C" w:rsidRPr="001C4047">
        <w:rPr>
          <w:szCs w:val="22"/>
          <w:lang w:val="en-US"/>
        </w:rPr>
        <w:t>.</w:t>
      </w:r>
      <w:r w:rsidR="00CA607C" w:rsidRPr="001C4047">
        <w:rPr>
          <w:rStyle w:val="FootnoteReference"/>
          <w:szCs w:val="22"/>
          <w:lang w:val="en-US"/>
        </w:rPr>
        <w:footnoteReference w:id="56"/>
      </w:r>
      <w:r w:rsidR="00CA607C" w:rsidRPr="001C4047">
        <w:rPr>
          <w:szCs w:val="22"/>
          <w:lang w:val="en-US"/>
        </w:rPr>
        <w:t xml:space="preserve">  In light of the detailed declarations provided, we find </w:t>
      </w:r>
      <w:r w:rsidR="00CA607C" w:rsidRPr="001C4047">
        <w:rPr>
          <w:i/>
          <w:szCs w:val="22"/>
          <w:lang w:val="en-US"/>
        </w:rPr>
        <w:t>Rainbow/Push</w:t>
      </w:r>
      <w:r w:rsidRPr="001C4047">
        <w:rPr>
          <w:i/>
          <w:szCs w:val="22"/>
          <w:lang w:val="en-US"/>
        </w:rPr>
        <w:t xml:space="preserve"> </w:t>
      </w:r>
      <w:r w:rsidR="00CA607C" w:rsidRPr="001C4047">
        <w:rPr>
          <w:szCs w:val="22"/>
          <w:lang w:val="en-US"/>
        </w:rPr>
        <w:t>to be inapposite here.</w:t>
      </w:r>
      <w:r w:rsidR="0018524F" w:rsidRPr="001C4047">
        <w:rPr>
          <w:rStyle w:val="FootnoteReference"/>
          <w:szCs w:val="22"/>
          <w:lang w:val="en-US"/>
        </w:rPr>
        <w:footnoteReference w:id="57"/>
      </w:r>
      <w:r w:rsidR="00CA607C" w:rsidRPr="001C4047">
        <w:rPr>
          <w:szCs w:val="22"/>
          <w:lang w:val="en-US"/>
        </w:rPr>
        <w:t xml:space="preserve">  </w:t>
      </w:r>
      <w:r w:rsidR="003A18E8" w:rsidRPr="001C4047">
        <w:rPr>
          <w:color w:val="000000"/>
          <w:szCs w:val="22"/>
          <w:lang w:val="en-US"/>
        </w:rPr>
        <w:t xml:space="preserve"> </w:t>
      </w:r>
      <w:r w:rsidR="00CA607C" w:rsidRPr="001C4047">
        <w:rPr>
          <w:szCs w:val="22"/>
        </w:rPr>
        <w:t xml:space="preserve">We find that Free Press, </w:t>
      </w:r>
      <w:r w:rsidR="00D06367" w:rsidRPr="001C4047">
        <w:rPr>
          <w:szCs w:val="22"/>
        </w:rPr>
        <w:t>Rainbow Push</w:t>
      </w:r>
      <w:r w:rsidR="00CA607C" w:rsidRPr="001C4047">
        <w:rPr>
          <w:szCs w:val="22"/>
        </w:rPr>
        <w:t>, and ACA</w:t>
      </w:r>
      <w:r w:rsidRPr="001C4047">
        <w:rPr>
          <w:szCs w:val="22"/>
        </w:rPr>
        <w:t xml:space="preserve"> have standing</w:t>
      </w:r>
      <w:r w:rsidRPr="001C4047">
        <w:rPr>
          <w:szCs w:val="22"/>
          <w:lang w:val="en-US"/>
        </w:rPr>
        <w:t xml:space="preserve"> because they </w:t>
      </w:r>
      <w:r w:rsidR="00CA607C" w:rsidRPr="001C4047">
        <w:rPr>
          <w:szCs w:val="22"/>
        </w:rPr>
        <w:t xml:space="preserve">have alleged that grant of the applications will have </w:t>
      </w:r>
      <w:r w:rsidR="00CA607C" w:rsidRPr="001C4047">
        <w:rPr>
          <w:szCs w:val="22"/>
          <w:lang w:val="en-US"/>
        </w:rPr>
        <w:t xml:space="preserve">specific, </w:t>
      </w:r>
      <w:r w:rsidR="00CA607C" w:rsidRPr="001C4047">
        <w:rPr>
          <w:szCs w:val="22"/>
        </w:rPr>
        <w:t>negative effect</w:t>
      </w:r>
      <w:r w:rsidR="00CA607C" w:rsidRPr="001C4047">
        <w:rPr>
          <w:szCs w:val="22"/>
          <w:lang w:val="en-US"/>
        </w:rPr>
        <w:t>s</w:t>
      </w:r>
      <w:r w:rsidR="00CA607C" w:rsidRPr="001C4047">
        <w:rPr>
          <w:szCs w:val="22"/>
        </w:rPr>
        <w:t xml:space="preserve"> on </w:t>
      </w:r>
      <w:r w:rsidR="00CA607C" w:rsidRPr="001C4047">
        <w:rPr>
          <w:szCs w:val="22"/>
          <w:lang w:val="en-US"/>
        </w:rPr>
        <w:t>their</w:t>
      </w:r>
      <w:r w:rsidRPr="001C4047">
        <w:rPr>
          <w:szCs w:val="22"/>
        </w:rPr>
        <w:t xml:space="preserve"> members</w:t>
      </w:r>
      <w:r w:rsidR="00442CA8">
        <w:rPr>
          <w:rStyle w:val="FootnoteReference"/>
          <w:szCs w:val="22"/>
        </w:rPr>
        <w:footnoteReference w:id="58"/>
      </w:r>
      <w:r w:rsidR="00CA607C" w:rsidRPr="001C4047">
        <w:rPr>
          <w:szCs w:val="22"/>
        </w:rPr>
        <w:t xml:space="preserve"> and claim that those harms can be cured by dismissal or denial of the applications.  We find that denial of the Applicants’ applications would afford the</w:t>
      </w:r>
      <w:r w:rsidR="00CA607C" w:rsidRPr="001C4047">
        <w:rPr>
          <w:szCs w:val="22"/>
          <w:lang w:val="en-US"/>
        </w:rPr>
        <w:t xml:space="preserve">m </w:t>
      </w:r>
      <w:r w:rsidR="00CA607C" w:rsidRPr="001C4047">
        <w:rPr>
          <w:szCs w:val="22"/>
        </w:rPr>
        <w:t xml:space="preserve">the relief </w:t>
      </w:r>
      <w:r w:rsidR="00CA607C" w:rsidRPr="001C4047">
        <w:rPr>
          <w:szCs w:val="22"/>
          <w:lang w:val="en-US"/>
        </w:rPr>
        <w:t>they</w:t>
      </w:r>
      <w:r w:rsidR="00CA607C" w:rsidRPr="001C4047">
        <w:rPr>
          <w:szCs w:val="22"/>
        </w:rPr>
        <w:t xml:space="preserve"> seek, and </w:t>
      </w:r>
      <w:r w:rsidR="00CA607C" w:rsidRPr="001C4047">
        <w:rPr>
          <w:szCs w:val="22"/>
          <w:lang w:val="en-US"/>
        </w:rPr>
        <w:t>they</w:t>
      </w:r>
      <w:r w:rsidR="00CA607C" w:rsidRPr="001C4047">
        <w:rPr>
          <w:szCs w:val="22"/>
        </w:rPr>
        <w:t xml:space="preserve"> therefore have standing</w:t>
      </w:r>
      <w:r w:rsidR="00CA607C" w:rsidRPr="009351E2">
        <w:rPr>
          <w:szCs w:val="22"/>
        </w:rPr>
        <w:t>.</w:t>
      </w:r>
      <w:r w:rsidR="00CA607C" w:rsidRPr="009351E2">
        <w:rPr>
          <w:rStyle w:val="FootnoteReference"/>
          <w:szCs w:val="22"/>
        </w:rPr>
        <w:footnoteReference w:id="59"/>
      </w:r>
    </w:p>
    <w:p w:rsidR="00D27AA5" w:rsidRPr="00205009" w:rsidRDefault="00C432DA" w:rsidP="00205009">
      <w:pPr>
        <w:pStyle w:val="ParaNum"/>
        <w:tabs>
          <w:tab w:val="num" w:pos="1260"/>
        </w:tabs>
        <w:ind w:firstLine="806"/>
        <w:rPr>
          <w:szCs w:val="22"/>
        </w:rPr>
      </w:pPr>
      <w:r w:rsidRPr="00205009">
        <w:rPr>
          <w:i/>
          <w:szCs w:val="22"/>
          <w:lang w:val="en-US"/>
        </w:rPr>
        <w:t>Transfer of Control Applications</w:t>
      </w:r>
      <w:r w:rsidR="002D43E4" w:rsidRPr="00205009">
        <w:rPr>
          <w:szCs w:val="22"/>
        </w:rPr>
        <w:t xml:space="preserve">. </w:t>
      </w:r>
      <w:r w:rsidR="00442CA8" w:rsidRPr="00205009">
        <w:rPr>
          <w:snapToGrid w:val="0"/>
        </w:rPr>
        <w:t>Pursuant to Section 310(d) of the Act, we must determine whether the proposed application</w:t>
      </w:r>
      <w:r w:rsidR="00205009" w:rsidRPr="00205009">
        <w:rPr>
          <w:snapToGrid w:val="0"/>
          <w:lang w:val="en-US"/>
        </w:rPr>
        <w:t>s</w:t>
      </w:r>
      <w:r w:rsidR="00442CA8" w:rsidRPr="00205009">
        <w:rPr>
          <w:snapToGrid w:val="0"/>
        </w:rPr>
        <w:t xml:space="preserve"> for </w:t>
      </w:r>
      <w:r w:rsidR="00442CA8" w:rsidRPr="00205009">
        <w:rPr>
          <w:snapToGrid w:val="0"/>
          <w:lang w:val="en-US"/>
        </w:rPr>
        <w:t xml:space="preserve">transfer </w:t>
      </w:r>
      <w:r w:rsidR="00442CA8" w:rsidRPr="00205009">
        <w:rPr>
          <w:snapToGrid w:val="0"/>
        </w:rPr>
        <w:t>of control of certain licenses and authorizations held and controlled by Allbritton to Sinclair will serve “the public interest, convenience, and necessity.”  In making this determination, we must assess whether the proposed transaction complies with the specific provisions of the Act, other applicable statutes, and the Commission’s Rules.  If an applicant seeks a waiver of a rule, the Commission determines whether the requested waiver meets the Commission’s standards for granting such waivers.  If the transaction would not violate a statute or rule, or a waiver is granted, the Commission considers whether a grant could result in public interest harms (by substantially frustrating or impairing the objectives or implementation of the Act or related statutes) or public interest benefits.  Where, as here, the Commission has adopted rules to promote diversity, competition or other public interest concerns, those rules and the decision whether to waive them may form the basis for determining whether the transfer applications and/or waivers are on balance in the public interest.  Further, our public interest authority enables us, where appropriate, to impose and enforce transaction-related conditions targeted to ensure that the public interest is served by the transaction.</w:t>
      </w:r>
      <w:r w:rsidR="00442CA8">
        <w:rPr>
          <w:rStyle w:val="FootnoteReference"/>
          <w:snapToGrid w:val="0"/>
        </w:rPr>
        <w:footnoteReference w:id="60"/>
      </w:r>
      <w:r w:rsidR="002D43E4" w:rsidRPr="00205009">
        <w:rPr>
          <w:szCs w:val="22"/>
        </w:rPr>
        <w:t xml:space="preserve"> </w:t>
      </w:r>
    </w:p>
    <w:p w:rsidR="00070E2C" w:rsidRPr="009351E2" w:rsidRDefault="000A1D00" w:rsidP="00070E2C">
      <w:pPr>
        <w:pStyle w:val="ParaNum"/>
        <w:tabs>
          <w:tab w:val="num" w:pos="1260"/>
        </w:tabs>
        <w:ind w:firstLine="806"/>
        <w:rPr>
          <w:szCs w:val="22"/>
        </w:rPr>
      </w:pPr>
      <w:r w:rsidRPr="009351E2">
        <w:rPr>
          <w:szCs w:val="22"/>
        </w:rPr>
        <w:t xml:space="preserve">Our findings are based upon the record before us and require that we incorporate into our analysis issues raised by petitions to deny and other comments filed in this proceeding.  </w:t>
      </w:r>
      <w:bookmarkStart w:id="12" w:name="FN[FN116]"/>
      <w:bookmarkEnd w:id="12"/>
      <w:r w:rsidR="00070E2C" w:rsidRPr="009351E2">
        <w:rPr>
          <w:color w:val="000000"/>
          <w:szCs w:val="22"/>
        </w:rPr>
        <w:t>Applicants bear the burden of proving, by a preponderance of the evidence, that the proposed transaction</w:t>
      </w:r>
      <w:r w:rsidR="005E0617">
        <w:rPr>
          <w:color w:val="000000"/>
          <w:szCs w:val="22"/>
          <w:lang w:val="en-US"/>
        </w:rPr>
        <w:t>s</w:t>
      </w:r>
      <w:r w:rsidR="00070E2C" w:rsidRPr="009351E2">
        <w:rPr>
          <w:color w:val="000000"/>
          <w:szCs w:val="22"/>
        </w:rPr>
        <w:t>, on balance, will serve the public interest</w:t>
      </w:r>
      <w:bookmarkStart w:id="13" w:name="FN[FN118]"/>
      <w:bookmarkEnd w:id="13"/>
      <w:r w:rsidR="00070E2C" w:rsidRPr="009351E2">
        <w:rPr>
          <w:color w:val="000000"/>
          <w:szCs w:val="22"/>
          <w:lang w:val="en-US"/>
        </w:rPr>
        <w:t>.</w:t>
      </w:r>
      <w:r w:rsidR="00070E2C" w:rsidRPr="009351E2">
        <w:rPr>
          <w:rStyle w:val="FootnoteReference"/>
          <w:color w:val="000000"/>
          <w:szCs w:val="22"/>
          <w:lang w:val="en-US"/>
        </w:rPr>
        <w:footnoteReference w:id="61"/>
      </w:r>
      <w:r w:rsidR="00070E2C" w:rsidRPr="009351E2">
        <w:rPr>
          <w:color w:val="000000"/>
          <w:szCs w:val="22"/>
          <w:lang w:val="en-US"/>
        </w:rPr>
        <w:t xml:space="preserve">  If</w:t>
      </w:r>
      <w:r w:rsidR="00070E2C" w:rsidRPr="009351E2">
        <w:rPr>
          <w:color w:val="000000"/>
          <w:szCs w:val="22"/>
        </w:rPr>
        <w:t xml:space="preserve"> we are unable to find that the proposed transaction serves the public interest, or if the record presents a substantial and material question of fact, we must designate the application for hearing under section 309(e) of the Act</w:t>
      </w:r>
      <w:bookmarkStart w:id="14" w:name="FN[FN119]"/>
      <w:bookmarkEnd w:id="14"/>
      <w:r w:rsidR="00070E2C" w:rsidRPr="009351E2">
        <w:rPr>
          <w:color w:val="000000"/>
          <w:szCs w:val="22"/>
          <w:lang w:val="en-US"/>
        </w:rPr>
        <w:t>.</w:t>
      </w:r>
      <w:r w:rsidR="00070E2C" w:rsidRPr="009351E2">
        <w:rPr>
          <w:rStyle w:val="FootnoteReference"/>
          <w:color w:val="000000"/>
          <w:szCs w:val="22"/>
          <w:lang w:val="en-US"/>
        </w:rPr>
        <w:footnoteReference w:id="62"/>
      </w:r>
    </w:p>
    <w:p w:rsidR="00D27AA5" w:rsidRPr="000430C1" w:rsidRDefault="00B22A5F" w:rsidP="00D27AA5">
      <w:pPr>
        <w:pStyle w:val="ParaNum"/>
        <w:tabs>
          <w:tab w:val="num" w:pos="1260"/>
        </w:tabs>
        <w:ind w:firstLine="806"/>
        <w:rPr>
          <w:szCs w:val="22"/>
        </w:rPr>
      </w:pPr>
      <w:r w:rsidRPr="009351E2">
        <w:rPr>
          <w:szCs w:val="22"/>
        </w:rPr>
        <w:t xml:space="preserve">The </w:t>
      </w:r>
      <w:r w:rsidR="000A1D00" w:rsidRPr="009351E2">
        <w:rPr>
          <w:szCs w:val="22"/>
        </w:rPr>
        <w:t>Commission applies a two-step analysis</w:t>
      </w:r>
      <w:r w:rsidRPr="009351E2">
        <w:rPr>
          <w:szCs w:val="22"/>
        </w:rPr>
        <w:t xml:space="preserve"> of any petition to deny an application</w:t>
      </w:r>
      <w:r w:rsidR="000A1D00" w:rsidRPr="009351E2">
        <w:rPr>
          <w:szCs w:val="22"/>
        </w:rPr>
        <w:t xml:space="preserve">. The Commission must first determine whether the petition contains specific allegations of fact sufficient to show that granting the application would be </w:t>
      </w:r>
      <w:r w:rsidR="000A1D00" w:rsidRPr="009351E2">
        <w:rPr>
          <w:i/>
          <w:iCs/>
          <w:szCs w:val="22"/>
        </w:rPr>
        <w:t>prima facie</w:t>
      </w:r>
      <w:r w:rsidR="000A1D00" w:rsidRPr="009351E2">
        <w:rPr>
          <w:szCs w:val="22"/>
        </w:rPr>
        <w:t xml:space="preserve"> inconsistent with the public interest.</w:t>
      </w:r>
      <w:r w:rsidR="000A1D00" w:rsidRPr="009351E2">
        <w:rPr>
          <w:rStyle w:val="FootnoteReference"/>
          <w:szCs w:val="22"/>
        </w:rPr>
        <w:footnoteReference w:id="63"/>
      </w:r>
      <w:r w:rsidR="000A1D00" w:rsidRPr="009351E2">
        <w:rPr>
          <w:szCs w:val="22"/>
          <w:vertAlign w:val="superscript"/>
        </w:rPr>
        <w:t xml:space="preserve">  </w:t>
      </w:r>
      <w:r w:rsidR="000A1D00" w:rsidRPr="009351E2">
        <w:rPr>
          <w:szCs w:val="22"/>
        </w:rPr>
        <w:t>The first step “is much like that performed by a trial judge considering a motion for directed verdict: if all the supporting facts alleged in the [petition] were true, could a reasonable fact finder conclude that the ultimate fact in dispute had been established.”</w:t>
      </w:r>
      <w:r w:rsidR="000A1D00" w:rsidRPr="009351E2">
        <w:rPr>
          <w:rStyle w:val="FootnoteReference"/>
          <w:szCs w:val="22"/>
        </w:rPr>
        <w:footnoteReference w:id="64"/>
      </w:r>
      <w:r w:rsidR="000A1D00" w:rsidRPr="009351E2">
        <w:rPr>
          <w:szCs w:val="22"/>
        </w:rPr>
        <w:t xml:space="preserve"> </w:t>
      </w:r>
      <w:r w:rsidR="009364D3">
        <w:rPr>
          <w:szCs w:val="22"/>
          <w:lang w:val="en-US"/>
        </w:rPr>
        <w:t xml:space="preserve"> </w:t>
      </w:r>
      <w:r w:rsidR="000A1D00" w:rsidRPr="009351E2">
        <w:rPr>
          <w:szCs w:val="22"/>
        </w:rPr>
        <w:t xml:space="preserve">If the petition </w:t>
      </w:r>
      <w:r w:rsidR="009364D3">
        <w:rPr>
          <w:szCs w:val="22"/>
          <w:lang w:val="en-US"/>
        </w:rPr>
        <w:t>clears</w:t>
      </w:r>
      <w:r w:rsidR="009364D3" w:rsidRPr="009351E2">
        <w:rPr>
          <w:szCs w:val="22"/>
        </w:rPr>
        <w:t xml:space="preserve"> </w:t>
      </w:r>
      <w:r w:rsidR="000A1D00" w:rsidRPr="009351E2">
        <w:rPr>
          <w:szCs w:val="22"/>
        </w:rPr>
        <w:t>this first step,</w:t>
      </w:r>
      <w:r w:rsidR="00516CAA">
        <w:rPr>
          <w:rStyle w:val="FootnoteReference"/>
          <w:szCs w:val="22"/>
        </w:rPr>
        <w:footnoteReference w:id="65"/>
      </w:r>
      <w:r w:rsidR="000A1D00" w:rsidRPr="009351E2">
        <w:rPr>
          <w:szCs w:val="22"/>
        </w:rPr>
        <w:t xml:space="preserve"> the Commission must determine whether “on the basis of the application, the pleadings filed, or other matters which [the Commission] may officially notice,” the petitioner has raised a substantial and material question of fact as to whether the application would serve the public interest.</w:t>
      </w:r>
      <w:r w:rsidR="000A1D00" w:rsidRPr="009351E2">
        <w:rPr>
          <w:rStyle w:val="FootnoteReference"/>
          <w:szCs w:val="22"/>
        </w:rPr>
        <w:footnoteReference w:id="66"/>
      </w:r>
      <w:r w:rsidR="000A1D00" w:rsidRPr="009351E2">
        <w:rPr>
          <w:szCs w:val="22"/>
        </w:rPr>
        <w:t xml:space="preserve"> </w:t>
      </w:r>
      <w:r w:rsidR="009364D3">
        <w:rPr>
          <w:szCs w:val="22"/>
          <w:lang w:val="en-US"/>
        </w:rPr>
        <w:t xml:space="preserve"> </w:t>
      </w:r>
      <w:r w:rsidR="000A1D00" w:rsidRPr="009351E2">
        <w:rPr>
          <w:szCs w:val="22"/>
        </w:rPr>
        <w:t>For the reasons discussed below, we find that</w:t>
      </w:r>
      <w:r w:rsidR="004820A5" w:rsidRPr="009351E2">
        <w:rPr>
          <w:szCs w:val="22"/>
          <w:lang w:val="en-US"/>
        </w:rPr>
        <w:t xml:space="preserve"> </w:t>
      </w:r>
      <w:r w:rsidR="00327B1F" w:rsidRPr="009351E2">
        <w:rPr>
          <w:szCs w:val="22"/>
          <w:lang w:val="en-US"/>
        </w:rPr>
        <w:t xml:space="preserve">Petitioners </w:t>
      </w:r>
      <w:r w:rsidR="004820A5" w:rsidRPr="009351E2">
        <w:rPr>
          <w:szCs w:val="22"/>
          <w:lang w:val="en-US"/>
        </w:rPr>
        <w:t>have failed to</w:t>
      </w:r>
      <w:r w:rsidR="00516CAA">
        <w:rPr>
          <w:szCs w:val="22"/>
          <w:lang w:val="en-US"/>
        </w:rPr>
        <w:t xml:space="preserve"> raise a substantial and material question of fact regarding whether the applications are consistent with the public interest</w:t>
      </w:r>
      <w:r w:rsidR="000A1D00" w:rsidRPr="009351E2">
        <w:rPr>
          <w:szCs w:val="22"/>
        </w:rPr>
        <w:t>.</w:t>
      </w:r>
      <w:r w:rsidR="004820A5" w:rsidRPr="009351E2">
        <w:rPr>
          <w:rStyle w:val="FootnoteReference"/>
          <w:szCs w:val="22"/>
        </w:rPr>
        <w:footnoteReference w:id="67"/>
      </w:r>
    </w:p>
    <w:p w:rsidR="007116A3" w:rsidRPr="00AB47D9" w:rsidRDefault="008623EF" w:rsidP="005713C1">
      <w:pPr>
        <w:pStyle w:val="ParaNum"/>
        <w:rPr>
          <w:szCs w:val="22"/>
        </w:rPr>
      </w:pPr>
      <w:r>
        <w:rPr>
          <w:i/>
          <w:lang w:val="en-US"/>
        </w:rPr>
        <w:t>Sharing Arrangements</w:t>
      </w:r>
      <w:r w:rsidR="000430C1">
        <w:t xml:space="preserve">.  </w:t>
      </w:r>
      <w:r w:rsidR="000D07E2">
        <w:t xml:space="preserve">We note that there </w:t>
      </w:r>
      <w:r w:rsidR="001354FA">
        <w:rPr>
          <w:lang w:val="en-US"/>
        </w:rPr>
        <w:t>will be</w:t>
      </w:r>
      <w:r w:rsidR="0020168A">
        <w:rPr>
          <w:lang w:val="en-US"/>
        </w:rPr>
        <w:t xml:space="preserve"> </w:t>
      </w:r>
      <w:r w:rsidR="000D07E2">
        <w:t xml:space="preserve">no </w:t>
      </w:r>
      <w:r w:rsidR="00AE06B4">
        <w:t xml:space="preserve">new </w:t>
      </w:r>
      <w:r w:rsidR="000D07E2">
        <w:t xml:space="preserve">Overlap Markets </w:t>
      </w:r>
      <w:r w:rsidR="00AE06B4">
        <w:t xml:space="preserve">created by the proposed transaction </w:t>
      </w:r>
      <w:r w:rsidR="000D07E2">
        <w:t>once Sinclair implements the voluntary commitments it submitted into the record on May 29, 2014.  The allegations regarding any purported control over Deerfield and HSH in these mark</w:t>
      </w:r>
      <w:r w:rsidR="00AE06B4">
        <w:t xml:space="preserve">ets </w:t>
      </w:r>
      <w:r w:rsidR="006013F1">
        <w:rPr>
          <w:lang w:val="en-US"/>
        </w:rPr>
        <w:t>are</w:t>
      </w:r>
      <w:r w:rsidR="00AE06B4">
        <w:t xml:space="preserve"> no longer relevant</w:t>
      </w:r>
      <w:r w:rsidR="009364D3">
        <w:rPr>
          <w:lang w:val="en-US"/>
        </w:rPr>
        <w:t>, because</w:t>
      </w:r>
      <w:r w:rsidR="00AE06B4">
        <w:t xml:space="preserve"> these entities will no longer</w:t>
      </w:r>
      <w:r w:rsidR="0020168A">
        <w:rPr>
          <w:lang w:val="en-US"/>
        </w:rPr>
        <w:t xml:space="preserve"> hold these stations</w:t>
      </w:r>
      <w:r w:rsidR="00AE06B4">
        <w:t>.  Moreover, in none of the three Overlap Markets will a proposed purchaser enter into any sharing arrangements or financial relationship with Sinclair.  With the exception of Charleston, the existing ownership combinations comply with our local TV ownership rule or our grandfathering policies regarding LMA</w:t>
      </w:r>
      <w:r w:rsidR="00BE5AA4">
        <w:rPr>
          <w:lang w:val="en-US"/>
        </w:rPr>
        <w:t>s</w:t>
      </w:r>
      <w:r w:rsidR="00AE06B4" w:rsidRPr="00AE06B4">
        <w:rPr>
          <w:szCs w:val="22"/>
          <w:lang w:val="en-US"/>
        </w:rPr>
        <w:t>.</w:t>
      </w:r>
      <w:r w:rsidR="0015448D">
        <w:rPr>
          <w:rStyle w:val="FootnoteReference"/>
          <w:szCs w:val="22"/>
          <w:lang w:val="en-US"/>
        </w:rPr>
        <w:footnoteReference w:id="68"/>
      </w:r>
      <w:r w:rsidR="00AE06B4">
        <w:rPr>
          <w:szCs w:val="22"/>
          <w:lang w:val="en-US"/>
        </w:rPr>
        <w:t xml:space="preserve"> </w:t>
      </w:r>
      <w:r w:rsidR="00AE06B4" w:rsidRPr="00AE06B4">
        <w:rPr>
          <w:szCs w:val="22"/>
          <w:lang w:val="en-US"/>
        </w:rPr>
        <w:t xml:space="preserve"> </w:t>
      </w:r>
      <w:r w:rsidR="004A0741">
        <w:rPr>
          <w:szCs w:val="22"/>
          <w:lang w:val="en-US"/>
        </w:rPr>
        <w:t>Our local TV ownership rule does not restrict the use of multicast capability to form dual affiliations, and i</w:t>
      </w:r>
      <w:r w:rsidR="00AE06B4" w:rsidRPr="00AE06B4">
        <w:rPr>
          <w:szCs w:val="22"/>
          <w:lang w:val="en-US"/>
        </w:rPr>
        <w:t xml:space="preserve">n the recently released </w:t>
      </w:r>
      <w:r w:rsidR="00AE06B4" w:rsidRPr="00EA50DC">
        <w:rPr>
          <w:i/>
          <w:szCs w:val="22"/>
          <w:lang w:val="en-US"/>
        </w:rPr>
        <w:t>2014 Quadrennial Review FNPRM &amp; Report and Order</w:t>
      </w:r>
      <w:r w:rsidR="00AE06B4" w:rsidRPr="00AE06B4">
        <w:rPr>
          <w:szCs w:val="22"/>
          <w:lang w:val="en-US"/>
        </w:rPr>
        <w:t xml:space="preserve">, the Commission </w:t>
      </w:r>
      <w:r w:rsidR="00A27AF4">
        <w:rPr>
          <w:szCs w:val="22"/>
          <w:lang w:val="en-US"/>
        </w:rPr>
        <w:t xml:space="preserve">tentatively </w:t>
      </w:r>
      <w:r w:rsidR="00AE06B4" w:rsidRPr="00AE06B4">
        <w:rPr>
          <w:szCs w:val="22"/>
          <w:lang w:val="en-US"/>
        </w:rPr>
        <w:t xml:space="preserve">concluded that the record did not support </w:t>
      </w:r>
      <w:r w:rsidR="004A0741">
        <w:rPr>
          <w:szCs w:val="22"/>
          <w:lang w:val="en-US"/>
        </w:rPr>
        <w:t xml:space="preserve">changing the </w:t>
      </w:r>
      <w:r w:rsidR="008B20CF">
        <w:rPr>
          <w:szCs w:val="22"/>
          <w:lang w:val="en-US"/>
        </w:rPr>
        <w:t xml:space="preserve">ownership </w:t>
      </w:r>
      <w:r w:rsidR="004A0741">
        <w:rPr>
          <w:szCs w:val="22"/>
          <w:lang w:val="en-US"/>
        </w:rPr>
        <w:t>rule to restrict such arrangements</w:t>
      </w:r>
      <w:r w:rsidR="00AE06B4" w:rsidRPr="00AE06B4">
        <w:rPr>
          <w:szCs w:val="22"/>
          <w:lang w:val="en-US"/>
        </w:rPr>
        <w:t>.</w:t>
      </w:r>
      <w:r w:rsidR="00EE5758">
        <w:rPr>
          <w:rStyle w:val="FootnoteReference"/>
          <w:szCs w:val="22"/>
          <w:lang w:val="en-US"/>
        </w:rPr>
        <w:footnoteReference w:id="69"/>
      </w:r>
      <w:r w:rsidR="00AE06B4" w:rsidRPr="00AE06B4">
        <w:rPr>
          <w:szCs w:val="22"/>
          <w:lang w:val="en-US"/>
        </w:rPr>
        <w:t xml:space="preserve">   </w:t>
      </w:r>
      <w:r w:rsidR="00BE5AA4" w:rsidRPr="004A0741">
        <w:rPr>
          <w:szCs w:val="22"/>
          <w:lang w:val="en-US"/>
        </w:rPr>
        <w:t>Given these facts, we do not find that the multicasting proposal put forth by Sinclair would disserve the public interest.</w:t>
      </w:r>
      <w:r w:rsidR="007D1FC6">
        <w:rPr>
          <w:rStyle w:val="FootnoteReference"/>
          <w:szCs w:val="22"/>
          <w:lang w:val="en-US"/>
        </w:rPr>
        <w:footnoteReference w:id="70"/>
      </w:r>
    </w:p>
    <w:p w:rsidR="007116A3" w:rsidRPr="00293B3B" w:rsidRDefault="00BE5AA4" w:rsidP="00EA50DC">
      <w:pPr>
        <w:pStyle w:val="ParaNum"/>
        <w:tabs>
          <w:tab w:val="num" w:pos="1260"/>
        </w:tabs>
        <w:rPr>
          <w:szCs w:val="22"/>
        </w:rPr>
      </w:pPr>
      <w:r>
        <w:rPr>
          <w:szCs w:val="22"/>
          <w:lang w:val="en-US"/>
        </w:rPr>
        <w:t>In Charles</w:t>
      </w:r>
      <w:r w:rsidR="00250844">
        <w:rPr>
          <w:szCs w:val="22"/>
          <w:lang w:val="en-US"/>
        </w:rPr>
        <w:t xml:space="preserve">ton, </w:t>
      </w:r>
      <w:r w:rsidR="003E2E83">
        <w:rPr>
          <w:szCs w:val="22"/>
          <w:lang w:val="en-US"/>
        </w:rPr>
        <w:t xml:space="preserve">termination of the LMA between WMMP(TV) and </w:t>
      </w:r>
      <w:r w:rsidR="007116A3" w:rsidRPr="00293B3B">
        <w:rPr>
          <w:szCs w:val="22"/>
          <w:lang w:val="en-US"/>
        </w:rPr>
        <w:t xml:space="preserve">WTAT-TV </w:t>
      </w:r>
      <w:r w:rsidR="001354FA">
        <w:rPr>
          <w:szCs w:val="22"/>
          <w:lang w:val="en-US"/>
        </w:rPr>
        <w:t>alleviates the</w:t>
      </w:r>
      <w:r w:rsidR="00AA246D">
        <w:rPr>
          <w:szCs w:val="22"/>
          <w:lang w:val="en-US"/>
        </w:rPr>
        <w:t xml:space="preserve"> </w:t>
      </w:r>
      <w:r w:rsidR="009364D3">
        <w:rPr>
          <w:szCs w:val="22"/>
          <w:lang w:val="en-US"/>
        </w:rPr>
        <w:t xml:space="preserve">chief </w:t>
      </w:r>
      <w:r w:rsidR="003E2E83">
        <w:rPr>
          <w:szCs w:val="22"/>
          <w:lang w:val="en-US"/>
        </w:rPr>
        <w:t xml:space="preserve">concerns about </w:t>
      </w:r>
      <w:r w:rsidR="001354FA">
        <w:rPr>
          <w:szCs w:val="22"/>
          <w:lang w:val="en-US"/>
        </w:rPr>
        <w:t>the relation</w:t>
      </w:r>
      <w:r w:rsidR="00722604">
        <w:rPr>
          <w:szCs w:val="22"/>
          <w:lang w:val="en-US"/>
        </w:rPr>
        <w:t>ship between the stations</w:t>
      </w:r>
      <w:r w:rsidR="00AA246D">
        <w:rPr>
          <w:szCs w:val="22"/>
          <w:lang w:val="en-US"/>
        </w:rPr>
        <w:t xml:space="preserve"> </w:t>
      </w:r>
      <w:r w:rsidR="0020168A">
        <w:rPr>
          <w:szCs w:val="22"/>
          <w:lang w:val="en-US"/>
        </w:rPr>
        <w:t>in the future</w:t>
      </w:r>
      <w:r w:rsidR="003F44D5">
        <w:rPr>
          <w:szCs w:val="22"/>
          <w:lang w:val="en-US"/>
        </w:rPr>
        <w:t>.</w:t>
      </w:r>
      <w:r w:rsidR="001354FA">
        <w:rPr>
          <w:szCs w:val="22"/>
          <w:lang w:val="en-US"/>
        </w:rPr>
        <w:t xml:space="preserve">  There is no indication in the record that, absent the sharing arrangements and other financial arrangements with WMMP(TV)</w:t>
      </w:r>
      <w:r w:rsidR="009364D3">
        <w:rPr>
          <w:szCs w:val="22"/>
          <w:lang w:val="en-US"/>
        </w:rPr>
        <w:t xml:space="preserve"> that are being terminated</w:t>
      </w:r>
      <w:r w:rsidR="00AA246D">
        <w:rPr>
          <w:szCs w:val="22"/>
          <w:lang w:val="en-US"/>
        </w:rPr>
        <w:t xml:space="preserve">, WTAT-TV could not operate independently.  </w:t>
      </w:r>
      <w:r w:rsidR="009364D3">
        <w:rPr>
          <w:szCs w:val="22"/>
          <w:lang w:val="en-US"/>
        </w:rPr>
        <w:t>No</w:t>
      </w:r>
      <w:r w:rsidR="003E2E83">
        <w:rPr>
          <w:szCs w:val="22"/>
          <w:lang w:val="en-US"/>
        </w:rPr>
        <w:t xml:space="preserve"> new </w:t>
      </w:r>
      <w:r w:rsidR="009364D3">
        <w:rPr>
          <w:szCs w:val="22"/>
          <w:lang w:val="en-US"/>
        </w:rPr>
        <w:t>financial ties</w:t>
      </w:r>
      <w:r w:rsidR="003E2E83">
        <w:rPr>
          <w:szCs w:val="22"/>
          <w:lang w:val="en-US"/>
        </w:rPr>
        <w:t xml:space="preserve"> or sharing arrangement would be created as a result of this trans</w:t>
      </w:r>
      <w:r w:rsidR="00205009">
        <w:rPr>
          <w:szCs w:val="22"/>
          <w:lang w:val="en-US"/>
        </w:rPr>
        <w:t>action; indeed, the only changes</w:t>
      </w:r>
      <w:r w:rsidR="003E2E83">
        <w:rPr>
          <w:szCs w:val="22"/>
          <w:lang w:val="en-US"/>
        </w:rPr>
        <w:t xml:space="preserve"> are the elimination of</w:t>
      </w:r>
      <w:r w:rsidR="005E0617">
        <w:rPr>
          <w:szCs w:val="22"/>
          <w:lang w:val="en-US"/>
        </w:rPr>
        <w:t xml:space="preserve"> the LMA</w:t>
      </w:r>
      <w:r w:rsidR="00A27AF4">
        <w:rPr>
          <w:szCs w:val="22"/>
          <w:lang w:val="en-US"/>
        </w:rPr>
        <w:t xml:space="preserve"> </w:t>
      </w:r>
      <w:r w:rsidR="00516CAA">
        <w:rPr>
          <w:szCs w:val="22"/>
          <w:lang w:val="en-US"/>
        </w:rPr>
        <w:t xml:space="preserve">and </w:t>
      </w:r>
      <w:r w:rsidR="00205009">
        <w:rPr>
          <w:szCs w:val="22"/>
          <w:lang w:val="en-US"/>
        </w:rPr>
        <w:t xml:space="preserve">the parties’ certification </w:t>
      </w:r>
      <w:r w:rsidR="00516CAA">
        <w:rPr>
          <w:szCs w:val="22"/>
          <w:lang w:val="en-US"/>
        </w:rPr>
        <w:t xml:space="preserve">that Cunningham’s WTAT-TV </w:t>
      </w:r>
      <w:r w:rsidR="003E2E83">
        <w:rPr>
          <w:szCs w:val="22"/>
          <w:lang w:val="en-US"/>
        </w:rPr>
        <w:t>will now be a fully independent voice in</w:t>
      </w:r>
      <w:r w:rsidR="008623EF">
        <w:rPr>
          <w:szCs w:val="22"/>
          <w:lang w:val="en-US"/>
        </w:rPr>
        <w:t xml:space="preserve"> </w:t>
      </w:r>
      <w:r w:rsidR="00EE5758">
        <w:rPr>
          <w:szCs w:val="22"/>
          <w:lang w:val="en-US"/>
        </w:rPr>
        <w:t xml:space="preserve">the Charleston market.  </w:t>
      </w:r>
      <w:r w:rsidR="001B1789">
        <w:rPr>
          <w:szCs w:val="22"/>
          <w:lang w:val="en-US"/>
        </w:rPr>
        <w:t>However, given the history of</w:t>
      </w:r>
      <w:r w:rsidR="00A939C9">
        <w:rPr>
          <w:szCs w:val="22"/>
          <w:lang w:val="en-US"/>
        </w:rPr>
        <w:t xml:space="preserve"> the relationship between WMMP(TV) and WTAT-TV</w:t>
      </w:r>
      <w:r w:rsidR="001B1789">
        <w:rPr>
          <w:szCs w:val="22"/>
          <w:lang w:val="en-US"/>
        </w:rPr>
        <w:t xml:space="preserve">, we find that it </w:t>
      </w:r>
      <w:r w:rsidR="009364D3">
        <w:rPr>
          <w:szCs w:val="22"/>
          <w:lang w:val="en-US"/>
        </w:rPr>
        <w:t xml:space="preserve">is </w:t>
      </w:r>
      <w:r w:rsidR="001B1789">
        <w:rPr>
          <w:szCs w:val="22"/>
          <w:lang w:val="en-US"/>
        </w:rPr>
        <w:t>in the public interest to implement a reporting condition, as set forth below.</w:t>
      </w:r>
    </w:p>
    <w:p w:rsidR="00EA2442" w:rsidRPr="00EA2442" w:rsidRDefault="005D4F8D" w:rsidP="00EA2442">
      <w:pPr>
        <w:pStyle w:val="ParaNum"/>
      </w:pPr>
      <w:r w:rsidRPr="005F58CD">
        <w:rPr>
          <w:i/>
          <w:lang w:val="en-US"/>
        </w:rPr>
        <w:t>Retransmission Consent</w:t>
      </w:r>
      <w:r w:rsidRPr="005F58CD">
        <w:rPr>
          <w:i/>
        </w:rPr>
        <w:t xml:space="preserve">.  </w:t>
      </w:r>
      <w:r w:rsidRPr="00C438A3">
        <w:t xml:space="preserve">ACA asserts that the joint negotiation of retransmission consent agreements by broadcast television licensees in the same market harms cable operators by reducing their bargaining power and that the Commission should act to prohibit it.  </w:t>
      </w:r>
      <w:r w:rsidR="00707BF2" w:rsidRPr="005F58CD">
        <w:rPr>
          <w:lang w:val="en-US"/>
        </w:rPr>
        <w:t xml:space="preserve">Specifically, ACA is concerned that the transaction will allow Sinclair to jointly negotiate retransmission consent agreements for two top four stations in Charleston </w:t>
      </w:r>
      <w:r w:rsidR="00401A33" w:rsidRPr="005F58CD">
        <w:rPr>
          <w:lang w:val="en-US"/>
        </w:rPr>
        <w:t>and Harrisburg</w:t>
      </w:r>
      <w:r w:rsidR="00707BF2" w:rsidRPr="005F58CD">
        <w:rPr>
          <w:lang w:val="en-US"/>
        </w:rPr>
        <w:t xml:space="preserve">– WTAT-TV, the </w:t>
      </w:r>
      <w:r w:rsidR="00401A33" w:rsidRPr="005F58CD">
        <w:rPr>
          <w:lang w:val="en-US"/>
        </w:rPr>
        <w:t>Charleston FOX affiliate</w:t>
      </w:r>
      <w:r w:rsidR="00707BF2" w:rsidRPr="005F58CD">
        <w:rPr>
          <w:lang w:val="en-US"/>
        </w:rPr>
        <w:t xml:space="preserve"> owned by Cunningham and WCIV-TV, the </w:t>
      </w:r>
      <w:r w:rsidR="00A2099B" w:rsidRPr="005F58CD">
        <w:rPr>
          <w:lang w:val="en-US"/>
        </w:rPr>
        <w:t>Charleston</w:t>
      </w:r>
      <w:r w:rsidR="00401A33" w:rsidRPr="005F58CD">
        <w:rPr>
          <w:lang w:val="en-US"/>
        </w:rPr>
        <w:t xml:space="preserve"> </w:t>
      </w:r>
      <w:r w:rsidR="00707BF2" w:rsidRPr="005F58CD">
        <w:rPr>
          <w:lang w:val="en-US"/>
        </w:rPr>
        <w:t>ABC affiliate currently owned by Al</w:t>
      </w:r>
      <w:r w:rsidR="00A2099B" w:rsidRPr="005F58CD">
        <w:rPr>
          <w:lang w:val="en-US"/>
        </w:rPr>
        <w:t>l</w:t>
      </w:r>
      <w:r w:rsidR="00707BF2" w:rsidRPr="005F58CD">
        <w:rPr>
          <w:lang w:val="en-US"/>
        </w:rPr>
        <w:t>britton</w:t>
      </w:r>
      <w:r w:rsidR="00401A33" w:rsidRPr="005F58CD">
        <w:rPr>
          <w:lang w:val="en-US"/>
        </w:rPr>
        <w:t>; and WHP-TV, Sinclair’s Harrisburg CBS affiliate, and WHTM-TV, Al</w:t>
      </w:r>
      <w:r w:rsidR="00A2099B" w:rsidRPr="005F58CD">
        <w:rPr>
          <w:lang w:val="en-US"/>
        </w:rPr>
        <w:t>l</w:t>
      </w:r>
      <w:r w:rsidR="00401A33" w:rsidRPr="005F58CD">
        <w:rPr>
          <w:lang w:val="en-US"/>
        </w:rPr>
        <w:t>britton’s Harrisburg ABC affiliate</w:t>
      </w:r>
      <w:r w:rsidR="00707BF2" w:rsidRPr="005F58CD">
        <w:rPr>
          <w:lang w:val="en-US"/>
        </w:rPr>
        <w:t xml:space="preserve">. </w:t>
      </w:r>
      <w:r w:rsidR="00401A33" w:rsidRPr="005F58CD">
        <w:rPr>
          <w:lang w:val="en-US"/>
        </w:rPr>
        <w:t xml:space="preserve"> </w:t>
      </w:r>
      <w:r w:rsidRPr="005F58CD">
        <w:rPr>
          <w:lang w:val="en-US"/>
        </w:rPr>
        <w:t xml:space="preserve">Subsequent to the filing of ACA’s petition, this issue was addressed in the recently released </w:t>
      </w:r>
      <w:r w:rsidRPr="005F58CD">
        <w:rPr>
          <w:i/>
        </w:rPr>
        <w:t xml:space="preserve">Retransmission Consent </w:t>
      </w:r>
      <w:r w:rsidRPr="005F58CD">
        <w:rPr>
          <w:i/>
          <w:lang w:val="en-US"/>
        </w:rPr>
        <w:t>Report and Order</w:t>
      </w:r>
      <w:r w:rsidRPr="005F58CD">
        <w:rPr>
          <w:lang w:val="en-US"/>
        </w:rPr>
        <w:t>.</w:t>
      </w:r>
      <w:r w:rsidRPr="009351E2">
        <w:rPr>
          <w:rStyle w:val="FootnoteReference"/>
          <w:color w:val="000000"/>
          <w:szCs w:val="22"/>
          <w:lang w:val="en-US"/>
        </w:rPr>
        <w:footnoteReference w:id="71"/>
      </w:r>
      <w:r w:rsidRPr="00C438A3">
        <w:t xml:space="preserve">  </w:t>
      </w:r>
      <w:r w:rsidR="00AE247E" w:rsidRPr="005F58CD">
        <w:rPr>
          <w:color w:val="000000"/>
          <w:szCs w:val="22"/>
          <w:lang w:val="en-US"/>
        </w:rPr>
        <w:t>On March 31, 2014</w:t>
      </w:r>
      <w:r w:rsidR="00AE247E" w:rsidRPr="005F58CD">
        <w:rPr>
          <w:color w:val="000000"/>
          <w:szCs w:val="22"/>
        </w:rPr>
        <w:t>, the Commission adopted a rule that it is a violation of the duty to negotiate in good faith under Section 325 of</w:t>
      </w:r>
      <w:r w:rsidR="008623EF" w:rsidRPr="005F58CD">
        <w:rPr>
          <w:color w:val="000000"/>
          <w:szCs w:val="22"/>
          <w:lang w:val="en-US"/>
        </w:rPr>
        <w:t xml:space="preserve"> the </w:t>
      </w:r>
      <w:r w:rsidR="00AE247E" w:rsidRPr="005F58CD">
        <w:rPr>
          <w:color w:val="000000"/>
          <w:szCs w:val="22"/>
        </w:rPr>
        <w:t>Act for a television broadcast station that is ranked among the top four stations as measured by audience share to negotiate retransmission consent jointly with another such station, if the stations are not commonly owned and serve the same geographic market</w:t>
      </w:r>
      <w:r w:rsidRPr="005F58CD">
        <w:rPr>
          <w:lang w:val="en-US"/>
        </w:rPr>
        <w:t>.</w:t>
      </w:r>
      <w:r w:rsidRPr="009351E2">
        <w:rPr>
          <w:rStyle w:val="FootnoteReference"/>
          <w:color w:val="000000"/>
          <w:szCs w:val="22"/>
          <w:lang w:val="en-US"/>
        </w:rPr>
        <w:footnoteReference w:id="72"/>
      </w:r>
      <w:r w:rsidRPr="005F58CD">
        <w:rPr>
          <w:lang w:val="en-US"/>
        </w:rPr>
        <w:t xml:space="preserve">  </w:t>
      </w:r>
      <w:r w:rsidR="00AE7F20">
        <w:rPr>
          <w:lang w:val="en-US"/>
        </w:rPr>
        <w:t xml:space="preserve">Thus, </w:t>
      </w:r>
      <w:r w:rsidR="00401A33" w:rsidRPr="005F58CD">
        <w:rPr>
          <w:lang w:val="en-US"/>
        </w:rPr>
        <w:t>Sinclair is now prohibited by the Commission’s rules from conducting joint retransmission consent negotiations involving two top four stations</w:t>
      </w:r>
      <w:r w:rsidR="00BA4943">
        <w:rPr>
          <w:lang w:val="en-US"/>
        </w:rPr>
        <w:t xml:space="preserve"> that are not commonly owned</w:t>
      </w:r>
      <w:r w:rsidR="00401A33" w:rsidRPr="005F58CD">
        <w:rPr>
          <w:lang w:val="en-US"/>
        </w:rPr>
        <w:t xml:space="preserve">.  Moreover, in Harrisburg, Sinclair will </w:t>
      </w:r>
      <w:r w:rsidR="00AB06F0" w:rsidRPr="005F58CD">
        <w:rPr>
          <w:lang w:val="en-US"/>
        </w:rPr>
        <w:t xml:space="preserve">sell </w:t>
      </w:r>
      <w:r w:rsidR="00401A33" w:rsidRPr="005F58CD">
        <w:rPr>
          <w:lang w:val="en-US"/>
        </w:rPr>
        <w:t>the Al</w:t>
      </w:r>
      <w:r w:rsidR="00A2099B" w:rsidRPr="005F58CD">
        <w:rPr>
          <w:lang w:val="en-US"/>
        </w:rPr>
        <w:t>l</w:t>
      </w:r>
      <w:r w:rsidR="00401A33" w:rsidRPr="005F58CD">
        <w:rPr>
          <w:lang w:val="en-US"/>
        </w:rPr>
        <w:t xml:space="preserve">britton station to Media General, and in Charleston, Sinclair will </w:t>
      </w:r>
      <w:r w:rsidR="00AB06F0" w:rsidRPr="005F58CD">
        <w:rPr>
          <w:lang w:val="en-US"/>
        </w:rPr>
        <w:t xml:space="preserve">sever its ties </w:t>
      </w:r>
      <w:r w:rsidR="00401A33" w:rsidRPr="005F58CD">
        <w:rPr>
          <w:lang w:val="en-US"/>
        </w:rPr>
        <w:t>with WTAT-TV.</w:t>
      </w:r>
      <w:r w:rsidR="00AE7F20">
        <w:rPr>
          <w:lang w:val="en-US"/>
        </w:rPr>
        <w:t xml:space="preserve">  </w:t>
      </w:r>
      <w:r w:rsidRPr="005F58CD">
        <w:rPr>
          <w:lang w:val="en-US"/>
        </w:rPr>
        <w:t>We therefore dismiss ACA’s petition as moo</w:t>
      </w:r>
      <w:r w:rsidR="00AE247E" w:rsidRPr="005F58CD">
        <w:rPr>
          <w:lang w:val="en-US"/>
        </w:rPr>
        <w:t>t</w:t>
      </w:r>
      <w:r w:rsidR="00EA2442">
        <w:rPr>
          <w:lang w:val="en-US"/>
        </w:rPr>
        <w:t>.</w:t>
      </w:r>
    </w:p>
    <w:p w:rsidR="00EA2442" w:rsidRPr="00EA2442" w:rsidRDefault="00EA2442" w:rsidP="00EA2442">
      <w:pPr>
        <w:pStyle w:val="ParaNum"/>
      </w:pPr>
      <w:r w:rsidRPr="00EA2442">
        <w:rPr>
          <w:i/>
          <w:szCs w:val="22"/>
          <w:lang w:val="en-US"/>
        </w:rPr>
        <w:t>Character Allegations</w:t>
      </w:r>
      <w:r w:rsidRPr="00EA2442">
        <w:rPr>
          <w:i/>
          <w:szCs w:val="22"/>
        </w:rPr>
        <w:t xml:space="preserve">. </w:t>
      </w:r>
      <w:r w:rsidRPr="00EA2442">
        <w:rPr>
          <w:szCs w:val="22"/>
        </w:rPr>
        <w:t xml:space="preserve">Rainbow Push contends that there are outstanding character allegations against Sinclair that </w:t>
      </w:r>
      <w:r w:rsidRPr="00EA2442">
        <w:rPr>
          <w:szCs w:val="22"/>
          <w:lang w:val="en-US"/>
        </w:rPr>
        <w:t xml:space="preserve">should </w:t>
      </w:r>
      <w:r w:rsidRPr="00EA2442">
        <w:rPr>
          <w:szCs w:val="22"/>
        </w:rPr>
        <w:t xml:space="preserve">prevent it from serving as a Commission licensee. </w:t>
      </w:r>
      <w:r w:rsidRPr="00EA2442">
        <w:rPr>
          <w:szCs w:val="22"/>
          <w:lang w:val="en-US"/>
        </w:rPr>
        <w:t xml:space="preserve">These allegations have been raised piecemeal in a number of proceedings spanning a period of approximately fourteen years.  </w:t>
      </w:r>
      <w:r w:rsidRPr="00EA2442">
        <w:rPr>
          <w:color w:val="000000"/>
          <w:szCs w:val="22"/>
          <w:lang w:val="en-US"/>
        </w:rPr>
        <w:t>We have reviewed the allegations in detail and conclude that the character allegations raised by Rainbow Push fail to raise a substantial and material question of fact regarding Sinclair’s fitness  to</w:t>
      </w:r>
      <w:r w:rsidRPr="009017F8">
        <w:rPr>
          <w:color w:val="000000"/>
          <w:szCs w:val="22"/>
          <w:lang w:val="en-US"/>
        </w:rPr>
        <w:t xml:space="preserve"> acquire the stations at issue in this proceeding.</w:t>
      </w:r>
      <w:r>
        <w:rPr>
          <w:rStyle w:val="FootnoteReference"/>
          <w:color w:val="000000"/>
          <w:szCs w:val="22"/>
          <w:lang w:val="en-US"/>
        </w:rPr>
        <w:footnoteReference w:id="73"/>
      </w:r>
      <w:r w:rsidR="004B432B">
        <w:rPr>
          <w:color w:val="000000"/>
          <w:szCs w:val="22"/>
          <w:lang w:val="en-US"/>
        </w:rPr>
        <w:t xml:space="preserve">  </w:t>
      </w:r>
      <w:r w:rsidR="00897D52">
        <w:rPr>
          <w:color w:val="000000"/>
          <w:szCs w:val="22"/>
          <w:lang w:val="en-US"/>
        </w:rPr>
        <w:t xml:space="preserve">In the Charleston market, </w:t>
      </w:r>
      <w:r w:rsidR="004B432B">
        <w:rPr>
          <w:color w:val="000000"/>
          <w:szCs w:val="22"/>
          <w:lang w:val="en-US"/>
        </w:rPr>
        <w:t xml:space="preserve">however, </w:t>
      </w:r>
      <w:r w:rsidR="00897D52">
        <w:rPr>
          <w:color w:val="000000"/>
          <w:szCs w:val="22"/>
          <w:lang w:val="en-US"/>
        </w:rPr>
        <w:t xml:space="preserve">we have identified </w:t>
      </w:r>
      <w:r w:rsidRPr="00EA2442">
        <w:rPr>
          <w:color w:val="000000"/>
          <w:szCs w:val="22"/>
          <w:lang w:val="en-US"/>
        </w:rPr>
        <w:t xml:space="preserve">an apparent rule violation that we will address below, as well as in a separate order. </w:t>
      </w:r>
    </w:p>
    <w:p w:rsidR="00EA2442" w:rsidRPr="00922297" w:rsidRDefault="00922297" w:rsidP="00922297">
      <w:pPr>
        <w:pStyle w:val="ParaNum"/>
        <w:tabs>
          <w:tab w:val="num" w:pos="1440"/>
        </w:tabs>
        <w:rPr>
          <w:szCs w:val="22"/>
        </w:rPr>
      </w:pPr>
      <w:r>
        <w:rPr>
          <w:szCs w:val="22"/>
          <w:lang w:val="en-US"/>
        </w:rPr>
        <w:t xml:space="preserve">The character allegations Rainbow Push seeks to incorporate into this proceeding fall into five categories, namely that: (i) </w:t>
      </w:r>
      <w:r w:rsidRPr="002C2EB5">
        <w:rPr>
          <w:szCs w:val="22"/>
          <w:lang w:val="en-US"/>
        </w:rPr>
        <w:t xml:space="preserve">Sinclair exercised </w:t>
      </w:r>
      <w:r w:rsidRPr="00FB022E">
        <w:rPr>
          <w:i/>
          <w:szCs w:val="22"/>
          <w:lang w:val="en-US"/>
        </w:rPr>
        <w:t>de facto</w:t>
      </w:r>
      <w:r w:rsidRPr="002C2EB5">
        <w:rPr>
          <w:szCs w:val="22"/>
          <w:lang w:val="en-US"/>
        </w:rPr>
        <w:t xml:space="preserve"> control over Cunningham; (ii) Sinclair misrepresented or withheld facts in connection with the </w:t>
      </w:r>
      <w:r w:rsidRPr="002C2EB5">
        <w:rPr>
          <w:i/>
          <w:szCs w:val="22"/>
          <w:lang w:val="en-US"/>
        </w:rPr>
        <w:t>Edwards</w:t>
      </w:r>
      <w:r w:rsidRPr="002C2EB5">
        <w:rPr>
          <w:szCs w:val="22"/>
          <w:lang w:val="en-US"/>
        </w:rPr>
        <w:t xml:space="preserve"> litigation; (iii) Sinclair solicited </w:t>
      </w:r>
      <w:r w:rsidRPr="00FB022E">
        <w:rPr>
          <w:i/>
          <w:szCs w:val="22"/>
          <w:lang w:val="en-US"/>
        </w:rPr>
        <w:t>ex parte</w:t>
      </w:r>
      <w:r w:rsidRPr="002C2EB5">
        <w:rPr>
          <w:szCs w:val="22"/>
          <w:lang w:val="en-US"/>
        </w:rPr>
        <w:t xml:space="preserve"> communications in violation of Commission rules; (iv) Sinclair attempted to conceal or falsely report campaign contributions; and (v) Sinclair presented biased news coverage.</w:t>
      </w:r>
      <w:r w:rsidRPr="002C2EB5">
        <w:rPr>
          <w:rStyle w:val="FootnoteReference"/>
          <w:szCs w:val="22"/>
          <w:lang w:val="en-US"/>
        </w:rPr>
        <w:footnoteReference w:id="74"/>
      </w:r>
      <w:r>
        <w:rPr>
          <w:szCs w:val="22"/>
          <w:lang w:val="en-US"/>
        </w:rPr>
        <w:t xml:space="preserve">  </w:t>
      </w:r>
      <w:r w:rsidR="00EA2442" w:rsidRPr="00922297">
        <w:rPr>
          <w:szCs w:val="22"/>
          <w:lang w:val="en-US"/>
        </w:rPr>
        <w:t>The Media Bureau has previously concluded that</w:t>
      </w:r>
      <w:r w:rsidR="00FB022E">
        <w:rPr>
          <w:szCs w:val="22"/>
          <w:lang w:val="en-US"/>
        </w:rPr>
        <w:t xml:space="preserve"> all of</w:t>
      </w:r>
      <w:r w:rsidR="00EA2442" w:rsidRPr="00922297">
        <w:rPr>
          <w:szCs w:val="22"/>
          <w:lang w:val="en-US"/>
        </w:rPr>
        <w:t xml:space="preserve"> </w:t>
      </w:r>
      <w:r w:rsidR="00D36CA3" w:rsidRPr="00922297">
        <w:rPr>
          <w:szCs w:val="22"/>
          <w:lang w:val="en-US"/>
        </w:rPr>
        <w:t>the</w:t>
      </w:r>
      <w:r w:rsidR="00774606">
        <w:rPr>
          <w:szCs w:val="22"/>
          <w:lang w:val="en-US"/>
        </w:rPr>
        <w:t>se categories of</w:t>
      </w:r>
      <w:r w:rsidR="00D36CA3" w:rsidRPr="00922297">
        <w:rPr>
          <w:szCs w:val="22"/>
          <w:lang w:val="en-US"/>
        </w:rPr>
        <w:t xml:space="preserve"> </w:t>
      </w:r>
      <w:r w:rsidR="00EA2442" w:rsidRPr="00922297">
        <w:rPr>
          <w:szCs w:val="22"/>
          <w:lang w:val="en-US"/>
        </w:rPr>
        <w:t>allegations are without merit</w:t>
      </w:r>
      <w:r w:rsidR="00591A9C">
        <w:rPr>
          <w:rStyle w:val="FootnoteReference"/>
          <w:szCs w:val="22"/>
          <w:lang w:val="en-US"/>
        </w:rPr>
        <w:footnoteReference w:id="75"/>
      </w:r>
      <w:r w:rsidR="00EA2442" w:rsidRPr="00922297">
        <w:rPr>
          <w:szCs w:val="22"/>
          <w:lang w:val="en-US"/>
        </w:rPr>
        <w:t xml:space="preserve"> but we reprise </w:t>
      </w:r>
      <w:r>
        <w:rPr>
          <w:szCs w:val="22"/>
          <w:lang w:val="en-US"/>
        </w:rPr>
        <w:t xml:space="preserve">and expand </w:t>
      </w:r>
      <w:r w:rsidR="00EA2442" w:rsidRPr="00922297">
        <w:rPr>
          <w:szCs w:val="22"/>
          <w:lang w:val="en-US"/>
        </w:rPr>
        <w:t>our discussion</w:t>
      </w:r>
      <w:r w:rsidR="00FB022E">
        <w:rPr>
          <w:szCs w:val="22"/>
          <w:lang w:val="en-US"/>
        </w:rPr>
        <w:t xml:space="preserve"> of certain of these allegations</w:t>
      </w:r>
      <w:r w:rsidR="00EA2442" w:rsidRPr="00922297">
        <w:rPr>
          <w:szCs w:val="22"/>
          <w:lang w:val="en-US"/>
        </w:rPr>
        <w:t xml:space="preserve"> here.</w:t>
      </w:r>
    </w:p>
    <w:p w:rsidR="00EA2442" w:rsidRPr="00EF05FE" w:rsidRDefault="00EA2442" w:rsidP="00EA2442">
      <w:pPr>
        <w:pStyle w:val="ParaNum"/>
        <w:rPr>
          <w:rFonts w:ascii="Verdana" w:hAnsi="Verdana"/>
          <w:sz w:val="19"/>
          <w:szCs w:val="19"/>
        </w:rPr>
      </w:pPr>
      <w:r>
        <w:t xml:space="preserve">As noted in the </w:t>
      </w:r>
      <w:r w:rsidRPr="00E56897">
        <w:rPr>
          <w:i/>
        </w:rPr>
        <w:t>2004 Letter Decision</w:t>
      </w:r>
      <w:r>
        <w:t>, Rainbow Push’s contentions</w:t>
      </w:r>
      <w:r>
        <w:rPr>
          <w:lang w:val="en-US"/>
        </w:rPr>
        <w:t xml:space="preserve"> regarding </w:t>
      </w:r>
      <w:r w:rsidRPr="00EF05FE">
        <w:rPr>
          <w:i/>
          <w:lang w:val="en-US"/>
        </w:rPr>
        <w:t>de facto</w:t>
      </w:r>
      <w:r>
        <w:rPr>
          <w:lang w:val="en-US"/>
        </w:rPr>
        <w:t xml:space="preserve"> control</w:t>
      </w:r>
      <w:r>
        <w:t xml:space="preserve"> related to the financial and operational relationship between Sinclair and Cunningham, including the existence of LMAs between the entities in various markets.</w:t>
      </w:r>
      <w:r>
        <w:rPr>
          <w:rStyle w:val="FootnoteReference"/>
        </w:rPr>
        <w:footnoteReference w:id="76"/>
      </w:r>
      <w:r w:rsidR="00FF5357">
        <w:t xml:space="preserve">  The Bureau</w:t>
      </w:r>
      <w:r>
        <w:t xml:space="preserve"> concluded that Rainbow Push had not provided evidence sufficient to show that Sinclair exercised </w:t>
      </w:r>
      <w:r w:rsidRPr="00EF05FE">
        <w:rPr>
          <w:i/>
        </w:rPr>
        <w:t>de facto</w:t>
      </w:r>
      <w:r>
        <w:t xml:space="preserve"> control over Cunningham, specifically noting that the LMAs between Sinclair and Cunningham had been in place for five years and had been favorably reviewed by the Commission in </w:t>
      </w:r>
      <w:r w:rsidRPr="00EF05FE">
        <w:rPr>
          <w:i/>
        </w:rPr>
        <w:t>Glencairn Ltd.</w:t>
      </w:r>
      <w:r>
        <w:rPr>
          <w:rStyle w:val="FootnoteReference"/>
          <w:i/>
        </w:rPr>
        <w:footnoteReference w:id="77"/>
      </w:r>
      <w:r w:rsidRPr="00EF05FE">
        <w:rPr>
          <w:i/>
        </w:rPr>
        <w:t xml:space="preserve">  </w:t>
      </w:r>
    </w:p>
    <w:p w:rsidR="00EA2442" w:rsidRPr="00EF05FE" w:rsidRDefault="00EA2442" w:rsidP="00EA2442">
      <w:pPr>
        <w:pStyle w:val="ParaNum"/>
        <w:rPr>
          <w:rFonts w:ascii="Verdana" w:hAnsi="Verdana"/>
          <w:sz w:val="19"/>
          <w:szCs w:val="19"/>
        </w:rPr>
      </w:pPr>
      <w:r>
        <w:rPr>
          <w:color w:val="000000"/>
          <w:szCs w:val="22"/>
          <w:lang w:val="en-US"/>
        </w:rPr>
        <w:t xml:space="preserve">Rainbow Push </w:t>
      </w:r>
      <w:r w:rsidR="00591A9C">
        <w:rPr>
          <w:color w:val="000000"/>
          <w:szCs w:val="22"/>
          <w:lang w:val="en-US"/>
        </w:rPr>
        <w:t xml:space="preserve">also </w:t>
      </w:r>
      <w:r>
        <w:rPr>
          <w:color w:val="000000"/>
          <w:szCs w:val="22"/>
          <w:lang w:val="en-US"/>
        </w:rPr>
        <w:t xml:space="preserve">contends several of its allegations </w:t>
      </w:r>
      <w:r w:rsidRPr="00EF05FE">
        <w:rPr>
          <w:color w:val="000000"/>
          <w:szCs w:val="22"/>
          <w:lang w:val="en-US"/>
        </w:rPr>
        <w:t xml:space="preserve">were not </w:t>
      </w:r>
      <w:r>
        <w:rPr>
          <w:color w:val="000000"/>
          <w:szCs w:val="22"/>
          <w:lang w:val="en-US"/>
        </w:rPr>
        <w:t xml:space="preserve">specifically </w:t>
      </w:r>
      <w:r w:rsidRPr="00EF05FE">
        <w:rPr>
          <w:color w:val="000000"/>
          <w:szCs w:val="22"/>
          <w:lang w:val="en-US"/>
        </w:rPr>
        <w:t xml:space="preserve">addressed in the </w:t>
      </w:r>
      <w:r w:rsidRPr="00EF05FE">
        <w:rPr>
          <w:i/>
          <w:color w:val="000000"/>
          <w:szCs w:val="22"/>
          <w:lang w:val="en-US"/>
        </w:rPr>
        <w:t>2004 Letter Decision</w:t>
      </w:r>
      <w:r>
        <w:rPr>
          <w:color w:val="000000"/>
          <w:szCs w:val="22"/>
          <w:lang w:val="en-US"/>
        </w:rPr>
        <w:t xml:space="preserve">.  </w:t>
      </w:r>
      <w:r w:rsidR="00774606">
        <w:rPr>
          <w:color w:val="000000"/>
          <w:szCs w:val="22"/>
          <w:lang w:val="en-US"/>
        </w:rPr>
        <w:t xml:space="preserve">For example, </w:t>
      </w:r>
      <w:r>
        <w:rPr>
          <w:color w:val="000000"/>
          <w:szCs w:val="22"/>
          <w:lang w:val="en-US"/>
        </w:rPr>
        <w:t>Rainbow Push alleges</w:t>
      </w:r>
      <w:r w:rsidRPr="00EF05FE">
        <w:rPr>
          <w:color w:val="000000"/>
          <w:szCs w:val="22"/>
          <w:lang w:val="en-US"/>
        </w:rPr>
        <w:t xml:space="preserve"> that Sinclair solicited </w:t>
      </w:r>
      <w:r w:rsidRPr="00EF05FE">
        <w:rPr>
          <w:i/>
          <w:color w:val="000000"/>
          <w:szCs w:val="22"/>
          <w:lang w:val="en-US"/>
        </w:rPr>
        <w:t>ex parte</w:t>
      </w:r>
      <w:r w:rsidRPr="00EF05FE">
        <w:rPr>
          <w:color w:val="000000"/>
          <w:szCs w:val="22"/>
          <w:lang w:val="en-US"/>
        </w:rPr>
        <w:t xml:space="preserve"> presentations from members of Congress in the Edwards litigation, and after receiving copies of </w:t>
      </w:r>
      <w:r w:rsidRPr="00EF05FE">
        <w:rPr>
          <w:i/>
          <w:color w:val="000000"/>
          <w:szCs w:val="22"/>
          <w:lang w:val="en-US"/>
        </w:rPr>
        <w:t xml:space="preserve">ex parte </w:t>
      </w:r>
      <w:r w:rsidRPr="00EF05FE">
        <w:rPr>
          <w:color w:val="000000"/>
          <w:szCs w:val="22"/>
          <w:lang w:val="en-US"/>
        </w:rPr>
        <w:t>communications, failed to cure these violations.</w:t>
      </w:r>
      <w:r>
        <w:rPr>
          <w:rStyle w:val="FootnoteReference"/>
          <w:color w:val="000000"/>
          <w:szCs w:val="22"/>
          <w:lang w:val="en-US"/>
        </w:rPr>
        <w:footnoteReference w:id="78"/>
      </w:r>
      <w:r w:rsidRPr="00EF05FE">
        <w:rPr>
          <w:color w:val="000000"/>
          <w:szCs w:val="22"/>
          <w:lang w:val="en-US"/>
        </w:rPr>
        <w:t xml:space="preserve"> None of the supposed </w:t>
      </w:r>
      <w:r w:rsidRPr="0056283C">
        <w:rPr>
          <w:i/>
          <w:color w:val="000000"/>
          <w:szCs w:val="22"/>
          <w:lang w:val="en-US"/>
        </w:rPr>
        <w:t xml:space="preserve">ex parte </w:t>
      </w:r>
      <w:r w:rsidRPr="00EF05FE">
        <w:rPr>
          <w:color w:val="000000"/>
          <w:szCs w:val="22"/>
          <w:lang w:val="en-US"/>
        </w:rPr>
        <w:t>letters addressed the merits of any proceeding and all were described as status inquiries, which are proper under our rules.</w:t>
      </w:r>
      <w:r>
        <w:rPr>
          <w:rStyle w:val="FootnoteReference"/>
          <w:color w:val="000000"/>
          <w:szCs w:val="22"/>
          <w:lang w:val="en-US"/>
        </w:rPr>
        <w:footnoteReference w:id="79"/>
      </w:r>
      <w:r w:rsidRPr="00EF05FE">
        <w:rPr>
          <w:color w:val="000000"/>
          <w:szCs w:val="22"/>
          <w:lang w:val="en-US"/>
        </w:rPr>
        <w:t xml:space="preserve"> Moreover, because the Commission served all parties with copies of the communications, </w:t>
      </w:r>
      <w:r w:rsidR="00FF5357">
        <w:rPr>
          <w:color w:val="000000"/>
          <w:szCs w:val="22"/>
          <w:lang w:val="en-US"/>
        </w:rPr>
        <w:t xml:space="preserve">there was nothing further that </w:t>
      </w:r>
      <w:r w:rsidRPr="00EF05FE">
        <w:rPr>
          <w:color w:val="000000"/>
          <w:szCs w:val="22"/>
          <w:lang w:val="en-US"/>
        </w:rPr>
        <w:t xml:space="preserve">Sinclair could </w:t>
      </w:r>
      <w:r w:rsidR="00FF5357">
        <w:rPr>
          <w:color w:val="000000"/>
          <w:szCs w:val="22"/>
          <w:lang w:val="en-US"/>
        </w:rPr>
        <w:t xml:space="preserve">have done to cure </w:t>
      </w:r>
      <w:r w:rsidRPr="00EF05FE">
        <w:rPr>
          <w:color w:val="000000"/>
          <w:szCs w:val="22"/>
          <w:lang w:val="en-US"/>
        </w:rPr>
        <w:t>any violation that might have</w:t>
      </w:r>
      <w:r>
        <w:rPr>
          <w:color w:val="000000"/>
          <w:szCs w:val="22"/>
          <w:lang w:val="en-US"/>
        </w:rPr>
        <w:t xml:space="preserve"> occurred.  We conclude that Rainbow Push</w:t>
      </w:r>
      <w:r w:rsidRPr="00EF05FE">
        <w:rPr>
          <w:color w:val="000000"/>
          <w:szCs w:val="22"/>
          <w:lang w:val="en-US"/>
        </w:rPr>
        <w:t xml:space="preserve"> has </w:t>
      </w:r>
      <w:r w:rsidR="00FF5357">
        <w:rPr>
          <w:color w:val="000000"/>
          <w:szCs w:val="22"/>
          <w:lang w:val="en-US"/>
        </w:rPr>
        <w:t xml:space="preserve">not established a </w:t>
      </w:r>
      <w:r w:rsidR="00FF5357" w:rsidRPr="00FF5357">
        <w:rPr>
          <w:i/>
          <w:color w:val="000000"/>
          <w:szCs w:val="22"/>
          <w:lang w:val="en-US"/>
        </w:rPr>
        <w:t>prima facie</w:t>
      </w:r>
      <w:r w:rsidR="00FF5357">
        <w:rPr>
          <w:color w:val="000000"/>
          <w:szCs w:val="22"/>
          <w:lang w:val="en-US"/>
        </w:rPr>
        <w:t xml:space="preserve"> case </w:t>
      </w:r>
      <w:r w:rsidRPr="00EF05FE">
        <w:rPr>
          <w:color w:val="000000"/>
          <w:szCs w:val="22"/>
          <w:lang w:val="en-US"/>
        </w:rPr>
        <w:t xml:space="preserve">that Sinclair enticed members of Congress to file communications on an </w:t>
      </w:r>
      <w:r w:rsidRPr="00EF05FE">
        <w:rPr>
          <w:i/>
          <w:color w:val="000000"/>
          <w:szCs w:val="22"/>
          <w:lang w:val="en-US"/>
        </w:rPr>
        <w:t>ex parte</w:t>
      </w:r>
      <w:r w:rsidRPr="00EF05FE">
        <w:rPr>
          <w:color w:val="000000"/>
          <w:szCs w:val="22"/>
          <w:lang w:val="en-US"/>
        </w:rPr>
        <w:t xml:space="preserve"> basis</w:t>
      </w:r>
      <w:r w:rsidR="00FF5357">
        <w:rPr>
          <w:color w:val="000000"/>
          <w:szCs w:val="22"/>
          <w:lang w:val="en-US"/>
        </w:rPr>
        <w:t>.</w:t>
      </w:r>
    </w:p>
    <w:p w:rsidR="00EA2442" w:rsidRPr="00EF05FE" w:rsidRDefault="00EA2442" w:rsidP="00EA2442">
      <w:pPr>
        <w:pStyle w:val="ParaNum"/>
        <w:rPr>
          <w:rFonts w:ascii="Verdana" w:hAnsi="Verdana"/>
          <w:sz w:val="19"/>
          <w:szCs w:val="19"/>
        </w:rPr>
      </w:pPr>
      <w:r>
        <w:rPr>
          <w:szCs w:val="22"/>
          <w:lang w:val="en-US"/>
        </w:rPr>
        <w:t>Rainbow Push</w:t>
      </w:r>
      <w:r w:rsidRPr="00EF05FE">
        <w:rPr>
          <w:szCs w:val="22"/>
          <w:lang w:val="en-US"/>
        </w:rPr>
        <w:t xml:space="preserve"> further alleges that Sinclair attempted to conceal or falsely report campaign contributions to a candidate in the 2002 Maryland gubernatorial election.  </w:t>
      </w:r>
      <w:r w:rsidRPr="00EF05FE">
        <w:rPr>
          <w:color w:val="000000"/>
          <w:szCs w:val="22"/>
        </w:rPr>
        <w:t>The Commission will only review non-FCC misconduct of an applicant</w:t>
      </w:r>
      <w:r w:rsidR="00D36CA3">
        <w:rPr>
          <w:color w:val="000000"/>
          <w:szCs w:val="22"/>
          <w:lang w:val="en-US"/>
        </w:rPr>
        <w:t xml:space="preserve"> only</w:t>
      </w:r>
      <w:r w:rsidRPr="00EF05FE">
        <w:rPr>
          <w:color w:val="000000"/>
          <w:szCs w:val="22"/>
        </w:rPr>
        <w:t xml:space="preserve"> if the misconduct has been adjudicated.</w:t>
      </w:r>
      <w:r>
        <w:rPr>
          <w:rStyle w:val="FootnoteReference"/>
          <w:color w:val="000000"/>
          <w:szCs w:val="22"/>
        </w:rPr>
        <w:footnoteReference w:id="80"/>
      </w:r>
      <w:r w:rsidRPr="00EF05FE">
        <w:rPr>
          <w:color w:val="000000"/>
          <w:szCs w:val="22"/>
        </w:rPr>
        <w:t xml:space="preserve">  </w:t>
      </w:r>
      <w:r w:rsidRPr="00EF05FE">
        <w:rPr>
          <w:color w:val="000000"/>
          <w:szCs w:val="22"/>
          <w:lang w:val="en-US"/>
        </w:rPr>
        <w:t>This means “t</w:t>
      </w:r>
      <w:r w:rsidRPr="00EF05FE">
        <w:rPr>
          <w:color w:val="000000"/>
          <w:szCs w:val="22"/>
        </w:rPr>
        <w:t xml:space="preserve">here must be an ultimate adjudication by an appropriate trier of fact, either by a government agency or court, before we will </w:t>
      </w:r>
      <w:bookmarkStart w:id="15" w:name="sp_1511_6318"/>
      <w:bookmarkStart w:id="16" w:name="SDU_6318"/>
      <w:bookmarkStart w:id="17" w:name="citeas((Cite_as:_28_F.C.C.R._6312,_*6318"/>
      <w:bookmarkEnd w:id="15"/>
      <w:bookmarkEnd w:id="16"/>
      <w:bookmarkEnd w:id="17"/>
      <w:r w:rsidRPr="00EF05FE">
        <w:rPr>
          <w:color w:val="000000"/>
          <w:szCs w:val="22"/>
        </w:rPr>
        <w:t>consider the activity in our character determinations.</w:t>
      </w:r>
      <w:r w:rsidRPr="00EF05FE">
        <w:rPr>
          <w:color w:val="000000"/>
          <w:szCs w:val="22"/>
          <w:lang w:val="en-US"/>
        </w:rPr>
        <w:t>”</w:t>
      </w:r>
      <w:r>
        <w:rPr>
          <w:rStyle w:val="FootnoteReference"/>
          <w:color w:val="000000"/>
          <w:szCs w:val="22"/>
          <w:lang w:val="en-US"/>
        </w:rPr>
        <w:footnoteReference w:id="81"/>
      </w:r>
      <w:r w:rsidRPr="00EF05FE">
        <w:rPr>
          <w:color w:val="000000"/>
          <w:szCs w:val="22"/>
          <w:lang w:val="en-US"/>
        </w:rPr>
        <w:t xml:space="preserve">  </w:t>
      </w:r>
      <w:r w:rsidRPr="00EF05FE">
        <w:rPr>
          <w:color w:val="000000"/>
          <w:szCs w:val="22"/>
        </w:rPr>
        <w:t xml:space="preserve">None of the allegations raised by </w:t>
      </w:r>
      <w:r>
        <w:rPr>
          <w:color w:val="000000"/>
          <w:szCs w:val="22"/>
          <w:lang w:val="en-US"/>
        </w:rPr>
        <w:t>Rainbow Push</w:t>
      </w:r>
      <w:r w:rsidRPr="00EF05FE">
        <w:rPr>
          <w:color w:val="000000"/>
          <w:szCs w:val="22"/>
        </w:rPr>
        <w:t xml:space="preserve"> here involves adjudicated misconduct</w:t>
      </w:r>
      <w:r w:rsidRPr="00EF05FE">
        <w:rPr>
          <w:color w:val="000000"/>
          <w:szCs w:val="22"/>
          <w:lang w:val="en-US"/>
        </w:rPr>
        <w:t>, and therefore</w:t>
      </w:r>
      <w:r w:rsidRPr="00EF05FE">
        <w:rPr>
          <w:color w:val="000000"/>
          <w:szCs w:val="22"/>
        </w:rPr>
        <w:t xml:space="preserve"> there is no basis in the record for us to</w:t>
      </w:r>
      <w:r w:rsidR="00FF5357">
        <w:rPr>
          <w:color w:val="000000"/>
          <w:szCs w:val="22"/>
          <w:lang w:val="en-US"/>
        </w:rPr>
        <w:t xml:space="preserve"> deny the transfer for applications or designate them for hearing based on the allegations raised by Petitioners at this time.</w:t>
      </w:r>
      <w:r>
        <w:rPr>
          <w:rStyle w:val="FootnoteReference"/>
          <w:color w:val="000000"/>
          <w:szCs w:val="22"/>
          <w:lang w:val="en-US"/>
        </w:rPr>
        <w:footnoteReference w:id="82"/>
      </w:r>
      <w:r w:rsidRPr="00EF05FE">
        <w:rPr>
          <w:color w:val="000000"/>
          <w:szCs w:val="22"/>
          <w:lang w:val="en-US"/>
        </w:rPr>
        <w:t xml:space="preserve"> </w:t>
      </w:r>
    </w:p>
    <w:p w:rsidR="00EA2442" w:rsidRPr="00EF05FE" w:rsidRDefault="00EA2442" w:rsidP="00EA2442">
      <w:pPr>
        <w:pStyle w:val="ParaNum"/>
        <w:rPr>
          <w:rFonts w:ascii="Verdana" w:hAnsi="Verdana"/>
          <w:sz w:val="19"/>
          <w:szCs w:val="19"/>
        </w:rPr>
      </w:pPr>
      <w:r>
        <w:rPr>
          <w:szCs w:val="22"/>
          <w:lang w:val="en-US"/>
        </w:rPr>
        <w:t>Rainbow Push</w:t>
      </w:r>
      <w:r w:rsidRPr="00EF05FE">
        <w:rPr>
          <w:szCs w:val="22"/>
          <w:lang w:val="en-US"/>
        </w:rPr>
        <w:t xml:space="preserve"> finally contends that WBFF-TV should have disclosed to its audience as part of its gubernatorial campaign coverage that Sinclair made contributions to one of the candidates.</w:t>
      </w:r>
      <w:r>
        <w:rPr>
          <w:szCs w:val="22"/>
          <w:lang w:val="en-US"/>
        </w:rPr>
        <w:t xml:space="preserve">  Rainbow Push</w:t>
      </w:r>
      <w:r w:rsidRPr="00EF05FE">
        <w:rPr>
          <w:szCs w:val="22"/>
          <w:lang w:val="en-US"/>
        </w:rPr>
        <w:t xml:space="preserve"> has failed to</w:t>
      </w:r>
      <w:r w:rsidR="00FF5357">
        <w:rPr>
          <w:szCs w:val="22"/>
          <w:lang w:val="en-US"/>
        </w:rPr>
        <w:t xml:space="preserve"> establish a </w:t>
      </w:r>
      <w:r w:rsidR="00FF5357" w:rsidRPr="00FB022E">
        <w:rPr>
          <w:i/>
          <w:szCs w:val="22"/>
          <w:lang w:val="en-US"/>
        </w:rPr>
        <w:t>prima facie</w:t>
      </w:r>
      <w:r w:rsidR="00FF5357">
        <w:rPr>
          <w:szCs w:val="22"/>
          <w:lang w:val="en-US"/>
        </w:rPr>
        <w:t xml:space="preserve"> case with respect to the allegations because they are based on speculation and hearsay</w:t>
      </w:r>
      <w:r>
        <w:rPr>
          <w:szCs w:val="22"/>
          <w:lang w:val="en-US"/>
        </w:rPr>
        <w:t>.</w:t>
      </w:r>
      <w:r w:rsidR="00FB022E">
        <w:rPr>
          <w:rStyle w:val="FootnoteReference"/>
          <w:szCs w:val="22"/>
          <w:lang w:val="en-US"/>
        </w:rPr>
        <w:footnoteReference w:id="83"/>
      </w:r>
      <w:r>
        <w:rPr>
          <w:szCs w:val="22"/>
          <w:lang w:val="en-US"/>
        </w:rPr>
        <w:t xml:space="preserve"> </w:t>
      </w:r>
      <w:r w:rsidR="00AE7F20">
        <w:rPr>
          <w:szCs w:val="22"/>
          <w:lang w:val="en-US"/>
        </w:rPr>
        <w:t xml:space="preserve"> </w:t>
      </w:r>
      <w:r>
        <w:rPr>
          <w:szCs w:val="22"/>
          <w:lang w:val="en-US"/>
        </w:rPr>
        <w:t>We further note that Rainbow Push</w:t>
      </w:r>
      <w:r w:rsidRPr="00EF05FE">
        <w:rPr>
          <w:szCs w:val="22"/>
          <w:lang w:val="en-US"/>
        </w:rPr>
        <w:t xml:space="preserve"> has not cited any Commission rule that such contributions</w:t>
      </w:r>
      <w:r w:rsidR="00FB022E">
        <w:rPr>
          <w:szCs w:val="22"/>
          <w:lang w:val="en-US"/>
        </w:rPr>
        <w:t xml:space="preserve"> or nondisclosure</w:t>
      </w:r>
      <w:r w:rsidRPr="00EF05FE">
        <w:rPr>
          <w:szCs w:val="22"/>
          <w:lang w:val="en-US"/>
        </w:rPr>
        <w:t xml:space="preserve"> would violate.  </w:t>
      </w:r>
      <w:r w:rsidRPr="00EF05FE">
        <w:rPr>
          <w:color w:val="000000"/>
          <w:szCs w:val="22"/>
        </w:rPr>
        <w:t>The choice of what is or is not to be covered in the presentation of broadcast news is a matter committed to the licensee’s good faith discretion.</w:t>
      </w:r>
    </w:p>
    <w:p w:rsidR="00EA2442" w:rsidRPr="002963E2" w:rsidRDefault="00EA2442" w:rsidP="00EA2442">
      <w:pPr>
        <w:pStyle w:val="ParaNum"/>
        <w:rPr>
          <w:szCs w:val="22"/>
        </w:rPr>
      </w:pPr>
      <w:r w:rsidRPr="002963E2">
        <w:rPr>
          <w:szCs w:val="22"/>
          <w:lang w:val="en-US"/>
        </w:rPr>
        <w:t>With respect to all of the character allegations</w:t>
      </w:r>
      <w:r>
        <w:rPr>
          <w:szCs w:val="22"/>
          <w:lang w:val="en-US"/>
        </w:rPr>
        <w:t xml:space="preserve"> raised by Rainbow Push</w:t>
      </w:r>
      <w:r w:rsidRPr="002963E2">
        <w:rPr>
          <w:szCs w:val="22"/>
          <w:lang w:val="en-US"/>
        </w:rPr>
        <w:t xml:space="preserve">, including the </w:t>
      </w:r>
      <w:r w:rsidR="00FB022E">
        <w:rPr>
          <w:szCs w:val="22"/>
          <w:lang w:val="en-US"/>
        </w:rPr>
        <w:t xml:space="preserve">unsupported </w:t>
      </w:r>
      <w:r w:rsidRPr="002963E2">
        <w:rPr>
          <w:szCs w:val="22"/>
          <w:lang w:val="en-US"/>
        </w:rPr>
        <w:t xml:space="preserve">contention that Sinclair and/or Cunningham has failed to provide material information to the </w:t>
      </w:r>
      <w:r>
        <w:rPr>
          <w:szCs w:val="22"/>
          <w:lang w:val="en-US"/>
        </w:rPr>
        <w:t>Commission, we conclude that Rainbow Push</w:t>
      </w:r>
      <w:r w:rsidRPr="002963E2">
        <w:rPr>
          <w:szCs w:val="22"/>
          <w:lang w:val="en-US"/>
        </w:rPr>
        <w:t xml:space="preserve"> </w:t>
      </w:r>
      <w:r w:rsidRPr="002963E2">
        <w:rPr>
          <w:szCs w:val="22"/>
        </w:rPr>
        <w:t xml:space="preserve">has </w:t>
      </w:r>
      <w:r w:rsidRPr="002963E2">
        <w:rPr>
          <w:szCs w:val="22"/>
          <w:lang w:val="en-US"/>
        </w:rPr>
        <w:t xml:space="preserve">failed to </w:t>
      </w:r>
      <w:r w:rsidR="00FB022E">
        <w:rPr>
          <w:szCs w:val="22"/>
          <w:lang w:val="en-US"/>
        </w:rPr>
        <w:t xml:space="preserve">establish a </w:t>
      </w:r>
      <w:r w:rsidR="00FB022E" w:rsidRPr="00FB022E">
        <w:rPr>
          <w:i/>
          <w:szCs w:val="22"/>
          <w:lang w:val="en-US"/>
        </w:rPr>
        <w:t>prima facie</w:t>
      </w:r>
      <w:r w:rsidR="00FB022E">
        <w:rPr>
          <w:szCs w:val="22"/>
          <w:lang w:val="en-US"/>
        </w:rPr>
        <w:t xml:space="preserve"> case, supported by affidavits, sufficient to show </w:t>
      </w:r>
      <w:r w:rsidRPr="002963E2">
        <w:rPr>
          <w:szCs w:val="22"/>
        </w:rPr>
        <w:t xml:space="preserve">that grant of the applications </w:t>
      </w:r>
      <w:r w:rsidRPr="002963E2">
        <w:rPr>
          <w:szCs w:val="22"/>
          <w:lang w:val="en-US"/>
        </w:rPr>
        <w:t>would be</w:t>
      </w:r>
      <w:r w:rsidRPr="002963E2">
        <w:rPr>
          <w:szCs w:val="22"/>
        </w:rPr>
        <w:t xml:space="preserve"> inconsistent with the public interest</w:t>
      </w:r>
      <w:r w:rsidRPr="002963E2">
        <w:rPr>
          <w:szCs w:val="22"/>
          <w:lang w:val="en-US"/>
        </w:rPr>
        <w:t xml:space="preserve">.  </w:t>
      </w:r>
    </w:p>
    <w:p w:rsidR="00EA2442" w:rsidRPr="004D2CF9" w:rsidRDefault="00EA2442" w:rsidP="00EA2442">
      <w:pPr>
        <w:pStyle w:val="ParaNum"/>
        <w:tabs>
          <w:tab w:val="num" w:pos="1260"/>
        </w:tabs>
        <w:ind w:firstLine="806"/>
        <w:rPr>
          <w:szCs w:val="22"/>
        </w:rPr>
      </w:pPr>
      <w:r w:rsidRPr="004D2CF9">
        <w:rPr>
          <w:szCs w:val="22"/>
          <w:lang w:val="en-US"/>
        </w:rPr>
        <w:t xml:space="preserve">However, we do have concerns regarding an LMA that had existed between Sinclair and Cunningham in the Charleston market.  </w:t>
      </w:r>
      <w:r w:rsidRPr="004D2CF9">
        <w:rPr>
          <w:color w:val="000000"/>
          <w:szCs w:val="22"/>
          <w:lang w:val="en-US"/>
        </w:rPr>
        <w:t xml:space="preserve">We believe that the facts show </w:t>
      </w:r>
      <w:r w:rsidRPr="004D2CF9">
        <w:rPr>
          <w:color w:val="000000"/>
          <w:szCs w:val="22"/>
        </w:rPr>
        <w:t>that Sinclair</w:t>
      </w:r>
      <w:r w:rsidR="002875D0">
        <w:rPr>
          <w:color w:val="000000"/>
          <w:szCs w:val="22"/>
          <w:lang w:val="en-US"/>
        </w:rPr>
        <w:t xml:space="preserve"> apparently</w:t>
      </w:r>
      <w:r w:rsidRPr="004D2CF9">
        <w:rPr>
          <w:color w:val="000000"/>
          <w:szCs w:val="22"/>
        </w:rPr>
        <w:t xml:space="preserve"> violated the local TV ownership rule with respect to its continued operation of the LMA in the Charleston market</w:t>
      </w:r>
      <w:r w:rsidRPr="004D2CF9">
        <w:rPr>
          <w:color w:val="000000"/>
          <w:szCs w:val="22"/>
          <w:lang w:val="en-US"/>
        </w:rPr>
        <w:t>, and we plan to issue an order</w:t>
      </w:r>
      <w:r>
        <w:rPr>
          <w:color w:val="000000"/>
          <w:szCs w:val="22"/>
          <w:lang w:val="en-US"/>
        </w:rPr>
        <w:t xml:space="preserve"> addressing this potential violation </w:t>
      </w:r>
      <w:r w:rsidRPr="004D2CF9">
        <w:rPr>
          <w:color w:val="000000"/>
          <w:szCs w:val="22"/>
          <w:lang w:val="en-US"/>
        </w:rPr>
        <w:t>specifically.</w:t>
      </w:r>
      <w:r w:rsidRPr="004D2CF9">
        <w:rPr>
          <w:color w:val="000000"/>
          <w:szCs w:val="22"/>
        </w:rPr>
        <w:t xml:space="preserve">  </w:t>
      </w:r>
    </w:p>
    <w:p w:rsidR="00EA2442" w:rsidRPr="004D2CF9" w:rsidRDefault="00EA2442" w:rsidP="00EA2442">
      <w:pPr>
        <w:pStyle w:val="ParaNum"/>
        <w:tabs>
          <w:tab w:val="num" w:pos="1260"/>
        </w:tabs>
        <w:ind w:firstLine="806"/>
        <w:rPr>
          <w:szCs w:val="22"/>
        </w:rPr>
      </w:pPr>
      <w:r w:rsidRPr="004D2CF9">
        <w:rPr>
          <w:color w:val="000000"/>
          <w:szCs w:val="22"/>
        </w:rPr>
        <w:t>Our review of the facts and circumstances leads us to conclude</w:t>
      </w:r>
      <w:r w:rsidRPr="004D2CF9">
        <w:rPr>
          <w:color w:val="000000"/>
          <w:szCs w:val="22"/>
          <w:lang w:val="en-US"/>
        </w:rPr>
        <w:t>, however,</w:t>
      </w:r>
      <w:r w:rsidRPr="004D2CF9">
        <w:rPr>
          <w:color w:val="000000"/>
          <w:szCs w:val="22"/>
        </w:rPr>
        <w:t xml:space="preserve"> that th</w:t>
      </w:r>
      <w:r w:rsidR="00C87ABA">
        <w:rPr>
          <w:color w:val="000000"/>
          <w:szCs w:val="22"/>
          <w:lang w:val="en-US"/>
        </w:rPr>
        <w:t>e</w:t>
      </w:r>
      <w:r w:rsidRPr="004D2CF9">
        <w:rPr>
          <w:color w:val="000000"/>
          <w:szCs w:val="22"/>
          <w:lang w:val="en-US"/>
        </w:rPr>
        <w:t xml:space="preserve"> </w:t>
      </w:r>
      <w:r w:rsidR="00C87ABA">
        <w:rPr>
          <w:color w:val="000000"/>
          <w:szCs w:val="22"/>
          <w:lang w:val="en-US"/>
        </w:rPr>
        <w:t xml:space="preserve">potential </w:t>
      </w:r>
      <w:r w:rsidRPr="004D2CF9">
        <w:rPr>
          <w:color w:val="000000"/>
          <w:szCs w:val="22"/>
          <w:lang w:val="en-US"/>
        </w:rPr>
        <w:t>violations do</w:t>
      </w:r>
      <w:r w:rsidRPr="004D2CF9">
        <w:rPr>
          <w:color w:val="000000"/>
          <w:szCs w:val="22"/>
        </w:rPr>
        <w:t xml:space="preserve"> not call into question Sinclair’s fitness to serve as a Commission licensee.</w:t>
      </w:r>
      <w:r>
        <w:rPr>
          <w:rStyle w:val="FootnoteReference"/>
          <w:color w:val="000000"/>
          <w:szCs w:val="22"/>
        </w:rPr>
        <w:footnoteReference w:id="84"/>
      </w:r>
      <w:r w:rsidRPr="004D2CF9">
        <w:rPr>
          <w:color w:val="000000"/>
          <w:szCs w:val="22"/>
        </w:rPr>
        <w:t xml:space="preserve">  Although the parties were clearly aware of the attribution rule and chose to proceed with the </w:t>
      </w:r>
      <w:r w:rsidRPr="004D2CF9">
        <w:rPr>
          <w:color w:val="000000"/>
          <w:szCs w:val="22"/>
          <w:lang w:val="en-US"/>
        </w:rPr>
        <w:t xml:space="preserve">LMA </w:t>
      </w:r>
      <w:r w:rsidRPr="004D2CF9">
        <w:rPr>
          <w:color w:val="000000"/>
          <w:szCs w:val="22"/>
        </w:rPr>
        <w:t xml:space="preserve">nonetheless, Sinclair states that it relied on what it believed to be the continued viability </w:t>
      </w:r>
      <w:r w:rsidRPr="004D2CF9">
        <w:rPr>
          <w:color w:val="000000"/>
          <w:szCs w:val="22"/>
          <w:lang w:val="en-US"/>
        </w:rPr>
        <w:t xml:space="preserve">of  </w:t>
      </w:r>
      <w:r w:rsidRPr="004D2CF9">
        <w:rPr>
          <w:color w:val="000000"/>
          <w:szCs w:val="22"/>
        </w:rPr>
        <w:t xml:space="preserve">a 2001 stay of enforcement of the new rules.  </w:t>
      </w:r>
    </w:p>
    <w:p w:rsidR="00EA2442" w:rsidRPr="004D2CF9" w:rsidRDefault="00EA2442" w:rsidP="00EA2442">
      <w:pPr>
        <w:pStyle w:val="ParaNum"/>
      </w:pPr>
      <w:r>
        <w:t>The Commission</w:t>
      </w:r>
      <w:r w:rsidRPr="006F2AF0">
        <w:t xml:space="preserve"> views “misrepresentation and lack of candor in an applicant's</w:t>
      </w:r>
      <w:bookmarkStart w:id="20" w:name="sp_506_1222"/>
      <w:bookmarkStart w:id="21" w:name="SDU_1222"/>
      <w:bookmarkStart w:id="22" w:name="citeas((Cite_as:_39_F.3d_1217,_*1222,_30"/>
      <w:bookmarkEnd w:id="20"/>
      <w:bookmarkEnd w:id="21"/>
      <w:bookmarkEnd w:id="22"/>
      <w:r w:rsidRPr="006F2AF0">
        <w:t xml:space="preserve"> dealings with the Commission as serious breaches of trust.”</w:t>
      </w:r>
      <w:r w:rsidR="009017F8">
        <w:rPr>
          <w:rStyle w:val="FootnoteReference"/>
        </w:rPr>
        <w:footnoteReference w:id="85"/>
      </w:r>
      <w:r w:rsidR="00AE7F20">
        <w:rPr>
          <w:lang w:val="en-US"/>
        </w:rPr>
        <w:t xml:space="preserve">  </w:t>
      </w:r>
      <w:r w:rsidRPr="006F2AF0">
        <w:t>The Commission defines misrepresentation as “an intentional misrepresentation of fact intended to deceive.”</w:t>
      </w:r>
      <w:r w:rsidR="009017F8">
        <w:rPr>
          <w:rStyle w:val="FootnoteReference"/>
        </w:rPr>
        <w:footnoteReference w:id="86"/>
      </w:r>
      <w:r w:rsidRPr="006F2AF0">
        <w:t xml:space="preserve"> </w:t>
      </w:r>
      <w:r w:rsidR="00AE7F20">
        <w:rPr>
          <w:lang w:val="en-US"/>
        </w:rPr>
        <w:t xml:space="preserve"> </w:t>
      </w:r>
      <w:r w:rsidRPr="006F2AF0">
        <w:t>Lack of candor exists when an applicant breaches its duty “to be fully forthcoming as to all facts and information relevant to a matter before the FCC, whether or not such information is particularly elicited.”</w:t>
      </w:r>
      <w:r w:rsidR="009017F8">
        <w:rPr>
          <w:rStyle w:val="FootnoteReference"/>
        </w:rPr>
        <w:footnoteReference w:id="87"/>
      </w:r>
      <w:r w:rsidRPr="006F2AF0">
        <w:t xml:space="preserve"> </w:t>
      </w:r>
      <w:bookmarkStart w:id="23" w:name="______#HN;F7"/>
      <w:bookmarkEnd w:id="23"/>
      <w:r w:rsidRPr="006F2AF0">
        <w:t>The Commission will not disqualify an applicant, however, for a negligent omission; “intent to deceive [is] an essential element of a misrepresentation or lack of candor showing.”</w:t>
      </w:r>
      <w:r w:rsidR="009017F8">
        <w:rPr>
          <w:rStyle w:val="FootnoteReference"/>
        </w:rPr>
        <w:footnoteReference w:id="88"/>
      </w:r>
      <w:r w:rsidRPr="006F2AF0">
        <w:t xml:space="preserve">  </w:t>
      </w:r>
      <w:r>
        <w:t xml:space="preserve">An intent to deceive is established when </w:t>
      </w:r>
      <w:r w:rsidR="00DC51AC">
        <w:rPr>
          <w:lang w:val="en-US"/>
        </w:rPr>
        <w:t>“</w:t>
      </w:r>
      <w:r>
        <w:t>factual evidence</w:t>
      </w:r>
      <w:r w:rsidR="00DC51AC">
        <w:rPr>
          <w:lang w:val="en-US"/>
        </w:rPr>
        <w:t>”</w:t>
      </w:r>
      <w:r>
        <w:t xml:space="preserve"> </w:t>
      </w:r>
      <w:r w:rsidR="00004E65">
        <w:rPr>
          <w:lang w:val="en-US"/>
        </w:rPr>
        <w:t xml:space="preserve">shows </w:t>
      </w:r>
      <w:r>
        <w:t>that “the inconsistency involved an intent to deceive. . . .”</w:t>
      </w:r>
      <w:r w:rsidR="009017F8">
        <w:rPr>
          <w:rStyle w:val="FootnoteReference"/>
        </w:rPr>
        <w:footnoteReference w:id="89"/>
      </w:r>
      <w:r w:rsidR="00004E65">
        <w:rPr>
          <w:lang w:val="en-US"/>
        </w:rPr>
        <w:t xml:space="preserve">  </w:t>
      </w:r>
      <w:r w:rsidRPr="004D2CF9">
        <w:rPr>
          <w:color w:val="000000"/>
          <w:szCs w:val="22"/>
          <w:lang w:val="en-US"/>
        </w:rPr>
        <w:t>The re</w:t>
      </w:r>
      <w:r w:rsidR="00DC51AC">
        <w:rPr>
          <w:color w:val="000000"/>
          <w:szCs w:val="22"/>
          <w:lang w:val="en-US"/>
        </w:rPr>
        <w:t xml:space="preserve">cord </w:t>
      </w:r>
      <w:r w:rsidR="007D0FC2">
        <w:rPr>
          <w:color w:val="000000"/>
          <w:szCs w:val="22"/>
          <w:lang w:val="en-US"/>
        </w:rPr>
        <w:t>does not</w:t>
      </w:r>
      <w:r w:rsidR="00DC51AC">
        <w:rPr>
          <w:color w:val="000000"/>
          <w:szCs w:val="22"/>
          <w:lang w:val="en-US"/>
        </w:rPr>
        <w:t xml:space="preserve"> contain the factual evidence necessary to demonstrate</w:t>
      </w:r>
      <w:r w:rsidRPr="004D2CF9">
        <w:rPr>
          <w:color w:val="000000"/>
          <w:szCs w:val="22"/>
          <w:lang w:val="en-US"/>
        </w:rPr>
        <w:t xml:space="preserve"> that </w:t>
      </w:r>
      <w:r w:rsidRPr="004D2CF9">
        <w:rPr>
          <w:color w:val="000000"/>
          <w:szCs w:val="22"/>
        </w:rPr>
        <w:t xml:space="preserve">Sinclair </w:t>
      </w:r>
      <w:r w:rsidRPr="004D2CF9">
        <w:rPr>
          <w:color w:val="000000"/>
          <w:szCs w:val="22"/>
          <w:lang w:val="en-US"/>
        </w:rPr>
        <w:t>acted with intent</w:t>
      </w:r>
      <w:r w:rsidRPr="004D2CF9">
        <w:rPr>
          <w:color w:val="000000"/>
          <w:szCs w:val="22"/>
        </w:rPr>
        <w:t xml:space="preserve"> to deceive the Commission</w:t>
      </w:r>
      <w:r w:rsidRPr="004D2CF9">
        <w:rPr>
          <w:color w:val="000000"/>
          <w:szCs w:val="22"/>
          <w:lang w:val="en-US"/>
        </w:rPr>
        <w:t>, a necessary predicate for a finding of misrepresentation or lack of candor</w:t>
      </w:r>
      <w:r w:rsidRPr="004D2CF9">
        <w:rPr>
          <w:color w:val="000000"/>
          <w:szCs w:val="22"/>
        </w:rPr>
        <w:t>.</w:t>
      </w:r>
      <w:r>
        <w:rPr>
          <w:rStyle w:val="FootnoteReference"/>
          <w:color w:val="000000"/>
          <w:szCs w:val="22"/>
        </w:rPr>
        <w:footnoteReference w:id="90"/>
      </w:r>
      <w:r w:rsidR="00FB022E">
        <w:rPr>
          <w:color w:val="000000"/>
          <w:szCs w:val="22"/>
          <w:lang w:val="en-US"/>
        </w:rPr>
        <w:t xml:space="preserve">  </w:t>
      </w:r>
      <w:r w:rsidRPr="004D2CF9">
        <w:rPr>
          <w:color w:val="000000"/>
          <w:szCs w:val="22"/>
        </w:rPr>
        <w:t xml:space="preserve">Moreover, the parties have now terminated the LMA, and Cunningham will operate as a fully independent licensee in the market.  This accomplishes our ultimate aim of promoting diversity in television ownership. </w:t>
      </w:r>
    </w:p>
    <w:p w:rsidR="009017F8" w:rsidRPr="00EF05FE" w:rsidRDefault="001E7CE2" w:rsidP="009017F8">
      <w:pPr>
        <w:pStyle w:val="ParaNum"/>
        <w:rPr>
          <w:szCs w:val="22"/>
        </w:rPr>
      </w:pPr>
      <w:r>
        <w:rPr>
          <w:lang w:val="en-US"/>
        </w:rPr>
        <w:t>In</w:t>
      </w:r>
      <w:r w:rsidR="00303BD3">
        <w:rPr>
          <w:lang w:val="en-US"/>
        </w:rPr>
        <w:t xml:space="preserve"> the </w:t>
      </w:r>
      <w:r w:rsidRPr="0056283C">
        <w:rPr>
          <w:i/>
          <w:lang w:val="en-US"/>
        </w:rPr>
        <w:t>1986 Character Policy Statement</w:t>
      </w:r>
      <w:r w:rsidR="00303BD3">
        <w:rPr>
          <w:lang w:val="en-US"/>
        </w:rPr>
        <w:t xml:space="preserve">, the Commission held that if it has not, </w:t>
      </w:r>
      <w:r w:rsidR="009017F8">
        <w:t>as an initial matter</w:t>
      </w:r>
      <w:r w:rsidR="00303BD3">
        <w:rPr>
          <w:lang w:val="en-US"/>
        </w:rPr>
        <w:t>,</w:t>
      </w:r>
      <w:r w:rsidR="009017F8">
        <w:t xml:space="preserve"> </w:t>
      </w:r>
      <w:r w:rsidR="00DC51AC">
        <w:rPr>
          <w:lang w:val="en-US"/>
        </w:rPr>
        <w:t xml:space="preserve">been </w:t>
      </w:r>
      <w:r w:rsidR="009017F8">
        <w:t xml:space="preserve">found that </w:t>
      </w:r>
      <w:r w:rsidR="009017F8">
        <w:rPr>
          <w:lang w:val="en-US"/>
        </w:rPr>
        <w:t>any</w:t>
      </w:r>
      <w:r w:rsidR="009017F8">
        <w:t xml:space="preserve"> allegations under consideration involve conduct likely to impact the future operation of other stations, there generally appears to be no reason to condition or defer </w:t>
      </w:r>
      <w:r w:rsidR="00303BD3">
        <w:rPr>
          <w:lang w:val="en-US"/>
        </w:rPr>
        <w:t>processing assignment and transfer applications</w:t>
      </w:r>
      <w:r w:rsidR="009017F8">
        <w:t>.</w:t>
      </w:r>
      <w:r w:rsidR="009017F8">
        <w:rPr>
          <w:rStyle w:val="FootnoteReference"/>
        </w:rPr>
        <w:footnoteReference w:id="91"/>
      </w:r>
      <w:r w:rsidR="009017F8">
        <w:t xml:space="preserve">  </w:t>
      </w:r>
      <w:r w:rsidR="00303BD3">
        <w:rPr>
          <w:lang w:val="en-US"/>
        </w:rPr>
        <w:t>Such a finding is typically made when an application where character has been placed at issue is designated for hearing</w:t>
      </w:r>
      <w:r w:rsidR="00464F09">
        <w:rPr>
          <w:lang w:val="en-US"/>
        </w:rPr>
        <w:t>.</w:t>
      </w:r>
      <w:r w:rsidR="00303BD3">
        <w:rPr>
          <w:rStyle w:val="FootnoteReference"/>
          <w:lang w:val="en-US"/>
        </w:rPr>
        <w:footnoteReference w:id="92"/>
      </w:r>
      <w:r w:rsidR="00303BD3">
        <w:rPr>
          <w:lang w:val="en-US"/>
        </w:rPr>
        <w:t xml:space="preserve">  </w:t>
      </w:r>
      <w:r w:rsidR="009017F8">
        <w:t>However, allowing the initial acquisition does not “affect the Commission’s discretion to take action against the newly acquired stations, should the Commission’s inquiry ultimately reveal that the applicant does not possess the requisite qualifications to remain a licensee.</w:t>
      </w:r>
      <w:r w:rsidR="003755C5">
        <w:rPr>
          <w:lang w:val="en-US"/>
        </w:rPr>
        <w:t>”</w:t>
      </w:r>
      <w:r w:rsidR="009017F8">
        <w:rPr>
          <w:rStyle w:val="FootnoteReference"/>
        </w:rPr>
        <w:footnoteReference w:id="93"/>
      </w:r>
      <w:r w:rsidR="009017F8">
        <w:t xml:space="preserve">  </w:t>
      </w:r>
    </w:p>
    <w:p w:rsidR="00EA2442" w:rsidRPr="009017F8" w:rsidRDefault="001E7CE2" w:rsidP="009017F8">
      <w:pPr>
        <w:pStyle w:val="ParaNum"/>
        <w:rPr>
          <w:szCs w:val="22"/>
        </w:rPr>
      </w:pPr>
      <w:r>
        <w:rPr>
          <w:lang w:val="en-US"/>
        </w:rPr>
        <w:t xml:space="preserve">We conclude that the </w:t>
      </w:r>
      <w:r w:rsidR="009017F8">
        <w:rPr>
          <w:lang w:val="en-US"/>
        </w:rPr>
        <w:t>potential violations uncovered in this proceeding do not involve conduct likely to impact the future operation of other stations</w:t>
      </w:r>
      <w:r w:rsidR="00FB022E">
        <w:rPr>
          <w:lang w:val="en-US"/>
        </w:rPr>
        <w:t xml:space="preserve"> and that we have adequate enforcement remedies to address them</w:t>
      </w:r>
      <w:r w:rsidR="001F70B4">
        <w:rPr>
          <w:lang w:val="en-US"/>
        </w:rPr>
        <w:t>.  Nonetheless</w:t>
      </w:r>
      <w:r w:rsidR="009017F8">
        <w:rPr>
          <w:lang w:val="en-US"/>
        </w:rPr>
        <w:t xml:space="preserve">, we do note that proceedings </w:t>
      </w:r>
      <w:r w:rsidR="003755C5">
        <w:rPr>
          <w:lang w:val="en-US"/>
        </w:rPr>
        <w:t xml:space="preserve">raising potential character allegations against </w:t>
      </w:r>
      <w:r w:rsidR="009017F8">
        <w:rPr>
          <w:lang w:val="en-US"/>
        </w:rPr>
        <w:t>Sinclair remain open, including our review of the operation of the LMA in the Charleston market, and should the evidence in any of those proceedings demonstrate that Sinclair does not possess the requisite qualifications to remain a licensee, we will take appropriate action.</w:t>
      </w:r>
    </w:p>
    <w:p w:rsidR="00ED3CA6" w:rsidRPr="00382D27" w:rsidRDefault="00EE57CD">
      <w:pPr>
        <w:pStyle w:val="ParaNum"/>
        <w:tabs>
          <w:tab w:val="num" w:pos="1260"/>
        </w:tabs>
        <w:ind w:firstLine="806"/>
        <w:rPr>
          <w:szCs w:val="22"/>
        </w:rPr>
      </w:pPr>
      <w:bookmarkStart w:id="24" w:name="SP;a83b000018c76"/>
      <w:bookmarkStart w:id="25" w:name="I3C6161C043ED11E0B2C484FD2F1B6B50"/>
      <w:bookmarkStart w:id="26" w:name="I3C5F3EE143ED11E0B2C484FD2F1B6B50"/>
      <w:bookmarkStart w:id="27" w:name="SP;4b24000003ba5"/>
      <w:bookmarkStart w:id="28" w:name="I3C5F3EE443ED11E0B2C484FD2F1B6B50"/>
      <w:bookmarkStart w:id="29" w:name="I3C624C2043ED11E0B2C484FD2F1B6B50"/>
      <w:bookmarkStart w:id="30" w:name="I3C5F3EE643ED11E0B2C484FD2F1B6B50"/>
      <w:bookmarkStart w:id="31" w:name="FN[FN63]"/>
      <w:bookmarkStart w:id="32" w:name="FN[FN66]"/>
      <w:bookmarkEnd w:id="24"/>
      <w:bookmarkEnd w:id="25"/>
      <w:bookmarkEnd w:id="26"/>
      <w:bookmarkEnd w:id="27"/>
      <w:bookmarkEnd w:id="28"/>
      <w:bookmarkEnd w:id="29"/>
      <w:bookmarkEnd w:id="30"/>
      <w:bookmarkEnd w:id="31"/>
      <w:bookmarkEnd w:id="32"/>
      <w:r w:rsidRPr="00127CBA">
        <w:rPr>
          <w:i/>
          <w:szCs w:val="22"/>
          <w:lang w:val="en-US"/>
        </w:rPr>
        <w:t>Public Interest Analysis</w:t>
      </w:r>
      <w:r w:rsidRPr="00127CBA">
        <w:rPr>
          <w:szCs w:val="22"/>
          <w:lang w:val="en-US"/>
        </w:rPr>
        <w:t xml:space="preserve">.  </w:t>
      </w:r>
      <w:r w:rsidR="00050DDF">
        <w:rPr>
          <w:szCs w:val="22"/>
          <w:lang w:val="en-US"/>
        </w:rPr>
        <w:t>Where t</w:t>
      </w:r>
      <w:r w:rsidR="00050DDF">
        <w:rPr>
          <w:szCs w:val="22"/>
        </w:rPr>
        <w:t xml:space="preserve">he </w:t>
      </w:r>
      <w:r w:rsidRPr="00127CBA">
        <w:rPr>
          <w:szCs w:val="22"/>
        </w:rPr>
        <w:t>Commission has adopted rules to promote diversity, competition</w:t>
      </w:r>
      <w:r w:rsidR="00DA4811">
        <w:rPr>
          <w:szCs w:val="22"/>
          <w:lang w:val="en-US"/>
        </w:rPr>
        <w:t>,</w:t>
      </w:r>
      <w:r w:rsidRPr="00127CBA">
        <w:rPr>
          <w:szCs w:val="22"/>
        </w:rPr>
        <w:t xml:space="preserve"> </w:t>
      </w:r>
      <w:r w:rsidR="00DA4811">
        <w:rPr>
          <w:szCs w:val="22"/>
          <w:lang w:val="en-US"/>
        </w:rPr>
        <w:t xml:space="preserve">localism, </w:t>
      </w:r>
      <w:r w:rsidRPr="00127CBA">
        <w:rPr>
          <w:szCs w:val="22"/>
        </w:rPr>
        <w:t xml:space="preserve">or other public interest </w:t>
      </w:r>
      <w:r w:rsidR="00DA4811">
        <w:rPr>
          <w:szCs w:val="22"/>
          <w:lang w:val="en-US"/>
        </w:rPr>
        <w:t>objectives</w:t>
      </w:r>
      <w:r w:rsidRPr="00127CBA">
        <w:rPr>
          <w:szCs w:val="22"/>
        </w:rPr>
        <w:t xml:space="preserve">, those rules </w:t>
      </w:r>
      <w:r w:rsidR="00DA4811">
        <w:rPr>
          <w:szCs w:val="22"/>
          <w:lang w:val="en-US"/>
        </w:rPr>
        <w:t>provide a starting point</w:t>
      </w:r>
      <w:r w:rsidR="00050DDF">
        <w:rPr>
          <w:szCs w:val="22"/>
        </w:rPr>
        <w:t xml:space="preserve"> for determining whether </w:t>
      </w:r>
      <w:r w:rsidRPr="00127CBA">
        <w:rPr>
          <w:szCs w:val="22"/>
        </w:rPr>
        <w:t>applications are on balance in the public interest.</w:t>
      </w:r>
      <w:r w:rsidRPr="009351E2">
        <w:rPr>
          <w:rStyle w:val="FootnoteReference"/>
          <w:szCs w:val="22"/>
        </w:rPr>
        <w:footnoteReference w:id="94"/>
      </w:r>
      <w:r w:rsidRPr="00127CBA">
        <w:rPr>
          <w:szCs w:val="22"/>
        </w:rPr>
        <w:t xml:space="preserve">  The Commission seeks to achieve three principal objectives through its ownership regulations</w:t>
      </w:r>
      <w:r w:rsidR="006475B6" w:rsidRPr="00127CBA">
        <w:rPr>
          <w:szCs w:val="22"/>
          <w:lang w:val="en-US"/>
        </w:rPr>
        <w:t>, two of which are relevant here</w:t>
      </w:r>
      <w:r w:rsidRPr="00127CBA">
        <w:rPr>
          <w:szCs w:val="22"/>
        </w:rPr>
        <w:t>: competition</w:t>
      </w:r>
      <w:r w:rsidR="006475B6" w:rsidRPr="00127CBA">
        <w:rPr>
          <w:szCs w:val="22"/>
          <w:lang w:val="en-US"/>
        </w:rPr>
        <w:t xml:space="preserve"> and diversity</w:t>
      </w:r>
      <w:r w:rsidRPr="00127CBA">
        <w:rPr>
          <w:szCs w:val="22"/>
        </w:rPr>
        <w:t>.</w:t>
      </w:r>
      <w:r w:rsidRPr="009351E2">
        <w:rPr>
          <w:rStyle w:val="FootnoteReference"/>
          <w:szCs w:val="22"/>
        </w:rPr>
        <w:footnoteReference w:id="95"/>
      </w:r>
      <w:r w:rsidR="00FA2C14" w:rsidRPr="00127CBA">
        <w:rPr>
          <w:szCs w:val="22"/>
          <w:lang w:val="en-US"/>
        </w:rPr>
        <w:t xml:space="preserve">  </w:t>
      </w:r>
      <w:r w:rsidR="004B592E" w:rsidRPr="00127CBA">
        <w:rPr>
          <w:szCs w:val="22"/>
          <w:lang w:val="en-US"/>
        </w:rPr>
        <w:t xml:space="preserve">We believe </w:t>
      </w:r>
      <w:r w:rsidR="00327B1F" w:rsidRPr="00127CBA">
        <w:rPr>
          <w:szCs w:val="22"/>
          <w:lang w:val="en-US"/>
        </w:rPr>
        <w:t>the</w:t>
      </w:r>
      <w:r w:rsidR="00895963" w:rsidRPr="00127CBA">
        <w:rPr>
          <w:szCs w:val="22"/>
          <w:lang w:val="en-US"/>
        </w:rPr>
        <w:t xml:space="preserve"> amended</w:t>
      </w:r>
      <w:r w:rsidR="00327B1F" w:rsidRPr="00127CBA">
        <w:rPr>
          <w:szCs w:val="22"/>
          <w:lang w:val="en-US"/>
        </w:rPr>
        <w:t xml:space="preserve"> transactions would either have </w:t>
      </w:r>
      <w:r w:rsidR="00C438A3" w:rsidRPr="00127CBA">
        <w:rPr>
          <w:szCs w:val="22"/>
          <w:lang w:val="en-US"/>
        </w:rPr>
        <w:t>a neutral</w:t>
      </w:r>
      <w:r w:rsidR="00197C30" w:rsidRPr="00127CBA">
        <w:rPr>
          <w:szCs w:val="22"/>
          <w:lang w:val="en-US"/>
        </w:rPr>
        <w:t xml:space="preserve"> </w:t>
      </w:r>
      <w:r w:rsidR="00327B1F" w:rsidRPr="00127CBA">
        <w:rPr>
          <w:szCs w:val="22"/>
          <w:lang w:val="en-US"/>
        </w:rPr>
        <w:t>effect</w:t>
      </w:r>
      <w:r w:rsidR="004B592E" w:rsidRPr="00127CBA">
        <w:rPr>
          <w:szCs w:val="22"/>
          <w:lang w:val="en-US"/>
        </w:rPr>
        <w:t xml:space="preserve"> </w:t>
      </w:r>
      <w:r w:rsidR="00327B1F" w:rsidRPr="00127CBA">
        <w:rPr>
          <w:szCs w:val="22"/>
          <w:lang w:val="en-US"/>
        </w:rPr>
        <w:t xml:space="preserve">or, in certain markets, would in fact </w:t>
      </w:r>
      <w:r w:rsidR="004B592E" w:rsidRPr="00127CBA">
        <w:rPr>
          <w:szCs w:val="22"/>
          <w:lang w:val="en-US"/>
        </w:rPr>
        <w:t>promote competition</w:t>
      </w:r>
      <w:r w:rsidR="00FA2C14" w:rsidRPr="00127CBA">
        <w:rPr>
          <w:szCs w:val="22"/>
          <w:lang w:val="en-US"/>
        </w:rPr>
        <w:t xml:space="preserve"> and diversity</w:t>
      </w:r>
      <w:r w:rsidR="004B592E" w:rsidRPr="00127CBA">
        <w:rPr>
          <w:szCs w:val="22"/>
          <w:lang w:val="en-US"/>
        </w:rPr>
        <w:t>.</w:t>
      </w:r>
      <w:r w:rsidR="00FA2C14" w:rsidRPr="00127CBA">
        <w:rPr>
          <w:szCs w:val="22"/>
          <w:lang w:val="en-US"/>
        </w:rPr>
        <w:t xml:space="preserve">  </w:t>
      </w:r>
      <w:r w:rsidR="00197C30" w:rsidRPr="00127CBA">
        <w:rPr>
          <w:szCs w:val="22"/>
          <w:lang w:val="en-US"/>
        </w:rPr>
        <w:t xml:space="preserve">For example, </w:t>
      </w:r>
      <w:r w:rsidR="00BD342B" w:rsidRPr="00127CBA">
        <w:rPr>
          <w:szCs w:val="22"/>
          <w:lang w:val="en-US"/>
        </w:rPr>
        <w:t xml:space="preserve">Sinclair has </w:t>
      </w:r>
      <w:r w:rsidR="00C67757">
        <w:rPr>
          <w:szCs w:val="22"/>
          <w:lang w:val="en-US"/>
        </w:rPr>
        <w:t xml:space="preserve">dissolved its arrangements with Cunningham in the Charleston market and has </w:t>
      </w:r>
      <w:r w:rsidR="00BD342B" w:rsidRPr="00127CBA">
        <w:rPr>
          <w:szCs w:val="22"/>
          <w:lang w:val="en-US"/>
        </w:rPr>
        <w:t>certified</w:t>
      </w:r>
      <w:r w:rsidR="00FA2C14" w:rsidRPr="00127CBA">
        <w:rPr>
          <w:szCs w:val="22"/>
          <w:lang w:val="en-US"/>
        </w:rPr>
        <w:t xml:space="preserve"> that Cunningham will operate as an independent broadcaster in th</w:t>
      </w:r>
      <w:r w:rsidR="00C67757">
        <w:rPr>
          <w:szCs w:val="22"/>
          <w:lang w:val="en-US"/>
        </w:rPr>
        <w:t>at</w:t>
      </w:r>
      <w:r w:rsidR="00734D48">
        <w:rPr>
          <w:szCs w:val="22"/>
          <w:lang w:val="en-US"/>
        </w:rPr>
        <w:t xml:space="preserve"> </w:t>
      </w:r>
      <w:r w:rsidR="00FA2C14" w:rsidRPr="00127CBA">
        <w:rPr>
          <w:szCs w:val="22"/>
          <w:lang w:val="en-US"/>
        </w:rPr>
        <w:t xml:space="preserve">market. </w:t>
      </w:r>
      <w:r w:rsidR="00C67757">
        <w:rPr>
          <w:szCs w:val="22"/>
          <w:lang w:val="en-US"/>
        </w:rPr>
        <w:t xml:space="preserve"> </w:t>
      </w:r>
      <w:r w:rsidR="00197C30" w:rsidRPr="00127CBA">
        <w:rPr>
          <w:szCs w:val="22"/>
          <w:lang w:val="en-US"/>
        </w:rPr>
        <w:t>In addition, a</w:t>
      </w:r>
      <w:r w:rsidR="00FA2C14" w:rsidRPr="00127CBA">
        <w:rPr>
          <w:szCs w:val="22"/>
          <w:lang w:val="en-US"/>
        </w:rPr>
        <w:t xml:space="preserve"> new independent voice will be added to the Harrisburg market based on </w:t>
      </w:r>
      <w:r w:rsidR="00F634CA">
        <w:rPr>
          <w:szCs w:val="22"/>
          <w:lang w:val="en-US"/>
        </w:rPr>
        <w:t>the</w:t>
      </w:r>
      <w:r w:rsidR="00FA2C14" w:rsidRPr="00127CBA">
        <w:rPr>
          <w:szCs w:val="22"/>
          <w:lang w:val="en-US"/>
        </w:rPr>
        <w:t xml:space="preserve"> sale of </w:t>
      </w:r>
      <w:r w:rsidR="00D233E4" w:rsidRPr="00127CBA">
        <w:rPr>
          <w:szCs w:val="22"/>
          <w:lang w:val="en-US"/>
        </w:rPr>
        <w:t xml:space="preserve">WHTM-TV to Media General, Inc.  </w:t>
      </w:r>
      <w:r w:rsidR="00AF6E9C" w:rsidRPr="00127CBA">
        <w:rPr>
          <w:szCs w:val="22"/>
          <w:lang w:val="en-US"/>
        </w:rPr>
        <w:t>We believe the public interest favors the grant of these applications</w:t>
      </w:r>
      <w:r w:rsidR="00D233E4" w:rsidRPr="00127CBA">
        <w:rPr>
          <w:szCs w:val="22"/>
          <w:lang w:val="en-US"/>
        </w:rPr>
        <w:t xml:space="preserve">, subject to the specific voluntary commitments set forth in the May 29, 2014, letter.  </w:t>
      </w:r>
      <w:r w:rsidR="00AF6E9C" w:rsidRPr="00127CBA">
        <w:rPr>
          <w:szCs w:val="22"/>
          <w:lang w:val="en-US"/>
        </w:rPr>
        <w:t xml:space="preserve"> </w:t>
      </w:r>
    </w:p>
    <w:p w:rsidR="00064E25" w:rsidRPr="00064E25" w:rsidRDefault="00ED3CA6">
      <w:pPr>
        <w:pStyle w:val="ParaNum"/>
        <w:tabs>
          <w:tab w:val="num" w:pos="1260"/>
        </w:tabs>
        <w:ind w:firstLine="806"/>
        <w:rPr>
          <w:szCs w:val="22"/>
        </w:rPr>
      </w:pPr>
      <w:r>
        <w:rPr>
          <w:szCs w:val="22"/>
          <w:lang w:val="en-US"/>
        </w:rPr>
        <w:t>Upon a full review of the record, we agree that grant of a temporary period following consummation to fulfill the voluntary com</w:t>
      </w:r>
      <w:r w:rsidR="00EF57EB">
        <w:rPr>
          <w:szCs w:val="22"/>
          <w:lang w:val="en-US"/>
        </w:rPr>
        <w:t>mitments set forth in the May 29, 20</w:t>
      </w:r>
      <w:r w:rsidR="003E2272">
        <w:rPr>
          <w:szCs w:val="22"/>
          <w:lang w:val="en-US"/>
        </w:rPr>
        <w:t xml:space="preserve">14 </w:t>
      </w:r>
      <w:r w:rsidR="00C67757">
        <w:rPr>
          <w:szCs w:val="22"/>
          <w:lang w:val="en-US"/>
        </w:rPr>
        <w:t xml:space="preserve">letter </w:t>
      </w:r>
      <w:r>
        <w:rPr>
          <w:szCs w:val="22"/>
          <w:lang w:val="en-US"/>
        </w:rPr>
        <w:t xml:space="preserve">would serve the public interest, and that a sixty-day period is not an unreasonable period of time to fulfill the specific commitments.  </w:t>
      </w:r>
      <w:r w:rsidR="00965D59">
        <w:rPr>
          <w:szCs w:val="22"/>
          <w:lang w:val="en-US"/>
        </w:rPr>
        <w:t xml:space="preserve">We do not anticipate granting any extensions of this </w:t>
      </w:r>
      <w:r w:rsidR="00C67757">
        <w:rPr>
          <w:szCs w:val="22"/>
          <w:lang w:val="en-US"/>
        </w:rPr>
        <w:t>period</w:t>
      </w:r>
      <w:r w:rsidR="00965D59">
        <w:rPr>
          <w:szCs w:val="22"/>
          <w:lang w:val="en-US"/>
        </w:rPr>
        <w:t>.  We note that our decision with respect to WHTM-TV is consistent with the U.S. Department of Justice’s recent</w:t>
      </w:r>
      <w:r w:rsidR="001F70B4">
        <w:rPr>
          <w:szCs w:val="22"/>
          <w:lang w:val="en-US"/>
        </w:rPr>
        <w:t xml:space="preserve"> Consent Decree with Sinclair.  </w:t>
      </w:r>
      <w:r w:rsidR="00915550">
        <w:rPr>
          <w:szCs w:val="22"/>
          <w:lang w:val="en-US"/>
        </w:rPr>
        <w:t xml:space="preserve">We further agree that migration of the ABC programming to Sinclair’s current stations in the Birmingham and Charleston markets may require a period of time </w:t>
      </w:r>
      <w:r w:rsidR="00F634CA">
        <w:rPr>
          <w:szCs w:val="22"/>
          <w:lang w:val="en-US"/>
        </w:rPr>
        <w:t xml:space="preserve">to implement in order </w:t>
      </w:r>
      <w:r w:rsidR="00915550">
        <w:rPr>
          <w:szCs w:val="22"/>
          <w:lang w:val="en-US"/>
        </w:rPr>
        <w:t xml:space="preserve">to avoid viewer confusion.  </w:t>
      </w:r>
      <w:r w:rsidR="00965D59">
        <w:rPr>
          <w:szCs w:val="22"/>
          <w:lang w:val="en-US"/>
        </w:rPr>
        <w:t xml:space="preserve">As to the proposal to separate operations between WTAT-TV and WMMP(TV), we will require, as a condition of grant, that Sinclair and Cunningham fulfill </w:t>
      </w:r>
      <w:r w:rsidR="00C67757">
        <w:rPr>
          <w:szCs w:val="22"/>
          <w:lang w:val="en-US"/>
        </w:rPr>
        <w:t xml:space="preserve">the </w:t>
      </w:r>
      <w:r w:rsidR="00965D59">
        <w:rPr>
          <w:szCs w:val="22"/>
          <w:lang w:val="en-US"/>
        </w:rPr>
        <w:t>voluntary commitment</w:t>
      </w:r>
      <w:r w:rsidR="001B1789">
        <w:rPr>
          <w:szCs w:val="22"/>
          <w:lang w:val="en-US"/>
        </w:rPr>
        <w:t>s</w:t>
      </w:r>
      <w:r w:rsidR="00965D59">
        <w:rPr>
          <w:szCs w:val="22"/>
          <w:lang w:val="en-US"/>
        </w:rPr>
        <w:t xml:space="preserve"> set forth in its amended application.</w:t>
      </w:r>
      <w:r w:rsidR="00965D59">
        <w:rPr>
          <w:rStyle w:val="FootnoteReference"/>
          <w:szCs w:val="22"/>
          <w:lang w:val="en-US"/>
        </w:rPr>
        <w:footnoteReference w:id="96"/>
      </w:r>
      <w:r w:rsidR="00965D59">
        <w:rPr>
          <w:szCs w:val="22"/>
          <w:lang w:val="en-US"/>
        </w:rPr>
        <w:t xml:space="preserve"> </w:t>
      </w:r>
      <w:r w:rsidR="00C67757">
        <w:rPr>
          <w:szCs w:val="22"/>
          <w:lang w:val="en-US"/>
        </w:rPr>
        <w:t xml:space="preserve"> </w:t>
      </w:r>
      <w:r w:rsidR="008939C8">
        <w:rPr>
          <w:szCs w:val="22"/>
          <w:lang w:val="en-US"/>
        </w:rPr>
        <w:t>The Commission has held in the past that a specific commitment to separate operation during a temporary period of noncompliance could alleviate concerns regarding the anti-competitive effect of a transaction.</w:t>
      </w:r>
      <w:r w:rsidR="008939C8">
        <w:rPr>
          <w:rStyle w:val="FootnoteReference"/>
          <w:szCs w:val="22"/>
          <w:lang w:val="en-US"/>
        </w:rPr>
        <w:footnoteReference w:id="97"/>
      </w:r>
      <w:r w:rsidR="008939C8">
        <w:rPr>
          <w:szCs w:val="22"/>
          <w:lang w:val="en-US"/>
        </w:rPr>
        <w:t xml:space="preserve">  Given the extensive and longstanding </w:t>
      </w:r>
      <w:r w:rsidR="00C67757">
        <w:rPr>
          <w:szCs w:val="22"/>
          <w:lang w:val="en-US"/>
        </w:rPr>
        <w:t xml:space="preserve">past </w:t>
      </w:r>
      <w:r w:rsidR="008939C8">
        <w:rPr>
          <w:szCs w:val="22"/>
          <w:lang w:val="en-US"/>
        </w:rPr>
        <w:t xml:space="preserve">relationship between WTAT-TV and WMMP(TV), we believe a reporting condition is also necessary to safeguard competition in Charleston.  </w:t>
      </w:r>
      <w:r w:rsidR="001B1789">
        <w:rPr>
          <w:szCs w:val="22"/>
          <w:lang w:val="en-US"/>
        </w:rPr>
        <w:t xml:space="preserve">We </w:t>
      </w:r>
      <w:r w:rsidR="008939C8">
        <w:rPr>
          <w:szCs w:val="22"/>
          <w:lang w:val="en-US"/>
        </w:rPr>
        <w:t>require that</w:t>
      </w:r>
      <w:r w:rsidR="00C67757">
        <w:rPr>
          <w:szCs w:val="22"/>
          <w:lang w:val="en-US"/>
        </w:rPr>
        <w:t xml:space="preserve">, for a period of </w:t>
      </w:r>
      <w:r w:rsidR="003E2272" w:rsidRPr="003E2272">
        <w:rPr>
          <w:szCs w:val="22"/>
          <w:lang w:val="en-US"/>
        </w:rPr>
        <w:t>eight</w:t>
      </w:r>
      <w:r w:rsidR="00C67757" w:rsidRPr="003E2272">
        <w:rPr>
          <w:szCs w:val="22"/>
          <w:lang w:val="en-US"/>
        </w:rPr>
        <w:t xml:space="preserve"> years, </w:t>
      </w:r>
      <w:r w:rsidR="00064E25">
        <w:rPr>
          <w:szCs w:val="22"/>
          <w:lang w:val="en-US"/>
        </w:rPr>
        <w:t xml:space="preserve">Cunningham report on quarterly basis to the Media </w:t>
      </w:r>
      <w:r w:rsidR="000A3482">
        <w:rPr>
          <w:szCs w:val="22"/>
          <w:lang w:val="en-US"/>
        </w:rPr>
        <w:t>Bureau</w:t>
      </w:r>
      <w:r w:rsidR="00064E25">
        <w:rPr>
          <w:szCs w:val="22"/>
          <w:lang w:val="en-US"/>
        </w:rPr>
        <w:t xml:space="preserve"> any formal or informal sharing arrangements involving services provided</w:t>
      </w:r>
      <w:r w:rsidR="00464F09">
        <w:rPr>
          <w:szCs w:val="22"/>
          <w:lang w:val="en-US"/>
        </w:rPr>
        <w:t xml:space="preserve"> to WTAT-TV</w:t>
      </w:r>
      <w:r w:rsidR="00064E25">
        <w:rPr>
          <w:szCs w:val="22"/>
          <w:lang w:val="en-US"/>
        </w:rPr>
        <w:t xml:space="preserve"> by other stations in the market or by licensees</w:t>
      </w:r>
      <w:r w:rsidR="00BA4943">
        <w:rPr>
          <w:szCs w:val="22"/>
          <w:lang w:val="en-US"/>
        </w:rPr>
        <w:t>, other entities, or individuals</w:t>
      </w:r>
      <w:r w:rsidR="00064E25">
        <w:rPr>
          <w:szCs w:val="22"/>
          <w:lang w:val="en-US"/>
        </w:rPr>
        <w:t xml:space="preserve"> who hold an attributable interest in another station in the market.  </w:t>
      </w:r>
    </w:p>
    <w:p w:rsidR="00197C30" w:rsidRPr="009351E2" w:rsidRDefault="00064E25">
      <w:pPr>
        <w:pStyle w:val="ParaNum"/>
        <w:tabs>
          <w:tab w:val="num" w:pos="1260"/>
        </w:tabs>
        <w:ind w:firstLine="806"/>
        <w:rPr>
          <w:szCs w:val="22"/>
        </w:rPr>
      </w:pPr>
      <w:r w:rsidRPr="009351E2">
        <w:rPr>
          <w:i/>
          <w:szCs w:val="22"/>
          <w:lang w:val="en-US"/>
        </w:rPr>
        <w:t xml:space="preserve"> </w:t>
      </w:r>
      <w:r w:rsidR="00197C30" w:rsidRPr="009351E2">
        <w:rPr>
          <w:i/>
          <w:szCs w:val="22"/>
          <w:lang w:val="en-US"/>
        </w:rPr>
        <w:t>Current Renewals</w:t>
      </w:r>
      <w:r w:rsidR="00197C30" w:rsidRPr="009351E2">
        <w:rPr>
          <w:szCs w:val="22"/>
          <w:lang w:val="en-US"/>
        </w:rPr>
        <w:t xml:space="preserve">.  </w:t>
      </w:r>
      <w:r w:rsidR="00197C30" w:rsidRPr="009351E2">
        <w:rPr>
          <w:szCs w:val="22"/>
        </w:rPr>
        <w:t xml:space="preserve">It is Commission policy, in multi-station transactions, to grant transfer of control applications while renewal applications are pending </w:t>
      </w:r>
      <w:r w:rsidR="00197C30" w:rsidRPr="00554AA7">
        <w:rPr>
          <w:szCs w:val="22"/>
        </w:rPr>
        <w:t>as long as there are no basic qualification issues pending against the transferor or transferee that could not be resolved</w:t>
      </w:r>
      <w:r w:rsidR="00197C30" w:rsidRPr="009351E2">
        <w:rPr>
          <w:szCs w:val="22"/>
        </w:rPr>
        <w:t xml:space="preserve"> in the context of the transfer proceeding, and the transferee explicitly assents to standing in the stead of the transferor in the pending renewal proceeding.</w:t>
      </w:r>
      <w:r w:rsidR="00197C30" w:rsidRPr="009351E2">
        <w:rPr>
          <w:szCs w:val="22"/>
          <w:vertAlign w:val="superscript"/>
        </w:rPr>
        <w:footnoteReference w:id="98"/>
      </w:r>
      <w:r w:rsidR="00197C30" w:rsidRPr="009351E2">
        <w:rPr>
          <w:szCs w:val="22"/>
        </w:rPr>
        <w:t xml:space="preserve">  Some of the </w:t>
      </w:r>
      <w:r w:rsidR="00197C30" w:rsidRPr="009351E2">
        <w:rPr>
          <w:szCs w:val="22"/>
          <w:lang w:val="en-US"/>
        </w:rPr>
        <w:t xml:space="preserve">Allbritton </w:t>
      </w:r>
      <w:r w:rsidR="00197C30" w:rsidRPr="009351E2">
        <w:rPr>
          <w:szCs w:val="22"/>
        </w:rPr>
        <w:t>licensees have applications pending before the Commission for renewal of broadcast licenses.</w:t>
      </w:r>
      <w:r w:rsidR="00197C30" w:rsidRPr="009351E2">
        <w:rPr>
          <w:rStyle w:val="FootnoteReference"/>
          <w:szCs w:val="22"/>
        </w:rPr>
        <w:footnoteReference w:id="99"/>
      </w:r>
      <w:r w:rsidR="00197C30" w:rsidRPr="009351E2">
        <w:rPr>
          <w:szCs w:val="22"/>
        </w:rPr>
        <w:t xml:space="preserve">  None of these renewals have</w:t>
      </w:r>
      <w:r w:rsidR="00197C30" w:rsidRPr="009351E2">
        <w:rPr>
          <w:szCs w:val="22"/>
          <w:lang w:val="en-US"/>
        </w:rPr>
        <w:t xml:space="preserve"> petitions or other matters</w:t>
      </w:r>
      <w:r w:rsidR="00197C30" w:rsidRPr="009351E2">
        <w:rPr>
          <w:szCs w:val="22"/>
        </w:rPr>
        <w:t xml:space="preserve"> currently pending </w:t>
      </w:r>
      <w:r w:rsidR="00197C30" w:rsidRPr="009351E2">
        <w:rPr>
          <w:szCs w:val="22"/>
          <w:lang w:val="en-US"/>
        </w:rPr>
        <w:t>that present</w:t>
      </w:r>
      <w:r w:rsidR="00197C30" w:rsidRPr="009351E2">
        <w:rPr>
          <w:szCs w:val="22"/>
        </w:rPr>
        <w:t xml:space="preserve"> a basic character qualification</w:t>
      </w:r>
      <w:r w:rsidR="00197C30" w:rsidRPr="009351E2">
        <w:rPr>
          <w:szCs w:val="22"/>
          <w:lang w:val="en-US"/>
        </w:rPr>
        <w:t xml:space="preserve"> issue</w:t>
      </w:r>
      <w:r w:rsidR="001F70B4">
        <w:rPr>
          <w:szCs w:val="22"/>
        </w:rPr>
        <w:t>.</w:t>
      </w:r>
      <w:r w:rsidR="001F70B4">
        <w:rPr>
          <w:szCs w:val="22"/>
          <w:lang w:val="en-US"/>
        </w:rPr>
        <w:t xml:space="preserve">  </w:t>
      </w:r>
      <w:r w:rsidR="00197C30" w:rsidRPr="009351E2">
        <w:rPr>
          <w:szCs w:val="22"/>
          <w:lang w:val="en-US"/>
        </w:rPr>
        <w:t xml:space="preserve">Sinclair </w:t>
      </w:r>
      <w:r w:rsidR="00197C30" w:rsidRPr="009351E2">
        <w:rPr>
          <w:szCs w:val="22"/>
        </w:rPr>
        <w:t xml:space="preserve">has submitted a statement explicitly agreeing to stand in the stead of the </w:t>
      </w:r>
      <w:r w:rsidR="00197C30" w:rsidRPr="009351E2">
        <w:rPr>
          <w:szCs w:val="22"/>
          <w:lang w:val="en-US"/>
        </w:rPr>
        <w:t>transferor</w:t>
      </w:r>
      <w:r w:rsidR="00197C30" w:rsidRPr="009351E2">
        <w:rPr>
          <w:szCs w:val="22"/>
        </w:rPr>
        <w:t xml:space="preserve"> in any renewal application that is pending at the time of the consummation of the transfer.</w:t>
      </w:r>
      <w:r w:rsidR="00197C30" w:rsidRPr="009351E2">
        <w:rPr>
          <w:rStyle w:val="FootnoteReference"/>
          <w:szCs w:val="22"/>
        </w:rPr>
        <w:footnoteReference w:id="100"/>
      </w:r>
      <w:r w:rsidR="00197C30" w:rsidRPr="009351E2">
        <w:rPr>
          <w:szCs w:val="22"/>
        </w:rPr>
        <w:t xml:space="preserve">  Therefore, we will apply the policy set out in </w:t>
      </w:r>
      <w:r w:rsidR="00197C30" w:rsidRPr="009351E2">
        <w:rPr>
          <w:i/>
          <w:szCs w:val="22"/>
        </w:rPr>
        <w:t>Shareholders of CBS</w:t>
      </w:r>
      <w:r w:rsidR="00197C30" w:rsidRPr="009351E2">
        <w:rPr>
          <w:szCs w:val="22"/>
        </w:rPr>
        <w:t xml:space="preserve"> to those applications.  We recognize that other stations to be transferred to </w:t>
      </w:r>
      <w:r w:rsidR="00197C30" w:rsidRPr="009351E2">
        <w:rPr>
          <w:szCs w:val="22"/>
          <w:lang w:val="en-US"/>
        </w:rPr>
        <w:t xml:space="preserve">Sinclair </w:t>
      </w:r>
      <w:r w:rsidR="00197C30" w:rsidRPr="009351E2">
        <w:rPr>
          <w:szCs w:val="22"/>
        </w:rPr>
        <w:t xml:space="preserve">may need to file their renewal applications prior to closing. This situation is also encompassed by the precedent established by </w:t>
      </w:r>
      <w:r w:rsidR="00197C30" w:rsidRPr="009351E2">
        <w:rPr>
          <w:i/>
          <w:szCs w:val="22"/>
        </w:rPr>
        <w:t>Shareholders of CBS.</w:t>
      </w:r>
      <w:r w:rsidR="00197C30" w:rsidRPr="009351E2">
        <w:rPr>
          <w:rStyle w:val="FootnoteReference"/>
          <w:szCs w:val="22"/>
        </w:rPr>
        <w:footnoteReference w:id="101"/>
      </w:r>
    </w:p>
    <w:p w:rsidR="00197C30" w:rsidRPr="00544D53" w:rsidRDefault="00544D53" w:rsidP="00544D53">
      <w:pPr>
        <w:pStyle w:val="ParaNum"/>
        <w:tabs>
          <w:tab w:val="num" w:pos="1260"/>
        </w:tabs>
        <w:ind w:firstLine="806"/>
        <w:rPr>
          <w:szCs w:val="22"/>
        </w:rPr>
      </w:pPr>
      <w:r w:rsidRPr="009351E2">
        <w:rPr>
          <w:szCs w:val="22"/>
        </w:rPr>
        <w:t>We have reviewed the transfer of control</w:t>
      </w:r>
      <w:r w:rsidRPr="009351E2">
        <w:rPr>
          <w:szCs w:val="22"/>
          <w:lang w:val="en-US"/>
        </w:rPr>
        <w:t xml:space="preserve"> </w:t>
      </w:r>
      <w:r w:rsidRPr="009351E2">
        <w:rPr>
          <w:szCs w:val="22"/>
        </w:rPr>
        <w:t>applications</w:t>
      </w:r>
      <w:r w:rsidRPr="009351E2">
        <w:rPr>
          <w:szCs w:val="22"/>
          <w:lang w:val="en-US"/>
        </w:rPr>
        <w:t xml:space="preserve"> identified in Exhibit A</w:t>
      </w:r>
      <w:r w:rsidRPr="009351E2">
        <w:rPr>
          <w:szCs w:val="22"/>
        </w:rPr>
        <w:t>, the petition</w:t>
      </w:r>
      <w:r>
        <w:rPr>
          <w:szCs w:val="22"/>
          <w:lang w:val="en-US"/>
        </w:rPr>
        <w:t>s</w:t>
      </w:r>
      <w:r w:rsidRPr="009351E2">
        <w:rPr>
          <w:szCs w:val="22"/>
        </w:rPr>
        <w:t xml:space="preserve"> to deny, </w:t>
      </w:r>
      <w:r>
        <w:rPr>
          <w:szCs w:val="22"/>
          <w:lang w:val="en-US"/>
        </w:rPr>
        <w:t xml:space="preserve">oppositions, </w:t>
      </w:r>
      <w:r w:rsidRPr="009351E2">
        <w:rPr>
          <w:szCs w:val="22"/>
          <w:lang w:val="en-US"/>
        </w:rPr>
        <w:t xml:space="preserve">replies, </w:t>
      </w:r>
      <w:r w:rsidRPr="009351E2">
        <w:rPr>
          <w:szCs w:val="22"/>
        </w:rPr>
        <w:t>and related pleadings.  We conclude that</w:t>
      </w:r>
      <w:r w:rsidRPr="009351E2">
        <w:rPr>
          <w:szCs w:val="22"/>
          <w:lang w:val="en-US"/>
        </w:rPr>
        <w:t>, based on the record before us,</w:t>
      </w:r>
      <w:r w:rsidRPr="009351E2">
        <w:rPr>
          <w:szCs w:val="22"/>
        </w:rPr>
        <w:t xml:space="preserve"> the transferees</w:t>
      </w:r>
      <w:r w:rsidRPr="009351E2">
        <w:rPr>
          <w:szCs w:val="22"/>
          <w:lang w:val="en-US"/>
        </w:rPr>
        <w:t xml:space="preserve"> </w:t>
      </w:r>
      <w:r w:rsidRPr="009351E2">
        <w:rPr>
          <w:szCs w:val="22"/>
        </w:rPr>
        <w:t>are fully qualified to hold the licenses and that grant of the applications will serve the public interest, convenience, and necessity.</w:t>
      </w:r>
    </w:p>
    <w:p w:rsidR="00D27AA5" w:rsidRPr="009351E2" w:rsidRDefault="00D27AA5" w:rsidP="00EA50DC">
      <w:pPr>
        <w:pStyle w:val="Heading1"/>
      </w:pPr>
      <w:r w:rsidRPr="009351E2">
        <w:t>ORDERING CLAUSES</w:t>
      </w:r>
    </w:p>
    <w:p w:rsidR="00761E31" w:rsidRPr="00151DB3" w:rsidRDefault="00761E31" w:rsidP="005B0199">
      <w:pPr>
        <w:pStyle w:val="ParaNum"/>
      </w:pPr>
      <w:r w:rsidRPr="009351E2">
        <w:t xml:space="preserve">ACCORDINGLY, IT IS ORDERED, </w:t>
      </w:r>
      <w:r w:rsidR="003F49F6">
        <w:t>T</w:t>
      </w:r>
      <w:r w:rsidRPr="009351E2">
        <w:t xml:space="preserve">hat the Applications for Consent to Transfer of Control </w:t>
      </w:r>
      <w:r w:rsidR="009351E2" w:rsidRPr="009351E2">
        <w:t xml:space="preserve">identified in Exhibit A </w:t>
      </w:r>
      <w:r w:rsidR="003F49F6">
        <w:rPr>
          <w:color w:val="000000"/>
        </w:rPr>
        <w:t>ARE GRANTED, CONDITIONED upon the following</w:t>
      </w:r>
      <w:r w:rsidR="00915550">
        <w:rPr>
          <w:color w:val="000000"/>
        </w:rPr>
        <w:t>:</w:t>
      </w:r>
      <w:r w:rsidR="00915550">
        <w:t xml:space="preserve"> (1)</w:t>
      </w:r>
      <w:r w:rsidR="00040AA4">
        <w:t xml:space="preserve"> </w:t>
      </w:r>
      <w:r w:rsidR="005B0199">
        <w:t xml:space="preserve"> w</w:t>
      </w:r>
      <w:r w:rsidR="00915550">
        <w:t xml:space="preserve">ith respect to Charleston and Birmingham, </w:t>
      </w:r>
      <w:r w:rsidR="00040AA4">
        <w:t xml:space="preserve">that </w:t>
      </w:r>
      <w:r w:rsidR="00040AA4">
        <w:rPr>
          <w:color w:val="000000"/>
        </w:rPr>
        <w:t>Sinclair comply with the voluntary commitment</w:t>
      </w:r>
      <w:r w:rsidR="00F634CA">
        <w:rPr>
          <w:color w:val="000000"/>
          <w:lang w:val="en-US"/>
        </w:rPr>
        <w:t>s</w:t>
      </w:r>
      <w:r w:rsidR="00040AA4">
        <w:rPr>
          <w:color w:val="000000"/>
        </w:rPr>
        <w:t xml:space="preserve"> described in </w:t>
      </w:r>
      <w:r w:rsidR="006D34D4">
        <w:rPr>
          <w:color w:val="000000"/>
          <w:lang w:val="en-US"/>
        </w:rPr>
        <w:t>the instant order within 60 days of consummation of the instant transaction</w:t>
      </w:r>
      <w:r w:rsidR="00915550">
        <w:rPr>
          <w:color w:val="000000"/>
        </w:rPr>
        <w:t>; (2)</w:t>
      </w:r>
      <w:r w:rsidR="00040AA4">
        <w:rPr>
          <w:color w:val="000000"/>
        </w:rPr>
        <w:t xml:space="preserve"> with respect to Harrisburg, that Sinclair </w:t>
      </w:r>
      <w:r w:rsidR="00064E25">
        <w:rPr>
          <w:color w:val="000000"/>
          <w:lang w:val="en-US"/>
        </w:rPr>
        <w:t xml:space="preserve">submit an application to assign Station </w:t>
      </w:r>
      <w:r w:rsidR="00040AA4">
        <w:rPr>
          <w:color w:val="000000"/>
        </w:rPr>
        <w:t xml:space="preserve">WHTM-TV </w:t>
      </w:r>
      <w:r w:rsidR="00064E25">
        <w:rPr>
          <w:color w:val="000000"/>
        </w:rPr>
        <w:t xml:space="preserve">to Media General, Inc., within </w:t>
      </w:r>
      <w:r w:rsidR="00064E25">
        <w:rPr>
          <w:color w:val="000000"/>
          <w:lang w:val="en-US"/>
        </w:rPr>
        <w:t>3</w:t>
      </w:r>
      <w:r w:rsidR="00040AA4">
        <w:rPr>
          <w:color w:val="000000"/>
        </w:rPr>
        <w:t>0 days of consummation of the instant transa</w:t>
      </w:r>
      <w:r w:rsidR="005B0199">
        <w:rPr>
          <w:color w:val="000000"/>
        </w:rPr>
        <w:t>ction</w:t>
      </w:r>
      <w:r w:rsidR="00406DE4">
        <w:rPr>
          <w:rStyle w:val="FootnoteReference"/>
          <w:color w:val="000000"/>
        </w:rPr>
        <w:footnoteReference w:id="102"/>
      </w:r>
      <w:r w:rsidR="005B0199">
        <w:rPr>
          <w:color w:val="000000"/>
        </w:rPr>
        <w:t>; (3)  that, i</w:t>
      </w:r>
      <w:r w:rsidR="00064E25">
        <w:rPr>
          <w:color w:val="000000"/>
        </w:rPr>
        <w:t xml:space="preserve">f </w:t>
      </w:r>
      <w:r w:rsidR="00064E25">
        <w:rPr>
          <w:color w:val="000000"/>
          <w:lang w:val="en-US"/>
        </w:rPr>
        <w:t>the application to assign</w:t>
      </w:r>
      <w:r w:rsidR="00040AA4">
        <w:rPr>
          <w:color w:val="000000"/>
        </w:rPr>
        <w:t xml:space="preserve"> WHTM-TV is contested or the application to Media General, Inc. is not otherwise </w:t>
      </w:r>
      <w:r w:rsidR="005B0199">
        <w:rPr>
          <w:color w:val="000000"/>
        </w:rPr>
        <w:t>grantable within the 60-day period after consummation of the instant transaction</w:t>
      </w:r>
      <w:r w:rsidR="00040AA4">
        <w:rPr>
          <w:color w:val="000000"/>
        </w:rPr>
        <w:t xml:space="preserve">, </w:t>
      </w:r>
      <w:r w:rsidR="005B0199">
        <w:rPr>
          <w:color w:val="000000"/>
        </w:rPr>
        <w:t xml:space="preserve">Sinclair file an application assigning the station to a divestiture trust, the terms of which </w:t>
      </w:r>
      <w:r w:rsidR="006D34D4">
        <w:rPr>
          <w:color w:val="000000"/>
          <w:lang w:val="en-US"/>
        </w:rPr>
        <w:t>must be</w:t>
      </w:r>
      <w:r w:rsidR="005B0199">
        <w:rPr>
          <w:color w:val="000000"/>
        </w:rPr>
        <w:t xml:space="preserve"> previously approved by Commission staff and which shall not contain a provision permitting the beneficiary to set a price floor; (4)</w:t>
      </w:r>
      <w:r w:rsidR="005B0199" w:rsidRPr="005B0199">
        <w:t xml:space="preserve"> </w:t>
      </w:r>
      <w:r w:rsidR="005B0199">
        <w:rPr>
          <w:color w:val="000000"/>
          <w:szCs w:val="22"/>
          <w:lang w:val="en-US"/>
        </w:rPr>
        <w:t>termination of all</w:t>
      </w:r>
      <w:r w:rsidR="005B0199" w:rsidRPr="005B0199">
        <w:rPr>
          <w:color w:val="000000"/>
          <w:szCs w:val="22"/>
          <w:lang w:val="en-US"/>
        </w:rPr>
        <w:t xml:space="preserve"> sharing arrangement</w:t>
      </w:r>
      <w:r w:rsidR="005B0199">
        <w:rPr>
          <w:color w:val="000000"/>
          <w:szCs w:val="22"/>
          <w:lang w:val="en-US"/>
        </w:rPr>
        <w:t>s</w:t>
      </w:r>
      <w:r w:rsidR="005B0199" w:rsidRPr="005B0199">
        <w:rPr>
          <w:color w:val="000000"/>
          <w:szCs w:val="22"/>
          <w:lang w:val="en-US"/>
        </w:rPr>
        <w:t xml:space="preserve"> and financial </w:t>
      </w:r>
      <w:r w:rsidR="00832CD5">
        <w:rPr>
          <w:color w:val="000000"/>
          <w:szCs w:val="22"/>
          <w:lang w:val="en-US"/>
        </w:rPr>
        <w:t>ties</w:t>
      </w:r>
      <w:r w:rsidR="00832CD5" w:rsidRPr="005B0199">
        <w:rPr>
          <w:color w:val="000000"/>
          <w:szCs w:val="22"/>
          <w:lang w:val="en-US"/>
        </w:rPr>
        <w:t xml:space="preserve"> </w:t>
      </w:r>
      <w:r w:rsidR="005B0199" w:rsidRPr="005B0199">
        <w:rPr>
          <w:color w:val="000000"/>
          <w:szCs w:val="22"/>
          <w:lang w:val="en-US"/>
        </w:rPr>
        <w:t>between Sinclair and Cunningham governing operation of WTAT-TV</w:t>
      </w:r>
      <w:r w:rsidR="00832CD5">
        <w:rPr>
          <w:color w:val="000000"/>
          <w:szCs w:val="22"/>
          <w:lang w:val="en-US"/>
        </w:rPr>
        <w:t xml:space="preserve"> and no new entry into such relationships or ties</w:t>
      </w:r>
      <w:r w:rsidR="005B0199" w:rsidRPr="005B0199">
        <w:rPr>
          <w:color w:val="000000"/>
          <w:szCs w:val="22"/>
          <w:lang w:val="en-US"/>
        </w:rPr>
        <w:t>, as set forth in</w:t>
      </w:r>
      <w:r w:rsidR="005B0199">
        <w:rPr>
          <w:color w:val="000000"/>
          <w:szCs w:val="22"/>
          <w:lang w:val="en-US"/>
        </w:rPr>
        <w:t xml:space="preserve"> Sinclair’s</w:t>
      </w:r>
      <w:r w:rsidR="005B0199" w:rsidRPr="005B0199">
        <w:rPr>
          <w:color w:val="000000"/>
          <w:szCs w:val="22"/>
          <w:lang w:val="en-US"/>
        </w:rPr>
        <w:t xml:space="preserve"> voluntary commitment</w:t>
      </w:r>
      <w:r w:rsidR="00F634CA">
        <w:rPr>
          <w:color w:val="000000"/>
          <w:szCs w:val="22"/>
          <w:lang w:val="en-US"/>
        </w:rPr>
        <w:t>s</w:t>
      </w:r>
      <w:r w:rsidR="002B568D">
        <w:rPr>
          <w:color w:val="000000"/>
          <w:szCs w:val="22"/>
          <w:lang w:val="en-US"/>
        </w:rPr>
        <w:t xml:space="preserve">, as well as written documentation </w:t>
      </w:r>
      <w:r w:rsidR="00426721">
        <w:t>containing affirmative representations that the sharing arrangements and financial ties have been terminated</w:t>
      </w:r>
      <w:r w:rsidR="002B568D">
        <w:rPr>
          <w:lang w:val="en-US"/>
        </w:rPr>
        <w:t xml:space="preserve"> </w:t>
      </w:r>
      <w:r w:rsidR="002B568D">
        <w:rPr>
          <w:color w:val="000000"/>
          <w:szCs w:val="22"/>
          <w:lang w:val="en-US"/>
        </w:rPr>
        <w:t xml:space="preserve">filed </w:t>
      </w:r>
      <w:r w:rsidR="002B568D">
        <w:t>with the Media Bureau within 60 days of closing documentation</w:t>
      </w:r>
      <w:r w:rsidR="005B0199">
        <w:rPr>
          <w:color w:val="000000"/>
          <w:szCs w:val="22"/>
          <w:lang w:val="en-US"/>
        </w:rPr>
        <w:t xml:space="preserve">; and (5) compliance with the reporting condition described in paragraph </w:t>
      </w:r>
      <w:r w:rsidR="009017F8" w:rsidRPr="00E8003B">
        <w:rPr>
          <w:color w:val="000000"/>
          <w:szCs w:val="22"/>
          <w:lang w:val="en-US"/>
        </w:rPr>
        <w:t>43</w:t>
      </w:r>
      <w:r w:rsidR="005B0199" w:rsidRPr="00E8003B">
        <w:rPr>
          <w:color w:val="000000"/>
          <w:szCs w:val="22"/>
          <w:lang w:val="en-US"/>
        </w:rPr>
        <w:t>.</w:t>
      </w:r>
    </w:p>
    <w:p w:rsidR="00326CA6" w:rsidRPr="009351E2" w:rsidRDefault="008D4D89" w:rsidP="00326CA6">
      <w:pPr>
        <w:pStyle w:val="ParaNum"/>
        <w:tabs>
          <w:tab w:val="num" w:pos="1260"/>
        </w:tabs>
        <w:ind w:firstLine="806"/>
        <w:rPr>
          <w:szCs w:val="22"/>
        </w:rPr>
      </w:pPr>
      <w:r w:rsidRPr="009351E2">
        <w:rPr>
          <w:szCs w:val="22"/>
        </w:rPr>
        <w:t xml:space="preserve">IT IS </w:t>
      </w:r>
      <w:r w:rsidR="00761E31" w:rsidRPr="009351E2">
        <w:rPr>
          <w:szCs w:val="22"/>
          <w:lang w:val="en-US"/>
        </w:rPr>
        <w:t xml:space="preserve">FURTHER </w:t>
      </w:r>
      <w:r w:rsidRPr="009351E2">
        <w:rPr>
          <w:szCs w:val="22"/>
        </w:rPr>
        <w:t>ORDERED,</w:t>
      </w:r>
      <w:r w:rsidR="0008431E" w:rsidRPr="009351E2">
        <w:rPr>
          <w:szCs w:val="22"/>
        </w:rPr>
        <w:t xml:space="preserve"> that the petition</w:t>
      </w:r>
      <w:r w:rsidRPr="009351E2">
        <w:rPr>
          <w:szCs w:val="22"/>
        </w:rPr>
        <w:t xml:space="preserve"> to deny filed by </w:t>
      </w:r>
      <w:r w:rsidR="00D06367">
        <w:rPr>
          <w:szCs w:val="22"/>
          <w:lang w:val="en-US"/>
        </w:rPr>
        <w:t>Rainbow Push</w:t>
      </w:r>
      <w:r w:rsidR="00761E31" w:rsidRPr="009351E2">
        <w:rPr>
          <w:szCs w:val="22"/>
          <w:lang w:val="en-US"/>
        </w:rPr>
        <w:t xml:space="preserve"> and the informal objection filed by Raymie Humbert </w:t>
      </w:r>
      <w:r w:rsidRPr="009351E2">
        <w:rPr>
          <w:szCs w:val="22"/>
        </w:rPr>
        <w:t>ARE DENIED.</w:t>
      </w:r>
    </w:p>
    <w:p w:rsidR="0008431E" w:rsidRPr="007116A3" w:rsidRDefault="0008431E" w:rsidP="00326CA6">
      <w:pPr>
        <w:pStyle w:val="ParaNum"/>
        <w:tabs>
          <w:tab w:val="num" w:pos="1260"/>
        </w:tabs>
        <w:ind w:firstLine="806"/>
        <w:rPr>
          <w:szCs w:val="22"/>
        </w:rPr>
      </w:pPr>
      <w:r w:rsidRPr="009351E2">
        <w:rPr>
          <w:szCs w:val="22"/>
          <w:lang w:val="en-US"/>
        </w:rPr>
        <w:t>IT IS FURTHER ORDERED, that the petition to deny filed by ACA is DISMISSED IN PART and DENIED IN PART.</w:t>
      </w:r>
    </w:p>
    <w:p w:rsidR="00945DB4" w:rsidRPr="00544D53" w:rsidRDefault="00945DB4" w:rsidP="00945DB4">
      <w:pPr>
        <w:pStyle w:val="ParaNum"/>
        <w:tabs>
          <w:tab w:val="num" w:pos="1260"/>
        </w:tabs>
        <w:ind w:firstLine="806"/>
        <w:rPr>
          <w:szCs w:val="22"/>
        </w:rPr>
      </w:pPr>
      <w:r w:rsidRPr="009351E2">
        <w:rPr>
          <w:szCs w:val="22"/>
        </w:rPr>
        <w:t xml:space="preserve">IT IS </w:t>
      </w:r>
      <w:r w:rsidRPr="009351E2">
        <w:rPr>
          <w:szCs w:val="22"/>
          <w:lang w:val="en-US"/>
        </w:rPr>
        <w:t xml:space="preserve">FURTHER </w:t>
      </w:r>
      <w:r w:rsidRPr="009351E2">
        <w:rPr>
          <w:szCs w:val="22"/>
        </w:rPr>
        <w:t xml:space="preserve">ORDERED, that the petition to deny filed by </w:t>
      </w:r>
      <w:r w:rsidR="0008431E" w:rsidRPr="009351E2">
        <w:rPr>
          <w:szCs w:val="22"/>
          <w:lang w:val="en-US"/>
        </w:rPr>
        <w:t>Free Press IS DISMISSED</w:t>
      </w:r>
      <w:r w:rsidRPr="009351E2">
        <w:rPr>
          <w:szCs w:val="22"/>
        </w:rPr>
        <w:t>.</w:t>
      </w:r>
    </w:p>
    <w:p w:rsidR="00E04DB2" w:rsidRPr="002D43E4" w:rsidRDefault="00E04DB2" w:rsidP="00E04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p>
    <w:p w:rsidR="00E04DB2" w:rsidRPr="002D43E4" w:rsidRDefault="00E04DB2" w:rsidP="00E04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t>FEDERAL COMMUNICATIONS COMMISSION</w:t>
      </w:r>
    </w:p>
    <w:p w:rsidR="00E04DB2" w:rsidRPr="002D43E4" w:rsidRDefault="00E04DB2" w:rsidP="00E04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p>
    <w:p w:rsidR="00E04DB2" w:rsidRPr="002D43E4" w:rsidRDefault="00E04DB2" w:rsidP="00E04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p>
    <w:p w:rsidR="00050DDF" w:rsidRDefault="00E04DB2" w:rsidP="00BB2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p>
    <w:p w:rsidR="00BB26A0" w:rsidRDefault="00050DDF" w:rsidP="00BB2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r>
        <w:rPr>
          <w:rStyle w:val="documentbody"/>
          <w:rFonts w:ascii="Times New Roman" w:hAnsi="Times New Roman"/>
          <w:sz w:val="22"/>
          <w:szCs w:val="22"/>
        </w:rPr>
        <w:tab/>
      </w:r>
      <w:r>
        <w:rPr>
          <w:rStyle w:val="documentbody"/>
          <w:rFonts w:ascii="Times New Roman" w:hAnsi="Times New Roman"/>
          <w:sz w:val="22"/>
          <w:szCs w:val="22"/>
        </w:rPr>
        <w:tab/>
      </w:r>
      <w:r>
        <w:rPr>
          <w:rStyle w:val="documentbody"/>
          <w:rFonts w:ascii="Times New Roman" w:hAnsi="Times New Roman"/>
          <w:sz w:val="22"/>
          <w:szCs w:val="22"/>
        </w:rPr>
        <w:tab/>
      </w:r>
      <w:r>
        <w:rPr>
          <w:rStyle w:val="documentbody"/>
          <w:rFonts w:ascii="Times New Roman" w:hAnsi="Times New Roman"/>
          <w:sz w:val="22"/>
          <w:szCs w:val="22"/>
        </w:rPr>
        <w:tab/>
      </w:r>
      <w:r>
        <w:rPr>
          <w:rStyle w:val="documentbody"/>
          <w:rFonts w:ascii="Times New Roman" w:hAnsi="Times New Roman"/>
          <w:sz w:val="22"/>
          <w:szCs w:val="22"/>
        </w:rPr>
        <w:tab/>
      </w:r>
      <w:r>
        <w:rPr>
          <w:rStyle w:val="documentbody"/>
          <w:rFonts w:ascii="Times New Roman" w:hAnsi="Times New Roman"/>
          <w:sz w:val="22"/>
          <w:szCs w:val="22"/>
        </w:rPr>
        <w:tab/>
      </w:r>
      <w:r w:rsidR="00BB26A0">
        <w:rPr>
          <w:rStyle w:val="documentbody"/>
          <w:rFonts w:ascii="Times New Roman" w:hAnsi="Times New Roman"/>
          <w:sz w:val="22"/>
          <w:szCs w:val="22"/>
        </w:rPr>
        <w:t>William T. Lake</w:t>
      </w:r>
    </w:p>
    <w:p w:rsidR="00BB26A0" w:rsidRPr="002D43E4" w:rsidRDefault="00BB26A0" w:rsidP="00BB2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r>
        <w:rPr>
          <w:rStyle w:val="documentbody"/>
          <w:rFonts w:ascii="Times New Roman" w:hAnsi="Times New Roman"/>
          <w:sz w:val="22"/>
          <w:szCs w:val="22"/>
        </w:rPr>
        <w:tab/>
      </w:r>
      <w:r>
        <w:rPr>
          <w:rStyle w:val="documentbody"/>
          <w:rFonts w:ascii="Times New Roman" w:hAnsi="Times New Roman"/>
          <w:sz w:val="22"/>
          <w:szCs w:val="22"/>
        </w:rPr>
        <w:tab/>
      </w:r>
      <w:r>
        <w:rPr>
          <w:rStyle w:val="documentbody"/>
          <w:rFonts w:ascii="Times New Roman" w:hAnsi="Times New Roman"/>
          <w:sz w:val="22"/>
          <w:szCs w:val="22"/>
        </w:rPr>
        <w:tab/>
      </w:r>
      <w:r>
        <w:rPr>
          <w:rStyle w:val="documentbody"/>
          <w:rFonts w:ascii="Times New Roman" w:hAnsi="Times New Roman"/>
          <w:sz w:val="22"/>
          <w:szCs w:val="22"/>
        </w:rPr>
        <w:tab/>
      </w:r>
      <w:r>
        <w:rPr>
          <w:rStyle w:val="documentbody"/>
          <w:rFonts w:ascii="Times New Roman" w:hAnsi="Times New Roman"/>
          <w:sz w:val="22"/>
          <w:szCs w:val="22"/>
        </w:rPr>
        <w:tab/>
      </w:r>
      <w:r>
        <w:rPr>
          <w:rStyle w:val="documentbody"/>
          <w:rFonts w:ascii="Times New Roman" w:hAnsi="Times New Roman"/>
          <w:sz w:val="22"/>
          <w:szCs w:val="22"/>
        </w:rPr>
        <w:tab/>
        <w:t>Chief, Media Bureau</w:t>
      </w:r>
    </w:p>
    <w:p w:rsidR="00042F0B" w:rsidRPr="002D43E4" w:rsidRDefault="00042F0B" w:rsidP="00042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documentbody"/>
          <w:rFonts w:ascii="Times New Roman" w:hAnsi="Times New Roman"/>
          <w:sz w:val="22"/>
          <w:szCs w:val="22"/>
        </w:rPr>
      </w:pP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r w:rsidRPr="002D43E4">
        <w:rPr>
          <w:rStyle w:val="documentbody"/>
          <w:rFonts w:ascii="Times New Roman" w:hAnsi="Times New Roman"/>
          <w:sz w:val="22"/>
          <w:szCs w:val="22"/>
        </w:rPr>
        <w:tab/>
      </w:r>
    </w:p>
    <w:p w:rsidR="00042F0B" w:rsidRPr="00E3668B" w:rsidRDefault="00042F0B" w:rsidP="00BF51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2"/>
        </w:rPr>
      </w:pPr>
      <w:r w:rsidRPr="00E3668B">
        <w:rPr>
          <w:rStyle w:val="documentbody"/>
          <w:rFonts w:ascii="Times New Roman" w:hAnsi="Times New Roman"/>
          <w:sz w:val="22"/>
          <w:szCs w:val="22"/>
        </w:rPr>
        <w:tab/>
      </w:r>
      <w:r w:rsidRPr="00E3668B">
        <w:rPr>
          <w:rStyle w:val="documentbody"/>
          <w:rFonts w:ascii="Times New Roman" w:hAnsi="Times New Roman"/>
          <w:sz w:val="22"/>
          <w:szCs w:val="22"/>
        </w:rPr>
        <w:tab/>
      </w:r>
      <w:r w:rsidRPr="00E3668B">
        <w:rPr>
          <w:rStyle w:val="documentbody"/>
          <w:rFonts w:ascii="Times New Roman" w:hAnsi="Times New Roman"/>
          <w:sz w:val="22"/>
          <w:szCs w:val="22"/>
        </w:rPr>
        <w:tab/>
      </w:r>
      <w:r w:rsidRPr="00E3668B">
        <w:rPr>
          <w:rStyle w:val="documentbody"/>
          <w:rFonts w:ascii="Times New Roman" w:hAnsi="Times New Roman"/>
          <w:sz w:val="22"/>
          <w:szCs w:val="22"/>
        </w:rPr>
        <w:tab/>
      </w:r>
      <w:r w:rsidRPr="00E3668B">
        <w:rPr>
          <w:rStyle w:val="documentbody"/>
          <w:rFonts w:ascii="Times New Roman" w:hAnsi="Times New Roman"/>
          <w:sz w:val="22"/>
          <w:szCs w:val="22"/>
        </w:rPr>
        <w:tab/>
      </w:r>
      <w:r w:rsidRPr="00E3668B">
        <w:rPr>
          <w:rStyle w:val="documentbody"/>
          <w:rFonts w:ascii="Times New Roman" w:hAnsi="Times New Roman"/>
          <w:sz w:val="22"/>
          <w:szCs w:val="22"/>
        </w:rPr>
        <w:tab/>
      </w:r>
    </w:p>
    <w:p w:rsidR="00E607DB" w:rsidRPr="00E3668B" w:rsidRDefault="00042F0B" w:rsidP="00E607DB">
      <w:pPr>
        <w:jc w:val="center"/>
        <w:rPr>
          <w:b/>
        </w:rPr>
      </w:pPr>
      <w:r w:rsidRPr="00E3668B">
        <w:br w:type="page"/>
      </w:r>
      <w:r w:rsidR="00E607DB" w:rsidRPr="00E3668B">
        <w:rPr>
          <w:b/>
        </w:rPr>
        <w:t>Exhibit A</w:t>
      </w:r>
    </w:p>
    <w:tbl>
      <w:tblPr>
        <w:tblW w:w="9406" w:type="dxa"/>
        <w:tblInd w:w="93" w:type="dxa"/>
        <w:tblLook w:val="04A0" w:firstRow="1" w:lastRow="0" w:firstColumn="1" w:lastColumn="0" w:noHBand="0" w:noVBand="1"/>
      </w:tblPr>
      <w:tblGrid>
        <w:gridCol w:w="1426"/>
        <w:gridCol w:w="931"/>
        <w:gridCol w:w="1643"/>
        <w:gridCol w:w="1829"/>
        <w:gridCol w:w="1967"/>
        <w:gridCol w:w="1610"/>
      </w:tblGrid>
      <w:tr w:rsidR="00E607DB" w:rsidRPr="00E3668B" w:rsidTr="00476C60">
        <w:trPr>
          <w:trHeight w:val="540"/>
        </w:trPr>
        <w:tc>
          <w:tcPr>
            <w:tcW w:w="1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07DB" w:rsidRPr="00E3668B" w:rsidRDefault="00E607DB" w:rsidP="00665654">
            <w:pPr>
              <w:rPr>
                <w:b/>
                <w:bCs/>
                <w:color w:val="000000"/>
                <w:szCs w:val="24"/>
              </w:rPr>
            </w:pPr>
            <w:r w:rsidRPr="00E3668B">
              <w:rPr>
                <w:b/>
                <w:bCs/>
                <w:color w:val="000000"/>
                <w:szCs w:val="24"/>
              </w:rPr>
              <w:t>Station</w:t>
            </w:r>
          </w:p>
        </w:tc>
        <w:tc>
          <w:tcPr>
            <w:tcW w:w="936" w:type="dxa"/>
            <w:tcBorders>
              <w:top w:val="single" w:sz="4" w:space="0" w:color="auto"/>
              <w:left w:val="nil"/>
              <w:bottom w:val="single" w:sz="4" w:space="0" w:color="auto"/>
              <w:right w:val="single" w:sz="4" w:space="0" w:color="auto"/>
            </w:tcBorders>
            <w:shd w:val="clear" w:color="auto" w:fill="auto"/>
            <w:vAlign w:val="bottom"/>
            <w:hideMark/>
          </w:tcPr>
          <w:p w:rsidR="00E607DB" w:rsidRPr="00E3668B" w:rsidRDefault="00E607DB" w:rsidP="00665654">
            <w:pPr>
              <w:rPr>
                <w:b/>
                <w:bCs/>
                <w:color w:val="000000"/>
                <w:szCs w:val="24"/>
              </w:rPr>
            </w:pPr>
            <w:r w:rsidRPr="00E3668B">
              <w:rPr>
                <w:b/>
                <w:bCs/>
                <w:color w:val="000000"/>
                <w:szCs w:val="24"/>
              </w:rPr>
              <w:t>Fac. ID</w:t>
            </w:r>
          </w:p>
        </w:tc>
        <w:tc>
          <w:tcPr>
            <w:tcW w:w="1650" w:type="dxa"/>
            <w:tcBorders>
              <w:top w:val="single" w:sz="4" w:space="0" w:color="auto"/>
              <w:left w:val="nil"/>
              <w:bottom w:val="single" w:sz="4" w:space="0" w:color="auto"/>
              <w:right w:val="single" w:sz="4" w:space="0" w:color="auto"/>
            </w:tcBorders>
            <w:shd w:val="clear" w:color="auto" w:fill="auto"/>
            <w:vAlign w:val="bottom"/>
            <w:hideMark/>
          </w:tcPr>
          <w:p w:rsidR="00E607DB" w:rsidRPr="00E3668B" w:rsidRDefault="00E607DB" w:rsidP="00665654">
            <w:pPr>
              <w:rPr>
                <w:b/>
                <w:bCs/>
                <w:color w:val="000000"/>
                <w:szCs w:val="24"/>
              </w:rPr>
            </w:pPr>
            <w:r w:rsidRPr="00E3668B">
              <w:rPr>
                <w:b/>
                <w:bCs/>
                <w:color w:val="000000"/>
                <w:szCs w:val="24"/>
              </w:rPr>
              <w:t>Community</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E607DB" w:rsidRPr="00E3668B" w:rsidRDefault="0084661D" w:rsidP="00665654">
            <w:pPr>
              <w:rPr>
                <w:b/>
                <w:bCs/>
                <w:color w:val="000000"/>
                <w:szCs w:val="24"/>
              </w:rPr>
            </w:pPr>
            <w:r>
              <w:rPr>
                <w:b/>
                <w:bCs/>
                <w:color w:val="000000"/>
                <w:szCs w:val="24"/>
              </w:rPr>
              <w:t>Licensee</w:t>
            </w:r>
          </w:p>
        </w:tc>
        <w:tc>
          <w:tcPr>
            <w:tcW w:w="1987" w:type="dxa"/>
            <w:tcBorders>
              <w:top w:val="single" w:sz="4" w:space="0" w:color="auto"/>
              <w:left w:val="nil"/>
              <w:bottom w:val="single" w:sz="4" w:space="0" w:color="auto"/>
              <w:right w:val="single" w:sz="4" w:space="0" w:color="auto"/>
            </w:tcBorders>
            <w:shd w:val="clear" w:color="auto" w:fill="auto"/>
            <w:vAlign w:val="bottom"/>
            <w:hideMark/>
          </w:tcPr>
          <w:p w:rsidR="00E607DB" w:rsidRPr="00E3668B" w:rsidRDefault="00E607DB" w:rsidP="00665654">
            <w:pPr>
              <w:rPr>
                <w:b/>
                <w:bCs/>
                <w:color w:val="000000"/>
                <w:szCs w:val="24"/>
              </w:rPr>
            </w:pPr>
            <w:r w:rsidRPr="00E3668B">
              <w:rPr>
                <w:b/>
                <w:bCs/>
                <w:color w:val="000000"/>
                <w:szCs w:val="24"/>
              </w:rPr>
              <w:t>Transferee</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E607DB" w:rsidRPr="00E3668B" w:rsidRDefault="00E607DB" w:rsidP="00665654">
            <w:pPr>
              <w:rPr>
                <w:b/>
                <w:bCs/>
                <w:color w:val="000000"/>
                <w:szCs w:val="24"/>
              </w:rPr>
            </w:pPr>
            <w:r w:rsidRPr="00E3668B">
              <w:rPr>
                <w:b/>
                <w:bCs/>
                <w:color w:val="000000"/>
                <w:szCs w:val="24"/>
              </w:rPr>
              <w:t>Application Number</w:t>
            </w:r>
          </w:p>
        </w:tc>
      </w:tr>
      <w:tr w:rsidR="00382D27" w:rsidRPr="00E3668B" w:rsidTr="00476C60">
        <w:trPr>
          <w:trHeight w:val="540"/>
        </w:trPr>
        <w:tc>
          <w:tcPr>
            <w:tcW w:w="1430" w:type="dxa"/>
            <w:tcBorders>
              <w:top w:val="nil"/>
              <w:left w:val="single" w:sz="4" w:space="0" w:color="auto"/>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WCFT-TV</w:t>
            </w:r>
          </w:p>
        </w:tc>
        <w:tc>
          <w:tcPr>
            <w:tcW w:w="936" w:type="dxa"/>
            <w:tcBorders>
              <w:top w:val="nil"/>
              <w:left w:val="nil"/>
              <w:bottom w:val="single" w:sz="4" w:space="0" w:color="auto"/>
              <w:right w:val="single" w:sz="4" w:space="0" w:color="auto"/>
            </w:tcBorders>
            <w:shd w:val="clear" w:color="auto" w:fill="auto"/>
            <w:vAlign w:val="bottom"/>
          </w:tcPr>
          <w:p w:rsidR="00382D27" w:rsidRDefault="00382D27" w:rsidP="00665654">
            <w:pPr>
              <w:jc w:val="right"/>
              <w:rPr>
                <w:color w:val="000000"/>
                <w:szCs w:val="24"/>
              </w:rPr>
            </w:pPr>
            <w:r>
              <w:rPr>
                <w:color w:val="000000"/>
                <w:szCs w:val="24"/>
              </w:rPr>
              <w:t>21258</w:t>
            </w:r>
          </w:p>
        </w:tc>
        <w:tc>
          <w:tcPr>
            <w:tcW w:w="1650"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Tuscaloosa, AL</w:t>
            </w:r>
          </w:p>
        </w:tc>
        <w:tc>
          <w:tcPr>
            <w:tcW w:w="1842"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TV Alabama, Inc.</w:t>
            </w:r>
          </w:p>
        </w:tc>
        <w:tc>
          <w:tcPr>
            <w:tcW w:w="1987"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Sinclair Television Group, Inc.</w:t>
            </w:r>
          </w:p>
        </w:tc>
        <w:tc>
          <w:tcPr>
            <w:tcW w:w="1561"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BTCCDT-20130809ABW</w:t>
            </w:r>
          </w:p>
        </w:tc>
      </w:tr>
      <w:tr w:rsidR="00382D27" w:rsidRPr="00E3668B" w:rsidTr="00476C60">
        <w:trPr>
          <w:trHeight w:val="540"/>
        </w:trPr>
        <w:tc>
          <w:tcPr>
            <w:tcW w:w="1430" w:type="dxa"/>
            <w:tcBorders>
              <w:top w:val="nil"/>
              <w:left w:val="single" w:sz="4" w:space="0" w:color="auto"/>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WJSU-TV</w:t>
            </w:r>
          </w:p>
        </w:tc>
        <w:tc>
          <w:tcPr>
            <w:tcW w:w="936" w:type="dxa"/>
            <w:tcBorders>
              <w:top w:val="nil"/>
              <w:left w:val="nil"/>
              <w:bottom w:val="single" w:sz="4" w:space="0" w:color="auto"/>
              <w:right w:val="single" w:sz="4" w:space="0" w:color="auto"/>
            </w:tcBorders>
            <w:shd w:val="clear" w:color="auto" w:fill="auto"/>
            <w:vAlign w:val="bottom"/>
          </w:tcPr>
          <w:p w:rsidR="00382D27" w:rsidRDefault="00382D27" w:rsidP="00665654">
            <w:pPr>
              <w:jc w:val="right"/>
              <w:rPr>
                <w:color w:val="000000"/>
                <w:szCs w:val="24"/>
              </w:rPr>
            </w:pPr>
            <w:r>
              <w:rPr>
                <w:color w:val="000000"/>
                <w:szCs w:val="24"/>
              </w:rPr>
              <w:t>56642</w:t>
            </w:r>
          </w:p>
        </w:tc>
        <w:tc>
          <w:tcPr>
            <w:tcW w:w="1650"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Anniston, AL</w:t>
            </w:r>
          </w:p>
        </w:tc>
        <w:tc>
          <w:tcPr>
            <w:tcW w:w="1842"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TV Alabama, Inc.</w:t>
            </w:r>
          </w:p>
        </w:tc>
        <w:tc>
          <w:tcPr>
            <w:tcW w:w="1987"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Sinclair Television Group, Inc.</w:t>
            </w:r>
          </w:p>
        </w:tc>
        <w:tc>
          <w:tcPr>
            <w:tcW w:w="1561"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BTCCDT-20130809ABW</w:t>
            </w:r>
          </w:p>
        </w:tc>
      </w:tr>
      <w:tr w:rsidR="00382D27" w:rsidRPr="00E3668B" w:rsidTr="00476C60">
        <w:trPr>
          <w:trHeight w:val="540"/>
        </w:trPr>
        <w:tc>
          <w:tcPr>
            <w:tcW w:w="1430" w:type="dxa"/>
            <w:tcBorders>
              <w:top w:val="nil"/>
              <w:left w:val="single" w:sz="4" w:space="0" w:color="auto"/>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WBMA-LD</w:t>
            </w:r>
          </w:p>
        </w:tc>
        <w:tc>
          <w:tcPr>
            <w:tcW w:w="936" w:type="dxa"/>
            <w:tcBorders>
              <w:top w:val="nil"/>
              <w:left w:val="nil"/>
              <w:bottom w:val="single" w:sz="4" w:space="0" w:color="auto"/>
              <w:right w:val="single" w:sz="4" w:space="0" w:color="auto"/>
            </w:tcBorders>
            <w:shd w:val="clear" w:color="auto" w:fill="auto"/>
            <w:vAlign w:val="bottom"/>
          </w:tcPr>
          <w:p w:rsidR="00382D27" w:rsidRDefault="00382D27" w:rsidP="00665654">
            <w:pPr>
              <w:jc w:val="right"/>
              <w:rPr>
                <w:color w:val="000000"/>
                <w:szCs w:val="24"/>
              </w:rPr>
            </w:pPr>
            <w:r>
              <w:rPr>
                <w:color w:val="000000"/>
                <w:szCs w:val="24"/>
              </w:rPr>
              <w:t>60214</w:t>
            </w:r>
          </w:p>
        </w:tc>
        <w:tc>
          <w:tcPr>
            <w:tcW w:w="1650"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Birmingham, AL</w:t>
            </w:r>
          </w:p>
        </w:tc>
        <w:tc>
          <w:tcPr>
            <w:tcW w:w="1842"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TV Alabama, Inc.</w:t>
            </w:r>
          </w:p>
        </w:tc>
        <w:tc>
          <w:tcPr>
            <w:tcW w:w="1987"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Sinclair Television Group, Inc.</w:t>
            </w:r>
          </w:p>
        </w:tc>
        <w:tc>
          <w:tcPr>
            <w:tcW w:w="1561"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BTCCDT-2013080</w:t>
            </w:r>
            <w:r w:rsidR="00A6116A">
              <w:rPr>
                <w:color w:val="000000"/>
                <w:szCs w:val="24"/>
              </w:rPr>
              <w:t>9</w:t>
            </w:r>
            <w:r>
              <w:rPr>
                <w:color w:val="000000"/>
                <w:szCs w:val="24"/>
              </w:rPr>
              <w:t>ABW</w:t>
            </w:r>
          </w:p>
        </w:tc>
      </w:tr>
      <w:tr w:rsidR="00382D27" w:rsidRPr="00E3668B" w:rsidTr="00476C60">
        <w:trPr>
          <w:trHeight w:val="540"/>
        </w:trPr>
        <w:tc>
          <w:tcPr>
            <w:tcW w:w="1430" w:type="dxa"/>
            <w:tcBorders>
              <w:top w:val="nil"/>
              <w:left w:val="single" w:sz="4" w:space="0" w:color="auto"/>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WCIV</w:t>
            </w:r>
            <w:r w:rsidR="00D36CA3">
              <w:rPr>
                <w:color w:val="000000"/>
                <w:szCs w:val="24"/>
              </w:rPr>
              <w:t>(TV)</w:t>
            </w:r>
          </w:p>
        </w:tc>
        <w:tc>
          <w:tcPr>
            <w:tcW w:w="936" w:type="dxa"/>
            <w:tcBorders>
              <w:top w:val="nil"/>
              <w:left w:val="nil"/>
              <w:bottom w:val="single" w:sz="4" w:space="0" w:color="auto"/>
              <w:right w:val="single" w:sz="4" w:space="0" w:color="auto"/>
            </w:tcBorders>
            <w:shd w:val="clear" w:color="auto" w:fill="auto"/>
            <w:vAlign w:val="bottom"/>
          </w:tcPr>
          <w:p w:rsidR="00382D27" w:rsidRDefault="00382D27" w:rsidP="00665654">
            <w:pPr>
              <w:jc w:val="right"/>
              <w:rPr>
                <w:color w:val="000000"/>
                <w:szCs w:val="24"/>
              </w:rPr>
            </w:pPr>
            <w:r>
              <w:rPr>
                <w:color w:val="000000"/>
                <w:szCs w:val="24"/>
              </w:rPr>
              <w:t>21536</w:t>
            </w:r>
          </w:p>
        </w:tc>
        <w:tc>
          <w:tcPr>
            <w:tcW w:w="1650"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Charleston, SC</w:t>
            </w:r>
          </w:p>
        </w:tc>
        <w:tc>
          <w:tcPr>
            <w:tcW w:w="1842"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Charleston Television, LLC</w:t>
            </w:r>
          </w:p>
        </w:tc>
        <w:tc>
          <w:tcPr>
            <w:tcW w:w="1987"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Sinclair Television Group, Inc.</w:t>
            </w:r>
          </w:p>
        </w:tc>
        <w:tc>
          <w:tcPr>
            <w:tcW w:w="1561"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BTCCDT-20130809ACA</w:t>
            </w:r>
          </w:p>
        </w:tc>
      </w:tr>
      <w:tr w:rsidR="00E607DB" w:rsidRPr="00E3668B" w:rsidTr="00476C60">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D36CA3" w:rsidP="00665654">
            <w:pPr>
              <w:rPr>
                <w:color w:val="000000"/>
                <w:szCs w:val="24"/>
              </w:rPr>
            </w:pPr>
            <w:r>
              <w:rPr>
                <w:color w:val="000000"/>
                <w:szCs w:val="24"/>
              </w:rPr>
              <w:t>KATV(TV)</w:t>
            </w:r>
          </w:p>
        </w:tc>
        <w:tc>
          <w:tcPr>
            <w:tcW w:w="936" w:type="dxa"/>
            <w:tcBorders>
              <w:top w:val="nil"/>
              <w:left w:val="nil"/>
              <w:bottom w:val="single" w:sz="4" w:space="0" w:color="auto"/>
              <w:right w:val="single" w:sz="4" w:space="0" w:color="auto"/>
            </w:tcBorders>
            <w:shd w:val="clear" w:color="auto" w:fill="auto"/>
            <w:vAlign w:val="bottom"/>
            <w:hideMark/>
          </w:tcPr>
          <w:p w:rsidR="00E607DB" w:rsidRPr="00E3668B" w:rsidRDefault="00271F19" w:rsidP="00665654">
            <w:pPr>
              <w:jc w:val="right"/>
              <w:rPr>
                <w:color w:val="000000"/>
                <w:szCs w:val="24"/>
              </w:rPr>
            </w:pPr>
            <w:r>
              <w:rPr>
                <w:color w:val="000000"/>
                <w:szCs w:val="24"/>
              </w:rPr>
              <w:t>41427</w:t>
            </w:r>
          </w:p>
        </w:tc>
        <w:tc>
          <w:tcPr>
            <w:tcW w:w="1650" w:type="dxa"/>
            <w:tcBorders>
              <w:top w:val="nil"/>
              <w:left w:val="nil"/>
              <w:bottom w:val="single" w:sz="4" w:space="0" w:color="auto"/>
              <w:right w:val="single" w:sz="4" w:space="0" w:color="auto"/>
            </w:tcBorders>
            <w:shd w:val="clear" w:color="auto" w:fill="auto"/>
            <w:vAlign w:val="bottom"/>
            <w:hideMark/>
          </w:tcPr>
          <w:p w:rsidR="00E607DB" w:rsidRPr="00E3668B" w:rsidRDefault="00D36CA3" w:rsidP="00665654">
            <w:pPr>
              <w:rPr>
                <w:color w:val="000000"/>
                <w:szCs w:val="24"/>
              </w:rPr>
            </w:pPr>
            <w:r>
              <w:rPr>
                <w:color w:val="000000"/>
                <w:szCs w:val="24"/>
              </w:rPr>
              <w:t>Little Rock, AR</w:t>
            </w:r>
          </w:p>
        </w:tc>
        <w:tc>
          <w:tcPr>
            <w:tcW w:w="1842" w:type="dxa"/>
            <w:tcBorders>
              <w:top w:val="nil"/>
              <w:left w:val="nil"/>
              <w:bottom w:val="single" w:sz="4" w:space="0" w:color="auto"/>
              <w:right w:val="single" w:sz="4" w:space="0" w:color="auto"/>
            </w:tcBorders>
            <w:shd w:val="clear" w:color="auto" w:fill="auto"/>
            <w:vAlign w:val="bottom"/>
            <w:hideMark/>
          </w:tcPr>
          <w:p w:rsidR="00E607DB" w:rsidRPr="00E3668B" w:rsidRDefault="0084661D" w:rsidP="00665654">
            <w:pPr>
              <w:rPr>
                <w:color w:val="000000"/>
                <w:szCs w:val="24"/>
              </w:rPr>
            </w:pPr>
            <w:r>
              <w:rPr>
                <w:color w:val="000000"/>
                <w:szCs w:val="24"/>
              </w:rPr>
              <w:t>KATV, LLC</w:t>
            </w:r>
          </w:p>
        </w:tc>
        <w:tc>
          <w:tcPr>
            <w:tcW w:w="1987" w:type="dxa"/>
            <w:tcBorders>
              <w:top w:val="nil"/>
              <w:left w:val="nil"/>
              <w:bottom w:val="single" w:sz="4" w:space="0" w:color="auto"/>
              <w:right w:val="single" w:sz="4" w:space="0" w:color="auto"/>
            </w:tcBorders>
            <w:shd w:val="clear" w:color="auto" w:fill="auto"/>
            <w:vAlign w:val="bottom"/>
            <w:hideMark/>
          </w:tcPr>
          <w:p w:rsidR="00E607DB" w:rsidRPr="00E3668B" w:rsidRDefault="0084661D" w:rsidP="00665654">
            <w:pPr>
              <w:rPr>
                <w:color w:val="000000"/>
                <w:szCs w:val="24"/>
              </w:rPr>
            </w:pPr>
            <w:r>
              <w:rPr>
                <w:color w:val="000000"/>
                <w:szCs w:val="24"/>
              </w:rPr>
              <w:t>Sinclair Television Group, Inc.</w:t>
            </w:r>
          </w:p>
        </w:tc>
        <w:tc>
          <w:tcPr>
            <w:tcW w:w="1561" w:type="dxa"/>
            <w:tcBorders>
              <w:top w:val="nil"/>
              <w:left w:val="nil"/>
              <w:bottom w:val="single" w:sz="4" w:space="0" w:color="auto"/>
              <w:right w:val="single" w:sz="4" w:space="0" w:color="auto"/>
            </w:tcBorders>
            <w:shd w:val="clear" w:color="auto" w:fill="auto"/>
            <w:vAlign w:val="bottom"/>
            <w:hideMark/>
          </w:tcPr>
          <w:p w:rsidR="00E607DB" w:rsidRPr="00E3668B" w:rsidRDefault="00835322" w:rsidP="00665654">
            <w:pPr>
              <w:rPr>
                <w:color w:val="000000"/>
                <w:szCs w:val="24"/>
              </w:rPr>
            </w:pPr>
            <w:r>
              <w:rPr>
                <w:color w:val="000000"/>
                <w:szCs w:val="24"/>
              </w:rPr>
              <w:t>BTCCDT-20130809ACB</w:t>
            </w:r>
          </w:p>
        </w:tc>
      </w:tr>
      <w:tr w:rsidR="000430C1" w:rsidRPr="00E3668B" w:rsidTr="000430C1">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0430C1" w:rsidRPr="00E3668B" w:rsidRDefault="000430C1" w:rsidP="000430C1">
            <w:pPr>
              <w:rPr>
                <w:color w:val="000000"/>
                <w:szCs w:val="24"/>
              </w:rPr>
            </w:pPr>
            <w:r>
              <w:rPr>
                <w:color w:val="000000"/>
                <w:szCs w:val="24"/>
              </w:rPr>
              <w:t>KTUL(TV)</w:t>
            </w:r>
          </w:p>
        </w:tc>
        <w:tc>
          <w:tcPr>
            <w:tcW w:w="936" w:type="dxa"/>
            <w:tcBorders>
              <w:top w:val="nil"/>
              <w:left w:val="nil"/>
              <w:bottom w:val="single" w:sz="4" w:space="0" w:color="auto"/>
              <w:right w:val="single" w:sz="4" w:space="0" w:color="auto"/>
            </w:tcBorders>
            <w:shd w:val="clear" w:color="auto" w:fill="auto"/>
            <w:vAlign w:val="bottom"/>
            <w:hideMark/>
          </w:tcPr>
          <w:p w:rsidR="000430C1" w:rsidRPr="00E3668B" w:rsidRDefault="000430C1" w:rsidP="000430C1">
            <w:pPr>
              <w:jc w:val="right"/>
              <w:rPr>
                <w:color w:val="000000"/>
                <w:szCs w:val="24"/>
              </w:rPr>
            </w:pPr>
            <w:r>
              <w:rPr>
                <w:color w:val="000000"/>
                <w:szCs w:val="24"/>
              </w:rPr>
              <w:t>35685</w:t>
            </w:r>
          </w:p>
        </w:tc>
        <w:tc>
          <w:tcPr>
            <w:tcW w:w="1650" w:type="dxa"/>
            <w:tcBorders>
              <w:top w:val="nil"/>
              <w:left w:val="nil"/>
              <w:bottom w:val="single" w:sz="4" w:space="0" w:color="auto"/>
              <w:right w:val="single" w:sz="4" w:space="0" w:color="auto"/>
            </w:tcBorders>
            <w:shd w:val="clear" w:color="auto" w:fill="auto"/>
            <w:vAlign w:val="bottom"/>
            <w:hideMark/>
          </w:tcPr>
          <w:p w:rsidR="000430C1" w:rsidRPr="00E3668B" w:rsidRDefault="000430C1" w:rsidP="000430C1">
            <w:pPr>
              <w:rPr>
                <w:color w:val="000000"/>
                <w:szCs w:val="24"/>
              </w:rPr>
            </w:pPr>
            <w:r>
              <w:rPr>
                <w:color w:val="000000"/>
                <w:szCs w:val="24"/>
              </w:rPr>
              <w:t>Tulsa, OK</w:t>
            </w:r>
          </w:p>
        </w:tc>
        <w:tc>
          <w:tcPr>
            <w:tcW w:w="1842" w:type="dxa"/>
            <w:tcBorders>
              <w:top w:val="nil"/>
              <w:left w:val="nil"/>
              <w:bottom w:val="single" w:sz="4" w:space="0" w:color="auto"/>
              <w:right w:val="single" w:sz="4" w:space="0" w:color="auto"/>
            </w:tcBorders>
            <w:shd w:val="clear" w:color="auto" w:fill="auto"/>
            <w:vAlign w:val="bottom"/>
            <w:hideMark/>
          </w:tcPr>
          <w:p w:rsidR="000430C1" w:rsidRPr="00E3668B" w:rsidRDefault="000430C1" w:rsidP="000430C1">
            <w:pPr>
              <w:rPr>
                <w:color w:val="000000"/>
                <w:szCs w:val="24"/>
              </w:rPr>
            </w:pPr>
            <w:r>
              <w:rPr>
                <w:color w:val="000000"/>
                <w:szCs w:val="24"/>
              </w:rPr>
              <w:t>KTUL, LLC</w:t>
            </w:r>
          </w:p>
        </w:tc>
        <w:tc>
          <w:tcPr>
            <w:tcW w:w="1987" w:type="dxa"/>
            <w:tcBorders>
              <w:top w:val="nil"/>
              <w:left w:val="nil"/>
              <w:bottom w:val="single" w:sz="4" w:space="0" w:color="auto"/>
              <w:right w:val="single" w:sz="4" w:space="0" w:color="auto"/>
            </w:tcBorders>
            <w:shd w:val="clear" w:color="auto" w:fill="auto"/>
            <w:vAlign w:val="bottom"/>
            <w:hideMark/>
          </w:tcPr>
          <w:p w:rsidR="000430C1" w:rsidRPr="00E3668B" w:rsidRDefault="000430C1" w:rsidP="000430C1">
            <w:pPr>
              <w:rPr>
                <w:color w:val="000000"/>
                <w:szCs w:val="24"/>
              </w:rPr>
            </w:pPr>
            <w:r>
              <w:rPr>
                <w:color w:val="000000"/>
                <w:szCs w:val="24"/>
              </w:rPr>
              <w:t>Sinclair Television Group, Inc.</w:t>
            </w:r>
          </w:p>
        </w:tc>
        <w:tc>
          <w:tcPr>
            <w:tcW w:w="1561" w:type="dxa"/>
            <w:tcBorders>
              <w:top w:val="nil"/>
              <w:left w:val="nil"/>
              <w:bottom w:val="single" w:sz="4" w:space="0" w:color="auto"/>
              <w:right w:val="single" w:sz="4" w:space="0" w:color="auto"/>
            </w:tcBorders>
            <w:shd w:val="clear" w:color="auto" w:fill="auto"/>
            <w:vAlign w:val="bottom"/>
            <w:hideMark/>
          </w:tcPr>
          <w:p w:rsidR="000430C1" w:rsidRPr="00E3668B" w:rsidRDefault="000430C1" w:rsidP="000430C1">
            <w:pPr>
              <w:rPr>
                <w:color w:val="000000"/>
                <w:szCs w:val="24"/>
              </w:rPr>
            </w:pPr>
            <w:r>
              <w:rPr>
                <w:color w:val="000000"/>
                <w:szCs w:val="24"/>
              </w:rPr>
              <w:t>BTCCDT-20130809ACC</w:t>
            </w:r>
          </w:p>
        </w:tc>
      </w:tr>
      <w:tr w:rsidR="00E607DB" w:rsidRPr="00E3668B" w:rsidTr="00476C60">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84661D" w:rsidP="00665654">
            <w:pPr>
              <w:rPr>
                <w:color w:val="000000"/>
                <w:szCs w:val="24"/>
              </w:rPr>
            </w:pPr>
            <w:r>
              <w:rPr>
                <w:color w:val="000000"/>
                <w:szCs w:val="24"/>
              </w:rPr>
              <w:t>WJLA-TV</w:t>
            </w:r>
          </w:p>
        </w:tc>
        <w:tc>
          <w:tcPr>
            <w:tcW w:w="936" w:type="dxa"/>
            <w:tcBorders>
              <w:top w:val="nil"/>
              <w:left w:val="nil"/>
              <w:bottom w:val="single" w:sz="4" w:space="0" w:color="auto"/>
              <w:right w:val="single" w:sz="4" w:space="0" w:color="auto"/>
            </w:tcBorders>
            <w:shd w:val="clear" w:color="auto" w:fill="auto"/>
            <w:vAlign w:val="bottom"/>
            <w:hideMark/>
          </w:tcPr>
          <w:p w:rsidR="00E607DB" w:rsidRPr="00E3668B" w:rsidRDefault="00835322" w:rsidP="00665654">
            <w:pPr>
              <w:jc w:val="right"/>
              <w:rPr>
                <w:color w:val="000000"/>
                <w:szCs w:val="24"/>
              </w:rPr>
            </w:pPr>
            <w:r>
              <w:rPr>
                <w:color w:val="000000"/>
                <w:szCs w:val="24"/>
              </w:rPr>
              <w:t>1051</w:t>
            </w:r>
          </w:p>
        </w:tc>
        <w:tc>
          <w:tcPr>
            <w:tcW w:w="1650" w:type="dxa"/>
            <w:tcBorders>
              <w:top w:val="nil"/>
              <w:left w:val="nil"/>
              <w:bottom w:val="single" w:sz="4" w:space="0" w:color="auto"/>
              <w:right w:val="single" w:sz="4" w:space="0" w:color="auto"/>
            </w:tcBorders>
            <w:shd w:val="clear" w:color="auto" w:fill="auto"/>
            <w:vAlign w:val="bottom"/>
            <w:hideMark/>
          </w:tcPr>
          <w:p w:rsidR="00E607DB" w:rsidRPr="00E3668B" w:rsidRDefault="0084661D" w:rsidP="00665654">
            <w:pPr>
              <w:rPr>
                <w:color w:val="000000"/>
                <w:szCs w:val="24"/>
              </w:rPr>
            </w:pPr>
            <w:r>
              <w:rPr>
                <w:color w:val="000000"/>
                <w:szCs w:val="24"/>
              </w:rPr>
              <w:t>Washington, D.C.</w:t>
            </w:r>
          </w:p>
        </w:tc>
        <w:tc>
          <w:tcPr>
            <w:tcW w:w="1842" w:type="dxa"/>
            <w:tcBorders>
              <w:top w:val="nil"/>
              <w:left w:val="nil"/>
              <w:bottom w:val="single" w:sz="4" w:space="0" w:color="auto"/>
              <w:right w:val="single" w:sz="4" w:space="0" w:color="auto"/>
            </w:tcBorders>
            <w:shd w:val="clear" w:color="auto" w:fill="auto"/>
            <w:vAlign w:val="bottom"/>
            <w:hideMark/>
          </w:tcPr>
          <w:p w:rsidR="00E607DB" w:rsidRPr="00E3668B" w:rsidRDefault="0084661D" w:rsidP="00665654">
            <w:pPr>
              <w:rPr>
                <w:color w:val="000000"/>
                <w:szCs w:val="24"/>
              </w:rPr>
            </w:pPr>
            <w:r>
              <w:rPr>
                <w:color w:val="000000"/>
                <w:szCs w:val="24"/>
              </w:rPr>
              <w:t>ACC Licensee, LLC</w:t>
            </w:r>
          </w:p>
        </w:tc>
        <w:tc>
          <w:tcPr>
            <w:tcW w:w="1987" w:type="dxa"/>
            <w:tcBorders>
              <w:top w:val="nil"/>
              <w:left w:val="nil"/>
              <w:bottom w:val="single" w:sz="4" w:space="0" w:color="auto"/>
              <w:right w:val="single" w:sz="4" w:space="0" w:color="auto"/>
            </w:tcBorders>
            <w:shd w:val="clear" w:color="auto" w:fill="auto"/>
            <w:vAlign w:val="bottom"/>
            <w:hideMark/>
          </w:tcPr>
          <w:p w:rsidR="00E607DB" w:rsidRPr="00E3668B" w:rsidRDefault="0084661D" w:rsidP="00665654">
            <w:pPr>
              <w:rPr>
                <w:color w:val="000000"/>
                <w:szCs w:val="24"/>
              </w:rPr>
            </w:pPr>
            <w:r>
              <w:rPr>
                <w:color w:val="000000"/>
                <w:szCs w:val="24"/>
              </w:rPr>
              <w:t>Sinclair Television Group, Inc.</w:t>
            </w:r>
          </w:p>
        </w:tc>
        <w:tc>
          <w:tcPr>
            <w:tcW w:w="1561" w:type="dxa"/>
            <w:tcBorders>
              <w:top w:val="nil"/>
              <w:left w:val="nil"/>
              <w:bottom w:val="single" w:sz="4" w:space="0" w:color="auto"/>
              <w:right w:val="single" w:sz="4" w:space="0" w:color="auto"/>
            </w:tcBorders>
            <w:shd w:val="clear" w:color="auto" w:fill="auto"/>
            <w:vAlign w:val="bottom"/>
            <w:hideMark/>
          </w:tcPr>
          <w:p w:rsidR="00E607DB" w:rsidRPr="00E3668B" w:rsidRDefault="00835322" w:rsidP="00665654">
            <w:pPr>
              <w:rPr>
                <w:color w:val="000000"/>
                <w:szCs w:val="24"/>
              </w:rPr>
            </w:pPr>
            <w:r>
              <w:rPr>
                <w:color w:val="000000"/>
                <w:szCs w:val="24"/>
              </w:rPr>
              <w:t>BTCCDT-20130809ACD</w:t>
            </w:r>
          </w:p>
        </w:tc>
      </w:tr>
      <w:tr w:rsidR="00382D27" w:rsidRPr="00E3668B" w:rsidTr="00476C60">
        <w:trPr>
          <w:trHeight w:val="540"/>
        </w:trPr>
        <w:tc>
          <w:tcPr>
            <w:tcW w:w="1430" w:type="dxa"/>
            <w:tcBorders>
              <w:top w:val="nil"/>
              <w:left w:val="single" w:sz="4" w:space="0" w:color="auto"/>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WHTM-TV</w:t>
            </w:r>
          </w:p>
        </w:tc>
        <w:tc>
          <w:tcPr>
            <w:tcW w:w="936" w:type="dxa"/>
            <w:tcBorders>
              <w:top w:val="nil"/>
              <w:left w:val="nil"/>
              <w:bottom w:val="single" w:sz="4" w:space="0" w:color="auto"/>
              <w:right w:val="single" w:sz="4" w:space="0" w:color="auto"/>
            </w:tcBorders>
            <w:shd w:val="clear" w:color="auto" w:fill="auto"/>
            <w:vAlign w:val="bottom"/>
          </w:tcPr>
          <w:p w:rsidR="00382D27" w:rsidRDefault="00382D27" w:rsidP="00665654">
            <w:pPr>
              <w:jc w:val="right"/>
              <w:rPr>
                <w:color w:val="000000"/>
                <w:szCs w:val="24"/>
              </w:rPr>
            </w:pPr>
            <w:r>
              <w:rPr>
                <w:color w:val="000000"/>
                <w:szCs w:val="24"/>
              </w:rPr>
              <w:t>72326</w:t>
            </w:r>
          </w:p>
        </w:tc>
        <w:tc>
          <w:tcPr>
            <w:tcW w:w="1650"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Harrisburg, PA</w:t>
            </w:r>
          </w:p>
        </w:tc>
        <w:tc>
          <w:tcPr>
            <w:tcW w:w="1842"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Harrisburg Television, Inc.</w:t>
            </w:r>
          </w:p>
        </w:tc>
        <w:tc>
          <w:tcPr>
            <w:tcW w:w="1987"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Sinclair Television Group, Inc.</w:t>
            </w:r>
          </w:p>
        </w:tc>
        <w:tc>
          <w:tcPr>
            <w:tcW w:w="1561" w:type="dxa"/>
            <w:tcBorders>
              <w:top w:val="nil"/>
              <w:left w:val="nil"/>
              <w:bottom w:val="single" w:sz="4" w:space="0" w:color="auto"/>
              <w:right w:val="single" w:sz="4" w:space="0" w:color="auto"/>
            </w:tcBorders>
            <w:shd w:val="clear" w:color="auto" w:fill="auto"/>
            <w:vAlign w:val="bottom"/>
          </w:tcPr>
          <w:p w:rsidR="00382D27" w:rsidRDefault="00382D27" w:rsidP="00665654">
            <w:pPr>
              <w:rPr>
                <w:color w:val="000000"/>
                <w:szCs w:val="24"/>
              </w:rPr>
            </w:pPr>
            <w:r>
              <w:rPr>
                <w:color w:val="000000"/>
                <w:szCs w:val="24"/>
              </w:rPr>
              <w:t>BTCCDT-20130809ACE</w:t>
            </w:r>
          </w:p>
        </w:tc>
      </w:tr>
      <w:tr w:rsidR="00E607DB" w:rsidRPr="00E3668B" w:rsidTr="00476C60">
        <w:trPr>
          <w:trHeight w:val="540"/>
        </w:trPr>
        <w:tc>
          <w:tcPr>
            <w:tcW w:w="1430" w:type="dxa"/>
            <w:tcBorders>
              <w:top w:val="nil"/>
              <w:left w:val="single" w:sz="4" w:space="0" w:color="auto"/>
              <w:bottom w:val="single" w:sz="4" w:space="0" w:color="auto"/>
              <w:right w:val="single" w:sz="4" w:space="0" w:color="auto"/>
            </w:tcBorders>
            <w:shd w:val="clear" w:color="auto" w:fill="auto"/>
            <w:vAlign w:val="bottom"/>
            <w:hideMark/>
          </w:tcPr>
          <w:p w:rsidR="00E607DB" w:rsidRPr="00E3668B" w:rsidRDefault="0084661D" w:rsidP="00665654">
            <w:pPr>
              <w:rPr>
                <w:color w:val="000000"/>
                <w:szCs w:val="24"/>
              </w:rPr>
            </w:pPr>
            <w:r>
              <w:rPr>
                <w:color w:val="000000"/>
                <w:szCs w:val="24"/>
              </w:rPr>
              <w:t>WSET-TV</w:t>
            </w:r>
          </w:p>
        </w:tc>
        <w:tc>
          <w:tcPr>
            <w:tcW w:w="936" w:type="dxa"/>
            <w:tcBorders>
              <w:top w:val="nil"/>
              <w:left w:val="nil"/>
              <w:bottom w:val="single" w:sz="4" w:space="0" w:color="auto"/>
              <w:right w:val="single" w:sz="4" w:space="0" w:color="auto"/>
            </w:tcBorders>
            <w:shd w:val="clear" w:color="auto" w:fill="auto"/>
            <w:vAlign w:val="bottom"/>
            <w:hideMark/>
          </w:tcPr>
          <w:p w:rsidR="00E607DB" w:rsidRPr="00E3668B" w:rsidRDefault="00835322" w:rsidP="00665654">
            <w:pPr>
              <w:jc w:val="right"/>
              <w:rPr>
                <w:color w:val="000000"/>
                <w:szCs w:val="24"/>
              </w:rPr>
            </w:pPr>
            <w:r>
              <w:rPr>
                <w:color w:val="000000"/>
                <w:szCs w:val="24"/>
              </w:rPr>
              <w:t>73988</w:t>
            </w:r>
          </w:p>
        </w:tc>
        <w:tc>
          <w:tcPr>
            <w:tcW w:w="1650" w:type="dxa"/>
            <w:tcBorders>
              <w:top w:val="nil"/>
              <w:left w:val="nil"/>
              <w:bottom w:val="single" w:sz="4" w:space="0" w:color="auto"/>
              <w:right w:val="single" w:sz="4" w:space="0" w:color="auto"/>
            </w:tcBorders>
            <w:shd w:val="clear" w:color="auto" w:fill="auto"/>
            <w:vAlign w:val="bottom"/>
            <w:hideMark/>
          </w:tcPr>
          <w:p w:rsidR="00E607DB" w:rsidRPr="00E3668B" w:rsidRDefault="0084661D" w:rsidP="00665654">
            <w:pPr>
              <w:rPr>
                <w:color w:val="000000"/>
                <w:szCs w:val="24"/>
              </w:rPr>
            </w:pPr>
            <w:r>
              <w:rPr>
                <w:color w:val="000000"/>
                <w:szCs w:val="24"/>
              </w:rPr>
              <w:t>Lynchburg, VA</w:t>
            </w:r>
          </w:p>
        </w:tc>
        <w:tc>
          <w:tcPr>
            <w:tcW w:w="1842" w:type="dxa"/>
            <w:tcBorders>
              <w:top w:val="nil"/>
              <w:left w:val="nil"/>
              <w:bottom w:val="single" w:sz="4" w:space="0" w:color="auto"/>
              <w:right w:val="single" w:sz="4" w:space="0" w:color="auto"/>
            </w:tcBorders>
            <w:shd w:val="clear" w:color="auto" w:fill="auto"/>
            <w:vAlign w:val="bottom"/>
            <w:hideMark/>
          </w:tcPr>
          <w:p w:rsidR="00E607DB" w:rsidRPr="00E3668B" w:rsidRDefault="0084661D" w:rsidP="00665654">
            <w:pPr>
              <w:rPr>
                <w:color w:val="000000"/>
                <w:szCs w:val="24"/>
              </w:rPr>
            </w:pPr>
            <w:r>
              <w:rPr>
                <w:color w:val="000000"/>
                <w:szCs w:val="24"/>
              </w:rPr>
              <w:t>WSET, Incorporated</w:t>
            </w:r>
          </w:p>
        </w:tc>
        <w:tc>
          <w:tcPr>
            <w:tcW w:w="1987" w:type="dxa"/>
            <w:tcBorders>
              <w:top w:val="nil"/>
              <w:left w:val="nil"/>
              <w:bottom w:val="single" w:sz="4" w:space="0" w:color="auto"/>
              <w:right w:val="single" w:sz="4" w:space="0" w:color="auto"/>
            </w:tcBorders>
            <w:shd w:val="clear" w:color="auto" w:fill="auto"/>
            <w:vAlign w:val="bottom"/>
            <w:hideMark/>
          </w:tcPr>
          <w:p w:rsidR="00E607DB" w:rsidRPr="00E3668B" w:rsidRDefault="0084661D" w:rsidP="00665654">
            <w:pPr>
              <w:rPr>
                <w:color w:val="000000"/>
                <w:szCs w:val="24"/>
              </w:rPr>
            </w:pPr>
            <w:r>
              <w:rPr>
                <w:color w:val="000000"/>
                <w:szCs w:val="24"/>
              </w:rPr>
              <w:t>Sinclair Television Group, Inc.</w:t>
            </w:r>
          </w:p>
        </w:tc>
        <w:tc>
          <w:tcPr>
            <w:tcW w:w="1561" w:type="dxa"/>
            <w:tcBorders>
              <w:top w:val="nil"/>
              <w:left w:val="nil"/>
              <w:bottom w:val="single" w:sz="4" w:space="0" w:color="auto"/>
              <w:right w:val="single" w:sz="4" w:space="0" w:color="auto"/>
            </w:tcBorders>
            <w:shd w:val="clear" w:color="auto" w:fill="auto"/>
            <w:vAlign w:val="bottom"/>
            <w:hideMark/>
          </w:tcPr>
          <w:p w:rsidR="00E607DB" w:rsidRPr="00E3668B" w:rsidRDefault="00835322" w:rsidP="00665654">
            <w:pPr>
              <w:rPr>
                <w:color w:val="000000"/>
                <w:szCs w:val="24"/>
              </w:rPr>
            </w:pPr>
            <w:r>
              <w:rPr>
                <w:color w:val="000000"/>
                <w:szCs w:val="24"/>
              </w:rPr>
              <w:t>BTCCDT-20130809ACG</w:t>
            </w:r>
          </w:p>
        </w:tc>
      </w:tr>
    </w:tbl>
    <w:p w:rsidR="00E607DB" w:rsidRPr="00E3668B" w:rsidRDefault="00E607DB" w:rsidP="00E607DB">
      <w:pPr>
        <w:ind w:left="-720"/>
        <w:rPr>
          <w:szCs w:val="24"/>
        </w:rPr>
      </w:pPr>
      <w:r w:rsidRPr="00E3668B">
        <w:rPr>
          <w:szCs w:val="24"/>
        </w:rPr>
        <w:t xml:space="preserve"> </w:t>
      </w:r>
    </w:p>
    <w:p w:rsidR="00835322" w:rsidRDefault="00835322" w:rsidP="00B10F95">
      <w:pPr>
        <w:jc w:val="center"/>
        <w:rPr>
          <w:b/>
        </w:rPr>
      </w:pPr>
    </w:p>
    <w:sectPr w:rsidR="00835322">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1F4" w:rsidRDefault="006D41F4">
      <w:r>
        <w:separator/>
      </w:r>
    </w:p>
  </w:endnote>
  <w:endnote w:type="continuationSeparator" w:id="0">
    <w:p w:rsidR="006D41F4" w:rsidRDefault="006D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DF" w:rsidRDefault="00050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0DDF" w:rsidRDefault="00050D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DF" w:rsidRDefault="00050DDF">
    <w:pPr>
      <w:pStyle w:val="Footer"/>
      <w:framePr w:w="271" w:wrap="around" w:vAnchor="text" w:hAnchor="margin" w:xAlign="center" w:y="-3"/>
      <w:rPr>
        <w:rStyle w:val="PageNumber"/>
      </w:rPr>
    </w:pPr>
    <w:r>
      <w:rPr>
        <w:rStyle w:val="PageNumber"/>
      </w:rPr>
      <w:fldChar w:fldCharType="begin"/>
    </w:r>
    <w:r>
      <w:rPr>
        <w:rStyle w:val="PageNumber"/>
      </w:rPr>
      <w:instrText xml:space="preserve">PAGE  </w:instrText>
    </w:r>
    <w:r>
      <w:rPr>
        <w:rStyle w:val="PageNumber"/>
      </w:rPr>
      <w:fldChar w:fldCharType="separate"/>
    </w:r>
    <w:r w:rsidR="007B5453">
      <w:rPr>
        <w:rStyle w:val="PageNumber"/>
        <w:noProof/>
      </w:rPr>
      <w:t>2</w:t>
    </w:r>
    <w:r>
      <w:rPr>
        <w:rStyle w:val="PageNumber"/>
      </w:rPr>
      <w:fldChar w:fldCharType="end"/>
    </w:r>
  </w:p>
  <w:p w:rsidR="00050DDF" w:rsidRDefault="00050DDF">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DF" w:rsidRDefault="00050DDF">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1F4" w:rsidRDefault="006D41F4">
      <w:pPr>
        <w:rPr>
          <w:sz w:val="20"/>
        </w:rPr>
      </w:pPr>
      <w:r>
        <w:rPr>
          <w:sz w:val="20"/>
        </w:rPr>
        <w:separator/>
      </w:r>
    </w:p>
  </w:footnote>
  <w:footnote w:type="continuationSeparator" w:id="0">
    <w:p w:rsidR="006D41F4" w:rsidRDefault="006D41F4">
      <w:pPr>
        <w:rPr>
          <w:sz w:val="20"/>
        </w:rPr>
      </w:pPr>
      <w:r>
        <w:rPr>
          <w:sz w:val="20"/>
        </w:rPr>
        <w:separator/>
      </w:r>
    </w:p>
    <w:p w:rsidR="006D41F4" w:rsidRDefault="006D41F4">
      <w:pPr>
        <w:rPr>
          <w:sz w:val="20"/>
        </w:rPr>
      </w:pPr>
      <w:r>
        <w:rPr>
          <w:sz w:val="20"/>
        </w:rPr>
        <w:t>(...continued from previous page)</w:t>
      </w:r>
    </w:p>
  </w:footnote>
  <w:footnote w:type="continuationNotice" w:id="1">
    <w:p w:rsidR="006D41F4" w:rsidRDefault="006D41F4">
      <w:pPr>
        <w:jc w:val="right"/>
        <w:rPr>
          <w:sz w:val="20"/>
        </w:rPr>
      </w:pPr>
      <w:r>
        <w:rPr>
          <w:sz w:val="20"/>
        </w:rPr>
        <w:t>(continued....)</w:t>
      </w:r>
    </w:p>
  </w:footnote>
  <w:footnote w:id="2">
    <w:p w:rsidR="00050DDF" w:rsidRPr="003B255E" w:rsidRDefault="00050DDF" w:rsidP="003B255E">
      <w:pPr>
        <w:pStyle w:val="FootnoteText"/>
      </w:pPr>
      <w:r w:rsidRPr="003B255E">
        <w:rPr>
          <w:rStyle w:val="FootnoteReference"/>
        </w:rPr>
        <w:footnoteRef/>
      </w:r>
      <w:r>
        <w:t xml:space="preserve"> </w:t>
      </w:r>
      <w:r w:rsidRPr="003B255E">
        <w:t>Together, the “Applicants.”</w:t>
      </w:r>
    </w:p>
  </w:footnote>
  <w:footnote w:id="3">
    <w:p w:rsidR="00050DDF" w:rsidRPr="003B255E" w:rsidRDefault="00050DDF" w:rsidP="003B255E">
      <w:pPr>
        <w:pStyle w:val="FootnoteText"/>
      </w:pPr>
      <w:r w:rsidRPr="003B255E">
        <w:rPr>
          <w:rStyle w:val="FootnoteReference"/>
        </w:rPr>
        <w:footnoteRef/>
      </w:r>
      <w:r w:rsidRPr="003B255E">
        <w:t xml:space="preserve"> Collectively, the “Petitioners.”</w:t>
      </w:r>
      <w:r>
        <w:t xml:space="preserve"> </w:t>
      </w:r>
    </w:p>
  </w:footnote>
  <w:footnote w:id="4">
    <w:p w:rsidR="00050DDF" w:rsidRPr="003B255E" w:rsidRDefault="00050DDF" w:rsidP="003B255E">
      <w:pPr>
        <w:pStyle w:val="FootnoteText"/>
      </w:pPr>
      <w:r w:rsidRPr="003B255E">
        <w:rPr>
          <w:rStyle w:val="FootnoteReference"/>
        </w:rPr>
        <w:footnoteRef/>
      </w:r>
      <w:r>
        <w:t xml:space="preserve"> </w:t>
      </w:r>
      <w:r w:rsidRPr="003B255E">
        <w:rPr>
          <w:color w:val="000000"/>
        </w:rPr>
        <w:t xml:space="preserve">Although the rule refers to Grade B contours, we note that, following the digital transition, the Commission has developed the digital noise-limited service contour (“NLSC”) to approximate the same probability of service as the analog Grade B contour, has stated that the two are roughly equivalent, and has proposed to replace the Grade B contour with the NLSC for purposes of the rule. </w:t>
      </w:r>
      <w:r>
        <w:rPr>
          <w:i/>
          <w:color w:val="000000"/>
        </w:rPr>
        <w:t>See 2014</w:t>
      </w:r>
      <w:r w:rsidRPr="003B255E">
        <w:rPr>
          <w:i/>
          <w:color w:val="000000"/>
        </w:rPr>
        <w:t xml:space="preserve"> Quadrennial Regulatory Review — Review of the Commission's Broadcast Ownership Rules and Other Rules Adopted Pursuant to Section 202 of the Telecommunications Act of 1996</w:t>
      </w:r>
      <w:r w:rsidRPr="003B255E">
        <w:rPr>
          <w:color w:val="000000"/>
        </w:rPr>
        <w:t xml:space="preserve">, </w:t>
      </w:r>
      <w:r w:rsidRPr="009C2A17">
        <w:rPr>
          <w:i/>
          <w:color w:val="000000"/>
        </w:rPr>
        <w:t>et al.</w:t>
      </w:r>
      <w:r>
        <w:rPr>
          <w:color w:val="000000"/>
        </w:rPr>
        <w:t xml:space="preserve">, </w:t>
      </w:r>
      <w:r w:rsidRPr="003B255E">
        <w:rPr>
          <w:color w:val="000000"/>
        </w:rPr>
        <w:t xml:space="preserve">Further Notice of Proposed Rulemaking and Report and Order, </w:t>
      </w:r>
      <w:r>
        <w:rPr>
          <w:color w:val="000000"/>
        </w:rPr>
        <w:t>29 FCC Rcd 4371, 4383-84 (</w:t>
      </w:r>
      <w:r w:rsidRPr="003B255E">
        <w:rPr>
          <w:color w:val="000000"/>
        </w:rPr>
        <w:t>2014) (“</w:t>
      </w:r>
      <w:r w:rsidRPr="003B255E">
        <w:rPr>
          <w:i/>
          <w:color w:val="000000"/>
        </w:rPr>
        <w:t>2014 Quadrennial Review Report &amp; Order &amp; FNPRM</w:t>
      </w:r>
      <w:r w:rsidRPr="003B255E">
        <w:rPr>
          <w:color w:val="000000"/>
        </w:rPr>
        <w:t xml:space="preserve">”); </w:t>
      </w:r>
      <w:r w:rsidRPr="003B255E">
        <w:rPr>
          <w:i/>
          <w:color w:val="000000"/>
        </w:rPr>
        <w:t>see also Riverside Media</w:t>
      </w:r>
      <w:r w:rsidRPr="003B255E">
        <w:rPr>
          <w:color w:val="000000"/>
        </w:rPr>
        <w:t>, Letter, 26 FCC Rcd 16038, 16060, n. 2 (2011) (determining that the Commission will treat the digital noise-limited contour as the “functional equivalent” of Grade B contours for purposes of the local television ownership rule) (citations omitted).</w:t>
      </w:r>
    </w:p>
  </w:footnote>
  <w:footnote w:id="5">
    <w:p w:rsidR="00050DDF" w:rsidRPr="003B255E" w:rsidRDefault="00050DDF" w:rsidP="003B255E">
      <w:pPr>
        <w:pStyle w:val="FootnoteText"/>
      </w:pPr>
      <w:r w:rsidRPr="003B255E">
        <w:rPr>
          <w:rStyle w:val="FootnoteReference"/>
        </w:rPr>
        <w:footnoteRef/>
      </w:r>
      <w:r>
        <w:t xml:space="preserve"> </w:t>
      </w:r>
      <w:r w:rsidRPr="003B255E">
        <w:t xml:space="preserve">47 C.F.R. § 73.3555(b)(2).  </w:t>
      </w:r>
    </w:p>
  </w:footnote>
  <w:footnote w:id="6">
    <w:p w:rsidR="00050DDF" w:rsidRPr="003B255E" w:rsidRDefault="00050DDF" w:rsidP="003B255E">
      <w:pPr>
        <w:pStyle w:val="FootnoteText"/>
      </w:pPr>
      <w:r w:rsidRPr="003B255E">
        <w:rPr>
          <w:rStyle w:val="FootnoteReference"/>
        </w:rPr>
        <w:footnoteRef/>
      </w:r>
      <w:r w:rsidRPr="003B255E">
        <w:t xml:space="preserve"> </w:t>
      </w:r>
      <w:r w:rsidRPr="003B255E">
        <w:rPr>
          <w:i/>
        </w:rPr>
        <w:t>Review of the Commission’s Regulations Governing Television Broadcasting</w:t>
      </w:r>
      <w:r w:rsidRPr="003B255E">
        <w:t>, Report and Order, 14 FCC Rcd 12903, 12958 (1999) (“</w:t>
      </w:r>
      <w:r w:rsidRPr="003B255E">
        <w:rPr>
          <w:i/>
        </w:rPr>
        <w:t>1999 TV Ownership Report and Order</w:t>
      </w:r>
      <w:r w:rsidRPr="003B255E">
        <w:t xml:space="preserve">”).  </w:t>
      </w:r>
    </w:p>
  </w:footnote>
  <w:footnote w:id="7">
    <w:p w:rsidR="00050DDF" w:rsidRPr="003B255E" w:rsidRDefault="00050DDF" w:rsidP="003B255E">
      <w:pPr>
        <w:pStyle w:val="FootnoteText"/>
        <w:rPr>
          <w:i/>
        </w:rPr>
      </w:pPr>
      <w:r w:rsidRPr="003B255E">
        <w:rPr>
          <w:rStyle w:val="FootnoteReference"/>
        </w:rPr>
        <w:footnoteRef/>
      </w:r>
      <w:r w:rsidRPr="003B255E">
        <w:t xml:space="preserve"> </w:t>
      </w:r>
      <w:r w:rsidRPr="003B255E">
        <w:rPr>
          <w:i/>
        </w:rPr>
        <w:t>Id</w:t>
      </w:r>
      <w:r w:rsidRPr="003B255E">
        <w:t xml:space="preserve">.  </w:t>
      </w:r>
    </w:p>
  </w:footnote>
  <w:footnote w:id="8">
    <w:p w:rsidR="00050DDF" w:rsidRPr="003B255E" w:rsidRDefault="00050DDF" w:rsidP="003B255E">
      <w:pPr>
        <w:suppressAutoHyphens/>
        <w:spacing w:after="120"/>
        <w:jc w:val="both"/>
        <w:rPr>
          <w:spacing w:val="-2"/>
          <w:sz w:val="20"/>
        </w:rPr>
      </w:pPr>
      <w:r w:rsidRPr="003B255E">
        <w:rPr>
          <w:rStyle w:val="FootnoteReference"/>
          <w:sz w:val="20"/>
        </w:rPr>
        <w:footnoteRef/>
      </w:r>
      <w:r w:rsidRPr="003B255E">
        <w:rPr>
          <w:sz w:val="20"/>
        </w:rPr>
        <w:t xml:space="preserve"> </w:t>
      </w:r>
      <w:r w:rsidRPr="003B255E">
        <w:rPr>
          <w:i/>
          <w:sz w:val="20"/>
        </w:rPr>
        <w:t>Id.</w:t>
      </w:r>
      <w:r w:rsidRPr="003B255E">
        <w:rPr>
          <w:sz w:val="20"/>
        </w:rPr>
        <w:t xml:space="preserve"> at 12961; </w:t>
      </w:r>
      <w:r w:rsidRPr="003B255E">
        <w:rPr>
          <w:i/>
          <w:spacing w:val="-2"/>
          <w:sz w:val="20"/>
        </w:rPr>
        <w:t>2002 Biennial Regulatory Review- Review of the Commission’s Broadcast Ownership Rules and Other Rules Adopted Pursuant to Section 202 of the Telecommunications Act of 1996</w:t>
      </w:r>
      <w:r w:rsidRPr="003B255E">
        <w:rPr>
          <w:spacing w:val="-2"/>
          <w:sz w:val="20"/>
        </w:rPr>
        <w:t>, Report and Order and Notice of Proposed Rulemaking, 18 FCC Rcd 13620, 13812 (2003) (“</w:t>
      </w:r>
      <w:r w:rsidRPr="003B255E">
        <w:rPr>
          <w:i/>
          <w:spacing w:val="-2"/>
          <w:sz w:val="20"/>
        </w:rPr>
        <w:t>2002 Biennial Review</w:t>
      </w:r>
      <w:r w:rsidRPr="003B255E">
        <w:rPr>
          <w:spacing w:val="-2"/>
          <w:sz w:val="20"/>
        </w:rPr>
        <w:t xml:space="preserve">”). </w:t>
      </w:r>
    </w:p>
  </w:footnote>
  <w:footnote w:id="9">
    <w:p w:rsidR="00050DDF" w:rsidRPr="003B255E" w:rsidRDefault="00050DDF" w:rsidP="003B255E">
      <w:pPr>
        <w:pStyle w:val="FootnoteText"/>
      </w:pPr>
      <w:r w:rsidRPr="003B255E">
        <w:rPr>
          <w:rStyle w:val="FootnoteReference"/>
        </w:rPr>
        <w:footnoteRef/>
      </w:r>
      <w:r w:rsidRPr="003B255E">
        <w:t xml:space="preserve"> </w:t>
      </w:r>
      <w:r w:rsidRPr="003B255E">
        <w:rPr>
          <w:i/>
        </w:rPr>
        <w:t>1999 TV Ownership Report and Order</w:t>
      </w:r>
      <w:r>
        <w:t xml:space="preserve">, </w:t>
      </w:r>
      <w:r w:rsidRPr="003B255E">
        <w:t>14 FCC Rcd at 12962</w:t>
      </w:r>
      <w:r>
        <w:t>.</w:t>
      </w:r>
      <w:r w:rsidRPr="003B255E">
        <w:t xml:space="preserve"> (emphasis added).  </w:t>
      </w:r>
    </w:p>
  </w:footnote>
  <w:footnote w:id="10">
    <w:p w:rsidR="00050DDF" w:rsidRPr="003B255E" w:rsidRDefault="00050DDF" w:rsidP="003B255E">
      <w:pPr>
        <w:pStyle w:val="FootnoteText"/>
      </w:pPr>
      <w:r w:rsidRPr="003B255E">
        <w:rPr>
          <w:rStyle w:val="FootnoteReference"/>
        </w:rPr>
        <w:footnoteRef/>
      </w:r>
      <w:r w:rsidRPr="003B255E">
        <w:t xml:space="preserve"> </w:t>
      </w:r>
      <w:r w:rsidRPr="003B255E">
        <w:rPr>
          <w:i/>
        </w:rPr>
        <w:t>Id.</w:t>
      </w:r>
      <w:r w:rsidRPr="003B255E">
        <w:t xml:space="preserve"> at 12965.</w:t>
      </w:r>
    </w:p>
  </w:footnote>
  <w:footnote w:id="11">
    <w:p w:rsidR="00050DDF" w:rsidRPr="003B255E" w:rsidRDefault="00050DDF" w:rsidP="003B255E">
      <w:pPr>
        <w:pStyle w:val="FootnoteText"/>
      </w:pPr>
      <w:r w:rsidRPr="003B255E">
        <w:rPr>
          <w:rStyle w:val="FootnoteReference"/>
        </w:rPr>
        <w:footnoteRef/>
      </w:r>
      <w:r w:rsidRPr="003B255E">
        <w:t xml:space="preserve"> A JSA </w:t>
      </w:r>
      <w:r w:rsidRPr="003B255E">
        <w:rPr>
          <w:color w:val="000000"/>
        </w:rPr>
        <w:t xml:space="preserve">is an agreement with a licensee of a brokered station that authorizes a broker to sell advertising time for the brokered station.  </w:t>
      </w:r>
      <w:hyperlink r:id="rId1" w:tgtFrame="_top" w:history="1">
        <w:r w:rsidRPr="003B255E">
          <w:t>47 C.F.R. § 73.3555</w:t>
        </w:r>
      </w:hyperlink>
      <w:r w:rsidRPr="003B255E">
        <w:t>, Note 2(k).</w:t>
      </w:r>
    </w:p>
  </w:footnote>
  <w:footnote w:id="12">
    <w:p w:rsidR="00050DDF" w:rsidRPr="003B255E" w:rsidRDefault="00050DDF" w:rsidP="003B255E">
      <w:pPr>
        <w:pStyle w:val="FootnoteText"/>
      </w:pPr>
      <w:r w:rsidRPr="003B255E">
        <w:rPr>
          <w:rStyle w:val="FootnoteReference"/>
        </w:rPr>
        <w:footnoteRef/>
      </w:r>
      <w:r w:rsidRPr="003B255E">
        <w:t xml:space="preserve"> </w:t>
      </w:r>
      <w:r w:rsidRPr="003B255E">
        <w:rPr>
          <w:i/>
        </w:rPr>
        <w:t>2014 Quadrenn</w:t>
      </w:r>
      <w:r>
        <w:rPr>
          <w:i/>
        </w:rPr>
        <w:t xml:space="preserve">ial Review Report &amp; Order &amp; FNPRM, </w:t>
      </w:r>
      <w:r>
        <w:t>29 FCC Rcd at 4527.</w:t>
      </w:r>
    </w:p>
  </w:footnote>
  <w:footnote w:id="13">
    <w:p w:rsidR="00050DDF" w:rsidRPr="003B255E" w:rsidRDefault="00050DDF" w:rsidP="003B255E">
      <w:pPr>
        <w:pStyle w:val="FootnoteText"/>
      </w:pPr>
      <w:r w:rsidRPr="003B255E">
        <w:rPr>
          <w:rStyle w:val="FootnoteReference"/>
        </w:rPr>
        <w:footnoteRef/>
      </w:r>
      <w:r w:rsidRPr="003B255E">
        <w:t xml:space="preserve"> </w:t>
      </w:r>
      <w:r w:rsidRPr="003B255E">
        <w:rPr>
          <w:i/>
        </w:rPr>
        <w:t xml:space="preserve">Id. </w:t>
      </w:r>
      <w:r>
        <w:t>at 4542</w:t>
      </w:r>
      <w:r w:rsidRPr="003B255E">
        <w:t>.</w:t>
      </w:r>
    </w:p>
  </w:footnote>
  <w:footnote w:id="14">
    <w:p w:rsidR="00050DDF" w:rsidRPr="003B255E" w:rsidRDefault="00050DDF" w:rsidP="003B255E">
      <w:pPr>
        <w:pStyle w:val="FootnoteText"/>
      </w:pPr>
      <w:r w:rsidRPr="003B255E">
        <w:rPr>
          <w:rStyle w:val="FootnoteReference"/>
        </w:rPr>
        <w:footnoteRef/>
      </w:r>
      <w:r w:rsidRPr="003B255E">
        <w:t xml:space="preserve"> File Nos. BTCCDT-20130809ABW; ACA; ACB; ACC; ACD; ACE; &amp; ACG; BALCDT-20130809ADC, ADE; ADF; &amp; ADG.  Sinclair would also acquire </w:t>
      </w:r>
      <w:r w:rsidRPr="003B255E">
        <w:rPr>
          <w:rStyle w:val="copy"/>
        </w:rPr>
        <w:t>NewsChannel 8, a 24-hour cable/satellite news network covering the Washington D.C. metropolitan area.</w:t>
      </w:r>
    </w:p>
  </w:footnote>
  <w:footnote w:id="15">
    <w:p w:rsidR="00050DDF" w:rsidRPr="003B255E" w:rsidRDefault="00050DDF" w:rsidP="003B255E">
      <w:pPr>
        <w:pStyle w:val="FootnoteText"/>
      </w:pPr>
      <w:r w:rsidRPr="003B255E">
        <w:rPr>
          <w:rStyle w:val="FootnoteReference"/>
        </w:rPr>
        <w:footnoteRef/>
      </w:r>
      <w:r w:rsidRPr="003B255E">
        <w:t xml:space="preserve"> File Nos. BALCDT-20130809ADC, </w:t>
      </w:r>
      <w:r>
        <w:t>AD</w:t>
      </w:r>
      <w:r w:rsidRPr="003B255E">
        <w:t xml:space="preserve">E, </w:t>
      </w:r>
      <w:r>
        <w:t>AD</w:t>
      </w:r>
      <w:r w:rsidRPr="003B255E">
        <w:t xml:space="preserve">F, &amp; </w:t>
      </w:r>
      <w:r>
        <w:t>AD</w:t>
      </w:r>
      <w:r w:rsidRPr="003B255E">
        <w:t>G.</w:t>
      </w:r>
    </w:p>
  </w:footnote>
  <w:footnote w:id="16">
    <w:p w:rsidR="00050DDF" w:rsidRPr="003B255E" w:rsidRDefault="00050DDF" w:rsidP="003B255E">
      <w:pPr>
        <w:pStyle w:val="FootnoteText"/>
      </w:pPr>
      <w:r w:rsidRPr="003B255E">
        <w:rPr>
          <w:rStyle w:val="FootnoteReference"/>
        </w:rPr>
        <w:footnoteRef/>
      </w:r>
      <w:r w:rsidRPr="003B255E">
        <w:t xml:space="preserve"> Letter from Barbara A. Kreisman, Chief, Video Division, to Clifford M. Harrington, Esq. (Dec. 6, 2013) (“Dec. 6 Video Division Letter”).</w:t>
      </w:r>
    </w:p>
  </w:footnote>
  <w:footnote w:id="17">
    <w:p w:rsidR="00050DDF" w:rsidRPr="003B255E" w:rsidRDefault="00050DDF" w:rsidP="003B255E">
      <w:pPr>
        <w:pStyle w:val="FootnoteText"/>
      </w:pPr>
      <w:r w:rsidRPr="003B255E">
        <w:rPr>
          <w:rStyle w:val="FootnoteReference"/>
        </w:rPr>
        <w:footnoteRef/>
      </w:r>
      <w:r w:rsidRPr="003B255E">
        <w:t xml:space="preserve"> Letter from Clifford M. Harrington to Marlene H. Dortch at 2 (May 29, 2014).  On April 7, 2014, HSH submitted a letter requesting waiver of the Commission’s JSA attribution rule.  Sinclair did not file applications that sought waiver of the JSA attribution rule in any</w:t>
      </w:r>
      <w:r>
        <w:t xml:space="preserve"> of the Overlap Markets.  Since </w:t>
      </w:r>
      <w:r w:rsidRPr="003B255E">
        <w:t>HSH is not a party to these applications and Sinclair did not request waivers, the relief requested could not be granted.</w:t>
      </w:r>
    </w:p>
  </w:footnote>
  <w:footnote w:id="18">
    <w:p w:rsidR="00050DDF" w:rsidRPr="003B255E" w:rsidRDefault="00050DDF" w:rsidP="003B255E">
      <w:pPr>
        <w:pStyle w:val="FootnoteText"/>
      </w:pPr>
      <w:r w:rsidRPr="003B255E">
        <w:rPr>
          <w:rStyle w:val="FootnoteReference"/>
        </w:rPr>
        <w:footnoteRef/>
      </w:r>
      <w:r w:rsidRPr="003B255E">
        <w:t xml:space="preserve"> Letter from Clifford M. Harrington to Marlene H. Dortch at 2</w:t>
      </w:r>
      <w:r>
        <w:t>.</w:t>
      </w:r>
      <w:r w:rsidRPr="003B255E">
        <w:t xml:space="preserve"> Sinclair’s proposal was therefore not compliant with Commission rules until it submitted amendments to the tran</w:t>
      </w:r>
      <w:r>
        <w:t>saction on June 25 and 30, 2014</w:t>
      </w:r>
      <w:r w:rsidRPr="003B255E">
        <w:t>.</w:t>
      </w:r>
    </w:p>
  </w:footnote>
  <w:footnote w:id="19">
    <w:p w:rsidR="00050DDF" w:rsidRPr="003B255E" w:rsidRDefault="00050DDF" w:rsidP="003B255E">
      <w:pPr>
        <w:pStyle w:val="ParaNum"/>
        <w:numPr>
          <w:ilvl w:val="0"/>
          <w:numId w:val="0"/>
        </w:numPr>
        <w:tabs>
          <w:tab w:val="num" w:pos="1260"/>
        </w:tabs>
        <w:spacing w:after="120"/>
        <w:rPr>
          <w:sz w:val="20"/>
        </w:rPr>
      </w:pPr>
      <w:r w:rsidRPr="003B255E">
        <w:rPr>
          <w:rStyle w:val="FootnoteReference"/>
          <w:sz w:val="20"/>
        </w:rPr>
        <w:footnoteRef/>
      </w:r>
      <w:r w:rsidRPr="003B255E">
        <w:rPr>
          <w:sz w:val="20"/>
        </w:rPr>
        <w:t xml:space="preserve"> </w:t>
      </w:r>
      <w:r w:rsidRPr="003B255E">
        <w:rPr>
          <w:color w:val="000000"/>
          <w:sz w:val="20"/>
        </w:rPr>
        <w:t xml:space="preserve">Multicasting </w:t>
      </w:r>
      <w:r w:rsidRPr="003B255E">
        <w:rPr>
          <w:color w:val="000000"/>
          <w:sz w:val="20"/>
          <w:lang w:val="en-US"/>
        </w:rPr>
        <w:t>enables</w:t>
      </w:r>
      <w:r w:rsidRPr="003B255E">
        <w:rPr>
          <w:color w:val="000000"/>
          <w:sz w:val="20"/>
        </w:rPr>
        <w:t xml:space="preserve"> broadcast stations to offer digital streams or channels (</w:t>
      </w:r>
      <w:r w:rsidRPr="003B255E">
        <w:rPr>
          <w:i/>
          <w:iCs/>
          <w:color w:val="000000"/>
          <w:sz w:val="20"/>
        </w:rPr>
        <w:t>i.e.</w:t>
      </w:r>
      <w:r w:rsidRPr="003B255E">
        <w:rPr>
          <w:color w:val="000000"/>
          <w:sz w:val="20"/>
        </w:rPr>
        <w:t>, digital multicast signals) of programming simultaneously, using the same amount of spectrum previously required for one stream of analog programmin</w:t>
      </w:r>
      <w:r>
        <w:rPr>
          <w:color w:val="000000"/>
          <w:sz w:val="20"/>
        </w:rPr>
        <w:t xml:space="preserve">g.  </w:t>
      </w:r>
      <w:r w:rsidRPr="003B255E">
        <w:rPr>
          <w:color w:val="000000"/>
          <w:sz w:val="20"/>
        </w:rPr>
        <w:t xml:space="preserve">Broadcasters may use multicast streams to carry </w:t>
      </w:r>
      <w:r w:rsidRPr="003B255E">
        <w:rPr>
          <w:color w:val="000000"/>
          <w:sz w:val="20"/>
          <w:lang w:val="en-US"/>
        </w:rPr>
        <w:t xml:space="preserve">independent programming or </w:t>
      </w:r>
      <w:r w:rsidRPr="003B255E">
        <w:rPr>
          <w:color w:val="000000"/>
          <w:sz w:val="20"/>
        </w:rPr>
        <w:t>network programming, such as one of the four major broadcast networks (</w:t>
      </w:r>
      <w:r w:rsidRPr="003B255E">
        <w:rPr>
          <w:i/>
          <w:iCs/>
          <w:color w:val="000000"/>
          <w:sz w:val="20"/>
        </w:rPr>
        <w:t>i.e.</w:t>
      </w:r>
      <w:r w:rsidRPr="003B255E">
        <w:rPr>
          <w:color w:val="000000"/>
          <w:sz w:val="20"/>
        </w:rPr>
        <w:t>, ABC, CBS, Fox, or NBC), other national broadcast networks (</w:t>
      </w:r>
      <w:r w:rsidRPr="003B255E">
        <w:rPr>
          <w:i/>
          <w:iCs/>
          <w:color w:val="000000"/>
          <w:sz w:val="20"/>
        </w:rPr>
        <w:t>e.g.</w:t>
      </w:r>
      <w:r w:rsidRPr="003B255E">
        <w:rPr>
          <w:color w:val="000000"/>
          <w:sz w:val="20"/>
        </w:rPr>
        <w:t>, The CW, Telemundo), or newer networks (</w:t>
      </w:r>
      <w:r w:rsidRPr="003B255E">
        <w:rPr>
          <w:i/>
          <w:iCs/>
          <w:color w:val="000000"/>
          <w:sz w:val="20"/>
        </w:rPr>
        <w:t>e.g.</w:t>
      </w:r>
      <w:r w:rsidRPr="003B255E">
        <w:rPr>
          <w:color w:val="000000"/>
          <w:sz w:val="20"/>
        </w:rPr>
        <w:t>, Bounce TV, Retro TV).</w:t>
      </w:r>
    </w:p>
  </w:footnote>
  <w:footnote w:id="20">
    <w:p w:rsidR="00050DDF" w:rsidRDefault="00050DDF">
      <w:pPr>
        <w:pStyle w:val="FootnoteText"/>
      </w:pPr>
      <w:r>
        <w:rPr>
          <w:rStyle w:val="FootnoteReference"/>
        </w:rPr>
        <w:footnoteRef/>
      </w:r>
      <w:r>
        <w:t xml:space="preserve"> </w:t>
      </w:r>
      <w:r w:rsidRPr="003B255E">
        <w:rPr>
          <w:color w:val="000000"/>
        </w:rPr>
        <w:t>File No. BALCDT-20140625AOV</w:t>
      </w:r>
      <w:r>
        <w:rPr>
          <w:color w:val="000000"/>
        </w:rPr>
        <w:t>.</w:t>
      </w:r>
    </w:p>
  </w:footnote>
  <w:footnote w:id="21">
    <w:p w:rsidR="00050DDF" w:rsidRDefault="00050DDF">
      <w:pPr>
        <w:pStyle w:val="FootnoteText"/>
      </w:pPr>
      <w:r>
        <w:rPr>
          <w:rStyle w:val="FootnoteReference"/>
        </w:rPr>
        <w:footnoteRef/>
      </w:r>
      <w:r>
        <w:t xml:space="preserve"> File No. BTCCDT-20130809ACA (amended Dec. 2013), at Exh. 15, p. 2 n.5.</w:t>
      </w:r>
    </w:p>
  </w:footnote>
  <w:footnote w:id="22">
    <w:p w:rsidR="00050DDF" w:rsidRPr="003B255E" w:rsidRDefault="00050DDF" w:rsidP="003B255E">
      <w:pPr>
        <w:pStyle w:val="FootnoteText"/>
      </w:pPr>
      <w:r w:rsidRPr="003B255E">
        <w:rPr>
          <w:rStyle w:val="FootnoteReference"/>
        </w:rPr>
        <w:footnoteRef/>
      </w:r>
      <w:r w:rsidRPr="003B255E">
        <w:t xml:space="preserve"> </w:t>
      </w:r>
      <w:r w:rsidRPr="00950C68">
        <w:rPr>
          <w:i/>
        </w:rPr>
        <w:t>See</w:t>
      </w:r>
      <w:r w:rsidRPr="003B255E">
        <w:t xml:space="preserve"> File Nos. BTCCDT-20130809ABW &amp; ACA (amended </w:t>
      </w:r>
      <w:r>
        <w:t>June 30, 2014), at Exh. 15, p.</w:t>
      </w:r>
      <w:r w:rsidRPr="003B255E">
        <w:t xml:space="preserve"> 4. </w:t>
      </w:r>
    </w:p>
  </w:footnote>
  <w:footnote w:id="23">
    <w:p w:rsidR="00050DDF" w:rsidRDefault="00050DDF" w:rsidP="009C2A17">
      <w:pPr>
        <w:pStyle w:val="FootnoteText"/>
      </w:pPr>
      <w:r>
        <w:rPr>
          <w:rStyle w:val="FootnoteReference"/>
        </w:rPr>
        <w:footnoteRef/>
      </w:r>
      <w:r>
        <w:t xml:space="preserve"> </w:t>
      </w:r>
      <w:r w:rsidRPr="003B255E">
        <w:rPr>
          <w:color w:val="000000"/>
        </w:rPr>
        <w:t>File No. BALCDT-20140625AOV</w:t>
      </w:r>
      <w:r>
        <w:rPr>
          <w:color w:val="000000"/>
        </w:rPr>
        <w:t>.</w:t>
      </w:r>
    </w:p>
  </w:footnote>
  <w:footnote w:id="24">
    <w:p w:rsidR="00050DDF" w:rsidRPr="003B255E" w:rsidRDefault="00050DDF" w:rsidP="003B255E">
      <w:pPr>
        <w:pStyle w:val="FootnoteText"/>
      </w:pPr>
      <w:r w:rsidRPr="003B255E">
        <w:rPr>
          <w:rStyle w:val="FootnoteReference"/>
        </w:rPr>
        <w:footnoteRef/>
      </w:r>
      <w:r w:rsidRPr="003B255E">
        <w:t xml:space="preserve"> </w:t>
      </w:r>
      <w:r w:rsidRPr="00950C68">
        <w:rPr>
          <w:i/>
        </w:rPr>
        <w:t>See</w:t>
      </w:r>
      <w:r w:rsidRPr="003B255E">
        <w:t xml:space="preserve"> File No. BTCCDT-20130809ACE (amended </w:t>
      </w:r>
      <w:r>
        <w:t>June 30, 2014), at Exh. 15, p.</w:t>
      </w:r>
      <w:r w:rsidRPr="003B255E">
        <w:t xml:space="preserve"> 5.  As described in further detail below, we will make a condition of grant </w:t>
      </w:r>
      <w:r w:rsidRPr="003B255E">
        <w:rPr>
          <w:color w:val="000000"/>
        </w:rPr>
        <w:t>that, if the application to assign WHTM-T</w:t>
      </w:r>
      <w:r>
        <w:rPr>
          <w:color w:val="000000"/>
        </w:rPr>
        <w:t xml:space="preserve">V </w:t>
      </w:r>
      <w:r w:rsidRPr="003B255E">
        <w:rPr>
          <w:color w:val="000000"/>
        </w:rPr>
        <w:t xml:space="preserve">is contested or is not otherwise grantable within the 60-day period after consummation of the instant transaction, Sinclair must file an application assigning the station to a divestiture trust. </w:t>
      </w:r>
      <w:r w:rsidRPr="003B255E">
        <w:t xml:space="preserve"> </w:t>
      </w:r>
    </w:p>
  </w:footnote>
  <w:footnote w:id="25">
    <w:p w:rsidR="00050DDF" w:rsidRPr="003B255E" w:rsidRDefault="00050DDF" w:rsidP="003B255E">
      <w:pPr>
        <w:pStyle w:val="FootnoteText"/>
      </w:pPr>
      <w:r w:rsidRPr="003B255E">
        <w:rPr>
          <w:rStyle w:val="FootnoteReference"/>
        </w:rPr>
        <w:footnoteRef/>
      </w:r>
      <w:r w:rsidRPr="003B255E">
        <w:t xml:space="preserve"> All parties to this proceeding were copied on Sinclair’s May 29, 2014 letter providing the amended proposal and the amended applications were filed in the docket.</w:t>
      </w:r>
    </w:p>
  </w:footnote>
  <w:footnote w:id="26">
    <w:p w:rsidR="00050DDF" w:rsidRPr="003B255E" w:rsidRDefault="00050DDF" w:rsidP="003B255E">
      <w:pPr>
        <w:pStyle w:val="FootnoteText"/>
      </w:pPr>
      <w:r w:rsidRPr="003B255E">
        <w:rPr>
          <w:rStyle w:val="FootnoteReference"/>
        </w:rPr>
        <w:footnoteRef/>
      </w:r>
      <w:r w:rsidRPr="003B255E">
        <w:t xml:space="preserve"> On July 17, 2014, Campaign Legal Center, Common Cause, and the Sunlight Foundation (“Complainants”) filed a complaint regarding the compliance of WJLA-TV with the Commission’s political advertising rule. </w:t>
      </w:r>
      <w:r>
        <w:t xml:space="preserve"> </w:t>
      </w:r>
      <w:r w:rsidRPr="003B255E">
        <w:t xml:space="preserve">In a cover note, Complainants requested that the complaint be treated as an informal objection to this proceeding. </w:t>
      </w:r>
      <w:r>
        <w:t xml:space="preserve"> </w:t>
      </w:r>
      <w:r w:rsidRPr="003B255E">
        <w:t>We deny that request. This complaint will be reviewed in the usual course.  Moreover, we conclude that the complaint does not allege facts that would call into question the Allbritton’s fitness to serve as a Commission licensee.</w:t>
      </w:r>
    </w:p>
  </w:footnote>
  <w:footnote w:id="27">
    <w:p w:rsidR="00050DDF" w:rsidRPr="003B255E" w:rsidRDefault="00050DDF" w:rsidP="003B255E">
      <w:pPr>
        <w:pStyle w:val="FootnoteText"/>
      </w:pPr>
      <w:r w:rsidRPr="003B255E">
        <w:rPr>
          <w:rStyle w:val="FootnoteReference"/>
        </w:rPr>
        <w:footnoteRef/>
      </w:r>
      <w:r w:rsidRPr="003B255E">
        <w:t xml:space="preserve"> File No. BTCCDT-20130809ACD.</w:t>
      </w:r>
    </w:p>
  </w:footnote>
  <w:footnote w:id="28">
    <w:p w:rsidR="00050DDF" w:rsidRPr="003B255E" w:rsidRDefault="00050DDF" w:rsidP="003B255E">
      <w:pPr>
        <w:pStyle w:val="FootnoteText"/>
      </w:pPr>
      <w:r w:rsidRPr="003B255E">
        <w:rPr>
          <w:rStyle w:val="FootnoteReference"/>
        </w:rPr>
        <w:footnoteRef/>
      </w:r>
      <w:r w:rsidRPr="003B255E">
        <w:t xml:space="preserve"> Rainbow Push Petition to Deny (Sept. 13, 2013) (“Rainbow Push Petition”) at 3-7.  </w:t>
      </w:r>
      <w:r w:rsidRPr="003B255E">
        <w:rPr>
          <w:color w:val="000000"/>
        </w:rPr>
        <w:t xml:space="preserve">In 1998, Sinclair and Cunningham (then Glencairn, Ltd.) sought to acquire certain television stations from Sullivan Broadcasting Company.  Rainbow Push opposed the applications arguing that the transactions resulted in Sinclair exercising </w:t>
      </w:r>
      <w:r w:rsidRPr="003B255E">
        <w:rPr>
          <w:i/>
          <w:iCs/>
          <w:color w:val="000000"/>
        </w:rPr>
        <w:t>de facto</w:t>
      </w:r>
      <w:r w:rsidRPr="003B255E">
        <w:rPr>
          <w:color w:val="000000"/>
        </w:rPr>
        <w:t xml:space="preserve"> control over Glencairn. </w:t>
      </w:r>
      <w:r>
        <w:rPr>
          <w:color w:val="000000"/>
        </w:rPr>
        <w:t xml:space="preserve"> </w:t>
      </w:r>
      <w:r w:rsidRPr="003B255E">
        <w:rPr>
          <w:color w:val="000000"/>
        </w:rPr>
        <w:t xml:space="preserve">The Commission granted in part and denied in part Rainbow Push’s petition to deny.  </w:t>
      </w:r>
      <w:r w:rsidRPr="003B255E">
        <w:rPr>
          <w:i/>
          <w:iCs/>
          <w:color w:val="000000"/>
        </w:rPr>
        <w:t xml:space="preserve">Glencairn, Ltd., </w:t>
      </w:r>
      <w:r w:rsidRPr="003B255E">
        <w:rPr>
          <w:iCs/>
          <w:color w:val="000000"/>
        </w:rPr>
        <w:t xml:space="preserve">Memorandum Opinion and Order and Notice of Apparent Liability, </w:t>
      </w:r>
      <w:r w:rsidRPr="003B255E">
        <w:t>16 FCC Rcd 22236 (2001) (“</w:t>
      </w:r>
      <w:r w:rsidRPr="003B255E">
        <w:rPr>
          <w:i/>
        </w:rPr>
        <w:t>2001 Glencairn Decision</w:t>
      </w:r>
      <w:r w:rsidRPr="003B255E">
        <w:t xml:space="preserve">”).  </w:t>
      </w:r>
      <w:r w:rsidRPr="003B255E">
        <w:rPr>
          <w:color w:val="000000"/>
        </w:rPr>
        <w:t xml:space="preserve">The Commission found that Sinclair exercised </w:t>
      </w:r>
      <w:r w:rsidRPr="003B255E">
        <w:rPr>
          <w:i/>
          <w:iCs/>
          <w:color w:val="000000"/>
        </w:rPr>
        <w:t>de facto</w:t>
      </w:r>
      <w:r w:rsidRPr="003B255E">
        <w:rPr>
          <w:color w:val="000000"/>
        </w:rPr>
        <w:t xml:space="preserve"> control over Glencairn with respect to the specific transaction at issue but did not designate the applications for hearing. The Commission did not find that the LMA and other relationships between Sinclair and Glencairn in general conferred </w:t>
      </w:r>
      <w:r w:rsidRPr="003B255E">
        <w:rPr>
          <w:i/>
          <w:color w:val="000000"/>
        </w:rPr>
        <w:t>de facto</w:t>
      </w:r>
      <w:r w:rsidRPr="003B255E">
        <w:rPr>
          <w:color w:val="000000"/>
        </w:rPr>
        <w:t xml:space="preserve"> control.  Sinclair and Glencairn were each issued forfeitures and the applications were granted.</w:t>
      </w:r>
      <w:r>
        <w:rPr>
          <w:color w:val="000000"/>
        </w:rPr>
        <w:t xml:space="preserve"> </w:t>
      </w:r>
      <w:r w:rsidRPr="003B255E">
        <w:rPr>
          <w:color w:val="000000"/>
        </w:rPr>
        <w:t xml:space="preserve"> </w:t>
      </w:r>
      <w:r w:rsidRPr="003B255E">
        <w:rPr>
          <w:i/>
          <w:color w:val="000000"/>
        </w:rPr>
        <w:t>Id.</w:t>
      </w:r>
      <w:r w:rsidRPr="003B255E">
        <w:rPr>
          <w:color w:val="000000"/>
        </w:rPr>
        <w:t xml:space="preserve"> at 22251-22256.  </w:t>
      </w:r>
      <w:r w:rsidRPr="003B255E">
        <w:t xml:space="preserve">In 2002 and 2003, separate applications were filed to transfer five full-power television stations from Cunningham to Sinclair.  Rainbow Push filed petitions to deny the applications, arguing that new facts discovered after the </w:t>
      </w:r>
      <w:r w:rsidRPr="003B255E">
        <w:rPr>
          <w:i/>
        </w:rPr>
        <w:t xml:space="preserve">2001 Glencairn Decision </w:t>
      </w:r>
      <w:r w:rsidRPr="003B255E">
        <w:t xml:space="preserve">indicated that Sinclair had in fact acquired control as a result of its sharing arrangements and other relationships with Cunningham.  The staff dismissed the 2002 applications in 2002 and the 2003 applications in 2004, for reasons other than the sharing arrangements between Sinclair and Glencairn.  The staff determined that the allegations raised in 2002 were mooted by dismissal of the underlying application, but it denied the underlying allegations raised in the 2002 and 2003 petitions in a 2004 letter decision.  </w:t>
      </w:r>
      <w:r w:rsidRPr="003B255E">
        <w:rPr>
          <w:i/>
        </w:rPr>
        <w:t>Kathryn R. Schmeltzer, Esq.</w:t>
      </w:r>
      <w:r w:rsidRPr="003B255E">
        <w:t xml:space="preserve">, Letter, 19 FCC Rcd 3897, 3899-3900 (2004) </w:t>
      </w:r>
      <w:r w:rsidRPr="00535091">
        <w:t>(</w:t>
      </w:r>
      <w:r w:rsidRPr="003B255E">
        <w:t>“</w:t>
      </w:r>
      <w:r w:rsidRPr="003B255E">
        <w:rPr>
          <w:i/>
        </w:rPr>
        <w:t>2004 Letter Decision</w:t>
      </w:r>
      <w:r w:rsidRPr="00535091">
        <w:t>”)</w:t>
      </w:r>
      <w:r w:rsidRPr="003B255E">
        <w:t xml:space="preserve">. </w:t>
      </w:r>
      <w:r>
        <w:t xml:space="preserve"> </w:t>
      </w:r>
      <w:r w:rsidRPr="003B255E">
        <w:t>Rainbow Push has filed a Petition for Reconsideration of that decision, which remains pending.</w:t>
      </w:r>
    </w:p>
  </w:footnote>
  <w:footnote w:id="29">
    <w:p w:rsidR="00050DDF" w:rsidRPr="003B255E" w:rsidRDefault="00050DDF" w:rsidP="003B255E">
      <w:pPr>
        <w:pStyle w:val="FootnoteText"/>
      </w:pPr>
      <w:r w:rsidRPr="003B255E">
        <w:rPr>
          <w:rStyle w:val="FootnoteReference"/>
        </w:rPr>
        <w:footnoteRef/>
      </w:r>
      <w:r w:rsidRPr="003B255E">
        <w:t xml:space="preserve"> Sinclair Opposition to Petition to Deny (Sept. 26, 2013) at 16.</w:t>
      </w:r>
    </w:p>
  </w:footnote>
  <w:footnote w:id="30">
    <w:p w:rsidR="00050DDF" w:rsidRPr="003B255E" w:rsidRDefault="00050DDF" w:rsidP="003B255E">
      <w:pPr>
        <w:pStyle w:val="FootnoteText"/>
        <w:rPr>
          <w:i/>
        </w:rPr>
      </w:pPr>
      <w:r w:rsidRPr="003B255E">
        <w:rPr>
          <w:rStyle w:val="FootnoteReference"/>
        </w:rPr>
        <w:footnoteRef/>
      </w:r>
      <w:r w:rsidRPr="003B255E">
        <w:t xml:space="preserve"> </w:t>
      </w:r>
      <w:r w:rsidRPr="003B255E">
        <w:rPr>
          <w:i/>
        </w:rPr>
        <w:t>Id.</w:t>
      </w:r>
    </w:p>
  </w:footnote>
  <w:footnote w:id="31">
    <w:p w:rsidR="00050DDF" w:rsidRPr="003B255E" w:rsidRDefault="00050DDF" w:rsidP="003B255E">
      <w:pPr>
        <w:pStyle w:val="FootnoteText"/>
        <w:rPr>
          <w:i/>
        </w:rPr>
      </w:pPr>
      <w:r w:rsidRPr="003B255E">
        <w:rPr>
          <w:rStyle w:val="FootnoteReference"/>
        </w:rPr>
        <w:footnoteRef/>
      </w:r>
      <w:r w:rsidRPr="003B255E">
        <w:t xml:space="preserve"> </w:t>
      </w:r>
      <w:r w:rsidRPr="003B255E">
        <w:rPr>
          <w:i/>
        </w:rPr>
        <w:t xml:space="preserve">Id. </w:t>
      </w:r>
      <w:r w:rsidRPr="003B255E">
        <w:t>at 17.</w:t>
      </w:r>
    </w:p>
  </w:footnote>
  <w:footnote w:id="32">
    <w:p w:rsidR="00050DDF" w:rsidRPr="003B255E" w:rsidRDefault="00050DDF" w:rsidP="003B255E">
      <w:pPr>
        <w:pStyle w:val="FootnoteText"/>
        <w:rPr>
          <w:i/>
        </w:rPr>
      </w:pPr>
      <w:r w:rsidRPr="003B255E">
        <w:rPr>
          <w:rStyle w:val="FootnoteReference"/>
        </w:rPr>
        <w:footnoteRef/>
      </w:r>
      <w:r w:rsidRPr="003B255E">
        <w:t xml:space="preserve"> </w:t>
      </w:r>
      <w:r w:rsidRPr="003B255E">
        <w:rPr>
          <w:i/>
        </w:rPr>
        <w:t xml:space="preserve">Id. </w:t>
      </w:r>
      <w:r w:rsidRPr="003B255E">
        <w:t>at 18.</w:t>
      </w:r>
    </w:p>
  </w:footnote>
  <w:footnote w:id="33">
    <w:p w:rsidR="00050DDF" w:rsidRPr="003B255E" w:rsidRDefault="00050DDF" w:rsidP="003B255E">
      <w:pPr>
        <w:pStyle w:val="FootnoteText"/>
      </w:pPr>
      <w:r w:rsidRPr="003B255E">
        <w:rPr>
          <w:rStyle w:val="FootnoteReference"/>
        </w:rPr>
        <w:footnoteRef/>
      </w:r>
      <w:r w:rsidRPr="003B255E">
        <w:t xml:space="preserve"> Rainbow Push Reply to Oppositions to Petition to Deny</w:t>
      </w:r>
      <w:r>
        <w:t xml:space="preserve"> </w:t>
      </w:r>
      <w:r w:rsidRPr="003B255E">
        <w:t xml:space="preserve">(Oct. 24, 2013) (“Rainbow Push Reply”) at 3 &amp; n.8.  </w:t>
      </w:r>
    </w:p>
  </w:footnote>
  <w:footnote w:id="34">
    <w:p w:rsidR="00050DDF" w:rsidRPr="003B255E" w:rsidRDefault="00050DDF" w:rsidP="003B255E">
      <w:pPr>
        <w:pStyle w:val="FootnoteText"/>
      </w:pPr>
      <w:r w:rsidRPr="003B255E">
        <w:rPr>
          <w:rStyle w:val="FootnoteReference"/>
        </w:rPr>
        <w:footnoteRef/>
      </w:r>
      <w:r w:rsidRPr="003B255E">
        <w:t xml:space="preserve"> </w:t>
      </w:r>
      <w:r w:rsidRPr="003B255E">
        <w:rPr>
          <w:i/>
        </w:rPr>
        <w:t>Id.</w:t>
      </w:r>
      <w:r w:rsidRPr="003B255E">
        <w:t xml:space="preserve"> at 1-2 (citing Keach Hagey, </w:t>
      </w:r>
      <w:r w:rsidRPr="003B255E">
        <w:rPr>
          <w:i/>
        </w:rPr>
        <w:t>Sinclair Draws Scrutiny Over Growth Tactic: TV-Station King Uses “Sidecars” to Skirt Ownership Limits</w:t>
      </w:r>
      <w:r w:rsidRPr="003B255E">
        <w:t xml:space="preserve">, The Wall Street Journal (Oct. 20, 2013) and Derek Turner, </w:t>
      </w:r>
      <w:r w:rsidRPr="003B255E">
        <w:rPr>
          <w:i/>
        </w:rPr>
        <w:t>Cease to Resist: How the FCC’s Failure to Enforce Its Rules Created a new Wave of Media Consolidation</w:t>
      </w:r>
      <w:r w:rsidRPr="003B255E">
        <w:t>, Free Press (Oct. 2013)).</w:t>
      </w:r>
    </w:p>
  </w:footnote>
  <w:footnote w:id="35">
    <w:p w:rsidR="00050DDF" w:rsidRPr="003B255E" w:rsidRDefault="00050DDF" w:rsidP="003B255E">
      <w:pPr>
        <w:pStyle w:val="FootnoteText"/>
      </w:pPr>
      <w:r w:rsidRPr="003B255E">
        <w:rPr>
          <w:rStyle w:val="FootnoteReference"/>
        </w:rPr>
        <w:footnoteRef/>
      </w:r>
      <w:r w:rsidRPr="003B255E">
        <w:t xml:space="preserve"> Sinclair Submission for the Record (Nov. 5, 2013) (“Sinclair Surreply”) at 8 (citing </w:t>
      </w:r>
      <w:r w:rsidRPr="003B255E">
        <w:rPr>
          <w:i/>
        </w:rPr>
        <w:t>Pikes Peak Broad. Co.</w:t>
      </w:r>
      <w:r w:rsidRPr="003B255E">
        <w:t>, Memorandum Opinion and Order, 12 FCC Rcd 4626, 4630 (1997) (internal citations omitted).</w:t>
      </w:r>
    </w:p>
  </w:footnote>
  <w:footnote w:id="36">
    <w:p w:rsidR="00050DDF" w:rsidRPr="003B255E" w:rsidRDefault="00050DDF" w:rsidP="003B255E">
      <w:pPr>
        <w:pStyle w:val="FootnoteText"/>
      </w:pPr>
      <w:r w:rsidRPr="003B255E">
        <w:rPr>
          <w:rStyle w:val="FootnoteReference"/>
        </w:rPr>
        <w:footnoteRef/>
      </w:r>
      <w:r w:rsidRPr="003B255E">
        <w:t xml:space="preserve"> Sinclair Surreply at 9.</w:t>
      </w:r>
    </w:p>
  </w:footnote>
  <w:footnote w:id="37">
    <w:p w:rsidR="00050DDF" w:rsidRPr="003B255E" w:rsidRDefault="00050DDF" w:rsidP="003B255E">
      <w:pPr>
        <w:pStyle w:val="FootnoteText"/>
      </w:pPr>
      <w:r w:rsidRPr="003B255E">
        <w:rPr>
          <w:rStyle w:val="FootnoteReference"/>
        </w:rPr>
        <w:footnoteRef/>
      </w:r>
      <w:r w:rsidRPr="003B255E">
        <w:t xml:space="preserve"> ACA Petition to Deny (Sept. 13, 2013) at 2.</w:t>
      </w:r>
    </w:p>
  </w:footnote>
  <w:footnote w:id="38">
    <w:p w:rsidR="00050DDF" w:rsidRPr="003B255E" w:rsidRDefault="00050DDF" w:rsidP="003B255E">
      <w:pPr>
        <w:pStyle w:val="FootnoteText"/>
      </w:pPr>
      <w:r w:rsidRPr="003B255E">
        <w:rPr>
          <w:rStyle w:val="FootnoteReference"/>
        </w:rPr>
        <w:footnoteRef/>
      </w:r>
      <w:r w:rsidRPr="003B255E">
        <w:t xml:space="preserve"> </w:t>
      </w:r>
      <w:r w:rsidRPr="003B255E">
        <w:rPr>
          <w:i/>
        </w:rPr>
        <w:t>Id.</w:t>
      </w:r>
      <w:r w:rsidRPr="003B255E">
        <w:t xml:space="preserve"> at 3.</w:t>
      </w:r>
    </w:p>
  </w:footnote>
  <w:footnote w:id="39">
    <w:p w:rsidR="00050DDF" w:rsidRPr="003B255E" w:rsidRDefault="00050DDF" w:rsidP="003B255E">
      <w:pPr>
        <w:pStyle w:val="FootnoteText"/>
      </w:pPr>
      <w:r w:rsidRPr="003B255E">
        <w:rPr>
          <w:rStyle w:val="FootnoteReference"/>
        </w:rPr>
        <w:footnoteRef/>
      </w:r>
      <w:r w:rsidRPr="003B255E">
        <w:t xml:space="preserve"> Sinclair Opposition at 12; Allbritton, Opposition to Petition to Deny (Sept. 26, 2013) (“Allbritton Opposition”) at 7.</w:t>
      </w:r>
    </w:p>
  </w:footnote>
  <w:footnote w:id="40">
    <w:p w:rsidR="00050DDF" w:rsidRPr="003B255E" w:rsidRDefault="00050DDF" w:rsidP="003B255E">
      <w:pPr>
        <w:pStyle w:val="FootnoteText"/>
      </w:pPr>
      <w:r w:rsidRPr="003B255E">
        <w:rPr>
          <w:rStyle w:val="FootnoteReference"/>
        </w:rPr>
        <w:footnoteRef/>
      </w:r>
      <w:r w:rsidRPr="003B255E">
        <w:t xml:space="preserve"> Sinclair Opposition at 11.</w:t>
      </w:r>
    </w:p>
  </w:footnote>
  <w:footnote w:id="41">
    <w:p w:rsidR="00050DDF" w:rsidRPr="003B255E" w:rsidRDefault="00050DDF" w:rsidP="003B255E">
      <w:pPr>
        <w:pStyle w:val="FootnoteText"/>
      </w:pPr>
      <w:r w:rsidRPr="003B255E">
        <w:rPr>
          <w:rStyle w:val="FootnoteReference"/>
        </w:rPr>
        <w:footnoteRef/>
      </w:r>
      <w:r w:rsidRPr="003B255E">
        <w:t xml:space="preserve"> </w:t>
      </w:r>
      <w:r w:rsidRPr="003B255E">
        <w:rPr>
          <w:lang w:eastAsia="x-none"/>
        </w:rPr>
        <w:t xml:space="preserve">Free Press Petition to Deny (Sept. 13, 2013) at 4.  </w:t>
      </w:r>
      <w:r w:rsidRPr="003B255E">
        <w:t>The Applicants filed oppositions that, much like the underlying petition, have been mooted by the amendments to the proposed transaction.</w:t>
      </w:r>
    </w:p>
  </w:footnote>
  <w:footnote w:id="42">
    <w:p w:rsidR="00050DDF" w:rsidRPr="003B255E" w:rsidRDefault="00050DDF" w:rsidP="003B255E">
      <w:pPr>
        <w:spacing w:after="120"/>
        <w:jc w:val="both"/>
        <w:rPr>
          <w:sz w:val="20"/>
        </w:rPr>
      </w:pPr>
      <w:r w:rsidRPr="003B255E">
        <w:rPr>
          <w:rStyle w:val="FootnoteReference"/>
          <w:sz w:val="20"/>
        </w:rPr>
        <w:footnoteRef/>
      </w:r>
      <w:r w:rsidRPr="003B255E">
        <w:rPr>
          <w:sz w:val="20"/>
        </w:rPr>
        <w:t xml:space="preserve"> </w:t>
      </w:r>
      <w:r w:rsidRPr="003B255E">
        <w:rPr>
          <w:i/>
          <w:sz w:val="20"/>
        </w:rPr>
        <w:t>Id.</w:t>
      </w:r>
      <w:r w:rsidRPr="003B255E">
        <w:rPr>
          <w:sz w:val="20"/>
        </w:rPr>
        <w:t xml:space="preserve"> at 4 (citing </w:t>
      </w:r>
      <w:r w:rsidRPr="003B255E">
        <w:rPr>
          <w:i/>
          <w:sz w:val="20"/>
        </w:rPr>
        <w:t>Verizon Communications, Inc. and MCI, Inc.</w:t>
      </w:r>
      <w:r w:rsidRPr="003B255E">
        <w:rPr>
          <w:sz w:val="20"/>
        </w:rPr>
        <w:t xml:space="preserve">, Memorandum Opinion and Order, 20 FCC Rcd 18433, ¶ 16 (2005).  Applicants contend that the Commission need not make a separate finding that the applications would benefit the public interest.  Allbritton Opposition at 3 n.4 (citing </w:t>
      </w:r>
      <w:r w:rsidRPr="003B255E">
        <w:rPr>
          <w:i/>
          <w:sz w:val="20"/>
        </w:rPr>
        <w:t>Committee to Save WEAM v. FCC</w:t>
      </w:r>
      <w:r w:rsidRPr="003B255E">
        <w:rPr>
          <w:sz w:val="20"/>
        </w:rPr>
        <w:t xml:space="preserve">, 808 F.2d 113, 118 (D.C. Cir. 1988) and </w:t>
      </w:r>
      <w:r w:rsidRPr="003B255E">
        <w:rPr>
          <w:i/>
          <w:sz w:val="20"/>
        </w:rPr>
        <w:t>Office of the United Church of Christ, et al. v. FCC</w:t>
      </w:r>
      <w:r w:rsidRPr="003B255E">
        <w:rPr>
          <w:sz w:val="20"/>
        </w:rPr>
        <w:t>, No. 01-1374, 51 Fed Appx. 21, 2002 WL 31496407 at **1 (D.C. Cir. Nov. 8, 2002)</w:t>
      </w:r>
      <w:r>
        <w:rPr>
          <w:sz w:val="20"/>
        </w:rPr>
        <w:t>)</w:t>
      </w:r>
      <w:r w:rsidRPr="003B255E">
        <w:rPr>
          <w:sz w:val="20"/>
        </w:rPr>
        <w:t>.</w:t>
      </w:r>
      <w:r w:rsidRPr="003B255E">
        <w:rPr>
          <w:sz w:val="20"/>
          <w:lang w:eastAsia="x-none"/>
        </w:rPr>
        <w:t xml:space="preserve"> </w:t>
      </w:r>
    </w:p>
  </w:footnote>
  <w:footnote w:id="43">
    <w:p w:rsidR="00050DDF" w:rsidRPr="003B255E" w:rsidRDefault="00050DDF" w:rsidP="003B255E">
      <w:pPr>
        <w:pStyle w:val="FootnoteText"/>
      </w:pPr>
      <w:r w:rsidRPr="003B255E">
        <w:rPr>
          <w:rStyle w:val="FootnoteReference"/>
        </w:rPr>
        <w:footnoteRef/>
      </w:r>
      <w:r w:rsidRPr="003B255E">
        <w:t xml:space="preserve"> Raymie Humbert, Informal Objection (“Humbert Informal Objection”) (Aug. 14, 2013).  In its opposition, Sinclair contends that Humbert’s pleading contains factual errors and mischaracterizes Sinclair’s role by claiming that Sinclair operates or controls the stations to which it provides services.  Sinclair Opposition at 9.  As described in further detail below, we conclude that Humbert’s pleading is an informal objection, not a petition to deny, because it is procedurally defective as a petition. </w:t>
      </w:r>
    </w:p>
  </w:footnote>
  <w:footnote w:id="44">
    <w:p w:rsidR="00050DDF" w:rsidRPr="003B255E" w:rsidRDefault="00050DDF" w:rsidP="003B255E">
      <w:pPr>
        <w:pStyle w:val="FootnoteText"/>
      </w:pPr>
      <w:r w:rsidRPr="003B255E">
        <w:rPr>
          <w:rStyle w:val="FootnoteReference"/>
        </w:rPr>
        <w:footnoteRef/>
      </w:r>
      <w:r w:rsidRPr="003B255E">
        <w:t xml:space="preserve"> </w:t>
      </w:r>
      <w:r w:rsidRPr="003B255E">
        <w:rPr>
          <w:i/>
        </w:rPr>
        <w:t>Id.</w:t>
      </w:r>
      <w:r w:rsidRPr="003B255E">
        <w:t xml:space="preserve"> at 1-2.  </w:t>
      </w:r>
    </w:p>
  </w:footnote>
  <w:footnote w:id="45">
    <w:p w:rsidR="00050DDF" w:rsidRPr="003B255E" w:rsidRDefault="00050DDF" w:rsidP="003B255E">
      <w:pPr>
        <w:pStyle w:val="FootnoteText"/>
      </w:pPr>
      <w:r w:rsidRPr="003B255E">
        <w:rPr>
          <w:rStyle w:val="FootnoteReference"/>
        </w:rPr>
        <w:footnoteRef/>
      </w:r>
      <w:r w:rsidRPr="003B255E">
        <w:t xml:space="preserve"> </w:t>
      </w:r>
      <w:hyperlink r:id="rId2" w:tgtFrame="_top" w:history="1">
        <w:r w:rsidRPr="003B255E">
          <w:t>47 U.S.C. § 309(d)</w:t>
        </w:r>
      </w:hyperlink>
      <w:r w:rsidRPr="003B255E">
        <w:t xml:space="preserve">; </w:t>
      </w:r>
      <w:hyperlink r:id="rId3" w:tgtFrame="_top" w:history="1">
        <w:r w:rsidRPr="003B255E">
          <w:t>47 C.F.R. § 73.3584</w:t>
        </w:r>
      </w:hyperlink>
      <w:r w:rsidRPr="003B255E">
        <w:t>.</w:t>
      </w:r>
    </w:p>
  </w:footnote>
  <w:footnote w:id="46">
    <w:p w:rsidR="00050DDF" w:rsidRPr="003B255E" w:rsidRDefault="00050DDF" w:rsidP="003B255E">
      <w:pPr>
        <w:pStyle w:val="FootnoteText"/>
      </w:pPr>
      <w:r w:rsidRPr="003B255E">
        <w:rPr>
          <w:rStyle w:val="FootnoteReference"/>
        </w:rPr>
        <w:footnoteRef/>
      </w:r>
      <w:r w:rsidRPr="003B255E">
        <w:t xml:space="preserve"> 47 U.S.C. § 309(d).</w:t>
      </w:r>
    </w:p>
  </w:footnote>
  <w:footnote w:id="47">
    <w:p w:rsidR="00050DDF" w:rsidRPr="003B255E" w:rsidRDefault="00050DDF" w:rsidP="003B255E">
      <w:pPr>
        <w:pStyle w:val="FootnoteText"/>
      </w:pPr>
      <w:r w:rsidRPr="003B255E">
        <w:rPr>
          <w:rStyle w:val="FootnoteReference"/>
        </w:rPr>
        <w:footnoteRef/>
      </w:r>
      <w:r w:rsidRPr="003B255E">
        <w:t xml:space="preserve"> </w:t>
      </w:r>
      <w:r w:rsidRPr="003B255E">
        <w:rPr>
          <w:i/>
        </w:rPr>
        <w:t>Id.</w:t>
      </w:r>
    </w:p>
  </w:footnote>
  <w:footnote w:id="48">
    <w:p w:rsidR="00050DDF" w:rsidRPr="003B255E" w:rsidRDefault="00050DDF" w:rsidP="003B255E">
      <w:pPr>
        <w:pStyle w:val="FootnoteText"/>
      </w:pPr>
      <w:r w:rsidRPr="003B255E">
        <w:rPr>
          <w:rStyle w:val="FootnoteReference"/>
        </w:rPr>
        <w:footnoteRef/>
      </w:r>
      <w:r w:rsidRPr="003B255E">
        <w:t xml:space="preserve"> </w:t>
      </w:r>
      <w:r w:rsidRPr="003B255E">
        <w:rPr>
          <w:i/>
          <w:iCs/>
        </w:rPr>
        <w:t>Curators of Univ. of Missouri</w:t>
      </w:r>
      <w:r w:rsidRPr="003B255E">
        <w:t xml:space="preserve">, Memorandum Opinion and Order and Notice of Apparent Liability, 16 FCC Rcd 1174, 1175 (2001).  It is not necessary for a petitioner to make a separate showing that it has suffered an “injury in fact.” </w:t>
      </w:r>
      <w:r w:rsidRPr="003B255E">
        <w:rPr>
          <w:i/>
        </w:rPr>
        <w:t>Local TV Holdings, LLC</w:t>
      </w:r>
      <w:r w:rsidRPr="003B255E">
        <w:t>, Memorandum Opinion and Order, 28 FCC Rcd 16850, 16851 (MB</w:t>
      </w:r>
      <w:r>
        <w:t xml:space="preserve"> 2013).  </w:t>
      </w:r>
      <w:r w:rsidRPr="003B255E">
        <w:t xml:space="preserve">Factual allegations as to why grant of a broadcast application would not serve the public interest, combined with a showing of local residence, “supply the predicate for finding injury in fact.” </w:t>
      </w:r>
      <w:r w:rsidRPr="003B255E">
        <w:rPr>
          <w:i/>
        </w:rPr>
        <w:t>Id.</w:t>
      </w:r>
      <w:r w:rsidRPr="003B255E">
        <w:t xml:space="preserve"> (citing </w:t>
      </w:r>
      <w:r w:rsidRPr="003B255E">
        <w:rPr>
          <w:i/>
          <w:iCs/>
        </w:rPr>
        <w:t>Petition for Rulemaking to Establish Standards for Determining the Standing of a Party to Petition to Deny a Broadcast Application</w:t>
      </w:r>
      <w:r w:rsidRPr="003B255E">
        <w:t>, Memorandum Opinion and Order, 82 FCC 2d 89, 98-99 (1980)).</w:t>
      </w:r>
    </w:p>
  </w:footnote>
  <w:footnote w:id="49">
    <w:p w:rsidR="00050DDF" w:rsidRPr="003B255E" w:rsidRDefault="00050DDF" w:rsidP="003B255E">
      <w:pPr>
        <w:pStyle w:val="FootnoteText"/>
      </w:pPr>
      <w:r w:rsidRPr="003B255E">
        <w:rPr>
          <w:rStyle w:val="FootnoteReference"/>
        </w:rPr>
        <w:footnoteRef/>
      </w:r>
      <w:r w:rsidRPr="003B255E">
        <w:t xml:space="preserve"> </w:t>
      </w:r>
      <w:r w:rsidRPr="003B255E">
        <w:rPr>
          <w:i/>
        </w:rPr>
        <w:t>Local TV Holdings, LLC</w:t>
      </w:r>
      <w:r w:rsidRPr="003B255E">
        <w:t xml:space="preserve">, 28 FCC Rcd at 16851 (citing </w:t>
      </w:r>
      <w:r w:rsidRPr="003B255E">
        <w:rPr>
          <w:i/>
          <w:iCs/>
        </w:rPr>
        <w:t>Shareholders of Tribune</w:t>
      </w:r>
      <w:r w:rsidRPr="003B255E">
        <w:t>, Memorandum Opinion and Order, 22 FCC Rcd 21266, 21269 (2007)</w:t>
      </w:r>
      <w:r>
        <w:t xml:space="preserve"> </w:t>
      </w:r>
      <w:r w:rsidRPr="003B255E">
        <w:t>(“</w:t>
      </w:r>
      <w:r w:rsidRPr="003B255E">
        <w:rPr>
          <w:i/>
          <w:iCs/>
        </w:rPr>
        <w:t>Tribune I</w:t>
      </w:r>
      <w:r w:rsidRPr="003B255E">
        <w:t xml:space="preserve">”); </w:t>
      </w:r>
      <w:r w:rsidRPr="003B255E">
        <w:rPr>
          <w:i/>
          <w:iCs/>
        </w:rPr>
        <w:t>Cox Radio, Inc. &amp; Summit Media, LLC</w:t>
      </w:r>
      <w:r w:rsidRPr="003B255E">
        <w:t>, Letter</w:t>
      </w:r>
      <w:r>
        <w:t xml:space="preserve"> Decision</w:t>
      </w:r>
      <w:r w:rsidRPr="003B255E">
        <w:t xml:space="preserve">, 28 </w:t>
      </w:r>
      <w:r>
        <w:t>FCC Rcd 5674, 5676, n. 12 (Aud.</w:t>
      </w:r>
      <w:r w:rsidRPr="003B255E">
        <w:t xml:space="preserve"> Div. 2013)).</w:t>
      </w:r>
    </w:p>
  </w:footnote>
  <w:footnote w:id="50">
    <w:p w:rsidR="00050DDF" w:rsidRPr="003B255E" w:rsidRDefault="00050DDF" w:rsidP="003B255E">
      <w:pPr>
        <w:pStyle w:val="FootnoteText"/>
      </w:pPr>
      <w:r w:rsidRPr="003B255E">
        <w:rPr>
          <w:rStyle w:val="FootnoteReference"/>
        </w:rPr>
        <w:footnoteRef/>
      </w:r>
      <w:r w:rsidRPr="003B255E">
        <w:t>Sinclair Opposition at 9 (regarding Humbert pleading) &amp; at 18 (regarding Rainbow Push pleading); Deerfield and HSH Consolidated Opposition at 12-13 (regarding Free Press and ACA petitions).</w:t>
      </w:r>
    </w:p>
  </w:footnote>
  <w:footnote w:id="51">
    <w:p w:rsidR="00050DDF" w:rsidRPr="003B255E" w:rsidRDefault="00050DDF" w:rsidP="003B255E">
      <w:pPr>
        <w:pStyle w:val="FootnoteText"/>
      </w:pPr>
      <w:r w:rsidRPr="003B255E">
        <w:rPr>
          <w:rStyle w:val="FootnoteReference"/>
        </w:rPr>
        <w:footnoteRef/>
      </w:r>
      <w:r w:rsidRPr="003B255E">
        <w:t xml:space="preserve"> Deerfield and HSH Consolidated Opposition at 12 (citing </w:t>
      </w:r>
      <w:r w:rsidRPr="003B255E">
        <w:rPr>
          <w:i/>
        </w:rPr>
        <w:t>Choctaw Broadcasting Corp.</w:t>
      </w:r>
      <w:r w:rsidRPr="003B255E">
        <w:t>, Memorandum Opinion and Order, 12 FCC Rcd 8534, 8538 (1997)).</w:t>
      </w:r>
    </w:p>
  </w:footnote>
  <w:footnote w:id="52">
    <w:p w:rsidR="00050DDF" w:rsidRPr="003B255E" w:rsidRDefault="00050DDF" w:rsidP="003B255E">
      <w:pPr>
        <w:pStyle w:val="FootnoteText"/>
      </w:pPr>
      <w:r w:rsidRPr="003B255E">
        <w:rPr>
          <w:rStyle w:val="FootnoteReference"/>
        </w:rPr>
        <w:footnoteRef/>
      </w:r>
      <w:r w:rsidRPr="003B255E">
        <w:t xml:space="preserve"> Sinclair Opposition at 9-10.</w:t>
      </w:r>
    </w:p>
  </w:footnote>
  <w:footnote w:id="53">
    <w:p w:rsidR="00050DDF" w:rsidRPr="003B255E" w:rsidRDefault="00050DDF" w:rsidP="003B255E">
      <w:pPr>
        <w:pStyle w:val="FootnoteText"/>
      </w:pPr>
      <w:r w:rsidRPr="003B255E">
        <w:rPr>
          <w:rStyle w:val="FootnoteReference"/>
        </w:rPr>
        <w:footnoteRef/>
      </w:r>
      <w:r w:rsidRPr="003B255E">
        <w:t xml:space="preserve"> </w:t>
      </w:r>
      <w:r w:rsidRPr="003B255E">
        <w:rPr>
          <w:i/>
        </w:rPr>
        <w:t>Local TV Holdings, LLC</w:t>
      </w:r>
      <w:r w:rsidRPr="003B255E">
        <w:t xml:space="preserve">, 28 FCC Rcd at 16851.  </w:t>
      </w:r>
    </w:p>
  </w:footnote>
  <w:footnote w:id="54">
    <w:p w:rsidR="00050DDF" w:rsidRPr="003B255E" w:rsidRDefault="00050DDF" w:rsidP="003B255E">
      <w:pPr>
        <w:pStyle w:val="FootnoteText"/>
      </w:pPr>
      <w:r w:rsidRPr="003B255E">
        <w:rPr>
          <w:rStyle w:val="FootnoteReference"/>
        </w:rPr>
        <w:footnoteRef/>
      </w:r>
      <w:r w:rsidRPr="003B255E">
        <w:t xml:space="preserve"> Deerfield and HSH Consolidated Opposition at 12 (citing</w:t>
      </w:r>
      <w:r w:rsidRPr="003B255E">
        <w:rPr>
          <w:i/>
        </w:rPr>
        <w:t xml:space="preserve"> Rainbow/PUSH Coalition v. FCC, </w:t>
      </w:r>
      <w:r w:rsidRPr="003B255E">
        <w:t>330 F.3d 539, 544 (D.C. Cir. 2003)).</w:t>
      </w:r>
    </w:p>
  </w:footnote>
  <w:footnote w:id="55">
    <w:p w:rsidR="00050DDF" w:rsidRPr="003B255E" w:rsidRDefault="00050DDF" w:rsidP="003B255E">
      <w:pPr>
        <w:pStyle w:val="FootnoteText"/>
      </w:pPr>
      <w:r w:rsidRPr="003B255E">
        <w:rPr>
          <w:rStyle w:val="FootnoteReference"/>
        </w:rPr>
        <w:footnoteRef/>
      </w:r>
      <w:r w:rsidRPr="003B255E">
        <w:t xml:space="preserve"> Free Press Petition to Deny at 3-4 (citing Declarations of Lynda Maria Bangham, Mitch Troutman, George W. Hopkins, Jerry Huhn, Faye Steuer, and Will Moredock); ACA Petition to Deny at 6-7 (citing Declaration of Ross Lieberman); Rainbow Push Petition at 2-3 (citing Declaration of Steven Smith).</w:t>
      </w:r>
    </w:p>
  </w:footnote>
  <w:footnote w:id="56">
    <w:p w:rsidR="00050DDF" w:rsidRPr="003B255E" w:rsidRDefault="00050DDF" w:rsidP="003B255E">
      <w:pPr>
        <w:pStyle w:val="FootnoteText"/>
      </w:pPr>
      <w:r w:rsidRPr="003B255E">
        <w:rPr>
          <w:rStyle w:val="FootnoteReference"/>
        </w:rPr>
        <w:footnoteRef/>
      </w:r>
      <w:r w:rsidRPr="003B255E">
        <w:t xml:space="preserve"> </w:t>
      </w:r>
      <w:r w:rsidRPr="003B255E">
        <w:rPr>
          <w:i/>
        </w:rPr>
        <w:t xml:space="preserve">Rainbow/PUSH Coalition v. FCC, </w:t>
      </w:r>
      <w:r w:rsidRPr="003B255E">
        <w:t>330 F.3d at 544.</w:t>
      </w:r>
    </w:p>
  </w:footnote>
  <w:footnote w:id="57">
    <w:p w:rsidR="00050DDF" w:rsidRPr="003B255E" w:rsidRDefault="00050DDF" w:rsidP="003B255E">
      <w:pPr>
        <w:pStyle w:val="FootnoteText"/>
      </w:pPr>
      <w:r w:rsidRPr="003B255E">
        <w:rPr>
          <w:rStyle w:val="FootnoteReference"/>
        </w:rPr>
        <w:footnoteRef/>
      </w:r>
      <w:r w:rsidRPr="003B255E">
        <w:t xml:space="preserve"> </w:t>
      </w:r>
      <w:r>
        <w:rPr>
          <w:i/>
        </w:rPr>
        <w:t>Shareholders of Belo</w:t>
      </w:r>
      <w:r w:rsidRPr="003B255E">
        <w:rPr>
          <w:i/>
        </w:rPr>
        <w:t xml:space="preserve"> Corp.</w:t>
      </w:r>
      <w:r w:rsidRPr="003B255E">
        <w:t>, Memorandum Opinion a</w:t>
      </w:r>
      <w:r>
        <w:t>nd Order, 28 FCC Rcd 16867, 16875-76</w:t>
      </w:r>
      <w:r w:rsidRPr="003B255E">
        <w:t xml:space="preserve"> (2013) .</w:t>
      </w:r>
    </w:p>
  </w:footnote>
  <w:footnote w:id="58">
    <w:p w:rsidR="00050DDF" w:rsidRPr="003B255E" w:rsidRDefault="00050DDF" w:rsidP="003B255E">
      <w:pPr>
        <w:pStyle w:val="FootnoteText"/>
      </w:pPr>
      <w:r w:rsidRPr="003B255E">
        <w:rPr>
          <w:rStyle w:val="FootnoteReference"/>
        </w:rPr>
        <w:footnoteRef/>
      </w:r>
      <w:r w:rsidRPr="003B255E">
        <w:t xml:space="preserve"> The organizations submitted declarations from members who reside in the relevant markets and/or regularly view the stations.</w:t>
      </w:r>
      <w:r>
        <w:t xml:space="preserve"> </w:t>
      </w:r>
      <w:r w:rsidRPr="001F70B4">
        <w:rPr>
          <w:i/>
        </w:rPr>
        <w:t>See supra</w:t>
      </w:r>
      <w:r>
        <w:t xml:space="preserve"> n. 54.</w:t>
      </w:r>
    </w:p>
  </w:footnote>
  <w:footnote w:id="59">
    <w:p w:rsidR="00050DDF" w:rsidRPr="003B255E" w:rsidRDefault="00050DDF" w:rsidP="003B255E">
      <w:pPr>
        <w:pStyle w:val="FootnoteText"/>
      </w:pPr>
      <w:r w:rsidRPr="003B255E">
        <w:rPr>
          <w:rStyle w:val="FootnoteReference"/>
        </w:rPr>
        <w:footnoteRef/>
      </w:r>
      <w:r w:rsidRPr="003B255E">
        <w:t xml:space="preserve"> </w:t>
      </w:r>
      <w:r>
        <w:rPr>
          <w:i/>
        </w:rPr>
        <w:t xml:space="preserve">Shareholders of Belo </w:t>
      </w:r>
      <w:r w:rsidRPr="003B255E">
        <w:rPr>
          <w:i/>
        </w:rPr>
        <w:t>Corp.</w:t>
      </w:r>
      <w:r>
        <w:t>, 28 FCC Rcd at 16875-76</w:t>
      </w:r>
      <w:r w:rsidRPr="003B255E">
        <w:t>.</w:t>
      </w:r>
    </w:p>
  </w:footnote>
  <w:footnote w:id="60">
    <w:p w:rsidR="00050DDF" w:rsidRPr="001F70B4" w:rsidRDefault="00050DDF" w:rsidP="003B255E">
      <w:pPr>
        <w:pStyle w:val="FootnoteText"/>
      </w:pPr>
      <w:r w:rsidRPr="003B255E">
        <w:rPr>
          <w:rStyle w:val="FootnoteReference"/>
        </w:rPr>
        <w:footnoteRef/>
      </w:r>
      <w:r w:rsidRPr="003B255E">
        <w:t xml:space="preserve"> </w:t>
      </w:r>
      <w:r>
        <w:rPr>
          <w:i/>
        </w:rPr>
        <w:t xml:space="preserve">Shareholders of Belo </w:t>
      </w:r>
      <w:r w:rsidRPr="003B255E">
        <w:rPr>
          <w:i/>
        </w:rPr>
        <w:t>Corp.</w:t>
      </w:r>
      <w:r>
        <w:t>, 28 FCC Rcd at 16876.</w:t>
      </w:r>
    </w:p>
  </w:footnote>
  <w:footnote w:id="61">
    <w:p w:rsidR="00050DDF" w:rsidRPr="003B255E" w:rsidRDefault="00050DDF" w:rsidP="003B255E">
      <w:pPr>
        <w:pStyle w:val="FootnoteText"/>
        <w:rPr>
          <w:i/>
        </w:rPr>
      </w:pPr>
      <w:r w:rsidRPr="003B255E">
        <w:rPr>
          <w:rStyle w:val="FootnoteReference"/>
        </w:rPr>
        <w:footnoteRef/>
      </w:r>
      <w:r w:rsidRPr="003B255E">
        <w:t xml:space="preserve"> </w:t>
      </w:r>
      <w:r w:rsidRPr="003B255E">
        <w:rPr>
          <w:i/>
        </w:rPr>
        <w:t>Id.</w:t>
      </w:r>
    </w:p>
  </w:footnote>
  <w:footnote w:id="62">
    <w:p w:rsidR="00050DDF" w:rsidRPr="003B255E" w:rsidRDefault="00050DDF" w:rsidP="003B255E">
      <w:pPr>
        <w:pStyle w:val="FootnoteText"/>
      </w:pPr>
      <w:r w:rsidRPr="003B255E">
        <w:rPr>
          <w:rStyle w:val="FootnoteReference"/>
        </w:rPr>
        <w:footnoteRef/>
      </w:r>
      <w:r w:rsidRPr="003B255E">
        <w:t xml:space="preserve"> </w:t>
      </w:r>
      <w:r w:rsidRPr="003B255E">
        <w:rPr>
          <w:i/>
        </w:rPr>
        <w:t>Id.</w:t>
      </w:r>
    </w:p>
  </w:footnote>
  <w:footnote w:id="63">
    <w:p w:rsidR="00050DDF" w:rsidRPr="003B255E" w:rsidRDefault="00050DDF" w:rsidP="003B255E">
      <w:pPr>
        <w:pStyle w:val="FootnoteText"/>
      </w:pPr>
      <w:r w:rsidRPr="003B255E">
        <w:rPr>
          <w:rStyle w:val="FootnoteReference"/>
        </w:rPr>
        <w:footnoteRef/>
      </w:r>
      <w:r w:rsidRPr="003B255E">
        <w:t xml:space="preserve"> </w:t>
      </w:r>
      <w:hyperlink r:id="rId4" w:tgtFrame="_top" w:history="1">
        <w:r w:rsidRPr="003B255E">
          <w:t>47 U.S.C. § 309(d)(1)</w:t>
        </w:r>
      </w:hyperlink>
      <w:r w:rsidRPr="003B255E">
        <w:t xml:space="preserve">; </w:t>
      </w:r>
      <w:r w:rsidRPr="003B255E">
        <w:rPr>
          <w:i/>
          <w:iCs/>
        </w:rPr>
        <w:t>Astroline Communications Co., Ltd. Partnership v. FCC</w:t>
      </w:r>
      <w:r w:rsidRPr="003B255E">
        <w:t xml:space="preserve">, 857 F.2d 1556 (D.C. Cir. 1988) </w:t>
      </w:r>
      <w:r w:rsidRPr="003B255E">
        <w:rPr>
          <w:i/>
          <w:iCs/>
        </w:rPr>
        <w:t>(“Astroline”)</w:t>
      </w:r>
      <w:r w:rsidRPr="003B255E">
        <w:t>.</w:t>
      </w:r>
    </w:p>
  </w:footnote>
  <w:footnote w:id="64">
    <w:p w:rsidR="00050DDF" w:rsidRPr="003B255E" w:rsidRDefault="00050DDF" w:rsidP="003B255E">
      <w:pPr>
        <w:pStyle w:val="FootnoteText"/>
      </w:pPr>
      <w:r w:rsidRPr="003B255E">
        <w:rPr>
          <w:rStyle w:val="FootnoteReference"/>
        </w:rPr>
        <w:footnoteRef/>
      </w:r>
      <w:r w:rsidRPr="003B255E">
        <w:t xml:space="preserve"> </w:t>
      </w:r>
      <w:hyperlink r:id="rId5" w:tgtFrame="_top" w:history="1">
        <w:r w:rsidRPr="003B255E">
          <w:rPr>
            <w:i/>
            <w:iCs/>
          </w:rPr>
          <w:t>Gencom, Inc.</w:t>
        </w:r>
        <w:r w:rsidRPr="003B255E">
          <w:t xml:space="preserve"> v. </w:t>
        </w:r>
        <w:r w:rsidRPr="003B255E">
          <w:rPr>
            <w:i/>
            <w:iCs/>
          </w:rPr>
          <w:t>FCC</w:t>
        </w:r>
        <w:r w:rsidRPr="003B255E">
          <w:t>, 832 F.2d 171, 181 (D.C. Cir. 1987)</w:t>
        </w:r>
      </w:hyperlink>
      <w:r w:rsidRPr="003B255E">
        <w:t>.</w:t>
      </w:r>
    </w:p>
  </w:footnote>
  <w:footnote w:id="65">
    <w:p w:rsidR="00050DDF" w:rsidRPr="003B255E" w:rsidRDefault="00050DDF" w:rsidP="003B255E">
      <w:pPr>
        <w:spacing w:after="120"/>
        <w:jc w:val="both"/>
        <w:rPr>
          <w:sz w:val="20"/>
        </w:rPr>
      </w:pPr>
      <w:r w:rsidRPr="003B255E">
        <w:rPr>
          <w:rStyle w:val="FootnoteReference"/>
          <w:sz w:val="20"/>
        </w:rPr>
        <w:footnoteRef/>
      </w:r>
      <w:r w:rsidRPr="003B255E">
        <w:rPr>
          <w:sz w:val="20"/>
        </w:rPr>
        <w:t xml:space="preserve"> The Commission can evaluate a petition under the second step without evaluating it under the first step.  </w:t>
      </w:r>
      <w:r w:rsidRPr="003B255E">
        <w:rPr>
          <w:i/>
          <w:sz w:val="20"/>
        </w:rPr>
        <w:t>Mobile Communications Corp. of Am. v. F</w:t>
      </w:r>
      <w:r>
        <w:rPr>
          <w:i/>
          <w:sz w:val="20"/>
        </w:rPr>
        <w:t>.</w:t>
      </w:r>
      <w:r w:rsidRPr="003B255E">
        <w:rPr>
          <w:i/>
          <w:sz w:val="20"/>
        </w:rPr>
        <w:t>C</w:t>
      </w:r>
      <w:r>
        <w:rPr>
          <w:i/>
          <w:sz w:val="20"/>
        </w:rPr>
        <w:t>.</w:t>
      </w:r>
      <w:r w:rsidRPr="003B255E">
        <w:rPr>
          <w:i/>
          <w:sz w:val="20"/>
        </w:rPr>
        <w:t>C</w:t>
      </w:r>
      <w:r>
        <w:rPr>
          <w:i/>
          <w:sz w:val="20"/>
        </w:rPr>
        <w:t>.</w:t>
      </w:r>
      <w:r w:rsidRPr="003B255E">
        <w:rPr>
          <w:sz w:val="20"/>
        </w:rPr>
        <w:t xml:space="preserve">, 77 F.3d 1399, 1409-10 (D.C. Cir.), </w:t>
      </w:r>
      <w:r w:rsidRPr="003B255E">
        <w:rPr>
          <w:i/>
          <w:sz w:val="20"/>
        </w:rPr>
        <w:t>cert. denied</w:t>
      </w:r>
      <w:r w:rsidRPr="003B255E">
        <w:rPr>
          <w:sz w:val="20"/>
        </w:rPr>
        <w:t>, 519 U.S. 823 (1996).</w:t>
      </w:r>
    </w:p>
  </w:footnote>
  <w:footnote w:id="66">
    <w:p w:rsidR="00050DDF" w:rsidRPr="003B255E" w:rsidRDefault="00050DDF" w:rsidP="003B255E">
      <w:pPr>
        <w:pStyle w:val="FootnoteText"/>
      </w:pPr>
      <w:r w:rsidRPr="003B255E">
        <w:rPr>
          <w:rStyle w:val="FootnoteReference"/>
        </w:rPr>
        <w:footnoteRef/>
      </w:r>
      <w:r w:rsidRPr="003B255E">
        <w:t xml:space="preserve"> </w:t>
      </w:r>
      <w:hyperlink r:id="rId6" w:tgtFrame="_top" w:history="1">
        <w:r w:rsidRPr="003B255E">
          <w:rPr>
            <w:i/>
            <w:iCs/>
          </w:rPr>
          <w:t>Astroline</w:t>
        </w:r>
        <w:r w:rsidRPr="003B255E">
          <w:t>, 857 F.2d at 1561;</w:t>
        </w:r>
      </w:hyperlink>
      <w:r w:rsidRPr="003B255E">
        <w:t xml:space="preserve"> </w:t>
      </w:r>
      <w:hyperlink r:id="rId7" w:tgtFrame="_top" w:history="1">
        <w:r w:rsidRPr="003B255E">
          <w:t>47 U.S.C. § 309(e)</w:t>
        </w:r>
      </w:hyperlink>
      <w:r w:rsidRPr="003B255E">
        <w:t>.</w:t>
      </w:r>
    </w:p>
  </w:footnote>
  <w:footnote w:id="67">
    <w:p w:rsidR="00050DDF" w:rsidRPr="003B255E" w:rsidRDefault="00050DDF" w:rsidP="003B255E">
      <w:pPr>
        <w:pStyle w:val="ParaNum"/>
        <w:numPr>
          <w:ilvl w:val="0"/>
          <w:numId w:val="0"/>
        </w:numPr>
        <w:spacing w:after="120"/>
        <w:rPr>
          <w:sz w:val="20"/>
        </w:rPr>
      </w:pPr>
      <w:r w:rsidRPr="003B255E">
        <w:rPr>
          <w:rStyle w:val="FootnoteReference"/>
          <w:sz w:val="20"/>
        </w:rPr>
        <w:footnoteRef/>
      </w:r>
      <w:r w:rsidRPr="003B255E">
        <w:rPr>
          <w:sz w:val="20"/>
        </w:rPr>
        <w:t xml:space="preserve"> The ACA petition challenges all of the pending applications and the Rainbow Push petition challenges only the application to transfer Station WJLA-TV, Washington, D.C. from Allbritton to Sinclair. The Free Press petition challenges the four applications </w:t>
      </w:r>
      <w:r>
        <w:rPr>
          <w:sz w:val="20"/>
          <w:lang w:val="en-US"/>
        </w:rPr>
        <w:t xml:space="preserve">which originally sought to assign </w:t>
      </w:r>
      <w:r w:rsidRPr="003B255E">
        <w:rPr>
          <w:sz w:val="20"/>
        </w:rPr>
        <w:t xml:space="preserve">stations from Sinclair to </w:t>
      </w:r>
      <w:r w:rsidRPr="003B255E">
        <w:rPr>
          <w:sz w:val="20"/>
          <w:lang w:val="en-US"/>
        </w:rPr>
        <w:t>Deerfield and HSH</w:t>
      </w:r>
      <w:r w:rsidRPr="003B255E">
        <w:rPr>
          <w:sz w:val="20"/>
        </w:rPr>
        <w:t xml:space="preserve"> in the Birmingham, Charleston, and Harrisburg markets</w:t>
      </w:r>
      <w:r>
        <w:rPr>
          <w:sz w:val="20"/>
          <w:lang w:val="en-US"/>
        </w:rPr>
        <w:t xml:space="preserve"> and have since been withdrawn</w:t>
      </w:r>
      <w:r w:rsidRPr="003B255E">
        <w:rPr>
          <w:sz w:val="20"/>
        </w:rPr>
        <w:t xml:space="preserve">.  </w:t>
      </w:r>
    </w:p>
  </w:footnote>
  <w:footnote w:id="68">
    <w:p w:rsidR="00050DDF" w:rsidRPr="003B255E" w:rsidRDefault="00050DDF" w:rsidP="003B255E">
      <w:pPr>
        <w:spacing w:after="120"/>
        <w:jc w:val="both"/>
        <w:rPr>
          <w:sz w:val="20"/>
        </w:rPr>
      </w:pPr>
      <w:r w:rsidRPr="003B255E">
        <w:rPr>
          <w:rStyle w:val="FootnoteReference"/>
          <w:sz w:val="20"/>
        </w:rPr>
        <w:footnoteRef/>
      </w:r>
      <w:r w:rsidRPr="003B255E">
        <w:rPr>
          <w:sz w:val="20"/>
        </w:rPr>
        <w:t xml:space="preserve"> As we noted in two letters to Sinclair, the Charleston LMA between stations WMMP(TV) and WTAT-TV was not ent</w:t>
      </w:r>
      <w:r>
        <w:rPr>
          <w:sz w:val="20"/>
        </w:rPr>
        <w:t xml:space="preserve">itled to grandfathering relief.  </w:t>
      </w:r>
      <w:r w:rsidRPr="003B255E">
        <w:rPr>
          <w:sz w:val="20"/>
        </w:rPr>
        <w:t>Letter from Barbara A. Kreisman, Chief, Video Division, to Clifford M. Harrington, Esq. (Dec. 6, 2013); Letter from Barbara A. Kreisman, Chief, Video Division, to Clifford M. Harrington, Esq. (Jan. 15, 2014).  Even though this LMA and other sharing arrangements between the two stations will cease, the Commission will address potential sanctions for operating a non-grandfathered LMA for twelve years and other violations in a separate order.</w:t>
      </w:r>
    </w:p>
  </w:footnote>
  <w:footnote w:id="69">
    <w:p w:rsidR="00050DDF" w:rsidRPr="003B255E" w:rsidRDefault="00050DDF" w:rsidP="003B255E">
      <w:pPr>
        <w:pStyle w:val="FootnoteText"/>
      </w:pPr>
      <w:r w:rsidRPr="003B255E">
        <w:rPr>
          <w:rStyle w:val="FootnoteReference"/>
        </w:rPr>
        <w:footnoteRef/>
      </w:r>
      <w:r w:rsidRPr="003B255E">
        <w:t xml:space="preserve"> 47 C.F.R. §3.3555(b); </w:t>
      </w:r>
      <w:r w:rsidRPr="003B255E">
        <w:rPr>
          <w:i/>
        </w:rPr>
        <w:t>2014 Quadrennial Review Report &amp; Order &amp; FNPRM</w:t>
      </w:r>
      <w:r w:rsidRPr="003B255E">
        <w:t xml:space="preserve">, </w:t>
      </w:r>
      <w:r>
        <w:t xml:space="preserve">29 FCC Rcd at 4398-99 </w:t>
      </w:r>
      <w:r w:rsidRPr="003B255E">
        <w:t>(tentatively declining to regulate dual network affiliations accomplished through multicasting and seeking comment on that determination).</w:t>
      </w:r>
    </w:p>
  </w:footnote>
  <w:footnote w:id="70">
    <w:p w:rsidR="00050DDF" w:rsidRDefault="00050DDF">
      <w:pPr>
        <w:pStyle w:val="FootnoteText"/>
      </w:pPr>
      <w:r>
        <w:rPr>
          <w:rStyle w:val="FootnoteReference"/>
        </w:rPr>
        <w:footnoteRef/>
      </w:r>
      <w:r>
        <w:t xml:space="preserve"> Sinclair would not be multicasting the programming of two top four networks in either of the relevant markets.</w:t>
      </w:r>
    </w:p>
  </w:footnote>
  <w:footnote w:id="71">
    <w:p w:rsidR="00050DDF" w:rsidRPr="003B255E" w:rsidRDefault="00050DDF" w:rsidP="003B255E">
      <w:pPr>
        <w:pStyle w:val="FootnoteText"/>
      </w:pPr>
      <w:r w:rsidRPr="003B255E">
        <w:rPr>
          <w:rStyle w:val="FootnoteReference"/>
        </w:rPr>
        <w:footnoteRef/>
      </w:r>
      <w:r w:rsidRPr="003B255E">
        <w:t xml:space="preserve"> </w:t>
      </w:r>
      <w:r w:rsidRPr="003B255E">
        <w:rPr>
          <w:i/>
        </w:rPr>
        <w:t xml:space="preserve">Amendment of the Commission’s Rules Related to </w:t>
      </w:r>
      <w:r w:rsidRPr="003B255E">
        <w:rPr>
          <w:i/>
          <w:iCs/>
        </w:rPr>
        <w:t>Retransmission Consent</w:t>
      </w:r>
      <w:r w:rsidRPr="003B255E">
        <w:rPr>
          <w:iCs/>
        </w:rPr>
        <w:t xml:space="preserve">, Report and Order and Further Notice of Proposed Rulemaking, </w:t>
      </w:r>
      <w:r>
        <w:rPr>
          <w:iCs/>
        </w:rPr>
        <w:t>29 FCC Rcd 3351 (</w:t>
      </w:r>
      <w:r w:rsidRPr="003B255E">
        <w:rPr>
          <w:iCs/>
        </w:rPr>
        <w:t>2014).</w:t>
      </w:r>
    </w:p>
  </w:footnote>
  <w:footnote w:id="72">
    <w:p w:rsidR="00050DDF" w:rsidRPr="003B255E" w:rsidRDefault="00050DDF" w:rsidP="003B255E">
      <w:pPr>
        <w:pStyle w:val="FootnoteText"/>
      </w:pPr>
      <w:r w:rsidRPr="003B255E">
        <w:rPr>
          <w:rStyle w:val="FootnoteReference"/>
        </w:rPr>
        <w:footnoteRef/>
      </w:r>
      <w:r w:rsidRPr="003B255E">
        <w:t xml:space="preserve"> </w:t>
      </w:r>
      <w:r w:rsidRPr="003B255E">
        <w:rPr>
          <w:i/>
        </w:rPr>
        <w:t>Id.</w:t>
      </w:r>
      <w:r>
        <w:t xml:space="preserve"> at 3357</w:t>
      </w:r>
      <w:r w:rsidRPr="003B255E">
        <w:t>.</w:t>
      </w:r>
    </w:p>
  </w:footnote>
  <w:footnote w:id="73">
    <w:p w:rsidR="00050DDF" w:rsidRPr="003B255E" w:rsidRDefault="00050DDF" w:rsidP="003B255E">
      <w:pPr>
        <w:pStyle w:val="FootnoteText"/>
      </w:pPr>
      <w:r w:rsidRPr="003B255E">
        <w:rPr>
          <w:rStyle w:val="FootnoteReference"/>
        </w:rPr>
        <w:footnoteRef/>
      </w:r>
      <w:r w:rsidRPr="003B255E">
        <w:t xml:space="preserve"> </w:t>
      </w:r>
      <w:r w:rsidRPr="003B255E">
        <w:rPr>
          <w:i/>
        </w:rPr>
        <w:t>2004 Letter Decision</w:t>
      </w:r>
      <w:r w:rsidRPr="003B255E">
        <w:t>, 19 FCC Rcd at 3899-3900 (concluding Rainbow Push’s character allegations are without merit).</w:t>
      </w:r>
    </w:p>
  </w:footnote>
  <w:footnote w:id="74">
    <w:p w:rsidR="00050DDF" w:rsidRPr="003B255E" w:rsidRDefault="00050DDF" w:rsidP="003B255E">
      <w:pPr>
        <w:pStyle w:val="FootnoteText"/>
      </w:pPr>
      <w:r w:rsidRPr="003B255E">
        <w:rPr>
          <w:rStyle w:val="FootnoteReference"/>
        </w:rPr>
        <w:footnoteRef/>
      </w:r>
      <w:r w:rsidRPr="003B255E">
        <w:t xml:space="preserve"> Rainbow/PUSH Coalition, Petition to Deny Various Applications (Dec. 19, 2013).</w:t>
      </w:r>
    </w:p>
  </w:footnote>
  <w:footnote w:id="75">
    <w:p w:rsidR="00050DDF" w:rsidRDefault="00050DDF">
      <w:pPr>
        <w:pStyle w:val="FootnoteText"/>
      </w:pPr>
      <w:r>
        <w:rPr>
          <w:rStyle w:val="FootnoteReference"/>
        </w:rPr>
        <w:footnoteRef/>
      </w:r>
      <w:r>
        <w:t xml:space="preserve"> </w:t>
      </w:r>
      <w:r w:rsidRPr="003B255E">
        <w:rPr>
          <w:i/>
        </w:rPr>
        <w:t>2004 Letter Decision</w:t>
      </w:r>
      <w:r w:rsidRPr="003B255E">
        <w:t>, 19 FCC Rcd at 3899-3900</w:t>
      </w:r>
      <w:r>
        <w:t>.</w:t>
      </w:r>
    </w:p>
  </w:footnote>
  <w:footnote w:id="76">
    <w:p w:rsidR="00050DDF" w:rsidRPr="003B255E" w:rsidRDefault="00050DDF" w:rsidP="003B255E">
      <w:pPr>
        <w:pStyle w:val="FootnoteText"/>
      </w:pPr>
      <w:r w:rsidRPr="003B255E">
        <w:rPr>
          <w:rStyle w:val="FootnoteReference"/>
        </w:rPr>
        <w:footnoteRef/>
      </w:r>
      <w:r>
        <w:rPr>
          <w:i/>
        </w:rPr>
        <w:t xml:space="preserve"> Id</w:t>
      </w:r>
      <w:r w:rsidRPr="003B255E">
        <w:t xml:space="preserve">.  </w:t>
      </w:r>
    </w:p>
  </w:footnote>
  <w:footnote w:id="77">
    <w:p w:rsidR="00050DDF" w:rsidRPr="003B255E" w:rsidRDefault="00050DDF" w:rsidP="003B255E">
      <w:pPr>
        <w:pStyle w:val="FootnoteText"/>
      </w:pPr>
      <w:r w:rsidRPr="003B255E">
        <w:rPr>
          <w:rStyle w:val="FootnoteReference"/>
        </w:rPr>
        <w:footnoteRef/>
      </w:r>
      <w:r w:rsidRPr="003B255E">
        <w:t xml:space="preserve"> </w:t>
      </w:r>
      <w:r w:rsidRPr="003B255E">
        <w:rPr>
          <w:i/>
        </w:rPr>
        <w:t>Id.</w:t>
      </w:r>
      <w:r w:rsidRPr="003B255E">
        <w:t xml:space="preserve"> at 3900 (citing</w:t>
      </w:r>
      <w:r>
        <w:rPr>
          <w:i/>
        </w:rPr>
        <w:t xml:space="preserve"> 2001 Glencairn Decision</w:t>
      </w:r>
      <w:r w:rsidRPr="003B255E">
        <w:t xml:space="preserve">, 16 FCC Rcd </w:t>
      </w:r>
      <w:r>
        <w:t xml:space="preserve">at </w:t>
      </w:r>
      <w:r w:rsidRPr="003B255E">
        <w:t>22255-56</w:t>
      </w:r>
      <w:r>
        <w:t>)</w:t>
      </w:r>
      <w:r w:rsidRPr="003B255E">
        <w:t>.</w:t>
      </w:r>
    </w:p>
  </w:footnote>
  <w:footnote w:id="78">
    <w:p w:rsidR="00050DDF" w:rsidRPr="003B255E" w:rsidRDefault="00050DDF" w:rsidP="003B255E">
      <w:pPr>
        <w:pStyle w:val="FootnoteText"/>
      </w:pPr>
      <w:r w:rsidRPr="003B255E">
        <w:rPr>
          <w:rStyle w:val="FootnoteReference"/>
        </w:rPr>
        <w:footnoteRef/>
      </w:r>
      <w:r w:rsidRPr="003B255E">
        <w:t xml:space="preserve"> </w:t>
      </w:r>
      <w:r>
        <w:t xml:space="preserve">Rainbow/Push Coalition, </w:t>
      </w:r>
      <w:r w:rsidRPr="003B255E">
        <w:rPr>
          <w:color w:val="000000"/>
        </w:rPr>
        <w:t>Petition for Reconsideration</w:t>
      </w:r>
      <w:r>
        <w:rPr>
          <w:color w:val="000000"/>
        </w:rPr>
        <w:t xml:space="preserve"> (2004)</w:t>
      </w:r>
      <w:r w:rsidRPr="003B255E">
        <w:rPr>
          <w:color w:val="000000"/>
        </w:rPr>
        <w:t xml:space="preserve"> at 3.  </w:t>
      </w:r>
    </w:p>
  </w:footnote>
  <w:footnote w:id="79">
    <w:p w:rsidR="00050DDF" w:rsidRPr="003B255E" w:rsidRDefault="00050DDF" w:rsidP="003B255E">
      <w:pPr>
        <w:pStyle w:val="FootnoteText"/>
      </w:pPr>
      <w:r w:rsidRPr="003B255E">
        <w:rPr>
          <w:rStyle w:val="FootnoteReference"/>
        </w:rPr>
        <w:footnoteRef/>
      </w:r>
      <w:r w:rsidRPr="003B255E">
        <w:t xml:space="preserve"> </w:t>
      </w:r>
      <w:r w:rsidRPr="003B255E">
        <w:rPr>
          <w:i/>
          <w:color w:val="000000"/>
        </w:rPr>
        <w:t>See</w:t>
      </w:r>
      <w:r w:rsidRPr="003B255E">
        <w:rPr>
          <w:color w:val="000000"/>
        </w:rPr>
        <w:t xml:space="preserve"> 47 C.F.R. § 1.1202 (a presentation under this rule is a “communication directed to the merits or outcome of a proceeding” and excluded are “inquiries relating solely to the status of a proceeding, including inquiries as to the approximate time that action in a proceeding may be taken.”)  </w:t>
      </w:r>
    </w:p>
  </w:footnote>
  <w:footnote w:id="80">
    <w:p w:rsidR="00050DDF" w:rsidRPr="003B255E" w:rsidRDefault="00050DDF" w:rsidP="003B255E">
      <w:pPr>
        <w:pStyle w:val="FootnoteText"/>
      </w:pPr>
      <w:r w:rsidRPr="003B255E">
        <w:rPr>
          <w:rStyle w:val="FootnoteReference"/>
        </w:rPr>
        <w:footnoteRef/>
      </w:r>
      <w:r w:rsidRPr="003B255E">
        <w:t xml:space="preserve"> </w:t>
      </w:r>
      <w:r w:rsidRPr="003B255E">
        <w:rPr>
          <w:i/>
          <w:color w:val="000000"/>
        </w:rPr>
        <w:t>Applications for Renewal of License of WUTB</w:t>
      </w:r>
      <w:r w:rsidRPr="003B255E">
        <w:rPr>
          <w:color w:val="000000"/>
        </w:rPr>
        <w:t xml:space="preserve">, Public Notice, 28 FCC Rcd 6312, 6317 (2013).  </w:t>
      </w:r>
    </w:p>
  </w:footnote>
  <w:footnote w:id="81">
    <w:p w:rsidR="00050DDF" w:rsidRPr="003B255E" w:rsidRDefault="00050DDF" w:rsidP="003B255E">
      <w:pPr>
        <w:pStyle w:val="FootnoteText"/>
      </w:pPr>
      <w:r w:rsidRPr="003B255E">
        <w:rPr>
          <w:rStyle w:val="FootnoteReference"/>
        </w:rPr>
        <w:footnoteRef/>
      </w:r>
      <w:r w:rsidRPr="003B255E">
        <w:t xml:space="preserve"> </w:t>
      </w:r>
      <w:r w:rsidRPr="003B255E">
        <w:rPr>
          <w:i/>
          <w:color w:val="000000"/>
        </w:rPr>
        <w:t>Id.</w:t>
      </w:r>
      <w:r w:rsidRPr="003B255E">
        <w:rPr>
          <w:color w:val="000000"/>
        </w:rPr>
        <w:t xml:space="preserve"> at 6317-6318 (quoting </w:t>
      </w:r>
      <w:r w:rsidRPr="003B255E">
        <w:rPr>
          <w:i/>
          <w:color w:val="000000"/>
        </w:rPr>
        <w:t>Policy Regarding Character Qualifications in Broadcast Licensing</w:t>
      </w:r>
      <w:r w:rsidRPr="003B255E">
        <w:rPr>
          <w:color w:val="000000"/>
        </w:rPr>
        <w:t>, Report, Order, and Policy Statement, 102 FCC 2d 1179, 1206 (1986) (“</w:t>
      </w:r>
      <w:r w:rsidRPr="003B255E">
        <w:rPr>
          <w:i/>
          <w:iCs/>
          <w:color w:val="000000"/>
        </w:rPr>
        <w:t xml:space="preserve">1986 Character </w:t>
      </w:r>
      <w:r w:rsidRPr="003B255E">
        <w:rPr>
          <w:i/>
          <w:iCs/>
        </w:rPr>
        <w:t>Policy Statement</w:t>
      </w:r>
      <w:r>
        <w:t xml:space="preserve">”); </w:t>
      </w:r>
      <w:r w:rsidRPr="003B255E">
        <w:rPr>
          <w:i/>
          <w:iCs/>
        </w:rPr>
        <w:t>see also Character Qualifications in Broadcast Licensing</w:t>
      </w:r>
      <w:r w:rsidRPr="003B255E">
        <w:t>, Policy Statement and Order, 5 FCC Rcd 3252 (1990)</w:t>
      </w:r>
      <w:r w:rsidRPr="003B255E">
        <w:rPr>
          <w:color w:val="000000"/>
        </w:rPr>
        <w:t xml:space="preserve"> (“We continue to believe that it is appropriate to refrain from making licensing decisions based on mere allegations of relevant non-FCC misconduct, even where those allegations have resulted in an indictment or are otherwise in the process of being adjudicated by another agency or court.”)</w:t>
      </w:r>
      <w:r>
        <w:rPr>
          <w:color w:val="000000"/>
        </w:rPr>
        <w:t xml:space="preserve"> </w:t>
      </w:r>
      <w:r w:rsidRPr="003B255E">
        <w:rPr>
          <w:color w:val="000000"/>
        </w:rPr>
        <w:t xml:space="preserve">(“1990 </w:t>
      </w:r>
      <w:r w:rsidRPr="003B255E">
        <w:rPr>
          <w:i/>
          <w:iCs/>
          <w:color w:val="000000"/>
        </w:rPr>
        <w:t>Policy Statement</w:t>
      </w:r>
      <w:r w:rsidRPr="00004E65">
        <w:rPr>
          <w:iCs/>
          <w:color w:val="000000"/>
        </w:rPr>
        <w:t>”)</w:t>
      </w:r>
      <w:r w:rsidRPr="00004E65">
        <w:rPr>
          <w:color w:val="000000"/>
        </w:rPr>
        <w:t>.</w:t>
      </w:r>
      <w:r w:rsidRPr="003B255E">
        <w:rPr>
          <w:b/>
        </w:rPr>
        <w:t xml:space="preserve">  </w:t>
      </w:r>
    </w:p>
  </w:footnote>
  <w:footnote w:id="82">
    <w:p w:rsidR="00050DDF" w:rsidRPr="003B255E" w:rsidRDefault="00050DDF" w:rsidP="003B255E">
      <w:pPr>
        <w:pStyle w:val="ParaNum"/>
        <w:numPr>
          <w:ilvl w:val="0"/>
          <w:numId w:val="0"/>
        </w:numPr>
        <w:tabs>
          <w:tab w:val="num" w:pos="5670"/>
        </w:tabs>
        <w:spacing w:after="120"/>
        <w:rPr>
          <w:sz w:val="20"/>
        </w:rPr>
      </w:pPr>
      <w:r w:rsidRPr="003B255E">
        <w:rPr>
          <w:rStyle w:val="FootnoteReference"/>
          <w:sz w:val="20"/>
        </w:rPr>
        <w:footnoteRef/>
      </w:r>
      <w:r w:rsidRPr="003B255E">
        <w:rPr>
          <w:sz w:val="20"/>
        </w:rPr>
        <w:t xml:space="preserve"> </w:t>
      </w:r>
      <w:r w:rsidRPr="00004E65">
        <w:rPr>
          <w:i/>
          <w:color w:val="000000"/>
          <w:sz w:val="20"/>
        </w:rPr>
        <w:t>Applications for Renewal of License of WUTB</w:t>
      </w:r>
      <w:r w:rsidRPr="00004E65">
        <w:rPr>
          <w:color w:val="000000"/>
          <w:sz w:val="20"/>
        </w:rPr>
        <w:t xml:space="preserve">, 28 FCC Rcd </w:t>
      </w:r>
      <w:r>
        <w:rPr>
          <w:color w:val="000000"/>
          <w:sz w:val="20"/>
          <w:lang w:val="en-US"/>
        </w:rPr>
        <w:t>at</w:t>
      </w:r>
      <w:r w:rsidRPr="00004E65">
        <w:rPr>
          <w:color w:val="000000"/>
          <w:sz w:val="20"/>
        </w:rPr>
        <w:t xml:space="preserve"> 6317</w:t>
      </w:r>
      <w:r w:rsidRPr="003B255E">
        <w:rPr>
          <w:i/>
          <w:color w:val="000000"/>
          <w:sz w:val="20"/>
          <w:lang w:val="en-US"/>
        </w:rPr>
        <w:t>.</w:t>
      </w:r>
      <w:r>
        <w:rPr>
          <w:color w:val="000000"/>
          <w:sz w:val="20"/>
          <w:lang w:val="en-US"/>
        </w:rPr>
        <w:t xml:space="preserve">  </w:t>
      </w:r>
      <w:r w:rsidRPr="003B255E">
        <w:rPr>
          <w:sz w:val="20"/>
          <w:lang w:val="en-US"/>
        </w:rPr>
        <w:t xml:space="preserve">Moreover, because we conclude that Rainbow Push has not established a </w:t>
      </w:r>
      <w:r w:rsidRPr="003B255E">
        <w:rPr>
          <w:i/>
          <w:sz w:val="20"/>
          <w:lang w:val="en-US"/>
        </w:rPr>
        <w:t>prima facie</w:t>
      </w:r>
      <w:r w:rsidRPr="003B255E">
        <w:rPr>
          <w:sz w:val="20"/>
          <w:lang w:val="en-US"/>
        </w:rPr>
        <w:t xml:space="preserve"> case with respect to the allegations at issue, they could not rise to the type of egregious nonbroadcast misconduct that would be a Commission concern prior to adjudication by </w:t>
      </w:r>
      <w:r>
        <w:rPr>
          <w:sz w:val="20"/>
          <w:lang w:val="en-US"/>
        </w:rPr>
        <w:t>another body as theorized by Rainbow Push</w:t>
      </w:r>
      <w:r w:rsidRPr="003B255E">
        <w:rPr>
          <w:sz w:val="20"/>
          <w:lang w:val="en-US"/>
        </w:rPr>
        <w:t xml:space="preserve">. </w:t>
      </w:r>
      <w:r w:rsidRPr="003B255E">
        <w:rPr>
          <w:i/>
          <w:sz w:val="20"/>
          <w:lang w:val="en-US"/>
        </w:rPr>
        <w:t>1986</w:t>
      </w:r>
      <w:r w:rsidRPr="003B255E">
        <w:rPr>
          <w:sz w:val="20"/>
          <w:lang w:val="en-US"/>
        </w:rPr>
        <w:t xml:space="preserve"> </w:t>
      </w:r>
      <w:r w:rsidRPr="003B255E">
        <w:rPr>
          <w:i/>
          <w:sz w:val="20"/>
          <w:lang w:val="en-US"/>
        </w:rPr>
        <w:t>Character Policy Statement</w:t>
      </w:r>
      <w:r w:rsidRPr="003B255E">
        <w:rPr>
          <w:sz w:val="20"/>
          <w:lang w:val="en-US"/>
        </w:rPr>
        <w:t>, 102 FCC 2d at 1205 n.60.</w:t>
      </w:r>
      <w:bookmarkStart w:id="18" w:name="I24e0558dedde11e28578f7ccc38dcbee"/>
      <w:bookmarkStart w:id="19" w:name="I24e0558eedde11e28578f7ccc38dcbee"/>
      <w:bookmarkEnd w:id="18"/>
      <w:bookmarkEnd w:id="19"/>
      <w:r w:rsidRPr="003B255E">
        <w:rPr>
          <w:b/>
          <w:sz w:val="20"/>
          <w:lang w:val="en-US"/>
        </w:rPr>
        <w:t xml:space="preserve"> </w:t>
      </w:r>
    </w:p>
  </w:footnote>
  <w:footnote w:id="83">
    <w:p w:rsidR="00050DDF" w:rsidRPr="003B255E" w:rsidRDefault="00050DDF" w:rsidP="003B255E">
      <w:pPr>
        <w:spacing w:after="120"/>
        <w:jc w:val="both"/>
        <w:rPr>
          <w:sz w:val="20"/>
        </w:rPr>
      </w:pPr>
      <w:r w:rsidRPr="003B255E">
        <w:rPr>
          <w:rStyle w:val="FootnoteReference"/>
          <w:sz w:val="20"/>
        </w:rPr>
        <w:footnoteRef/>
      </w:r>
      <w:r w:rsidRPr="003B255E">
        <w:rPr>
          <w:sz w:val="20"/>
        </w:rPr>
        <w:t xml:space="preserve"> </w:t>
      </w:r>
      <w:r w:rsidRPr="003B255E">
        <w:rPr>
          <w:i/>
          <w:sz w:val="20"/>
        </w:rPr>
        <w:t>Pikes Peak Broad. Co.</w:t>
      </w:r>
      <w:r>
        <w:rPr>
          <w:sz w:val="20"/>
        </w:rPr>
        <w:t>,</w:t>
      </w:r>
      <w:r w:rsidRPr="003B255E">
        <w:rPr>
          <w:sz w:val="20"/>
        </w:rPr>
        <w:t xml:space="preserve"> 12 FCC Rcd at 4630 (</w:t>
      </w:r>
      <w:r w:rsidRPr="003B255E">
        <w:rPr>
          <w:color w:val="000000"/>
          <w:sz w:val="20"/>
        </w:rPr>
        <w:t xml:space="preserve">“Hearsay, such as that contained in newspaper articles, is not reliable evidence. . . . Furthermore, a newspaper article is not an acceptable substitute for the requirement of </w:t>
      </w:r>
      <w:r w:rsidRPr="003B255E">
        <w:rPr>
          <w:sz w:val="20"/>
        </w:rPr>
        <w:t xml:space="preserve">Section 309(d) </w:t>
      </w:r>
      <w:r w:rsidRPr="003B255E">
        <w:rPr>
          <w:color w:val="000000"/>
          <w:sz w:val="20"/>
        </w:rPr>
        <w:t>. . . that allegations in a petition to deny be supported by the affidavit of a person with personal knowledge of the facts alleged.”).</w:t>
      </w:r>
    </w:p>
  </w:footnote>
  <w:footnote w:id="84">
    <w:p w:rsidR="00050DDF" w:rsidRPr="003B255E" w:rsidRDefault="00050DDF" w:rsidP="003B255E">
      <w:pPr>
        <w:spacing w:after="120"/>
        <w:jc w:val="both"/>
        <w:rPr>
          <w:sz w:val="20"/>
        </w:rPr>
      </w:pPr>
      <w:r w:rsidRPr="003B255E">
        <w:rPr>
          <w:rStyle w:val="FootnoteReference"/>
          <w:sz w:val="20"/>
        </w:rPr>
        <w:footnoteRef/>
      </w:r>
      <w:r w:rsidRPr="003B255E">
        <w:rPr>
          <w:sz w:val="20"/>
        </w:rPr>
        <w:t xml:space="preserve"> </w:t>
      </w:r>
      <w:r w:rsidRPr="00C87ABA">
        <w:rPr>
          <w:i/>
          <w:sz w:val="20"/>
        </w:rPr>
        <w:t>2001 Glencairn Decision</w:t>
      </w:r>
      <w:r w:rsidRPr="003B255E">
        <w:rPr>
          <w:sz w:val="20"/>
        </w:rPr>
        <w:t xml:space="preserve">, 16 FCC Rcd </w:t>
      </w:r>
      <w:r>
        <w:rPr>
          <w:sz w:val="20"/>
        </w:rPr>
        <w:t>at 22248 n.21</w:t>
      </w:r>
      <w:r w:rsidRPr="003B255E">
        <w:rPr>
          <w:sz w:val="20"/>
        </w:rPr>
        <w:t>.</w:t>
      </w:r>
    </w:p>
  </w:footnote>
  <w:footnote w:id="85">
    <w:p w:rsidR="00050DDF" w:rsidRPr="003B255E" w:rsidRDefault="00050DDF" w:rsidP="003B255E">
      <w:pPr>
        <w:pStyle w:val="FootnoteText"/>
      </w:pPr>
      <w:r w:rsidRPr="003B255E">
        <w:rPr>
          <w:rStyle w:val="FootnoteReference"/>
        </w:rPr>
        <w:footnoteRef/>
      </w:r>
      <w:r w:rsidRPr="003B255E">
        <w:t xml:space="preserve"> </w:t>
      </w:r>
      <w:r w:rsidRPr="003B255E">
        <w:rPr>
          <w:i/>
        </w:rPr>
        <w:t>Swan Creek Communications, Inc. v. F.C.C.</w:t>
      </w:r>
      <w:r w:rsidRPr="003B255E">
        <w:t xml:space="preserve">, 39 F.3d 1217, 1221-22 (D.C. Cir. 1994) (quoting </w:t>
      </w:r>
      <w:r w:rsidRPr="003B255E">
        <w:rPr>
          <w:i/>
        </w:rPr>
        <w:t>1986 Character Policy Statement</w:t>
      </w:r>
      <w:r w:rsidRPr="003B255E">
        <w:t>, 102 FCC 2d at 1211</w:t>
      </w:r>
      <w:r>
        <w:t>)</w:t>
      </w:r>
      <w:r w:rsidRPr="003B255E">
        <w:t xml:space="preserve">.  </w:t>
      </w:r>
    </w:p>
  </w:footnote>
  <w:footnote w:id="86">
    <w:p w:rsidR="00050DDF" w:rsidRPr="003B255E" w:rsidRDefault="00050DDF" w:rsidP="003B255E">
      <w:pPr>
        <w:pStyle w:val="FootnoteText"/>
      </w:pPr>
      <w:r w:rsidRPr="003B255E">
        <w:rPr>
          <w:rStyle w:val="FootnoteReference"/>
        </w:rPr>
        <w:footnoteRef/>
      </w:r>
      <w:r w:rsidRPr="003B255E">
        <w:t xml:space="preserve"> </w:t>
      </w:r>
      <w:r w:rsidRPr="003B255E">
        <w:rPr>
          <w:i/>
        </w:rPr>
        <w:t>Id.</w:t>
      </w:r>
      <w:r w:rsidRPr="003B255E">
        <w:t xml:space="preserve"> </w:t>
      </w:r>
      <w:r>
        <w:t xml:space="preserve">at 1222 </w:t>
      </w:r>
      <w:r w:rsidRPr="003B255E">
        <w:t xml:space="preserve">(internal quotation omitted).  </w:t>
      </w:r>
    </w:p>
  </w:footnote>
  <w:footnote w:id="87">
    <w:p w:rsidR="00050DDF" w:rsidRPr="003B255E" w:rsidRDefault="00050DDF" w:rsidP="003B255E">
      <w:pPr>
        <w:pStyle w:val="FootnoteText"/>
      </w:pPr>
      <w:r w:rsidRPr="003B255E">
        <w:rPr>
          <w:rStyle w:val="FootnoteReference"/>
        </w:rPr>
        <w:footnoteRef/>
      </w:r>
      <w:r w:rsidRPr="003B255E">
        <w:t xml:space="preserve"> </w:t>
      </w:r>
      <w:r w:rsidRPr="003B255E">
        <w:rPr>
          <w:i/>
          <w:iCs/>
        </w:rPr>
        <w:t>Id.</w:t>
      </w:r>
      <w:r w:rsidRPr="003B255E">
        <w:t xml:space="preserve">  </w:t>
      </w:r>
    </w:p>
  </w:footnote>
  <w:footnote w:id="88">
    <w:p w:rsidR="00050DDF" w:rsidRPr="003B255E" w:rsidRDefault="00050DDF" w:rsidP="003B255E">
      <w:pPr>
        <w:pStyle w:val="FootnoteText"/>
      </w:pPr>
      <w:r w:rsidRPr="003B255E">
        <w:rPr>
          <w:rStyle w:val="FootnoteReference"/>
        </w:rPr>
        <w:footnoteRef/>
      </w:r>
      <w:r w:rsidRPr="003B255E">
        <w:t xml:space="preserve"> </w:t>
      </w:r>
      <w:r w:rsidRPr="003B255E">
        <w:rPr>
          <w:i/>
        </w:rPr>
        <w:t>Id.</w:t>
      </w:r>
      <w:r w:rsidRPr="003B255E">
        <w:t xml:space="preserve"> (internal quotations and citations omitted).   </w:t>
      </w:r>
    </w:p>
  </w:footnote>
  <w:footnote w:id="89">
    <w:p w:rsidR="00050DDF" w:rsidRPr="003B255E" w:rsidRDefault="00050DDF" w:rsidP="003B255E">
      <w:pPr>
        <w:pStyle w:val="FootnoteText"/>
      </w:pPr>
      <w:r w:rsidRPr="003B255E">
        <w:rPr>
          <w:rStyle w:val="FootnoteReference"/>
        </w:rPr>
        <w:footnoteRef/>
      </w:r>
      <w:r w:rsidRPr="003B255E">
        <w:t xml:space="preserve"> </w:t>
      </w:r>
      <w:r w:rsidRPr="003B255E">
        <w:rPr>
          <w:i/>
        </w:rPr>
        <w:t>Weyburn Broadcasting Ltd. Partnership v. F.C.C.</w:t>
      </w:r>
      <w:r w:rsidRPr="003B255E">
        <w:t>, 984 F.2d 1220</w:t>
      </w:r>
      <w:r>
        <w:t>, 1232</w:t>
      </w:r>
      <w:r w:rsidRPr="003B255E">
        <w:t xml:space="preserve"> (D.C. Cir. 1993).</w:t>
      </w:r>
    </w:p>
  </w:footnote>
  <w:footnote w:id="90">
    <w:p w:rsidR="00050DDF" w:rsidRPr="003B255E" w:rsidRDefault="00050DDF" w:rsidP="003B255E">
      <w:pPr>
        <w:pStyle w:val="FootnoteText"/>
      </w:pPr>
      <w:r w:rsidRPr="003B255E">
        <w:rPr>
          <w:rStyle w:val="FootnoteReference"/>
        </w:rPr>
        <w:footnoteRef/>
      </w:r>
      <w:r w:rsidRPr="003B255E">
        <w:t xml:space="preserve"> </w:t>
      </w:r>
      <w:r w:rsidRPr="003B255E">
        <w:rPr>
          <w:i/>
          <w:color w:val="000000"/>
        </w:rPr>
        <w:t>Roy M. Speer</w:t>
      </w:r>
      <w:r w:rsidRPr="003B255E">
        <w:rPr>
          <w:color w:val="000000"/>
        </w:rPr>
        <w:t>, Memorandum Opinion and Order and Notice of Apparent Liability, 11 FCC Rcd</w:t>
      </w:r>
      <w:r>
        <w:rPr>
          <w:color w:val="000000"/>
        </w:rPr>
        <w:t xml:space="preserve"> 18393, </w:t>
      </w:r>
      <w:r w:rsidRPr="003B255E">
        <w:rPr>
          <w:color w:val="000000"/>
        </w:rPr>
        <w:t>18428 (1996)</w:t>
      </w:r>
      <w:r>
        <w:rPr>
          <w:color w:val="000000"/>
        </w:rPr>
        <w:t xml:space="preserve"> </w:t>
      </w:r>
      <w:r w:rsidRPr="003B255E">
        <w:rPr>
          <w:color w:val="000000"/>
        </w:rPr>
        <w:t xml:space="preserve">(finding unauthorized transfer of control and violation of local TV ownership rule but concluding violation did not call into question character qualifications to remain licensee); </w:t>
      </w:r>
      <w:r>
        <w:rPr>
          <w:i/>
          <w:color w:val="000000"/>
        </w:rPr>
        <w:t>2001 Glencairn Decision</w:t>
      </w:r>
      <w:r w:rsidRPr="003B255E">
        <w:rPr>
          <w:color w:val="000000"/>
        </w:rPr>
        <w:t xml:space="preserve">, 16 FCC Rcd at 22248 (finding unauthorized transfer of control but concluding hearing not appropriate and forfeiture was the appropriate remedy for the violation); </w:t>
      </w:r>
      <w:r w:rsidRPr="003B255E">
        <w:rPr>
          <w:i/>
        </w:rPr>
        <w:t>Iglesia Jesucristo Es Mi Refugio, Inc.</w:t>
      </w:r>
      <w:r w:rsidRPr="003B255E">
        <w:t>, Memorandum Opinion and Order and Notice of Apparent Liability, 25 FCC Rcd 16310, 16317-18 (Aud. Div. 2010) (failure to report pertinent information did not call into question licensee’s character absent evidence of intent to deceive or misrepresent).</w:t>
      </w:r>
    </w:p>
  </w:footnote>
  <w:footnote w:id="91">
    <w:p w:rsidR="00050DDF" w:rsidRPr="003B255E" w:rsidRDefault="00050DDF" w:rsidP="003B255E">
      <w:pPr>
        <w:pStyle w:val="FootnoteText"/>
      </w:pPr>
      <w:r w:rsidRPr="003B255E">
        <w:rPr>
          <w:rStyle w:val="FootnoteReference"/>
        </w:rPr>
        <w:footnoteRef/>
      </w:r>
      <w:r w:rsidRPr="003B255E">
        <w:t xml:space="preserve"> </w:t>
      </w:r>
      <w:r w:rsidRPr="003B255E">
        <w:rPr>
          <w:i/>
        </w:rPr>
        <w:t>1986 Character Policy Statement</w:t>
      </w:r>
      <w:r w:rsidRPr="003B255E">
        <w:t>, 102 FCC 2d at 1224-25.</w:t>
      </w:r>
    </w:p>
  </w:footnote>
  <w:footnote w:id="92">
    <w:p w:rsidR="00050DDF" w:rsidRPr="003B255E" w:rsidRDefault="00050DDF" w:rsidP="003B255E">
      <w:pPr>
        <w:pStyle w:val="FootnoteText"/>
      </w:pPr>
      <w:r w:rsidRPr="003B255E">
        <w:rPr>
          <w:rStyle w:val="FootnoteReference"/>
        </w:rPr>
        <w:footnoteRef/>
      </w:r>
      <w:r w:rsidRPr="003B255E">
        <w:t xml:space="preserve"> </w:t>
      </w:r>
      <w:r w:rsidRPr="003B255E">
        <w:rPr>
          <w:i/>
        </w:rPr>
        <w:t>Grayson Enterprises, Inc.</w:t>
      </w:r>
      <w:r w:rsidRPr="003B255E">
        <w:t xml:space="preserve">, Memorandum Opinion and Order, 79 FCC 2d 936, 940 (1980); </w:t>
      </w:r>
      <w:r w:rsidRPr="00442E95">
        <w:rPr>
          <w:i/>
        </w:rPr>
        <w:t>see also</w:t>
      </w:r>
      <w:r>
        <w:t xml:space="preserve"> </w:t>
      </w:r>
      <w:r w:rsidRPr="003B255E">
        <w:rPr>
          <w:i/>
        </w:rPr>
        <w:t>Strauss Communications, Inc.</w:t>
      </w:r>
      <w:r w:rsidRPr="003B255E">
        <w:t>, Memorandum Opinion and Order, 2 FCC Rcd 7469 (1987) (declining to defer consideration of assignment application on the basis of character issues raised in pending proceedings).</w:t>
      </w:r>
    </w:p>
  </w:footnote>
  <w:footnote w:id="93">
    <w:p w:rsidR="00050DDF" w:rsidRPr="003B255E" w:rsidRDefault="00050DDF" w:rsidP="003B255E">
      <w:pPr>
        <w:pStyle w:val="FootnoteText"/>
      </w:pPr>
      <w:r w:rsidRPr="003B255E">
        <w:rPr>
          <w:rStyle w:val="FootnoteReference"/>
        </w:rPr>
        <w:footnoteRef/>
      </w:r>
      <w:r w:rsidRPr="003B255E">
        <w:t xml:space="preserve"> </w:t>
      </w:r>
      <w:r w:rsidRPr="003B255E">
        <w:rPr>
          <w:i/>
        </w:rPr>
        <w:t>1986 Character Policy Statement</w:t>
      </w:r>
      <w:r w:rsidRPr="003B255E">
        <w:t>,</w:t>
      </w:r>
      <w:r w:rsidRPr="003B255E">
        <w:rPr>
          <w:i/>
        </w:rPr>
        <w:t xml:space="preserve"> </w:t>
      </w:r>
      <w:r w:rsidRPr="003B255E">
        <w:t>102 FCC 2d at 1225.</w:t>
      </w:r>
    </w:p>
  </w:footnote>
  <w:footnote w:id="94">
    <w:p w:rsidR="00050DDF" w:rsidRPr="003B255E" w:rsidRDefault="00050DDF" w:rsidP="003B255E">
      <w:pPr>
        <w:pStyle w:val="FootnoteText"/>
      </w:pPr>
      <w:r w:rsidRPr="003B255E">
        <w:rPr>
          <w:rStyle w:val="FootnoteReference"/>
        </w:rPr>
        <w:footnoteRef/>
      </w:r>
      <w:r w:rsidRPr="003B255E">
        <w:t xml:space="preserve"> </w:t>
      </w:r>
      <w:r>
        <w:rPr>
          <w:i/>
        </w:rPr>
        <w:t>Shareholders of Belo</w:t>
      </w:r>
      <w:r w:rsidRPr="003B255E">
        <w:rPr>
          <w:i/>
        </w:rPr>
        <w:t xml:space="preserve"> Corp.</w:t>
      </w:r>
      <w:r>
        <w:t>, 28 FCC Rcd at 16876</w:t>
      </w:r>
      <w:r w:rsidRPr="003B255E">
        <w:t>.</w:t>
      </w:r>
    </w:p>
  </w:footnote>
  <w:footnote w:id="95">
    <w:p w:rsidR="00050DDF" w:rsidRPr="003B255E" w:rsidRDefault="00050DDF" w:rsidP="003B255E">
      <w:pPr>
        <w:pStyle w:val="ParaNum"/>
        <w:numPr>
          <w:ilvl w:val="0"/>
          <w:numId w:val="0"/>
        </w:numPr>
        <w:spacing w:after="120"/>
        <w:rPr>
          <w:sz w:val="20"/>
        </w:rPr>
      </w:pPr>
      <w:r w:rsidRPr="003B255E">
        <w:rPr>
          <w:rStyle w:val="FootnoteReference"/>
          <w:sz w:val="20"/>
        </w:rPr>
        <w:footnoteRef/>
      </w:r>
      <w:r w:rsidRPr="003B255E">
        <w:rPr>
          <w:sz w:val="20"/>
        </w:rPr>
        <w:t xml:space="preserve"> </w:t>
      </w:r>
      <w:r w:rsidRPr="003B255E">
        <w:rPr>
          <w:i/>
          <w:sz w:val="20"/>
        </w:rPr>
        <w:t>2002 Biennial Review</w:t>
      </w:r>
      <w:r w:rsidRPr="003B255E">
        <w:rPr>
          <w:sz w:val="20"/>
          <w:lang w:val="en-US"/>
        </w:rPr>
        <w:t xml:space="preserve">, 18 FCC Rcd </w:t>
      </w:r>
      <w:r w:rsidRPr="003B255E">
        <w:rPr>
          <w:sz w:val="20"/>
        </w:rPr>
        <w:t xml:space="preserve">at </w:t>
      </w:r>
      <w:r w:rsidRPr="003B255E">
        <w:rPr>
          <w:sz w:val="20"/>
          <w:lang w:val="en-US"/>
        </w:rPr>
        <w:t>13627.</w:t>
      </w:r>
      <w:r w:rsidRPr="003B255E">
        <w:rPr>
          <w:sz w:val="20"/>
        </w:rPr>
        <w:t xml:space="preserve"> </w:t>
      </w:r>
      <w:r>
        <w:rPr>
          <w:sz w:val="20"/>
          <w:lang w:val="en-US"/>
        </w:rPr>
        <w:t>The cases cited by Applicants</w:t>
      </w:r>
      <w:r w:rsidRPr="003B255E">
        <w:rPr>
          <w:sz w:val="20"/>
          <w:lang w:val="en-US"/>
        </w:rPr>
        <w:t xml:space="preserve"> do not stand for the proposition that a public interest inquiry is not necessary; the cases merely conclude that once the Commission has completed a proper public interest inquiry, it need not spell out each step in its reasoning in a final order. </w:t>
      </w:r>
      <w:r w:rsidRPr="003B255E">
        <w:rPr>
          <w:i/>
          <w:sz w:val="20"/>
          <w:lang w:val="en-US"/>
        </w:rPr>
        <w:t xml:space="preserve">See, e.g., </w:t>
      </w:r>
      <w:r>
        <w:rPr>
          <w:i/>
          <w:sz w:val="20"/>
          <w:lang w:val="en-US"/>
        </w:rPr>
        <w:t xml:space="preserve">Committee to Save </w:t>
      </w:r>
      <w:r w:rsidRPr="003B255E">
        <w:rPr>
          <w:i/>
          <w:sz w:val="20"/>
          <w:lang w:val="en-US"/>
        </w:rPr>
        <w:t>WEAM</w:t>
      </w:r>
      <w:r>
        <w:rPr>
          <w:sz w:val="20"/>
          <w:lang w:val="en-US"/>
        </w:rPr>
        <w:t>, 808 F.3</w:t>
      </w:r>
      <w:r w:rsidRPr="003B255E">
        <w:rPr>
          <w:sz w:val="20"/>
          <w:lang w:val="en-US"/>
        </w:rPr>
        <w:t>d at 118 (“By requiring a proposed assignee to address the relevant facets of the public interest . . . on FCC Form 314, the Commission has incorporated consideration of these issues into the application process.”).</w:t>
      </w:r>
    </w:p>
  </w:footnote>
  <w:footnote w:id="96">
    <w:p w:rsidR="00050DDF" w:rsidRPr="003B255E" w:rsidRDefault="00050DDF" w:rsidP="003B255E">
      <w:pPr>
        <w:pStyle w:val="FootnoteText"/>
      </w:pPr>
      <w:r w:rsidRPr="003B255E">
        <w:rPr>
          <w:rStyle w:val="FootnoteReference"/>
        </w:rPr>
        <w:footnoteRef/>
      </w:r>
      <w:r w:rsidRPr="003B255E">
        <w:t xml:space="preserve"> See File No. BTCCDT-20130809ACA (amended Jun</w:t>
      </w:r>
      <w:r>
        <w:t>e 30, 2014), at Exhibit 15, p.</w:t>
      </w:r>
      <w:r w:rsidRPr="003B255E">
        <w:t xml:space="preserve"> 3.</w:t>
      </w:r>
    </w:p>
  </w:footnote>
  <w:footnote w:id="97">
    <w:p w:rsidR="00050DDF" w:rsidRPr="003B255E" w:rsidRDefault="00050DDF" w:rsidP="003B255E">
      <w:pPr>
        <w:pStyle w:val="FootnoteText"/>
      </w:pPr>
      <w:r w:rsidRPr="003B255E">
        <w:rPr>
          <w:rStyle w:val="FootnoteReference"/>
        </w:rPr>
        <w:footnoteRef/>
      </w:r>
      <w:r w:rsidRPr="003B255E">
        <w:t xml:space="preserve"> </w:t>
      </w:r>
      <w:r w:rsidRPr="003B255E">
        <w:rPr>
          <w:i/>
        </w:rPr>
        <w:t>Capital Cities/ABC, Inc.</w:t>
      </w:r>
      <w:r w:rsidRPr="003B255E">
        <w:t>, Memorandum Opinion and Order, 11 FCC Rcd 5841, 5872 (1996) (granting temporary waiver where applicants committed to separate operations, including no joint sales of advertising.)</w:t>
      </w:r>
    </w:p>
  </w:footnote>
  <w:footnote w:id="98">
    <w:p w:rsidR="00050DDF" w:rsidRPr="003B255E" w:rsidRDefault="00050DDF" w:rsidP="003B255E">
      <w:pPr>
        <w:spacing w:after="120"/>
        <w:jc w:val="both"/>
        <w:rPr>
          <w:color w:val="1F497D"/>
          <w:sz w:val="20"/>
        </w:rPr>
      </w:pPr>
      <w:r w:rsidRPr="003B255E">
        <w:rPr>
          <w:rStyle w:val="FootnoteReference"/>
          <w:sz w:val="20"/>
        </w:rPr>
        <w:footnoteRef/>
      </w:r>
      <w:r w:rsidRPr="003B255E">
        <w:rPr>
          <w:sz w:val="20"/>
        </w:rPr>
        <w:t xml:space="preserve"> </w:t>
      </w:r>
      <w:r w:rsidRPr="003B255E">
        <w:rPr>
          <w:i/>
          <w:sz w:val="20"/>
        </w:rPr>
        <w:t>Shareholders of CBS Corporation</w:t>
      </w:r>
      <w:r w:rsidRPr="003B255E">
        <w:rPr>
          <w:sz w:val="20"/>
        </w:rPr>
        <w:t xml:space="preserve">, Memorandum Opinion and Order, 16 FCC Rcd 16072, 16072-73 (2001). </w:t>
      </w:r>
      <w:r w:rsidRPr="003B255E">
        <w:rPr>
          <w:color w:val="000000"/>
          <w:sz w:val="20"/>
        </w:rPr>
        <w:t xml:space="preserve"> </w:t>
      </w:r>
    </w:p>
  </w:footnote>
  <w:footnote w:id="99">
    <w:p w:rsidR="00050DDF" w:rsidRPr="003B255E" w:rsidRDefault="00050DDF" w:rsidP="003B255E">
      <w:pPr>
        <w:pStyle w:val="FootnoteText"/>
      </w:pPr>
      <w:r w:rsidRPr="003B255E">
        <w:rPr>
          <w:rStyle w:val="FootnoteReference"/>
        </w:rPr>
        <w:footnoteRef/>
      </w:r>
      <w:r>
        <w:t xml:space="preserve"> </w:t>
      </w:r>
      <w:r w:rsidRPr="003B255E">
        <w:t xml:space="preserve">License renewal applications for </w:t>
      </w:r>
      <w:r>
        <w:t xml:space="preserve">Stations </w:t>
      </w:r>
      <w:r w:rsidRPr="003B255E">
        <w:t xml:space="preserve">WJLA-TV, WSET-TV, and KTVL(TV) are currently pending before the Commission. </w:t>
      </w:r>
    </w:p>
  </w:footnote>
  <w:footnote w:id="100">
    <w:p w:rsidR="00050DDF" w:rsidRPr="003B255E" w:rsidRDefault="00050DDF" w:rsidP="003B255E">
      <w:pPr>
        <w:pStyle w:val="FootnoteText"/>
      </w:pPr>
      <w:r w:rsidRPr="003B255E">
        <w:rPr>
          <w:rStyle w:val="FootnoteReference"/>
        </w:rPr>
        <w:footnoteRef/>
      </w:r>
      <w:r w:rsidRPr="003B255E">
        <w:t xml:space="preserve"> </w:t>
      </w:r>
      <w:r w:rsidRPr="00050DDF">
        <w:rPr>
          <w:i/>
        </w:rPr>
        <w:t>See, e.g.</w:t>
      </w:r>
      <w:r>
        <w:t xml:space="preserve">, </w:t>
      </w:r>
      <w:r w:rsidRPr="003B255E">
        <w:t>File No. BTCCDT-20130809ACA (amended Jun</w:t>
      </w:r>
      <w:r>
        <w:t>e 30, 2014), at Exhibit 15, p. 4.</w:t>
      </w:r>
    </w:p>
  </w:footnote>
  <w:footnote w:id="101">
    <w:p w:rsidR="00050DDF" w:rsidRPr="003B255E" w:rsidRDefault="00050DDF" w:rsidP="003B255E">
      <w:pPr>
        <w:pStyle w:val="FootnoteText"/>
      </w:pPr>
      <w:r w:rsidRPr="003B255E">
        <w:rPr>
          <w:rStyle w:val="FootnoteReference"/>
        </w:rPr>
        <w:footnoteRef/>
      </w:r>
      <w:r w:rsidRPr="003B255E">
        <w:t xml:space="preserve"> </w:t>
      </w:r>
      <w:r w:rsidRPr="003B255E">
        <w:rPr>
          <w:i/>
        </w:rPr>
        <w:t>See Cumulus Media, Inc. and Citadel Broadcasting Corp.,</w:t>
      </w:r>
      <w:r w:rsidRPr="003B255E">
        <w:t xml:space="preserve"> Memorandum Opinion and Order, 26 FCC Rcd 12956, 12959 (2011).</w:t>
      </w:r>
    </w:p>
  </w:footnote>
  <w:footnote w:id="102">
    <w:p w:rsidR="00050DDF" w:rsidRPr="003B255E" w:rsidRDefault="00050DDF" w:rsidP="003B255E">
      <w:pPr>
        <w:pStyle w:val="FootnoteText"/>
      </w:pPr>
      <w:r w:rsidRPr="003B255E">
        <w:rPr>
          <w:rStyle w:val="FootnoteReference"/>
        </w:rPr>
        <w:footnoteRef/>
      </w:r>
      <w:r w:rsidRPr="003B255E">
        <w:t xml:space="preserve"> This condition has already been satisfied. </w:t>
      </w:r>
      <w:r>
        <w:t xml:space="preserve"> </w:t>
      </w:r>
      <w:r w:rsidRPr="003B255E">
        <w:t>File No. BALCDT20140625AOV.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BA" w:rsidRDefault="00370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DF" w:rsidRDefault="00050DDF">
    <w:pPr>
      <w:pStyle w:val="Header"/>
      <w:tabs>
        <w:tab w:val="clear" w:pos="4320"/>
        <w:tab w:val="clear" w:pos="8640"/>
        <w:tab w:val="center" w:pos="4680"/>
        <w:tab w:val="right" w:pos="9360"/>
      </w:tabs>
      <w:rPr>
        <w:b/>
      </w:rPr>
    </w:pPr>
    <w:r>
      <w:rPr>
        <w:b/>
      </w:rPr>
      <w:tab/>
      <w:t>Federal Communications Commission</w:t>
    </w:r>
    <w:r>
      <w:rPr>
        <w:b/>
      </w:rPr>
      <w:tab/>
      <w:t>DA 14-1055</w:t>
    </w:r>
  </w:p>
  <w:p w:rsidR="00050DDF" w:rsidRDefault="00050DD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E2A9EB4" wp14:editId="1417066E">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050DDF" w:rsidRDefault="00050D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DF" w:rsidRDefault="00050DDF">
    <w:pPr>
      <w:pStyle w:val="Header"/>
      <w:tabs>
        <w:tab w:val="clear" w:pos="4320"/>
        <w:tab w:val="clear" w:pos="8640"/>
        <w:tab w:val="center" w:pos="4680"/>
        <w:tab w:val="right" w:pos="9360"/>
      </w:tabs>
      <w:rPr>
        <w:b/>
      </w:rPr>
    </w:pPr>
    <w:r>
      <w:rPr>
        <w:b/>
      </w:rPr>
      <w:tab/>
      <w:t>Federal Communications Commission</w:t>
    </w:r>
    <w:r>
      <w:rPr>
        <w:b/>
      </w:rPr>
      <w:tab/>
      <w:t xml:space="preserve">DA 14-1055 </w:t>
    </w:r>
  </w:p>
  <w:p w:rsidR="00050DDF" w:rsidRDefault="00050DD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2DCFCE6F" wp14:editId="182F3325">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149F6"/>
    <w:multiLevelType w:val="hybridMultilevel"/>
    <w:tmpl w:val="CF6CF0B0"/>
    <w:lvl w:ilvl="0" w:tplc="097C5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F1B3D"/>
    <w:multiLevelType w:val="singleLevel"/>
    <w:tmpl w:val="4DCCE696"/>
    <w:lvl w:ilvl="0">
      <w:start w:val="1"/>
      <w:numFmt w:val="decimal"/>
      <w:pStyle w:val="ParaNum"/>
      <w:lvlText w:val="%1."/>
      <w:lvlJc w:val="left"/>
      <w:pPr>
        <w:tabs>
          <w:tab w:val="num" w:pos="540"/>
        </w:tabs>
        <w:ind w:left="-54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33641462"/>
    <w:lvl w:ilvl="0">
      <w:start w:val="1"/>
      <w:numFmt w:val="upperRoman"/>
      <w:pStyle w:val="Heading1"/>
      <w:lvlText w:val="%1."/>
      <w:lvlJc w:val="left"/>
      <w:pPr>
        <w:tabs>
          <w:tab w:val="num" w:pos="1080"/>
        </w:tabs>
        <w:ind w:left="108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250"/>
        </w:tabs>
        <w:ind w:left="2250" w:hanging="72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2520"/>
        </w:tabs>
        <w:ind w:left="2520" w:hanging="720"/>
      </w:pPr>
    </w:lvl>
    <w:lvl w:ilvl="3">
      <w:start w:val="1"/>
      <w:numFmt w:val="lowerLetter"/>
      <w:pStyle w:val="Heading4"/>
      <w:lvlText w:val="%4."/>
      <w:lvlJc w:val="left"/>
      <w:pPr>
        <w:tabs>
          <w:tab w:val="num" w:pos="3240"/>
        </w:tabs>
        <w:ind w:left="3240" w:hanging="720"/>
      </w:pPr>
    </w:lvl>
    <w:lvl w:ilvl="4">
      <w:start w:val="1"/>
      <w:numFmt w:val="lowerRoman"/>
      <w:pStyle w:val="Heading5"/>
      <w:lvlText w:val="(%5)"/>
      <w:lvlJc w:val="left"/>
      <w:pPr>
        <w:tabs>
          <w:tab w:val="num" w:pos="4320"/>
        </w:tabs>
        <w:ind w:left="396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680"/>
        </w:tabs>
        <w:ind w:left="4680" w:hanging="720"/>
      </w:pPr>
    </w:lvl>
    <w:lvl w:ilvl="6">
      <w:start w:val="1"/>
      <w:numFmt w:val="lowerRoman"/>
      <w:pStyle w:val="Heading7"/>
      <w:lvlText w:val="(%7)"/>
      <w:lvlJc w:val="left"/>
      <w:pPr>
        <w:tabs>
          <w:tab w:val="num" w:pos="5400"/>
        </w:tabs>
        <w:ind w:left="4680" w:firstLine="0"/>
      </w:pPr>
    </w:lvl>
    <w:lvl w:ilvl="7">
      <w:start w:val="1"/>
      <w:numFmt w:val="lowerLetter"/>
      <w:pStyle w:val="Heading8"/>
      <w:lvlText w:val="(%8)"/>
      <w:lvlJc w:val="left"/>
      <w:pPr>
        <w:tabs>
          <w:tab w:val="num" w:pos="5760"/>
        </w:tabs>
        <w:ind w:left="5400" w:firstLine="0"/>
      </w:pPr>
    </w:lvl>
    <w:lvl w:ilvl="8">
      <w:start w:val="1"/>
      <w:numFmt w:val="lowerRoman"/>
      <w:pStyle w:val="Heading9"/>
      <w:lvlText w:val="(%9)"/>
      <w:lvlJc w:val="left"/>
      <w:pPr>
        <w:tabs>
          <w:tab w:val="num" w:pos="6840"/>
        </w:tabs>
        <w:ind w:left="6120" w:firstLine="0"/>
      </w:pPr>
      <w:rPr>
        <w:b/>
        <w:i w:val="0"/>
        <w:sz w:val="22"/>
      </w:rPr>
    </w:lvl>
  </w:abstractNum>
  <w:abstractNum w:abstractNumId="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3"/>
  </w:num>
  <w:num w:numId="2">
    <w:abstractNumId w:val="4"/>
  </w:num>
  <w:num w:numId="3">
    <w:abstractNumId w:val="1"/>
  </w:num>
  <w:num w:numId="4">
    <w:abstractNumId w:val="2"/>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num>
  <w:num w:numId="10">
    <w:abstractNumId w:val="1"/>
    <w:lvlOverride w:ilvl="0">
      <w:startOverride w:val="1"/>
    </w:lvlOverride>
  </w:num>
  <w:num w:numId="11">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F7"/>
    <w:rsid w:val="0000085A"/>
    <w:rsid w:val="00004E65"/>
    <w:rsid w:val="00012B21"/>
    <w:rsid w:val="00015162"/>
    <w:rsid w:val="00017189"/>
    <w:rsid w:val="000267D3"/>
    <w:rsid w:val="00026FF1"/>
    <w:rsid w:val="00031BBD"/>
    <w:rsid w:val="00032331"/>
    <w:rsid w:val="00040AA4"/>
    <w:rsid w:val="0004103B"/>
    <w:rsid w:val="00042F0B"/>
    <w:rsid w:val="000430C1"/>
    <w:rsid w:val="00043C93"/>
    <w:rsid w:val="00050DDF"/>
    <w:rsid w:val="000531A7"/>
    <w:rsid w:val="00060876"/>
    <w:rsid w:val="00063A4D"/>
    <w:rsid w:val="00064E25"/>
    <w:rsid w:val="0006732F"/>
    <w:rsid w:val="00070E2C"/>
    <w:rsid w:val="0007106D"/>
    <w:rsid w:val="0007602F"/>
    <w:rsid w:val="00077433"/>
    <w:rsid w:val="0008431E"/>
    <w:rsid w:val="00084EDE"/>
    <w:rsid w:val="000863B3"/>
    <w:rsid w:val="00095E6A"/>
    <w:rsid w:val="00097833"/>
    <w:rsid w:val="000A0BA2"/>
    <w:rsid w:val="000A1BBB"/>
    <w:rsid w:val="000A1D00"/>
    <w:rsid w:val="000A2AD2"/>
    <w:rsid w:val="000A3482"/>
    <w:rsid w:val="000B13A9"/>
    <w:rsid w:val="000B3945"/>
    <w:rsid w:val="000C5E2D"/>
    <w:rsid w:val="000D07E2"/>
    <w:rsid w:val="000D1C7C"/>
    <w:rsid w:val="000D3064"/>
    <w:rsid w:val="000E1F56"/>
    <w:rsid w:val="000E2DB7"/>
    <w:rsid w:val="000E4590"/>
    <w:rsid w:val="000E7B00"/>
    <w:rsid w:val="000F666F"/>
    <w:rsid w:val="000F75AD"/>
    <w:rsid w:val="00106663"/>
    <w:rsid w:val="001078F0"/>
    <w:rsid w:val="00111110"/>
    <w:rsid w:val="001148E7"/>
    <w:rsid w:val="00115AE2"/>
    <w:rsid w:val="00121BCD"/>
    <w:rsid w:val="001239BF"/>
    <w:rsid w:val="00126BB9"/>
    <w:rsid w:val="00127CBA"/>
    <w:rsid w:val="001341EF"/>
    <w:rsid w:val="001354FA"/>
    <w:rsid w:val="0014614C"/>
    <w:rsid w:val="00151DB3"/>
    <w:rsid w:val="001523FA"/>
    <w:rsid w:val="0015448D"/>
    <w:rsid w:val="001629AC"/>
    <w:rsid w:val="0016314C"/>
    <w:rsid w:val="00163E46"/>
    <w:rsid w:val="001666AA"/>
    <w:rsid w:val="00166D64"/>
    <w:rsid w:val="001702BB"/>
    <w:rsid w:val="0017158A"/>
    <w:rsid w:val="00172157"/>
    <w:rsid w:val="00174478"/>
    <w:rsid w:val="00175186"/>
    <w:rsid w:val="0017774C"/>
    <w:rsid w:val="00180530"/>
    <w:rsid w:val="00181B9B"/>
    <w:rsid w:val="001841BA"/>
    <w:rsid w:val="001846DB"/>
    <w:rsid w:val="0018503E"/>
    <w:rsid w:val="0018524F"/>
    <w:rsid w:val="001856B3"/>
    <w:rsid w:val="00187A91"/>
    <w:rsid w:val="00197C30"/>
    <w:rsid w:val="001A0BA0"/>
    <w:rsid w:val="001A6CD0"/>
    <w:rsid w:val="001B1457"/>
    <w:rsid w:val="001B1789"/>
    <w:rsid w:val="001C0179"/>
    <w:rsid w:val="001C3170"/>
    <w:rsid w:val="001C4047"/>
    <w:rsid w:val="001C5724"/>
    <w:rsid w:val="001D06C5"/>
    <w:rsid w:val="001D4AFF"/>
    <w:rsid w:val="001D721B"/>
    <w:rsid w:val="001D79FB"/>
    <w:rsid w:val="001D7A36"/>
    <w:rsid w:val="001E76C6"/>
    <w:rsid w:val="001E7CE2"/>
    <w:rsid w:val="001F1DA9"/>
    <w:rsid w:val="001F56C2"/>
    <w:rsid w:val="001F5D5D"/>
    <w:rsid w:val="001F70B4"/>
    <w:rsid w:val="002013E2"/>
    <w:rsid w:val="0020168A"/>
    <w:rsid w:val="00202849"/>
    <w:rsid w:val="002035BB"/>
    <w:rsid w:val="0020468C"/>
    <w:rsid w:val="00205009"/>
    <w:rsid w:val="002111AC"/>
    <w:rsid w:val="00214E35"/>
    <w:rsid w:val="00215A29"/>
    <w:rsid w:val="00225809"/>
    <w:rsid w:val="0022716B"/>
    <w:rsid w:val="0023696D"/>
    <w:rsid w:val="00240094"/>
    <w:rsid w:val="00240CE6"/>
    <w:rsid w:val="00241550"/>
    <w:rsid w:val="00242C34"/>
    <w:rsid w:val="0024328E"/>
    <w:rsid w:val="00245025"/>
    <w:rsid w:val="00245EB3"/>
    <w:rsid w:val="00250844"/>
    <w:rsid w:val="00255B79"/>
    <w:rsid w:val="00257568"/>
    <w:rsid w:val="002622B9"/>
    <w:rsid w:val="00264E40"/>
    <w:rsid w:val="00266580"/>
    <w:rsid w:val="00271F19"/>
    <w:rsid w:val="00272408"/>
    <w:rsid w:val="002727AD"/>
    <w:rsid w:val="00272A3F"/>
    <w:rsid w:val="00275817"/>
    <w:rsid w:val="0028330E"/>
    <w:rsid w:val="002875D0"/>
    <w:rsid w:val="00287951"/>
    <w:rsid w:val="00292A67"/>
    <w:rsid w:val="00293B3B"/>
    <w:rsid w:val="00297E3A"/>
    <w:rsid w:val="002A2827"/>
    <w:rsid w:val="002B16D7"/>
    <w:rsid w:val="002B2DD4"/>
    <w:rsid w:val="002B568D"/>
    <w:rsid w:val="002B5A82"/>
    <w:rsid w:val="002B5B1D"/>
    <w:rsid w:val="002B7D3A"/>
    <w:rsid w:val="002C1E47"/>
    <w:rsid w:val="002C4621"/>
    <w:rsid w:val="002C5CC5"/>
    <w:rsid w:val="002D0843"/>
    <w:rsid w:val="002D3962"/>
    <w:rsid w:val="002D3D6D"/>
    <w:rsid w:val="002D43E4"/>
    <w:rsid w:val="002D7E2E"/>
    <w:rsid w:val="002E0F12"/>
    <w:rsid w:val="002E31C0"/>
    <w:rsid w:val="002E33E4"/>
    <w:rsid w:val="002F4570"/>
    <w:rsid w:val="00300CE5"/>
    <w:rsid w:val="00302FCA"/>
    <w:rsid w:val="00303BD3"/>
    <w:rsid w:val="0032156E"/>
    <w:rsid w:val="00322326"/>
    <w:rsid w:val="0032413D"/>
    <w:rsid w:val="0032534B"/>
    <w:rsid w:val="00326A7F"/>
    <w:rsid w:val="00326CA6"/>
    <w:rsid w:val="00327B1F"/>
    <w:rsid w:val="003322E5"/>
    <w:rsid w:val="00333752"/>
    <w:rsid w:val="00337087"/>
    <w:rsid w:val="00340650"/>
    <w:rsid w:val="00346720"/>
    <w:rsid w:val="00350669"/>
    <w:rsid w:val="00350F93"/>
    <w:rsid w:val="00356F2A"/>
    <w:rsid w:val="00357C70"/>
    <w:rsid w:val="00361DD5"/>
    <w:rsid w:val="00362EE8"/>
    <w:rsid w:val="00365213"/>
    <w:rsid w:val="003703BA"/>
    <w:rsid w:val="00372808"/>
    <w:rsid w:val="00374D6D"/>
    <w:rsid w:val="003755C5"/>
    <w:rsid w:val="0038079B"/>
    <w:rsid w:val="00382D27"/>
    <w:rsid w:val="003844D1"/>
    <w:rsid w:val="00392739"/>
    <w:rsid w:val="00394432"/>
    <w:rsid w:val="00394F6A"/>
    <w:rsid w:val="00396010"/>
    <w:rsid w:val="00397E53"/>
    <w:rsid w:val="003A153B"/>
    <w:rsid w:val="003A18E8"/>
    <w:rsid w:val="003A2AC2"/>
    <w:rsid w:val="003A2C0A"/>
    <w:rsid w:val="003A34BA"/>
    <w:rsid w:val="003A37C9"/>
    <w:rsid w:val="003A784B"/>
    <w:rsid w:val="003B255E"/>
    <w:rsid w:val="003C1F11"/>
    <w:rsid w:val="003C37B4"/>
    <w:rsid w:val="003D1917"/>
    <w:rsid w:val="003D295E"/>
    <w:rsid w:val="003D2F8D"/>
    <w:rsid w:val="003E0958"/>
    <w:rsid w:val="003E1716"/>
    <w:rsid w:val="003E1A39"/>
    <w:rsid w:val="003E2272"/>
    <w:rsid w:val="003E2E83"/>
    <w:rsid w:val="003F1122"/>
    <w:rsid w:val="003F1D3E"/>
    <w:rsid w:val="003F33C9"/>
    <w:rsid w:val="003F44D5"/>
    <w:rsid w:val="003F49F6"/>
    <w:rsid w:val="00401A33"/>
    <w:rsid w:val="00404265"/>
    <w:rsid w:val="00405D0D"/>
    <w:rsid w:val="00406DE4"/>
    <w:rsid w:val="00412B3C"/>
    <w:rsid w:val="004151C7"/>
    <w:rsid w:val="0041548C"/>
    <w:rsid w:val="0041639B"/>
    <w:rsid w:val="00417610"/>
    <w:rsid w:val="00421C32"/>
    <w:rsid w:val="00425EE1"/>
    <w:rsid w:val="00426721"/>
    <w:rsid w:val="00426A79"/>
    <w:rsid w:val="00433AC8"/>
    <w:rsid w:val="00436CE6"/>
    <w:rsid w:val="00440684"/>
    <w:rsid w:val="00441B83"/>
    <w:rsid w:val="00442CA8"/>
    <w:rsid w:val="00442E95"/>
    <w:rsid w:val="0044336E"/>
    <w:rsid w:val="00447304"/>
    <w:rsid w:val="00447992"/>
    <w:rsid w:val="00451E11"/>
    <w:rsid w:val="00451FE5"/>
    <w:rsid w:val="00453BA4"/>
    <w:rsid w:val="00455F86"/>
    <w:rsid w:val="004572E9"/>
    <w:rsid w:val="004606BC"/>
    <w:rsid w:val="00461F36"/>
    <w:rsid w:val="00461FDD"/>
    <w:rsid w:val="00464F09"/>
    <w:rsid w:val="0047217E"/>
    <w:rsid w:val="00476129"/>
    <w:rsid w:val="00476C60"/>
    <w:rsid w:val="004820A5"/>
    <w:rsid w:val="004824D2"/>
    <w:rsid w:val="00490992"/>
    <w:rsid w:val="00491A65"/>
    <w:rsid w:val="00494744"/>
    <w:rsid w:val="00494C6A"/>
    <w:rsid w:val="004973E9"/>
    <w:rsid w:val="004974ED"/>
    <w:rsid w:val="004A0100"/>
    <w:rsid w:val="004A0741"/>
    <w:rsid w:val="004A14B5"/>
    <w:rsid w:val="004A5EB4"/>
    <w:rsid w:val="004B432B"/>
    <w:rsid w:val="004B592E"/>
    <w:rsid w:val="004C2348"/>
    <w:rsid w:val="004C3ABE"/>
    <w:rsid w:val="004D0005"/>
    <w:rsid w:val="004D04F4"/>
    <w:rsid w:val="004D056F"/>
    <w:rsid w:val="004D116D"/>
    <w:rsid w:val="004E34F8"/>
    <w:rsid w:val="004E35E6"/>
    <w:rsid w:val="00500349"/>
    <w:rsid w:val="00503F4A"/>
    <w:rsid w:val="00504D01"/>
    <w:rsid w:val="00504D11"/>
    <w:rsid w:val="0050654A"/>
    <w:rsid w:val="00512E52"/>
    <w:rsid w:val="0051334F"/>
    <w:rsid w:val="00514078"/>
    <w:rsid w:val="00516CAA"/>
    <w:rsid w:val="00522EEB"/>
    <w:rsid w:val="005260CB"/>
    <w:rsid w:val="00527E65"/>
    <w:rsid w:val="0053374C"/>
    <w:rsid w:val="00533CA5"/>
    <w:rsid w:val="00535091"/>
    <w:rsid w:val="0054005F"/>
    <w:rsid w:val="00544D53"/>
    <w:rsid w:val="00546FC4"/>
    <w:rsid w:val="00554AA7"/>
    <w:rsid w:val="0055655B"/>
    <w:rsid w:val="00560351"/>
    <w:rsid w:val="0056214D"/>
    <w:rsid w:val="0056283C"/>
    <w:rsid w:val="00566B46"/>
    <w:rsid w:val="005670E1"/>
    <w:rsid w:val="005713C1"/>
    <w:rsid w:val="00572DC2"/>
    <w:rsid w:val="00574CD1"/>
    <w:rsid w:val="00582CE3"/>
    <w:rsid w:val="005840B8"/>
    <w:rsid w:val="0059131C"/>
    <w:rsid w:val="00591A9C"/>
    <w:rsid w:val="0059282D"/>
    <w:rsid w:val="00595BD4"/>
    <w:rsid w:val="005A31DE"/>
    <w:rsid w:val="005A4603"/>
    <w:rsid w:val="005A6A86"/>
    <w:rsid w:val="005B0199"/>
    <w:rsid w:val="005C2C6E"/>
    <w:rsid w:val="005C40DC"/>
    <w:rsid w:val="005C42F6"/>
    <w:rsid w:val="005D21F2"/>
    <w:rsid w:val="005D313A"/>
    <w:rsid w:val="005D33DE"/>
    <w:rsid w:val="005D4F8D"/>
    <w:rsid w:val="005D63E7"/>
    <w:rsid w:val="005E0617"/>
    <w:rsid w:val="005E0818"/>
    <w:rsid w:val="005E33BC"/>
    <w:rsid w:val="005E50E7"/>
    <w:rsid w:val="005E5A3D"/>
    <w:rsid w:val="005E63AC"/>
    <w:rsid w:val="005F075A"/>
    <w:rsid w:val="005F09E0"/>
    <w:rsid w:val="005F50F6"/>
    <w:rsid w:val="005F58CD"/>
    <w:rsid w:val="005F58E9"/>
    <w:rsid w:val="005F61C6"/>
    <w:rsid w:val="005F6923"/>
    <w:rsid w:val="006013F1"/>
    <w:rsid w:val="00602A36"/>
    <w:rsid w:val="00606322"/>
    <w:rsid w:val="0061758F"/>
    <w:rsid w:val="00621E30"/>
    <w:rsid w:val="006220DE"/>
    <w:rsid w:val="0063016E"/>
    <w:rsid w:val="00632107"/>
    <w:rsid w:val="00633A45"/>
    <w:rsid w:val="006348D1"/>
    <w:rsid w:val="00634CDD"/>
    <w:rsid w:val="00636A77"/>
    <w:rsid w:val="00642D73"/>
    <w:rsid w:val="00644970"/>
    <w:rsid w:val="00644E49"/>
    <w:rsid w:val="006475B6"/>
    <w:rsid w:val="00651943"/>
    <w:rsid w:val="00660491"/>
    <w:rsid w:val="00660DF7"/>
    <w:rsid w:val="00661254"/>
    <w:rsid w:val="006614AC"/>
    <w:rsid w:val="0066310B"/>
    <w:rsid w:val="00665642"/>
    <w:rsid w:val="00665654"/>
    <w:rsid w:val="0067621D"/>
    <w:rsid w:val="00677A47"/>
    <w:rsid w:val="00685F59"/>
    <w:rsid w:val="00694B5F"/>
    <w:rsid w:val="006A44E3"/>
    <w:rsid w:val="006B07F4"/>
    <w:rsid w:val="006B0B21"/>
    <w:rsid w:val="006B10A6"/>
    <w:rsid w:val="006B2767"/>
    <w:rsid w:val="006B3516"/>
    <w:rsid w:val="006C1D65"/>
    <w:rsid w:val="006C3DF7"/>
    <w:rsid w:val="006C58CF"/>
    <w:rsid w:val="006D07C0"/>
    <w:rsid w:val="006D0A4F"/>
    <w:rsid w:val="006D2F91"/>
    <w:rsid w:val="006D34D4"/>
    <w:rsid w:val="006D4164"/>
    <w:rsid w:val="006D41F4"/>
    <w:rsid w:val="006D4CA5"/>
    <w:rsid w:val="006E6EBA"/>
    <w:rsid w:val="006F6EE7"/>
    <w:rsid w:val="00700A6D"/>
    <w:rsid w:val="007019AB"/>
    <w:rsid w:val="0070437F"/>
    <w:rsid w:val="00707BF2"/>
    <w:rsid w:val="007116A3"/>
    <w:rsid w:val="007141BA"/>
    <w:rsid w:val="00722604"/>
    <w:rsid w:val="0072371D"/>
    <w:rsid w:val="0073306A"/>
    <w:rsid w:val="00734D48"/>
    <w:rsid w:val="007352E3"/>
    <w:rsid w:val="00735CA0"/>
    <w:rsid w:val="007438F0"/>
    <w:rsid w:val="00746628"/>
    <w:rsid w:val="00746A5F"/>
    <w:rsid w:val="00746D9D"/>
    <w:rsid w:val="007506D8"/>
    <w:rsid w:val="00751409"/>
    <w:rsid w:val="007527BE"/>
    <w:rsid w:val="00757D4E"/>
    <w:rsid w:val="00761937"/>
    <w:rsid w:val="00761E31"/>
    <w:rsid w:val="00761E6F"/>
    <w:rsid w:val="007636B5"/>
    <w:rsid w:val="00763820"/>
    <w:rsid w:val="00767230"/>
    <w:rsid w:val="00771ECA"/>
    <w:rsid w:val="00772195"/>
    <w:rsid w:val="007722A4"/>
    <w:rsid w:val="00774606"/>
    <w:rsid w:val="00780A15"/>
    <w:rsid w:val="00786534"/>
    <w:rsid w:val="007902AD"/>
    <w:rsid w:val="007955B4"/>
    <w:rsid w:val="007A030E"/>
    <w:rsid w:val="007A3B18"/>
    <w:rsid w:val="007B1E23"/>
    <w:rsid w:val="007B5453"/>
    <w:rsid w:val="007D0271"/>
    <w:rsid w:val="007D0FC2"/>
    <w:rsid w:val="007D1FC6"/>
    <w:rsid w:val="007D35DB"/>
    <w:rsid w:val="007D4C13"/>
    <w:rsid w:val="007D58AC"/>
    <w:rsid w:val="007E3916"/>
    <w:rsid w:val="007E4A2D"/>
    <w:rsid w:val="007E4B1E"/>
    <w:rsid w:val="007E7B28"/>
    <w:rsid w:val="00803EBF"/>
    <w:rsid w:val="008042F9"/>
    <w:rsid w:val="00810660"/>
    <w:rsid w:val="00823E0B"/>
    <w:rsid w:val="00824657"/>
    <w:rsid w:val="0082647A"/>
    <w:rsid w:val="00826EAE"/>
    <w:rsid w:val="008273DC"/>
    <w:rsid w:val="0082788F"/>
    <w:rsid w:val="00827BA2"/>
    <w:rsid w:val="00832CD5"/>
    <w:rsid w:val="00833482"/>
    <w:rsid w:val="00835322"/>
    <w:rsid w:val="00841812"/>
    <w:rsid w:val="0084661D"/>
    <w:rsid w:val="0084725D"/>
    <w:rsid w:val="00847EF6"/>
    <w:rsid w:val="00850419"/>
    <w:rsid w:val="00851A6E"/>
    <w:rsid w:val="008520E4"/>
    <w:rsid w:val="00861261"/>
    <w:rsid w:val="008623EF"/>
    <w:rsid w:val="008629EC"/>
    <w:rsid w:val="00862E10"/>
    <w:rsid w:val="00871DB5"/>
    <w:rsid w:val="00872E14"/>
    <w:rsid w:val="008778A3"/>
    <w:rsid w:val="0088244C"/>
    <w:rsid w:val="00883096"/>
    <w:rsid w:val="00884EF9"/>
    <w:rsid w:val="00891B1D"/>
    <w:rsid w:val="00891D27"/>
    <w:rsid w:val="008939C8"/>
    <w:rsid w:val="00895963"/>
    <w:rsid w:val="00897D52"/>
    <w:rsid w:val="008A3939"/>
    <w:rsid w:val="008A42F0"/>
    <w:rsid w:val="008A480B"/>
    <w:rsid w:val="008A6EC4"/>
    <w:rsid w:val="008A771B"/>
    <w:rsid w:val="008B1C53"/>
    <w:rsid w:val="008B20CF"/>
    <w:rsid w:val="008B23E2"/>
    <w:rsid w:val="008B3307"/>
    <w:rsid w:val="008B6BDA"/>
    <w:rsid w:val="008C0CF8"/>
    <w:rsid w:val="008C0D13"/>
    <w:rsid w:val="008C0EFF"/>
    <w:rsid w:val="008D0527"/>
    <w:rsid w:val="008D0CE2"/>
    <w:rsid w:val="008D3B53"/>
    <w:rsid w:val="008D3F25"/>
    <w:rsid w:val="008D4D89"/>
    <w:rsid w:val="008D747F"/>
    <w:rsid w:val="008E127D"/>
    <w:rsid w:val="008E271C"/>
    <w:rsid w:val="008E2E87"/>
    <w:rsid w:val="008E35B8"/>
    <w:rsid w:val="008E45A9"/>
    <w:rsid w:val="008E50B8"/>
    <w:rsid w:val="008E7A06"/>
    <w:rsid w:val="008F0CDD"/>
    <w:rsid w:val="00900FDC"/>
    <w:rsid w:val="009017F8"/>
    <w:rsid w:val="00910BEE"/>
    <w:rsid w:val="00912577"/>
    <w:rsid w:val="00913C90"/>
    <w:rsid w:val="00915550"/>
    <w:rsid w:val="00915E3E"/>
    <w:rsid w:val="009163D7"/>
    <w:rsid w:val="00921657"/>
    <w:rsid w:val="009220C5"/>
    <w:rsid w:val="009221F2"/>
    <w:rsid w:val="00922297"/>
    <w:rsid w:val="00931EC9"/>
    <w:rsid w:val="00932F43"/>
    <w:rsid w:val="00934EC5"/>
    <w:rsid w:val="009351E2"/>
    <w:rsid w:val="009364D3"/>
    <w:rsid w:val="00942E46"/>
    <w:rsid w:val="00945DB4"/>
    <w:rsid w:val="00950197"/>
    <w:rsid w:val="00950C68"/>
    <w:rsid w:val="0095750E"/>
    <w:rsid w:val="009639C6"/>
    <w:rsid w:val="00965D59"/>
    <w:rsid w:val="009701A0"/>
    <w:rsid w:val="00971075"/>
    <w:rsid w:val="0097211F"/>
    <w:rsid w:val="00974D17"/>
    <w:rsid w:val="009751DB"/>
    <w:rsid w:val="00975545"/>
    <w:rsid w:val="009809EB"/>
    <w:rsid w:val="00983265"/>
    <w:rsid w:val="0098494E"/>
    <w:rsid w:val="00984EA9"/>
    <w:rsid w:val="009862BA"/>
    <w:rsid w:val="009870CA"/>
    <w:rsid w:val="00991F18"/>
    <w:rsid w:val="00993C75"/>
    <w:rsid w:val="009A0511"/>
    <w:rsid w:val="009A2BBE"/>
    <w:rsid w:val="009A3BCA"/>
    <w:rsid w:val="009A4DF3"/>
    <w:rsid w:val="009A5AD7"/>
    <w:rsid w:val="009B2C74"/>
    <w:rsid w:val="009B5290"/>
    <w:rsid w:val="009C073F"/>
    <w:rsid w:val="009C220D"/>
    <w:rsid w:val="009C2774"/>
    <w:rsid w:val="009C2A17"/>
    <w:rsid w:val="009C53C3"/>
    <w:rsid w:val="009C5BBB"/>
    <w:rsid w:val="009D34AC"/>
    <w:rsid w:val="009D4677"/>
    <w:rsid w:val="009D7A0E"/>
    <w:rsid w:val="009E19B3"/>
    <w:rsid w:val="009E279D"/>
    <w:rsid w:val="009E5CDC"/>
    <w:rsid w:val="009F43AD"/>
    <w:rsid w:val="009F44B5"/>
    <w:rsid w:val="00A00F65"/>
    <w:rsid w:val="00A0101F"/>
    <w:rsid w:val="00A01401"/>
    <w:rsid w:val="00A11692"/>
    <w:rsid w:val="00A122C3"/>
    <w:rsid w:val="00A125B8"/>
    <w:rsid w:val="00A14E04"/>
    <w:rsid w:val="00A15EAC"/>
    <w:rsid w:val="00A161B4"/>
    <w:rsid w:val="00A17350"/>
    <w:rsid w:val="00A204BA"/>
    <w:rsid w:val="00A2099B"/>
    <w:rsid w:val="00A230C5"/>
    <w:rsid w:val="00A23B0F"/>
    <w:rsid w:val="00A26A32"/>
    <w:rsid w:val="00A27AF4"/>
    <w:rsid w:val="00A31017"/>
    <w:rsid w:val="00A3112A"/>
    <w:rsid w:val="00A343B0"/>
    <w:rsid w:val="00A352E9"/>
    <w:rsid w:val="00A36819"/>
    <w:rsid w:val="00A416C6"/>
    <w:rsid w:val="00A42A28"/>
    <w:rsid w:val="00A43480"/>
    <w:rsid w:val="00A46A3D"/>
    <w:rsid w:val="00A471B0"/>
    <w:rsid w:val="00A477A8"/>
    <w:rsid w:val="00A522C0"/>
    <w:rsid w:val="00A52C63"/>
    <w:rsid w:val="00A53424"/>
    <w:rsid w:val="00A53B1C"/>
    <w:rsid w:val="00A54D34"/>
    <w:rsid w:val="00A562DC"/>
    <w:rsid w:val="00A57A7A"/>
    <w:rsid w:val="00A6116A"/>
    <w:rsid w:val="00A62DB7"/>
    <w:rsid w:val="00A64B33"/>
    <w:rsid w:val="00A6593B"/>
    <w:rsid w:val="00A72A39"/>
    <w:rsid w:val="00A73448"/>
    <w:rsid w:val="00A76E4D"/>
    <w:rsid w:val="00A84E8B"/>
    <w:rsid w:val="00A939C9"/>
    <w:rsid w:val="00A93E0C"/>
    <w:rsid w:val="00A967E1"/>
    <w:rsid w:val="00A97E5C"/>
    <w:rsid w:val="00AA246D"/>
    <w:rsid w:val="00AB06F0"/>
    <w:rsid w:val="00AB47D9"/>
    <w:rsid w:val="00AB6455"/>
    <w:rsid w:val="00AC2BE0"/>
    <w:rsid w:val="00AC4915"/>
    <w:rsid w:val="00AC6470"/>
    <w:rsid w:val="00AC741B"/>
    <w:rsid w:val="00AD05F6"/>
    <w:rsid w:val="00AD1AC9"/>
    <w:rsid w:val="00AD4572"/>
    <w:rsid w:val="00AE06B4"/>
    <w:rsid w:val="00AE247E"/>
    <w:rsid w:val="00AE288A"/>
    <w:rsid w:val="00AE46B6"/>
    <w:rsid w:val="00AE485C"/>
    <w:rsid w:val="00AE6826"/>
    <w:rsid w:val="00AE7580"/>
    <w:rsid w:val="00AE7F20"/>
    <w:rsid w:val="00AF6E9C"/>
    <w:rsid w:val="00B01083"/>
    <w:rsid w:val="00B079CD"/>
    <w:rsid w:val="00B10F95"/>
    <w:rsid w:val="00B12349"/>
    <w:rsid w:val="00B20DE6"/>
    <w:rsid w:val="00B22100"/>
    <w:rsid w:val="00B22A5F"/>
    <w:rsid w:val="00B24D8A"/>
    <w:rsid w:val="00B26419"/>
    <w:rsid w:val="00B30A30"/>
    <w:rsid w:val="00B33D1A"/>
    <w:rsid w:val="00B368A0"/>
    <w:rsid w:val="00B42D26"/>
    <w:rsid w:val="00B452F6"/>
    <w:rsid w:val="00B4639C"/>
    <w:rsid w:val="00B46A23"/>
    <w:rsid w:val="00B52946"/>
    <w:rsid w:val="00B53F85"/>
    <w:rsid w:val="00B55A3E"/>
    <w:rsid w:val="00B57ADB"/>
    <w:rsid w:val="00B57D65"/>
    <w:rsid w:val="00B6484A"/>
    <w:rsid w:val="00B65873"/>
    <w:rsid w:val="00B65FBA"/>
    <w:rsid w:val="00B671F3"/>
    <w:rsid w:val="00B67E7F"/>
    <w:rsid w:val="00B70924"/>
    <w:rsid w:val="00B7640B"/>
    <w:rsid w:val="00B7679C"/>
    <w:rsid w:val="00B77391"/>
    <w:rsid w:val="00B8154E"/>
    <w:rsid w:val="00B83575"/>
    <w:rsid w:val="00B83B38"/>
    <w:rsid w:val="00B87ED6"/>
    <w:rsid w:val="00B9318A"/>
    <w:rsid w:val="00B97526"/>
    <w:rsid w:val="00BA4943"/>
    <w:rsid w:val="00BA7216"/>
    <w:rsid w:val="00BA7289"/>
    <w:rsid w:val="00BB04B4"/>
    <w:rsid w:val="00BB0599"/>
    <w:rsid w:val="00BB26A0"/>
    <w:rsid w:val="00BB2F43"/>
    <w:rsid w:val="00BC46F9"/>
    <w:rsid w:val="00BD342B"/>
    <w:rsid w:val="00BE0283"/>
    <w:rsid w:val="00BE5AA4"/>
    <w:rsid w:val="00BE5D13"/>
    <w:rsid w:val="00BF1936"/>
    <w:rsid w:val="00BF2039"/>
    <w:rsid w:val="00BF45EE"/>
    <w:rsid w:val="00BF51EB"/>
    <w:rsid w:val="00C1236F"/>
    <w:rsid w:val="00C1381D"/>
    <w:rsid w:val="00C20248"/>
    <w:rsid w:val="00C23E70"/>
    <w:rsid w:val="00C2674E"/>
    <w:rsid w:val="00C34942"/>
    <w:rsid w:val="00C370D2"/>
    <w:rsid w:val="00C414DD"/>
    <w:rsid w:val="00C41D12"/>
    <w:rsid w:val="00C432DA"/>
    <w:rsid w:val="00C438A3"/>
    <w:rsid w:val="00C455AB"/>
    <w:rsid w:val="00C47E56"/>
    <w:rsid w:val="00C50C2B"/>
    <w:rsid w:val="00C55F5F"/>
    <w:rsid w:val="00C5788C"/>
    <w:rsid w:val="00C5796E"/>
    <w:rsid w:val="00C619B4"/>
    <w:rsid w:val="00C67757"/>
    <w:rsid w:val="00C73292"/>
    <w:rsid w:val="00C756B2"/>
    <w:rsid w:val="00C81993"/>
    <w:rsid w:val="00C87ABA"/>
    <w:rsid w:val="00C91EDA"/>
    <w:rsid w:val="00C92CE3"/>
    <w:rsid w:val="00C96E22"/>
    <w:rsid w:val="00CA09A1"/>
    <w:rsid w:val="00CA607C"/>
    <w:rsid w:val="00CB542D"/>
    <w:rsid w:val="00CB6477"/>
    <w:rsid w:val="00CC4240"/>
    <w:rsid w:val="00CC460C"/>
    <w:rsid w:val="00CC7328"/>
    <w:rsid w:val="00CC73F6"/>
    <w:rsid w:val="00CC7D18"/>
    <w:rsid w:val="00CD0416"/>
    <w:rsid w:val="00CD15EA"/>
    <w:rsid w:val="00CD2EA2"/>
    <w:rsid w:val="00CD36BD"/>
    <w:rsid w:val="00CD4927"/>
    <w:rsid w:val="00CD5049"/>
    <w:rsid w:val="00CD5E9E"/>
    <w:rsid w:val="00CE235C"/>
    <w:rsid w:val="00CE2F5C"/>
    <w:rsid w:val="00CE4C54"/>
    <w:rsid w:val="00CF27F0"/>
    <w:rsid w:val="00D02ACF"/>
    <w:rsid w:val="00D037DE"/>
    <w:rsid w:val="00D03C60"/>
    <w:rsid w:val="00D06367"/>
    <w:rsid w:val="00D1065A"/>
    <w:rsid w:val="00D122F5"/>
    <w:rsid w:val="00D17D78"/>
    <w:rsid w:val="00D233E4"/>
    <w:rsid w:val="00D235A4"/>
    <w:rsid w:val="00D237BF"/>
    <w:rsid w:val="00D25973"/>
    <w:rsid w:val="00D27537"/>
    <w:rsid w:val="00D27AA5"/>
    <w:rsid w:val="00D32CA2"/>
    <w:rsid w:val="00D36774"/>
    <w:rsid w:val="00D36CA3"/>
    <w:rsid w:val="00D37C8A"/>
    <w:rsid w:val="00D4694C"/>
    <w:rsid w:val="00D511E2"/>
    <w:rsid w:val="00D6736C"/>
    <w:rsid w:val="00D74023"/>
    <w:rsid w:val="00D80306"/>
    <w:rsid w:val="00D811C6"/>
    <w:rsid w:val="00D86923"/>
    <w:rsid w:val="00D90E3B"/>
    <w:rsid w:val="00DA126A"/>
    <w:rsid w:val="00DA4811"/>
    <w:rsid w:val="00DB0D8A"/>
    <w:rsid w:val="00DB1E36"/>
    <w:rsid w:val="00DB7014"/>
    <w:rsid w:val="00DC4276"/>
    <w:rsid w:val="00DC51AC"/>
    <w:rsid w:val="00DC747E"/>
    <w:rsid w:val="00DD208A"/>
    <w:rsid w:val="00DD4220"/>
    <w:rsid w:val="00DD4A61"/>
    <w:rsid w:val="00DE1CB0"/>
    <w:rsid w:val="00DE38F4"/>
    <w:rsid w:val="00DE5037"/>
    <w:rsid w:val="00DE78AA"/>
    <w:rsid w:val="00DF09BE"/>
    <w:rsid w:val="00DF3992"/>
    <w:rsid w:val="00DF6E4C"/>
    <w:rsid w:val="00E04DB2"/>
    <w:rsid w:val="00E12B46"/>
    <w:rsid w:val="00E159A4"/>
    <w:rsid w:val="00E1669A"/>
    <w:rsid w:val="00E20D16"/>
    <w:rsid w:val="00E248FB"/>
    <w:rsid w:val="00E34C5F"/>
    <w:rsid w:val="00E3668B"/>
    <w:rsid w:val="00E36F15"/>
    <w:rsid w:val="00E3778B"/>
    <w:rsid w:val="00E42738"/>
    <w:rsid w:val="00E44FF3"/>
    <w:rsid w:val="00E45742"/>
    <w:rsid w:val="00E52ABA"/>
    <w:rsid w:val="00E559F9"/>
    <w:rsid w:val="00E60583"/>
    <w:rsid w:val="00E607DB"/>
    <w:rsid w:val="00E62F8C"/>
    <w:rsid w:val="00E70BFC"/>
    <w:rsid w:val="00E756BF"/>
    <w:rsid w:val="00E8003B"/>
    <w:rsid w:val="00E80B88"/>
    <w:rsid w:val="00E83022"/>
    <w:rsid w:val="00E86EA7"/>
    <w:rsid w:val="00E874D6"/>
    <w:rsid w:val="00EA2442"/>
    <w:rsid w:val="00EA3E89"/>
    <w:rsid w:val="00EA4280"/>
    <w:rsid w:val="00EA50DC"/>
    <w:rsid w:val="00EB1579"/>
    <w:rsid w:val="00EB230B"/>
    <w:rsid w:val="00EB2FD6"/>
    <w:rsid w:val="00EB741A"/>
    <w:rsid w:val="00ED3CA6"/>
    <w:rsid w:val="00EE0A4A"/>
    <w:rsid w:val="00EE5758"/>
    <w:rsid w:val="00EE57CD"/>
    <w:rsid w:val="00EF1A7D"/>
    <w:rsid w:val="00EF57EB"/>
    <w:rsid w:val="00EF7C82"/>
    <w:rsid w:val="00F006C6"/>
    <w:rsid w:val="00F046A9"/>
    <w:rsid w:val="00F0582D"/>
    <w:rsid w:val="00F05E6D"/>
    <w:rsid w:val="00F1026E"/>
    <w:rsid w:val="00F11136"/>
    <w:rsid w:val="00F20491"/>
    <w:rsid w:val="00F20797"/>
    <w:rsid w:val="00F22CCD"/>
    <w:rsid w:val="00F40C86"/>
    <w:rsid w:val="00F40D96"/>
    <w:rsid w:val="00F43876"/>
    <w:rsid w:val="00F44650"/>
    <w:rsid w:val="00F4637B"/>
    <w:rsid w:val="00F46F12"/>
    <w:rsid w:val="00F46FE1"/>
    <w:rsid w:val="00F472F7"/>
    <w:rsid w:val="00F47873"/>
    <w:rsid w:val="00F506DB"/>
    <w:rsid w:val="00F51A69"/>
    <w:rsid w:val="00F521D0"/>
    <w:rsid w:val="00F52A4D"/>
    <w:rsid w:val="00F634CA"/>
    <w:rsid w:val="00F656FF"/>
    <w:rsid w:val="00F66BA5"/>
    <w:rsid w:val="00F72345"/>
    <w:rsid w:val="00F7462F"/>
    <w:rsid w:val="00F75EFC"/>
    <w:rsid w:val="00F772F4"/>
    <w:rsid w:val="00F85B52"/>
    <w:rsid w:val="00F87EA4"/>
    <w:rsid w:val="00F979E3"/>
    <w:rsid w:val="00FA2C14"/>
    <w:rsid w:val="00FA365D"/>
    <w:rsid w:val="00FB022E"/>
    <w:rsid w:val="00FC4D4F"/>
    <w:rsid w:val="00FD240B"/>
    <w:rsid w:val="00FD24F4"/>
    <w:rsid w:val="00FE219F"/>
    <w:rsid w:val="00FE2C1A"/>
    <w:rsid w:val="00FE2FB8"/>
    <w:rsid w:val="00FE3CE0"/>
    <w:rsid w:val="00FE5963"/>
    <w:rsid w:val="00FE7FEB"/>
    <w:rsid w:val="00FF2122"/>
    <w:rsid w:val="00FF27D2"/>
    <w:rsid w:val="00FF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lang w:val="x-none" w:eastAsia="x-none"/>
    </w:rPr>
  </w:style>
  <w:style w:type="paragraph" w:styleId="Heading2">
    <w:name w:val="heading 2"/>
    <w:basedOn w:val="Normal"/>
    <w:next w:val="ParaNum"/>
    <w:qFormat/>
    <w:rsid w:val="00C55F5F"/>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3"/>
      </w:numPr>
      <w:tabs>
        <w:tab w:val="clear" w:pos="540"/>
        <w:tab w:val="num" w:pos="1080"/>
        <w:tab w:val="left" w:pos="1440"/>
      </w:tabs>
      <w:spacing w:after="220"/>
      <w:ind w:left="0"/>
      <w:jc w:val="both"/>
    </w:pPr>
    <w:rPr>
      <w:lang w:val="x-none" w:eastAsia="x-none"/>
    </w:rPr>
  </w:style>
  <w:style w:type="paragraph" w:styleId="FootnoteText">
    <w:name w:val="footnote text"/>
    <w:aliases w:val="Footnote Text Char2,Footnote Text Char Char1,Footnote Text Char1 Char Char,Footnote Text Char Char Char Char,Footnote Text Char2 Char Char1 Char Char,Footnote Text Char1 Char Char Char Char Char,Footnote Text Char,Footnote Text Char3 Char"/>
    <w:basedOn w:val="Normal"/>
    <w:link w:val="FootnoteTextChar1"/>
    <w:uiPriority w:val="99"/>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Style 4,Footnote Reference1,Style 6,Style 7"/>
    <w:uiPriority w:val="99"/>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styleId="Hyperlink">
    <w:name w:val="Hyperlink"/>
    <w:uiPriority w:val="99"/>
    <w:rPr>
      <w:color w:val="0000FF"/>
      <w:u w:val="single"/>
    </w:rPr>
  </w:style>
  <w:style w:type="character" w:customStyle="1" w:styleId="bestsection1">
    <w:name w:val="bestsection1"/>
    <w:rPr>
      <w:color w:val="FF0000"/>
    </w:rPr>
  </w:style>
  <w:style w:type="character" w:customStyle="1" w:styleId="searchterm1">
    <w:name w:val="searchterm1"/>
    <w:rPr>
      <w:b/>
      <w:bCs/>
      <w:shd w:val="clear" w:color="auto" w:fill="FFFF00"/>
    </w:rPr>
  </w:style>
  <w:style w:type="character" w:customStyle="1" w:styleId="FootnoteTextChar1">
    <w:name w:val="Footnote Text Char1"/>
    <w:aliases w:val="Footnote Text Char2 Char,Footnote Text Char Char1 Char,Footnote Text Char1 Char Char Char,Footnote Text Char Char Char Char Char,Footnote Text Char2 Char Char1 Char Char Char,Footnote Text Char1 Char Char Char Char Char Char"/>
    <w:link w:val="FootnoteText"/>
    <w:rPr>
      <w:lang w:val="en-US" w:eastAsia="en-US" w:bidi="ar-SA"/>
    </w:rPr>
  </w:style>
  <w:style w:type="character" w:customStyle="1" w:styleId="Heading1Char">
    <w:name w:val="Heading 1 Char"/>
    <w:link w:val="Heading1"/>
    <w:rPr>
      <w:b/>
      <w:caps/>
      <w:sz w:val="22"/>
      <w:lang w:val="x-none" w:eastAsia="x-none"/>
    </w:rPr>
  </w:style>
  <w:style w:type="paragraph" w:styleId="DocumentMap">
    <w:name w:val="Document Map"/>
    <w:basedOn w:val="Normal"/>
    <w:semiHidden/>
    <w:pPr>
      <w:shd w:val="clear" w:color="auto" w:fill="000080"/>
    </w:pPr>
    <w:rPr>
      <w:rFonts w:ascii="Tahoma" w:hAnsi="Tahoma" w:cs="Tahoma"/>
      <w:sz w:val="20"/>
    </w:rPr>
  </w:style>
  <w:style w:type="character" w:customStyle="1" w:styleId="FootnoteTextChar3CharChar">
    <w:name w:val="Footnote Text Char3 Char Char"/>
    <w:aliases w:val="Footnote Text Char2 Char Char Char,Footnote Text Char Char1 Char Char Char,Footnote Text Char Char Char Char Char Char Char1,Footnote Text Char7 Char1"/>
    <w:rPr>
      <w:lang w:val="en-US" w:eastAsia="en-US" w:bidi="ar-SA"/>
    </w:rPr>
  </w:style>
  <w:style w:type="character" w:customStyle="1" w:styleId="ParaNumChar">
    <w:name w:val="ParaNum Char"/>
    <w:link w:val="ParaNum"/>
    <w:rPr>
      <w:sz w:val="22"/>
      <w:lang w:val="x-none" w:eastAsia="x-none"/>
    </w:rPr>
  </w:style>
  <w:style w:type="character" w:customStyle="1" w:styleId="FooterChar">
    <w:name w:val="Footer Char"/>
    <w:link w:val="Footer"/>
    <w:uiPriority w:val="99"/>
    <w:rPr>
      <w:sz w:val="22"/>
    </w:rPr>
  </w:style>
  <w:style w:type="character" w:customStyle="1" w:styleId="emphi1">
    <w:name w:val="emphi1"/>
    <w:rPr>
      <w:i/>
      <w:iCs/>
    </w:rPr>
  </w:style>
  <w:style w:type="character" w:customStyle="1" w:styleId="cosearchterm7">
    <w:name w:val="co_searchterm7"/>
    <w:rPr>
      <w:b/>
      <w:bCs/>
      <w:color w:val="252525"/>
    </w:rPr>
  </w:style>
  <w:style w:type="character" w:customStyle="1" w:styleId="cosearchterm8">
    <w:name w:val="co_searchterm8"/>
    <w:rPr>
      <w:b/>
      <w:bCs/>
      <w:color w:val="252525"/>
    </w:rPr>
  </w:style>
  <w:style w:type="character" w:customStyle="1" w:styleId="cosearchterm9">
    <w:name w:val="co_searchterm9"/>
    <w:rPr>
      <w:b/>
      <w:bCs/>
      <w:color w:val="252525"/>
    </w:rPr>
  </w:style>
  <w:style w:type="character" w:customStyle="1" w:styleId="cosearchterm10">
    <w:name w:val="co_searchterm10"/>
    <w:rPr>
      <w:b/>
      <w:bCs/>
      <w:color w:val="252525"/>
    </w:rPr>
  </w:style>
  <w:style w:type="character" w:styleId="Emphasis">
    <w:name w:val="Emphasis"/>
    <w:uiPriority w:val="20"/>
    <w:qFormat/>
    <w:rPr>
      <w:i/>
      <w:iCs/>
    </w:rPr>
  </w:style>
  <w:style w:type="character" w:customStyle="1" w:styleId="costarpage2">
    <w:name w:val="co_starpage2"/>
  </w:style>
  <w:style w:type="character" w:customStyle="1" w:styleId="cosearchterm6">
    <w:name w:val="co_searchterm6"/>
    <w:rPr>
      <w:b/>
      <w:bCs/>
      <w:color w:val="252525"/>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displayhltextactive1">
    <w:name w:val="display_hl_text_active1"/>
    <w:rPr>
      <w:bdr w:val="single" w:sz="6" w:space="0" w:color="993333" w:frame="1"/>
      <w:shd w:val="clear" w:color="auto" w:fill="FFFF99"/>
    </w:rPr>
  </w:style>
  <w:style w:type="character" w:customStyle="1" w:styleId="displayhltext1">
    <w:name w:val="display_hl_text1"/>
    <w:rPr>
      <w:shd w:val="clear" w:color="auto" w:fill="FFFF99"/>
    </w:rPr>
  </w:style>
  <w:style w:type="paragraph" w:customStyle="1" w:styleId="ColorfulShading-Accent11">
    <w:name w:val="Colorful Shading - Accent 11"/>
    <w:hidden/>
    <w:uiPriority w:val="99"/>
    <w:semiHidden/>
    <w:rPr>
      <w:sz w:val="22"/>
    </w:rPr>
  </w:style>
  <w:style w:type="character" w:customStyle="1" w:styleId="Heading3Char">
    <w:name w:val="Heading 3 Char"/>
    <w:link w:val="Heading3"/>
    <w:rsid w:val="009701A0"/>
    <w:rPr>
      <w:b/>
      <w:sz w:val="22"/>
    </w:rPr>
  </w:style>
  <w:style w:type="character" w:customStyle="1" w:styleId="documentbody">
    <w:name w:val="documentbody"/>
    <w:rsid w:val="00042F0B"/>
    <w:rPr>
      <w:rFonts w:ascii="Verdana" w:hAnsi="Verdana"/>
      <w:sz w:val="19"/>
    </w:rPr>
  </w:style>
  <w:style w:type="paragraph" w:styleId="ListParagraph">
    <w:name w:val="List Paragraph"/>
    <w:basedOn w:val="Normal"/>
    <w:uiPriority w:val="34"/>
    <w:qFormat/>
    <w:rsid w:val="00EF7C82"/>
    <w:pPr>
      <w:ind w:left="720"/>
    </w:pPr>
  </w:style>
  <w:style w:type="character" w:customStyle="1" w:styleId="copy">
    <w:name w:val="copy"/>
    <w:basedOn w:val="DefaultParagraphFont"/>
    <w:rsid w:val="00DF6E4C"/>
  </w:style>
  <w:style w:type="character" w:customStyle="1" w:styleId="FootnoteTextChar3">
    <w:name w:val="Footnote Text Char3"/>
    <w:aliases w:val="Footnote Text Char Char2,Footnote Text Char3 Char Char1,Footnote Text Char2 Char Char Char1,Footnote Text Char Char1 Char Char Char1,Footnote Text Char1 Char Char Char Char Char1,Footnote Text Char Char Char Char Char Char Char2"/>
    <w:semiHidden/>
    <w:rsid w:val="00850419"/>
    <w:rPr>
      <w:lang w:eastAsia="en-US"/>
    </w:rPr>
  </w:style>
  <w:style w:type="paragraph" w:customStyle="1" w:styleId="Default">
    <w:name w:val="Default"/>
    <w:rsid w:val="009A5AD7"/>
    <w:pPr>
      <w:autoSpaceDE w:val="0"/>
      <w:autoSpaceDN w:val="0"/>
      <w:adjustRightInd w:val="0"/>
    </w:pPr>
    <w:rPr>
      <w:color w:val="000000"/>
      <w:sz w:val="24"/>
      <w:szCs w:val="24"/>
    </w:rPr>
  </w:style>
  <w:style w:type="paragraph" w:styleId="Revision">
    <w:name w:val="Revision"/>
    <w:hidden/>
    <w:uiPriority w:val="71"/>
    <w:rsid w:val="009D7A0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lang w:val="x-none" w:eastAsia="x-none"/>
    </w:rPr>
  </w:style>
  <w:style w:type="paragraph" w:styleId="Heading2">
    <w:name w:val="heading 2"/>
    <w:basedOn w:val="Normal"/>
    <w:next w:val="ParaNum"/>
    <w:qFormat/>
    <w:rsid w:val="00C55F5F"/>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3"/>
      </w:numPr>
      <w:tabs>
        <w:tab w:val="clear" w:pos="540"/>
        <w:tab w:val="num" w:pos="1080"/>
        <w:tab w:val="left" w:pos="1440"/>
      </w:tabs>
      <w:spacing w:after="220"/>
      <w:ind w:left="0"/>
      <w:jc w:val="both"/>
    </w:pPr>
    <w:rPr>
      <w:lang w:val="x-none" w:eastAsia="x-none"/>
    </w:rPr>
  </w:style>
  <w:style w:type="paragraph" w:styleId="FootnoteText">
    <w:name w:val="footnote text"/>
    <w:aliases w:val="Footnote Text Char2,Footnote Text Char Char1,Footnote Text Char1 Char Char,Footnote Text Char Char Char Char,Footnote Text Char2 Char Char1 Char Char,Footnote Text Char1 Char Char Char Char Char,Footnote Text Char,Footnote Text Char3 Char"/>
    <w:basedOn w:val="Normal"/>
    <w:link w:val="FootnoteTextChar1"/>
    <w:uiPriority w:val="99"/>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Style 4,Footnote Reference1,Style 6,Style 7"/>
    <w:uiPriority w:val="99"/>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styleId="Hyperlink">
    <w:name w:val="Hyperlink"/>
    <w:uiPriority w:val="99"/>
    <w:rPr>
      <w:color w:val="0000FF"/>
      <w:u w:val="single"/>
    </w:rPr>
  </w:style>
  <w:style w:type="character" w:customStyle="1" w:styleId="bestsection1">
    <w:name w:val="bestsection1"/>
    <w:rPr>
      <w:color w:val="FF0000"/>
    </w:rPr>
  </w:style>
  <w:style w:type="character" w:customStyle="1" w:styleId="searchterm1">
    <w:name w:val="searchterm1"/>
    <w:rPr>
      <w:b/>
      <w:bCs/>
      <w:shd w:val="clear" w:color="auto" w:fill="FFFF00"/>
    </w:rPr>
  </w:style>
  <w:style w:type="character" w:customStyle="1" w:styleId="FootnoteTextChar1">
    <w:name w:val="Footnote Text Char1"/>
    <w:aliases w:val="Footnote Text Char2 Char,Footnote Text Char Char1 Char,Footnote Text Char1 Char Char Char,Footnote Text Char Char Char Char Char,Footnote Text Char2 Char Char1 Char Char Char,Footnote Text Char1 Char Char Char Char Char Char"/>
    <w:link w:val="FootnoteText"/>
    <w:rPr>
      <w:lang w:val="en-US" w:eastAsia="en-US" w:bidi="ar-SA"/>
    </w:rPr>
  </w:style>
  <w:style w:type="character" w:customStyle="1" w:styleId="Heading1Char">
    <w:name w:val="Heading 1 Char"/>
    <w:link w:val="Heading1"/>
    <w:rPr>
      <w:b/>
      <w:caps/>
      <w:sz w:val="22"/>
      <w:lang w:val="x-none" w:eastAsia="x-none"/>
    </w:rPr>
  </w:style>
  <w:style w:type="paragraph" w:styleId="DocumentMap">
    <w:name w:val="Document Map"/>
    <w:basedOn w:val="Normal"/>
    <w:semiHidden/>
    <w:pPr>
      <w:shd w:val="clear" w:color="auto" w:fill="000080"/>
    </w:pPr>
    <w:rPr>
      <w:rFonts w:ascii="Tahoma" w:hAnsi="Tahoma" w:cs="Tahoma"/>
      <w:sz w:val="20"/>
    </w:rPr>
  </w:style>
  <w:style w:type="character" w:customStyle="1" w:styleId="FootnoteTextChar3CharChar">
    <w:name w:val="Footnote Text Char3 Char Char"/>
    <w:aliases w:val="Footnote Text Char2 Char Char Char,Footnote Text Char Char1 Char Char Char,Footnote Text Char Char Char Char Char Char Char1,Footnote Text Char7 Char1"/>
    <w:rPr>
      <w:lang w:val="en-US" w:eastAsia="en-US" w:bidi="ar-SA"/>
    </w:rPr>
  </w:style>
  <w:style w:type="character" w:customStyle="1" w:styleId="ParaNumChar">
    <w:name w:val="ParaNum Char"/>
    <w:link w:val="ParaNum"/>
    <w:rPr>
      <w:sz w:val="22"/>
      <w:lang w:val="x-none" w:eastAsia="x-none"/>
    </w:rPr>
  </w:style>
  <w:style w:type="character" w:customStyle="1" w:styleId="FooterChar">
    <w:name w:val="Footer Char"/>
    <w:link w:val="Footer"/>
    <w:uiPriority w:val="99"/>
    <w:rPr>
      <w:sz w:val="22"/>
    </w:rPr>
  </w:style>
  <w:style w:type="character" w:customStyle="1" w:styleId="emphi1">
    <w:name w:val="emphi1"/>
    <w:rPr>
      <w:i/>
      <w:iCs/>
    </w:rPr>
  </w:style>
  <w:style w:type="character" w:customStyle="1" w:styleId="cosearchterm7">
    <w:name w:val="co_searchterm7"/>
    <w:rPr>
      <w:b/>
      <w:bCs/>
      <w:color w:val="252525"/>
    </w:rPr>
  </w:style>
  <w:style w:type="character" w:customStyle="1" w:styleId="cosearchterm8">
    <w:name w:val="co_searchterm8"/>
    <w:rPr>
      <w:b/>
      <w:bCs/>
      <w:color w:val="252525"/>
    </w:rPr>
  </w:style>
  <w:style w:type="character" w:customStyle="1" w:styleId="cosearchterm9">
    <w:name w:val="co_searchterm9"/>
    <w:rPr>
      <w:b/>
      <w:bCs/>
      <w:color w:val="252525"/>
    </w:rPr>
  </w:style>
  <w:style w:type="character" w:customStyle="1" w:styleId="cosearchterm10">
    <w:name w:val="co_searchterm10"/>
    <w:rPr>
      <w:b/>
      <w:bCs/>
      <w:color w:val="252525"/>
    </w:rPr>
  </w:style>
  <w:style w:type="character" w:styleId="Emphasis">
    <w:name w:val="Emphasis"/>
    <w:uiPriority w:val="20"/>
    <w:qFormat/>
    <w:rPr>
      <w:i/>
      <w:iCs/>
    </w:rPr>
  </w:style>
  <w:style w:type="character" w:customStyle="1" w:styleId="costarpage2">
    <w:name w:val="co_starpage2"/>
  </w:style>
  <w:style w:type="character" w:customStyle="1" w:styleId="cosearchterm6">
    <w:name w:val="co_searchterm6"/>
    <w:rPr>
      <w:b/>
      <w:bCs/>
      <w:color w:val="252525"/>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displayhltextactive1">
    <w:name w:val="display_hl_text_active1"/>
    <w:rPr>
      <w:bdr w:val="single" w:sz="6" w:space="0" w:color="993333" w:frame="1"/>
      <w:shd w:val="clear" w:color="auto" w:fill="FFFF99"/>
    </w:rPr>
  </w:style>
  <w:style w:type="character" w:customStyle="1" w:styleId="displayhltext1">
    <w:name w:val="display_hl_text1"/>
    <w:rPr>
      <w:shd w:val="clear" w:color="auto" w:fill="FFFF99"/>
    </w:rPr>
  </w:style>
  <w:style w:type="paragraph" w:customStyle="1" w:styleId="ColorfulShading-Accent11">
    <w:name w:val="Colorful Shading - Accent 11"/>
    <w:hidden/>
    <w:uiPriority w:val="99"/>
    <w:semiHidden/>
    <w:rPr>
      <w:sz w:val="22"/>
    </w:rPr>
  </w:style>
  <w:style w:type="character" w:customStyle="1" w:styleId="Heading3Char">
    <w:name w:val="Heading 3 Char"/>
    <w:link w:val="Heading3"/>
    <w:rsid w:val="009701A0"/>
    <w:rPr>
      <w:b/>
      <w:sz w:val="22"/>
    </w:rPr>
  </w:style>
  <w:style w:type="character" w:customStyle="1" w:styleId="documentbody">
    <w:name w:val="documentbody"/>
    <w:rsid w:val="00042F0B"/>
    <w:rPr>
      <w:rFonts w:ascii="Verdana" w:hAnsi="Verdana"/>
      <w:sz w:val="19"/>
    </w:rPr>
  </w:style>
  <w:style w:type="paragraph" w:styleId="ListParagraph">
    <w:name w:val="List Paragraph"/>
    <w:basedOn w:val="Normal"/>
    <w:uiPriority w:val="34"/>
    <w:qFormat/>
    <w:rsid w:val="00EF7C82"/>
    <w:pPr>
      <w:ind w:left="720"/>
    </w:pPr>
  </w:style>
  <w:style w:type="character" w:customStyle="1" w:styleId="copy">
    <w:name w:val="copy"/>
    <w:basedOn w:val="DefaultParagraphFont"/>
    <w:rsid w:val="00DF6E4C"/>
  </w:style>
  <w:style w:type="character" w:customStyle="1" w:styleId="FootnoteTextChar3">
    <w:name w:val="Footnote Text Char3"/>
    <w:aliases w:val="Footnote Text Char Char2,Footnote Text Char3 Char Char1,Footnote Text Char2 Char Char Char1,Footnote Text Char Char1 Char Char Char1,Footnote Text Char1 Char Char Char Char Char1,Footnote Text Char Char Char Char Char Char Char2"/>
    <w:semiHidden/>
    <w:rsid w:val="00850419"/>
    <w:rPr>
      <w:lang w:eastAsia="en-US"/>
    </w:rPr>
  </w:style>
  <w:style w:type="paragraph" w:customStyle="1" w:styleId="Default">
    <w:name w:val="Default"/>
    <w:rsid w:val="009A5AD7"/>
    <w:pPr>
      <w:autoSpaceDE w:val="0"/>
      <w:autoSpaceDN w:val="0"/>
      <w:adjustRightInd w:val="0"/>
    </w:pPr>
    <w:rPr>
      <w:color w:val="000000"/>
      <w:sz w:val="24"/>
      <w:szCs w:val="24"/>
    </w:rPr>
  </w:style>
  <w:style w:type="paragraph" w:styleId="Revision">
    <w:name w:val="Revision"/>
    <w:hidden/>
    <w:uiPriority w:val="71"/>
    <w:rsid w:val="009D7A0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46219">
      <w:bodyDiv w:val="1"/>
      <w:marLeft w:val="0"/>
      <w:marRight w:val="0"/>
      <w:marTop w:val="0"/>
      <w:marBottom w:val="0"/>
      <w:divBdr>
        <w:top w:val="none" w:sz="0" w:space="0" w:color="auto"/>
        <w:left w:val="none" w:sz="0" w:space="0" w:color="auto"/>
        <w:bottom w:val="none" w:sz="0" w:space="0" w:color="auto"/>
        <w:right w:val="none" w:sz="0" w:space="0" w:color="auto"/>
      </w:divBdr>
    </w:div>
    <w:div w:id="383606798">
      <w:bodyDiv w:val="1"/>
      <w:marLeft w:val="30"/>
      <w:marRight w:val="30"/>
      <w:marTop w:val="30"/>
      <w:marBottom w:val="30"/>
      <w:divBdr>
        <w:top w:val="none" w:sz="0" w:space="0" w:color="auto"/>
        <w:left w:val="none" w:sz="0" w:space="0" w:color="auto"/>
        <w:bottom w:val="none" w:sz="0" w:space="0" w:color="auto"/>
        <w:right w:val="none" w:sz="0" w:space="0" w:color="auto"/>
      </w:divBdr>
      <w:divsChild>
        <w:div w:id="1495104301">
          <w:marLeft w:val="0"/>
          <w:marRight w:val="0"/>
          <w:marTop w:val="0"/>
          <w:marBottom w:val="0"/>
          <w:divBdr>
            <w:top w:val="none" w:sz="0" w:space="0" w:color="auto"/>
            <w:left w:val="none" w:sz="0" w:space="0" w:color="auto"/>
            <w:bottom w:val="none" w:sz="0" w:space="0" w:color="auto"/>
            <w:right w:val="none" w:sz="0" w:space="0" w:color="auto"/>
          </w:divBdr>
          <w:divsChild>
            <w:div w:id="978649847">
              <w:marLeft w:val="45"/>
              <w:marRight w:val="45"/>
              <w:marTop w:val="45"/>
              <w:marBottom w:val="45"/>
              <w:divBdr>
                <w:top w:val="none" w:sz="0" w:space="0" w:color="auto"/>
                <w:left w:val="none" w:sz="0" w:space="0" w:color="auto"/>
                <w:bottom w:val="none" w:sz="0" w:space="0" w:color="auto"/>
                <w:right w:val="none" w:sz="0" w:space="0" w:color="auto"/>
              </w:divBdr>
              <w:divsChild>
                <w:div w:id="2121949542">
                  <w:marLeft w:val="0"/>
                  <w:marRight w:val="0"/>
                  <w:marTop w:val="0"/>
                  <w:marBottom w:val="0"/>
                  <w:divBdr>
                    <w:top w:val="none" w:sz="0" w:space="0" w:color="auto"/>
                    <w:left w:val="none" w:sz="0" w:space="0" w:color="auto"/>
                    <w:bottom w:val="none" w:sz="0" w:space="0" w:color="auto"/>
                    <w:right w:val="none" w:sz="0" w:space="0" w:color="auto"/>
                  </w:divBdr>
                  <w:divsChild>
                    <w:div w:id="18535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55870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07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420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4417113">
      <w:bodyDiv w:val="1"/>
      <w:marLeft w:val="0"/>
      <w:marRight w:val="0"/>
      <w:marTop w:val="0"/>
      <w:marBottom w:val="0"/>
      <w:divBdr>
        <w:top w:val="none" w:sz="0" w:space="0" w:color="auto"/>
        <w:left w:val="none" w:sz="0" w:space="0" w:color="auto"/>
        <w:bottom w:val="none" w:sz="0" w:space="0" w:color="auto"/>
        <w:right w:val="none" w:sz="0" w:space="0" w:color="auto"/>
      </w:divBdr>
    </w:div>
    <w:div w:id="639725817">
      <w:bodyDiv w:val="1"/>
      <w:marLeft w:val="0"/>
      <w:marRight w:val="0"/>
      <w:marTop w:val="0"/>
      <w:marBottom w:val="0"/>
      <w:divBdr>
        <w:top w:val="none" w:sz="0" w:space="0" w:color="auto"/>
        <w:left w:val="none" w:sz="0" w:space="0" w:color="auto"/>
        <w:bottom w:val="none" w:sz="0" w:space="0" w:color="auto"/>
        <w:right w:val="none" w:sz="0" w:space="0" w:color="auto"/>
      </w:divBdr>
      <w:divsChild>
        <w:div w:id="1792748401">
          <w:marLeft w:val="0"/>
          <w:marRight w:val="0"/>
          <w:marTop w:val="0"/>
          <w:marBottom w:val="0"/>
          <w:divBdr>
            <w:top w:val="none" w:sz="0" w:space="0" w:color="auto"/>
            <w:left w:val="none" w:sz="0" w:space="0" w:color="auto"/>
            <w:bottom w:val="none" w:sz="0" w:space="0" w:color="auto"/>
            <w:right w:val="none" w:sz="0" w:space="0" w:color="auto"/>
          </w:divBdr>
          <w:divsChild>
            <w:div w:id="1798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472">
      <w:bodyDiv w:val="1"/>
      <w:marLeft w:val="30"/>
      <w:marRight w:val="30"/>
      <w:marTop w:val="30"/>
      <w:marBottom w:val="30"/>
      <w:divBdr>
        <w:top w:val="none" w:sz="0" w:space="0" w:color="auto"/>
        <w:left w:val="none" w:sz="0" w:space="0" w:color="auto"/>
        <w:bottom w:val="none" w:sz="0" w:space="0" w:color="auto"/>
        <w:right w:val="none" w:sz="0" w:space="0" w:color="auto"/>
      </w:divBdr>
      <w:divsChild>
        <w:div w:id="1640718621">
          <w:marLeft w:val="0"/>
          <w:marRight w:val="0"/>
          <w:marTop w:val="0"/>
          <w:marBottom w:val="0"/>
          <w:divBdr>
            <w:top w:val="none" w:sz="0" w:space="0" w:color="auto"/>
            <w:left w:val="none" w:sz="0" w:space="0" w:color="auto"/>
            <w:bottom w:val="none" w:sz="0" w:space="0" w:color="auto"/>
            <w:right w:val="none" w:sz="0" w:space="0" w:color="auto"/>
          </w:divBdr>
          <w:divsChild>
            <w:div w:id="1536581531">
              <w:marLeft w:val="45"/>
              <w:marRight w:val="45"/>
              <w:marTop w:val="45"/>
              <w:marBottom w:val="45"/>
              <w:divBdr>
                <w:top w:val="none" w:sz="0" w:space="0" w:color="auto"/>
                <w:left w:val="none" w:sz="0" w:space="0" w:color="auto"/>
                <w:bottom w:val="none" w:sz="0" w:space="0" w:color="auto"/>
                <w:right w:val="none" w:sz="0" w:space="0" w:color="auto"/>
              </w:divBdr>
              <w:divsChild>
                <w:div w:id="732506431">
                  <w:marLeft w:val="0"/>
                  <w:marRight w:val="0"/>
                  <w:marTop w:val="0"/>
                  <w:marBottom w:val="0"/>
                  <w:divBdr>
                    <w:top w:val="none" w:sz="0" w:space="0" w:color="auto"/>
                    <w:left w:val="none" w:sz="0" w:space="0" w:color="auto"/>
                    <w:bottom w:val="none" w:sz="0" w:space="0" w:color="auto"/>
                    <w:right w:val="none" w:sz="0" w:space="0" w:color="auto"/>
                  </w:divBdr>
                  <w:divsChild>
                    <w:div w:id="234170567">
                      <w:marLeft w:val="0"/>
                      <w:marRight w:val="0"/>
                      <w:marTop w:val="0"/>
                      <w:marBottom w:val="0"/>
                      <w:divBdr>
                        <w:top w:val="none" w:sz="0" w:space="0" w:color="auto"/>
                        <w:left w:val="none" w:sz="0" w:space="0" w:color="auto"/>
                        <w:bottom w:val="none" w:sz="0" w:space="0" w:color="auto"/>
                        <w:right w:val="none" w:sz="0" w:space="0" w:color="auto"/>
                      </w:divBdr>
                    </w:div>
                    <w:div w:id="266234570">
                      <w:blockQuote w:val="1"/>
                      <w:marLeft w:val="720"/>
                      <w:marRight w:val="720"/>
                      <w:marTop w:val="100"/>
                      <w:marBottom w:val="100"/>
                      <w:divBdr>
                        <w:top w:val="none" w:sz="0" w:space="0" w:color="auto"/>
                        <w:left w:val="none" w:sz="0" w:space="0" w:color="auto"/>
                        <w:bottom w:val="none" w:sz="0" w:space="0" w:color="auto"/>
                        <w:right w:val="none" w:sz="0" w:space="0" w:color="auto"/>
                      </w:divBdr>
                    </w:div>
                    <w:div w:id="712533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318131">
                      <w:marLeft w:val="0"/>
                      <w:marRight w:val="0"/>
                      <w:marTop w:val="0"/>
                      <w:marBottom w:val="0"/>
                      <w:divBdr>
                        <w:top w:val="none" w:sz="0" w:space="0" w:color="auto"/>
                        <w:left w:val="none" w:sz="0" w:space="0" w:color="auto"/>
                        <w:bottom w:val="none" w:sz="0" w:space="0" w:color="auto"/>
                        <w:right w:val="none" w:sz="0" w:space="0" w:color="auto"/>
                      </w:divBdr>
                    </w:div>
                    <w:div w:id="2087416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7637144">
      <w:bodyDiv w:val="1"/>
      <w:marLeft w:val="30"/>
      <w:marRight w:val="30"/>
      <w:marTop w:val="30"/>
      <w:marBottom w:val="30"/>
      <w:divBdr>
        <w:top w:val="none" w:sz="0" w:space="0" w:color="auto"/>
        <w:left w:val="none" w:sz="0" w:space="0" w:color="auto"/>
        <w:bottom w:val="none" w:sz="0" w:space="0" w:color="auto"/>
        <w:right w:val="none" w:sz="0" w:space="0" w:color="auto"/>
      </w:divBdr>
      <w:divsChild>
        <w:div w:id="937561103">
          <w:marLeft w:val="0"/>
          <w:marRight w:val="0"/>
          <w:marTop w:val="0"/>
          <w:marBottom w:val="0"/>
          <w:divBdr>
            <w:top w:val="none" w:sz="0" w:space="0" w:color="auto"/>
            <w:left w:val="none" w:sz="0" w:space="0" w:color="auto"/>
            <w:bottom w:val="none" w:sz="0" w:space="0" w:color="auto"/>
            <w:right w:val="none" w:sz="0" w:space="0" w:color="auto"/>
          </w:divBdr>
          <w:divsChild>
            <w:div w:id="253172733">
              <w:marLeft w:val="45"/>
              <w:marRight w:val="45"/>
              <w:marTop w:val="45"/>
              <w:marBottom w:val="45"/>
              <w:divBdr>
                <w:top w:val="none" w:sz="0" w:space="0" w:color="auto"/>
                <w:left w:val="none" w:sz="0" w:space="0" w:color="auto"/>
                <w:bottom w:val="none" w:sz="0" w:space="0" w:color="auto"/>
                <w:right w:val="none" w:sz="0" w:space="0" w:color="auto"/>
              </w:divBdr>
              <w:divsChild>
                <w:div w:id="748775128">
                  <w:marLeft w:val="0"/>
                  <w:marRight w:val="0"/>
                  <w:marTop w:val="0"/>
                  <w:marBottom w:val="0"/>
                  <w:divBdr>
                    <w:top w:val="none" w:sz="0" w:space="0" w:color="auto"/>
                    <w:left w:val="none" w:sz="0" w:space="0" w:color="auto"/>
                    <w:bottom w:val="none" w:sz="0" w:space="0" w:color="auto"/>
                    <w:right w:val="none" w:sz="0" w:space="0" w:color="auto"/>
                  </w:divBdr>
                  <w:divsChild>
                    <w:div w:id="1885365177">
                      <w:marLeft w:val="0"/>
                      <w:marRight w:val="0"/>
                      <w:marTop w:val="0"/>
                      <w:marBottom w:val="0"/>
                      <w:divBdr>
                        <w:top w:val="none" w:sz="0" w:space="0" w:color="auto"/>
                        <w:left w:val="none" w:sz="0" w:space="0" w:color="auto"/>
                        <w:bottom w:val="none" w:sz="0" w:space="0" w:color="auto"/>
                        <w:right w:val="none" w:sz="0" w:space="0" w:color="auto"/>
                      </w:divBdr>
                      <w:divsChild>
                        <w:div w:id="1363170977">
                          <w:marLeft w:val="0"/>
                          <w:marRight w:val="0"/>
                          <w:marTop w:val="0"/>
                          <w:marBottom w:val="0"/>
                          <w:divBdr>
                            <w:top w:val="none" w:sz="0" w:space="0" w:color="auto"/>
                            <w:left w:val="none" w:sz="0" w:space="0" w:color="auto"/>
                            <w:bottom w:val="none" w:sz="0" w:space="0" w:color="auto"/>
                            <w:right w:val="none" w:sz="0" w:space="0" w:color="auto"/>
                          </w:divBdr>
                        </w:div>
                      </w:divsChild>
                    </w:div>
                    <w:div w:id="1183714254">
                      <w:marLeft w:val="0"/>
                      <w:marRight w:val="0"/>
                      <w:marTop w:val="0"/>
                      <w:marBottom w:val="0"/>
                      <w:divBdr>
                        <w:top w:val="none" w:sz="0" w:space="0" w:color="auto"/>
                        <w:left w:val="none" w:sz="0" w:space="0" w:color="auto"/>
                        <w:bottom w:val="none" w:sz="0" w:space="0" w:color="auto"/>
                        <w:right w:val="none" w:sz="0" w:space="0" w:color="auto"/>
                      </w:divBdr>
                    </w:div>
                    <w:div w:id="2059742268">
                      <w:marLeft w:val="0"/>
                      <w:marRight w:val="0"/>
                      <w:marTop w:val="0"/>
                      <w:marBottom w:val="0"/>
                      <w:divBdr>
                        <w:top w:val="none" w:sz="0" w:space="0" w:color="auto"/>
                        <w:left w:val="none" w:sz="0" w:space="0" w:color="auto"/>
                        <w:bottom w:val="none" w:sz="0" w:space="0" w:color="auto"/>
                        <w:right w:val="none" w:sz="0" w:space="0" w:color="auto"/>
                      </w:divBdr>
                    </w:div>
                    <w:div w:id="247351801">
                      <w:marLeft w:val="0"/>
                      <w:marRight w:val="0"/>
                      <w:marTop w:val="0"/>
                      <w:marBottom w:val="0"/>
                      <w:divBdr>
                        <w:top w:val="none" w:sz="0" w:space="0" w:color="auto"/>
                        <w:left w:val="none" w:sz="0" w:space="0" w:color="auto"/>
                        <w:bottom w:val="none" w:sz="0" w:space="0" w:color="auto"/>
                        <w:right w:val="none" w:sz="0" w:space="0" w:color="auto"/>
                      </w:divBdr>
                    </w:div>
                    <w:div w:id="2902103">
                      <w:marLeft w:val="360"/>
                      <w:marRight w:val="0"/>
                      <w:marTop w:val="0"/>
                      <w:marBottom w:val="0"/>
                      <w:divBdr>
                        <w:top w:val="none" w:sz="0" w:space="0" w:color="auto"/>
                        <w:left w:val="none" w:sz="0" w:space="0" w:color="auto"/>
                        <w:bottom w:val="none" w:sz="0" w:space="0" w:color="auto"/>
                        <w:right w:val="none" w:sz="0" w:space="0" w:color="auto"/>
                      </w:divBdr>
                    </w:div>
                    <w:div w:id="1069235500">
                      <w:marLeft w:val="360"/>
                      <w:marRight w:val="0"/>
                      <w:marTop w:val="0"/>
                      <w:marBottom w:val="0"/>
                      <w:divBdr>
                        <w:top w:val="none" w:sz="0" w:space="0" w:color="auto"/>
                        <w:left w:val="none" w:sz="0" w:space="0" w:color="auto"/>
                        <w:bottom w:val="none" w:sz="0" w:space="0" w:color="auto"/>
                        <w:right w:val="none" w:sz="0" w:space="0" w:color="auto"/>
                      </w:divBdr>
                    </w:div>
                    <w:div w:id="1810896312">
                      <w:marLeft w:val="0"/>
                      <w:marRight w:val="0"/>
                      <w:marTop w:val="0"/>
                      <w:marBottom w:val="0"/>
                      <w:divBdr>
                        <w:top w:val="none" w:sz="0" w:space="0" w:color="auto"/>
                        <w:left w:val="none" w:sz="0" w:space="0" w:color="auto"/>
                        <w:bottom w:val="none" w:sz="0" w:space="0" w:color="auto"/>
                        <w:right w:val="none" w:sz="0" w:space="0" w:color="auto"/>
                      </w:divBdr>
                    </w:div>
                    <w:div w:id="805322037">
                      <w:marLeft w:val="0"/>
                      <w:marRight w:val="0"/>
                      <w:marTop w:val="0"/>
                      <w:marBottom w:val="0"/>
                      <w:divBdr>
                        <w:top w:val="none" w:sz="0" w:space="0" w:color="auto"/>
                        <w:left w:val="none" w:sz="0" w:space="0" w:color="auto"/>
                        <w:bottom w:val="none" w:sz="0" w:space="0" w:color="auto"/>
                        <w:right w:val="none" w:sz="0" w:space="0" w:color="auto"/>
                      </w:divBdr>
                    </w:div>
                    <w:div w:id="735510754">
                      <w:marLeft w:val="0"/>
                      <w:marRight w:val="0"/>
                      <w:marTop w:val="0"/>
                      <w:marBottom w:val="0"/>
                      <w:divBdr>
                        <w:top w:val="none" w:sz="0" w:space="0" w:color="auto"/>
                        <w:left w:val="none" w:sz="0" w:space="0" w:color="auto"/>
                        <w:bottom w:val="none" w:sz="0" w:space="0" w:color="auto"/>
                        <w:right w:val="none" w:sz="0" w:space="0" w:color="auto"/>
                      </w:divBdr>
                    </w:div>
                    <w:div w:id="1573664766">
                      <w:marLeft w:val="360"/>
                      <w:marRight w:val="0"/>
                      <w:marTop w:val="0"/>
                      <w:marBottom w:val="0"/>
                      <w:divBdr>
                        <w:top w:val="none" w:sz="0" w:space="0" w:color="auto"/>
                        <w:left w:val="none" w:sz="0" w:space="0" w:color="auto"/>
                        <w:bottom w:val="none" w:sz="0" w:space="0" w:color="auto"/>
                        <w:right w:val="none" w:sz="0" w:space="0" w:color="auto"/>
                      </w:divBdr>
                    </w:div>
                    <w:div w:id="511839482">
                      <w:marLeft w:val="0"/>
                      <w:marRight w:val="0"/>
                      <w:marTop w:val="0"/>
                      <w:marBottom w:val="0"/>
                      <w:divBdr>
                        <w:top w:val="none" w:sz="0" w:space="0" w:color="auto"/>
                        <w:left w:val="none" w:sz="0" w:space="0" w:color="auto"/>
                        <w:bottom w:val="none" w:sz="0" w:space="0" w:color="auto"/>
                        <w:right w:val="none" w:sz="0" w:space="0" w:color="auto"/>
                      </w:divBdr>
                    </w:div>
                    <w:div w:id="1330522340">
                      <w:marLeft w:val="360"/>
                      <w:marRight w:val="0"/>
                      <w:marTop w:val="0"/>
                      <w:marBottom w:val="0"/>
                      <w:divBdr>
                        <w:top w:val="none" w:sz="0" w:space="0" w:color="auto"/>
                        <w:left w:val="none" w:sz="0" w:space="0" w:color="auto"/>
                        <w:bottom w:val="none" w:sz="0" w:space="0" w:color="auto"/>
                        <w:right w:val="none" w:sz="0" w:space="0" w:color="auto"/>
                      </w:divBdr>
                    </w:div>
                    <w:div w:id="1299385427">
                      <w:marLeft w:val="360"/>
                      <w:marRight w:val="0"/>
                      <w:marTop w:val="0"/>
                      <w:marBottom w:val="0"/>
                      <w:divBdr>
                        <w:top w:val="none" w:sz="0" w:space="0" w:color="auto"/>
                        <w:left w:val="none" w:sz="0" w:space="0" w:color="auto"/>
                        <w:bottom w:val="none" w:sz="0" w:space="0" w:color="auto"/>
                        <w:right w:val="none" w:sz="0" w:space="0" w:color="auto"/>
                      </w:divBdr>
                    </w:div>
                    <w:div w:id="1651328915">
                      <w:marLeft w:val="360"/>
                      <w:marRight w:val="0"/>
                      <w:marTop w:val="0"/>
                      <w:marBottom w:val="0"/>
                      <w:divBdr>
                        <w:top w:val="none" w:sz="0" w:space="0" w:color="auto"/>
                        <w:left w:val="none" w:sz="0" w:space="0" w:color="auto"/>
                        <w:bottom w:val="none" w:sz="0" w:space="0" w:color="auto"/>
                        <w:right w:val="none" w:sz="0" w:space="0" w:color="auto"/>
                      </w:divBdr>
                    </w:div>
                    <w:div w:id="1604024929">
                      <w:marLeft w:val="360"/>
                      <w:marRight w:val="0"/>
                      <w:marTop w:val="0"/>
                      <w:marBottom w:val="0"/>
                      <w:divBdr>
                        <w:top w:val="none" w:sz="0" w:space="0" w:color="auto"/>
                        <w:left w:val="none" w:sz="0" w:space="0" w:color="auto"/>
                        <w:bottom w:val="none" w:sz="0" w:space="0" w:color="auto"/>
                        <w:right w:val="none" w:sz="0" w:space="0" w:color="auto"/>
                      </w:divBdr>
                    </w:div>
                    <w:div w:id="692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06811">
      <w:bodyDiv w:val="1"/>
      <w:marLeft w:val="0"/>
      <w:marRight w:val="0"/>
      <w:marTop w:val="0"/>
      <w:marBottom w:val="0"/>
      <w:divBdr>
        <w:top w:val="none" w:sz="0" w:space="0" w:color="auto"/>
        <w:left w:val="none" w:sz="0" w:space="0" w:color="auto"/>
        <w:bottom w:val="none" w:sz="0" w:space="0" w:color="auto"/>
        <w:right w:val="none" w:sz="0" w:space="0" w:color="auto"/>
      </w:divBdr>
      <w:divsChild>
        <w:div w:id="1423137459">
          <w:marLeft w:val="0"/>
          <w:marRight w:val="0"/>
          <w:marTop w:val="0"/>
          <w:marBottom w:val="0"/>
          <w:divBdr>
            <w:top w:val="none" w:sz="0" w:space="0" w:color="auto"/>
            <w:left w:val="none" w:sz="0" w:space="0" w:color="auto"/>
            <w:bottom w:val="none" w:sz="0" w:space="0" w:color="auto"/>
            <w:right w:val="none" w:sz="0" w:space="0" w:color="auto"/>
          </w:divBdr>
          <w:divsChild>
            <w:div w:id="6346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7854">
      <w:bodyDiv w:val="1"/>
      <w:marLeft w:val="0"/>
      <w:marRight w:val="0"/>
      <w:marTop w:val="0"/>
      <w:marBottom w:val="0"/>
      <w:divBdr>
        <w:top w:val="none" w:sz="0" w:space="0" w:color="auto"/>
        <w:left w:val="none" w:sz="0" w:space="0" w:color="auto"/>
        <w:bottom w:val="none" w:sz="0" w:space="0" w:color="auto"/>
        <w:right w:val="none" w:sz="0" w:space="0" w:color="auto"/>
      </w:divBdr>
    </w:div>
    <w:div w:id="743794907">
      <w:bodyDiv w:val="1"/>
      <w:marLeft w:val="0"/>
      <w:marRight w:val="0"/>
      <w:marTop w:val="0"/>
      <w:marBottom w:val="0"/>
      <w:divBdr>
        <w:top w:val="none" w:sz="0" w:space="0" w:color="auto"/>
        <w:left w:val="none" w:sz="0" w:space="0" w:color="auto"/>
        <w:bottom w:val="none" w:sz="0" w:space="0" w:color="auto"/>
        <w:right w:val="none" w:sz="0" w:space="0" w:color="auto"/>
      </w:divBdr>
      <w:divsChild>
        <w:div w:id="616790626">
          <w:marLeft w:val="0"/>
          <w:marRight w:val="0"/>
          <w:marTop w:val="0"/>
          <w:marBottom w:val="0"/>
          <w:divBdr>
            <w:top w:val="none" w:sz="0" w:space="0" w:color="auto"/>
            <w:left w:val="single" w:sz="6" w:space="0" w:color="BBBBBB"/>
            <w:bottom w:val="single" w:sz="6" w:space="0" w:color="BBBBBB"/>
            <w:right w:val="single" w:sz="6" w:space="0" w:color="BBBBBB"/>
          </w:divBdr>
          <w:divsChild>
            <w:div w:id="1763649389">
              <w:marLeft w:val="0"/>
              <w:marRight w:val="0"/>
              <w:marTop w:val="0"/>
              <w:marBottom w:val="0"/>
              <w:divBdr>
                <w:top w:val="none" w:sz="0" w:space="0" w:color="auto"/>
                <w:left w:val="none" w:sz="0" w:space="0" w:color="auto"/>
                <w:bottom w:val="none" w:sz="0" w:space="0" w:color="auto"/>
                <w:right w:val="none" w:sz="0" w:space="0" w:color="auto"/>
              </w:divBdr>
              <w:divsChild>
                <w:div w:id="1784492128">
                  <w:marLeft w:val="0"/>
                  <w:marRight w:val="0"/>
                  <w:marTop w:val="0"/>
                  <w:marBottom w:val="0"/>
                  <w:divBdr>
                    <w:top w:val="none" w:sz="0" w:space="0" w:color="auto"/>
                    <w:left w:val="none" w:sz="0" w:space="0" w:color="auto"/>
                    <w:bottom w:val="none" w:sz="0" w:space="0" w:color="auto"/>
                    <w:right w:val="none" w:sz="0" w:space="0" w:color="auto"/>
                  </w:divBdr>
                  <w:divsChild>
                    <w:div w:id="1125006927">
                      <w:marLeft w:val="0"/>
                      <w:marRight w:val="0"/>
                      <w:marTop w:val="0"/>
                      <w:marBottom w:val="0"/>
                      <w:divBdr>
                        <w:top w:val="none" w:sz="0" w:space="0" w:color="auto"/>
                        <w:left w:val="none" w:sz="0" w:space="0" w:color="auto"/>
                        <w:bottom w:val="none" w:sz="0" w:space="0" w:color="auto"/>
                        <w:right w:val="none" w:sz="0" w:space="0" w:color="auto"/>
                      </w:divBdr>
                      <w:divsChild>
                        <w:div w:id="465660687">
                          <w:marLeft w:val="0"/>
                          <w:marRight w:val="0"/>
                          <w:marTop w:val="0"/>
                          <w:marBottom w:val="0"/>
                          <w:divBdr>
                            <w:top w:val="none" w:sz="0" w:space="0" w:color="auto"/>
                            <w:left w:val="none" w:sz="0" w:space="0" w:color="auto"/>
                            <w:bottom w:val="none" w:sz="0" w:space="0" w:color="auto"/>
                            <w:right w:val="none" w:sz="0" w:space="0" w:color="auto"/>
                          </w:divBdr>
                          <w:divsChild>
                            <w:div w:id="330453956">
                              <w:marLeft w:val="0"/>
                              <w:marRight w:val="0"/>
                              <w:marTop w:val="0"/>
                              <w:marBottom w:val="0"/>
                              <w:divBdr>
                                <w:top w:val="none" w:sz="0" w:space="0" w:color="auto"/>
                                <w:left w:val="none" w:sz="0" w:space="0" w:color="auto"/>
                                <w:bottom w:val="none" w:sz="0" w:space="0" w:color="auto"/>
                                <w:right w:val="none" w:sz="0" w:space="0" w:color="auto"/>
                              </w:divBdr>
                              <w:divsChild>
                                <w:div w:id="1191258342">
                                  <w:marLeft w:val="0"/>
                                  <w:marRight w:val="0"/>
                                  <w:marTop w:val="0"/>
                                  <w:marBottom w:val="0"/>
                                  <w:divBdr>
                                    <w:top w:val="none" w:sz="0" w:space="0" w:color="auto"/>
                                    <w:left w:val="none" w:sz="0" w:space="0" w:color="auto"/>
                                    <w:bottom w:val="none" w:sz="0" w:space="0" w:color="auto"/>
                                    <w:right w:val="none" w:sz="0" w:space="0" w:color="auto"/>
                                  </w:divBdr>
                                  <w:divsChild>
                                    <w:div w:id="315959050">
                                      <w:marLeft w:val="0"/>
                                      <w:marRight w:val="0"/>
                                      <w:marTop w:val="0"/>
                                      <w:marBottom w:val="0"/>
                                      <w:divBdr>
                                        <w:top w:val="none" w:sz="0" w:space="0" w:color="auto"/>
                                        <w:left w:val="none" w:sz="0" w:space="0" w:color="auto"/>
                                        <w:bottom w:val="none" w:sz="0" w:space="0" w:color="auto"/>
                                        <w:right w:val="none" w:sz="0" w:space="0" w:color="auto"/>
                                      </w:divBdr>
                                      <w:divsChild>
                                        <w:div w:id="1192717877">
                                          <w:marLeft w:val="1200"/>
                                          <w:marRight w:val="1200"/>
                                          <w:marTop w:val="0"/>
                                          <w:marBottom w:val="0"/>
                                          <w:divBdr>
                                            <w:top w:val="none" w:sz="0" w:space="0" w:color="auto"/>
                                            <w:left w:val="none" w:sz="0" w:space="0" w:color="auto"/>
                                            <w:bottom w:val="none" w:sz="0" w:space="0" w:color="auto"/>
                                            <w:right w:val="none" w:sz="0" w:space="0" w:color="auto"/>
                                          </w:divBdr>
                                          <w:divsChild>
                                            <w:div w:id="483352291">
                                              <w:marLeft w:val="0"/>
                                              <w:marRight w:val="0"/>
                                              <w:marTop w:val="0"/>
                                              <w:marBottom w:val="0"/>
                                              <w:divBdr>
                                                <w:top w:val="none" w:sz="0" w:space="0" w:color="auto"/>
                                                <w:left w:val="none" w:sz="0" w:space="0" w:color="auto"/>
                                                <w:bottom w:val="none" w:sz="0" w:space="0" w:color="auto"/>
                                                <w:right w:val="none" w:sz="0" w:space="0" w:color="auto"/>
                                              </w:divBdr>
                                              <w:divsChild>
                                                <w:div w:id="1709601247">
                                                  <w:marLeft w:val="0"/>
                                                  <w:marRight w:val="0"/>
                                                  <w:marTop w:val="240"/>
                                                  <w:marBottom w:val="0"/>
                                                  <w:divBdr>
                                                    <w:top w:val="none" w:sz="0" w:space="0" w:color="auto"/>
                                                    <w:left w:val="none" w:sz="0" w:space="0" w:color="auto"/>
                                                    <w:bottom w:val="none" w:sz="0" w:space="0" w:color="auto"/>
                                                    <w:right w:val="none" w:sz="0" w:space="0" w:color="auto"/>
                                                  </w:divBdr>
                                                  <w:divsChild>
                                                    <w:div w:id="591860893">
                                                      <w:marLeft w:val="0"/>
                                                      <w:marRight w:val="0"/>
                                                      <w:marTop w:val="0"/>
                                                      <w:marBottom w:val="0"/>
                                                      <w:divBdr>
                                                        <w:top w:val="none" w:sz="0" w:space="0" w:color="auto"/>
                                                        <w:left w:val="none" w:sz="0" w:space="0" w:color="auto"/>
                                                        <w:bottom w:val="none" w:sz="0" w:space="0" w:color="auto"/>
                                                        <w:right w:val="none" w:sz="0" w:space="0" w:color="auto"/>
                                                      </w:divBdr>
                                                      <w:divsChild>
                                                        <w:div w:id="2110155527">
                                                          <w:marLeft w:val="1275"/>
                                                          <w:marRight w:val="0"/>
                                                          <w:marTop w:val="0"/>
                                                          <w:marBottom w:val="0"/>
                                                          <w:divBdr>
                                                            <w:top w:val="none" w:sz="0" w:space="0" w:color="auto"/>
                                                            <w:left w:val="none" w:sz="0" w:space="0" w:color="auto"/>
                                                            <w:bottom w:val="none" w:sz="0" w:space="0" w:color="auto"/>
                                                            <w:right w:val="none" w:sz="0" w:space="0" w:color="auto"/>
                                                          </w:divBdr>
                                                          <w:divsChild>
                                                            <w:div w:id="1820072718">
                                                              <w:marLeft w:val="0"/>
                                                              <w:marRight w:val="0"/>
                                                              <w:marTop w:val="0"/>
                                                              <w:marBottom w:val="0"/>
                                                              <w:divBdr>
                                                                <w:top w:val="none" w:sz="0" w:space="0" w:color="auto"/>
                                                                <w:left w:val="none" w:sz="0" w:space="0" w:color="auto"/>
                                                                <w:bottom w:val="none" w:sz="0" w:space="0" w:color="auto"/>
                                                                <w:right w:val="none" w:sz="0" w:space="0" w:color="auto"/>
                                                              </w:divBdr>
                                                              <w:divsChild>
                                                                <w:div w:id="9061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838016">
      <w:bodyDiv w:val="1"/>
      <w:marLeft w:val="30"/>
      <w:marRight w:val="30"/>
      <w:marTop w:val="30"/>
      <w:marBottom w:val="30"/>
      <w:divBdr>
        <w:top w:val="none" w:sz="0" w:space="0" w:color="auto"/>
        <w:left w:val="none" w:sz="0" w:space="0" w:color="auto"/>
        <w:bottom w:val="none" w:sz="0" w:space="0" w:color="auto"/>
        <w:right w:val="none" w:sz="0" w:space="0" w:color="auto"/>
      </w:divBdr>
      <w:divsChild>
        <w:div w:id="1081216326">
          <w:marLeft w:val="0"/>
          <w:marRight w:val="0"/>
          <w:marTop w:val="0"/>
          <w:marBottom w:val="0"/>
          <w:divBdr>
            <w:top w:val="none" w:sz="0" w:space="0" w:color="auto"/>
            <w:left w:val="none" w:sz="0" w:space="0" w:color="auto"/>
            <w:bottom w:val="none" w:sz="0" w:space="0" w:color="auto"/>
            <w:right w:val="none" w:sz="0" w:space="0" w:color="auto"/>
          </w:divBdr>
          <w:divsChild>
            <w:div w:id="900019986">
              <w:marLeft w:val="45"/>
              <w:marRight w:val="45"/>
              <w:marTop w:val="45"/>
              <w:marBottom w:val="45"/>
              <w:divBdr>
                <w:top w:val="none" w:sz="0" w:space="0" w:color="auto"/>
                <w:left w:val="none" w:sz="0" w:space="0" w:color="auto"/>
                <w:bottom w:val="none" w:sz="0" w:space="0" w:color="auto"/>
                <w:right w:val="none" w:sz="0" w:space="0" w:color="auto"/>
              </w:divBdr>
              <w:divsChild>
                <w:div w:id="1990164333">
                  <w:marLeft w:val="0"/>
                  <w:marRight w:val="0"/>
                  <w:marTop w:val="0"/>
                  <w:marBottom w:val="0"/>
                  <w:divBdr>
                    <w:top w:val="none" w:sz="0" w:space="0" w:color="auto"/>
                    <w:left w:val="none" w:sz="0" w:space="0" w:color="auto"/>
                    <w:bottom w:val="none" w:sz="0" w:space="0" w:color="auto"/>
                    <w:right w:val="none" w:sz="0" w:space="0" w:color="auto"/>
                  </w:divBdr>
                  <w:divsChild>
                    <w:div w:id="347488830">
                      <w:blockQuote w:val="1"/>
                      <w:marLeft w:val="720"/>
                      <w:marRight w:val="720"/>
                      <w:marTop w:val="100"/>
                      <w:marBottom w:val="100"/>
                      <w:divBdr>
                        <w:top w:val="none" w:sz="0" w:space="0" w:color="auto"/>
                        <w:left w:val="none" w:sz="0" w:space="0" w:color="auto"/>
                        <w:bottom w:val="none" w:sz="0" w:space="0" w:color="auto"/>
                        <w:right w:val="none" w:sz="0" w:space="0" w:color="auto"/>
                      </w:divBdr>
                    </w:div>
                    <w:div w:id="57547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99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88953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794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752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15494049">
      <w:bodyDiv w:val="1"/>
      <w:marLeft w:val="30"/>
      <w:marRight w:val="30"/>
      <w:marTop w:val="30"/>
      <w:marBottom w:val="30"/>
      <w:divBdr>
        <w:top w:val="none" w:sz="0" w:space="0" w:color="auto"/>
        <w:left w:val="none" w:sz="0" w:space="0" w:color="auto"/>
        <w:bottom w:val="none" w:sz="0" w:space="0" w:color="auto"/>
        <w:right w:val="none" w:sz="0" w:space="0" w:color="auto"/>
      </w:divBdr>
      <w:divsChild>
        <w:div w:id="1310473732">
          <w:marLeft w:val="0"/>
          <w:marRight w:val="0"/>
          <w:marTop w:val="0"/>
          <w:marBottom w:val="0"/>
          <w:divBdr>
            <w:top w:val="none" w:sz="0" w:space="0" w:color="auto"/>
            <w:left w:val="none" w:sz="0" w:space="0" w:color="auto"/>
            <w:bottom w:val="none" w:sz="0" w:space="0" w:color="auto"/>
            <w:right w:val="none" w:sz="0" w:space="0" w:color="auto"/>
          </w:divBdr>
          <w:divsChild>
            <w:div w:id="381903184">
              <w:marLeft w:val="45"/>
              <w:marRight w:val="45"/>
              <w:marTop w:val="45"/>
              <w:marBottom w:val="45"/>
              <w:divBdr>
                <w:top w:val="none" w:sz="0" w:space="0" w:color="auto"/>
                <w:left w:val="none" w:sz="0" w:space="0" w:color="auto"/>
                <w:bottom w:val="none" w:sz="0" w:space="0" w:color="auto"/>
                <w:right w:val="none" w:sz="0" w:space="0" w:color="auto"/>
              </w:divBdr>
              <w:divsChild>
                <w:div w:id="729379682">
                  <w:marLeft w:val="0"/>
                  <w:marRight w:val="0"/>
                  <w:marTop w:val="0"/>
                  <w:marBottom w:val="0"/>
                  <w:divBdr>
                    <w:top w:val="none" w:sz="0" w:space="0" w:color="auto"/>
                    <w:left w:val="none" w:sz="0" w:space="0" w:color="auto"/>
                    <w:bottom w:val="none" w:sz="0" w:space="0" w:color="auto"/>
                    <w:right w:val="none" w:sz="0" w:space="0" w:color="auto"/>
                  </w:divBdr>
                  <w:divsChild>
                    <w:div w:id="819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46388">
      <w:bodyDiv w:val="1"/>
      <w:marLeft w:val="0"/>
      <w:marRight w:val="0"/>
      <w:marTop w:val="0"/>
      <w:marBottom w:val="0"/>
      <w:divBdr>
        <w:top w:val="none" w:sz="0" w:space="0" w:color="auto"/>
        <w:left w:val="none" w:sz="0" w:space="0" w:color="auto"/>
        <w:bottom w:val="none" w:sz="0" w:space="0" w:color="auto"/>
        <w:right w:val="none" w:sz="0" w:space="0" w:color="auto"/>
      </w:divBdr>
      <w:divsChild>
        <w:div w:id="2110158354">
          <w:marLeft w:val="0"/>
          <w:marRight w:val="0"/>
          <w:marTop w:val="0"/>
          <w:marBottom w:val="0"/>
          <w:divBdr>
            <w:top w:val="none" w:sz="0" w:space="0" w:color="auto"/>
            <w:left w:val="none" w:sz="0" w:space="0" w:color="auto"/>
            <w:bottom w:val="none" w:sz="0" w:space="0" w:color="auto"/>
            <w:right w:val="none" w:sz="0" w:space="0" w:color="auto"/>
          </w:divBdr>
          <w:divsChild>
            <w:div w:id="8003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0571">
      <w:bodyDiv w:val="1"/>
      <w:marLeft w:val="0"/>
      <w:marRight w:val="0"/>
      <w:marTop w:val="0"/>
      <w:marBottom w:val="0"/>
      <w:divBdr>
        <w:top w:val="none" w:sz="0" w:space="0" w:color="auto"/>
        <w:left w:val="none" w:sz="0" w:space="0" w:color="auto"/>
        <w:bottom w:val="none" w:sz="0" w:space="0" w:color="auto"/>
        <w:right w:val="none" w:sz="0" w:space="0" w:color="auto"/>
      </w:divBdr>
    </w:div>
    <w:div w:id="1324628982">
      <w:bodyDiv w:val="1"/>
      <w:marLeft w:val="0"/>
      <w:marRight w:val="0"/>
      <w:marTop w:val="0"/>
      <w:marBottom w:val="0"/>
      <w:divBdr>
        <w:top w:val="none" w:sz="0" w:space="0" w:color="auto"/>
        <w:left w:val="none" w:sz="0" w:space="0" w:color="auto"/>
        <w:bottom w:val="none" w:sz="0" w:space="0" w:color="auto"/>
        <w:right w:val="none" w:sz="0" w:space="0" w:color="auto"/>
      </w:divBdr>
      <w:divsChild>
        <w:div w:id="1210454977">
          <w:marLeft w:val="0"/>
          <w:marRight w:val="0"/>
          <w:marTop w:val="0"/>
          <w:marBottom w:val="0"/>
          <w:divBdr>
            <w:top w:val="none" w:sz="0" w:space="0" w:color="auto"/>
            <w:left w:val="none" w:sz="0" w:space="0" w:color="auto"/>
            <w:bottom w:val="none" w:sz="0" w:space="0" w:color="auto"/>
            <w:right w:val="none" w:sz="0" w:space="0" w:color="auto"/>
          </w:divBdr>
          <w:divsChild>
            <w:div w:id="11112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6039">
      <w:bodyDiv w:val="1"/>
      <w:marLeft w:val="0"/>
      <w:marRight w:val="0"/>
      <w:marTop w:val="0"/>
      <w:marBottom w:val="0"/>
      <w:divBdr>
        <w:top w:val="none" w:sz="0" w:space="0" w:color="auto"/>
        <w:left w:val="none" w:sz="0" w:space="0" w:color="auto"/>
        <w:bottom w:val="none" w:sz="0" w:space="0" w:color="auto"/>
        <w:right w:val="none" w:sz="0" w:space="0" w:color="auto"/>
      </w:divBdr>
      <w:divsChild>
        <w:div w:id="1593850950">
          <w:marLeft w:val="0"/>
          <w:marRight w:val="0"/>
          <w:marTop w:val="0"/>
          <w:marBottom w:val="0"/>
          <w:divBdr>
            <w:top w:val="none" w:sz="0" w:space="0" w:color="auto"/>
            <w:left w:val="none" w:sz="0" w:space="0" w:color="auto"/>
            <w:bottom w:val="none" w:sz="0" w:space="0" w:color="auto"/>
            <w:right w:val="none" w:sz="0" w:space="0" w:color="auto"/>
          </w:divBdr>
          <w:divsChild>
            <w:div w:id="13963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0386">
      <w:bodyDiv w:val="1"/>
      <w:marLeft w:val="30"/>
      <w:marRight w:val="30"/>
      <w:marTop w:val="30"/>
      <w:marBottom w:val="30"/>
      <w:divBdr>
        <w:top w:val="none" w:sz="0" w:space="0" w:color="auto"/>
        <w:left w:val="none" w:sz="0" w:space="0" w:color="auto"/>
        <w:bottom w:val="none" w:sz="0" w:space="0" w:color="auto"/>
        <w:right w:val="none" w:sz="0" w:space="0" w:color="auto"/>
      </w:divBdr>
      <w:divsChild>
        <w:div w:id="1891721532">
          <w:marLeft w:val="0"/>
          <w:marRight w:val="0"/>
          <w:marTop w:val="0"/>
          <w:marBottom w:val="0"/>
          <w:divBdr>
            <w:top w:val="none" w:sz="0" w:space="0" w:color="auto"/>
            <w:left w:val="none" w:sz="0" w:space="0" w:color="auto"/>
            <w:bottom w:val="none" w:sz="0" w:space="0" w:color="auto"/>
            <w:right w:val="none" w:sz="0" w:space="0" w:color="auto"/>
          </w:divBdr>
          <w:divsChild>
            <w:div w:id="1580214174">
              <w:marLeft w:val="45"/>
              <w:marRight w:val="45"/>
              <w:marTop w:val="45"/>
              <w:marBottom w:val="45"/>
              <w:divBdr>
                <w:top w:val="none" w:sz="0" w:space="0" w:color="auto"/>
                <w:left w:val="none" w:sz="0" w:space="0" w:color="auto"/>
                <w:bottom w:val="none" w:sz="0" w:space="0" w:color="auto"/>
                <w:right w:val="none" w:sz="0" w:space="0" w:color="auto"/>
              </w:divBdr>
              <w:divsChild>
                <w:div w:id="551961247">
                  <w:marLeft w:val="0"/>
                  <w:marRight w:val="0"/>
                  <w:marTop w:val="0"/>
                  <w:marBottom w:val="0"/>
                  <w:divBdr>
                    <w:top w:val="none" w:sz="0" w:space="0" w:color="auto"/>
                    <w:left w:val="none" w:sz="0" w:space="0" w:color="auto"/>
                    <w:bottom w:val="none" w:sz="0" w:space="0" w:color="auto"/>
                    <w:right w:val="none" w:sz="0" w:space="0" w:color="auto"/>
                  </w:divBdr>
                  <w:divsChild>
                    <w:div w:id="236671316">
                      <w:marLeft w:val="180"/>
                      <w:marRight w:val="0"/>
                      <w:marTop w:val="0"/>
                      <w:marBottom w:val="0"/>
                      <w:divBdr>
                        <w:top w:val="none" w:sz="0" w:space="0" w:color="auto"/>
                        <w:left w:val="none" w:sz="0" w:space="0" w:color="auto"/>
                        <w:bottom w:val="none" w:sz="0" w:space="0" w:color="auto"/>
                        <w:right w:val="none" w:sz="0" w:space="0" w:color="auto"/>
                      </w:divBdr>
                    </w:div>
                    <w:div w:id="8119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46665">
      <w:bodyDiv w:val="1"/>
      <w:marLeft w:val="0"/>
      <w:marRight w:val="0"/>
      <w:marTop w:val="0"/>
      <w:marBottom w:val="0"/>
      <w:divBdr>
        <w:top w:val="none" w:sz="0" w:space="0" w:color="auto"/>
        <w:left w:val="none" w:sz="0" w:space="0" w:color="auto"/>
        <w:bottom w:val="none" w:sz="0" w:space="0" w:color="auto"/>
        <w:right w:val="none" w:sz="0" w:space="0" w:color="auto"/>
      </w:divBdr>
    </w:div>
    <w:div w:id="1861578060">
      <w:bodyDiv w:val="1"/>
      <w:marLeft w:val="0"/>
      <w:marRight w:val="0"/>
      <w:marTop w:val="0"/>
      <w:marBottom w:val="0"/>
      <w:divBdr>
        <w:top w:val="none" w:sz="0" w:space="0" w:color="auto"/>
        <w:left w:val="none" w:sz="0" w:space="0" w:color="auto"/>
        <w:bottom w:val="none" w:sz="0" w:space="0" w:color="auto"/>
        <w:right w:val="none" w:sz="0" w:space="0" w:color="auto"/>
      </w:divBdr>
    </w:div>
    <w:div w:id="1897934937">
      <w:bodyDiv w:val="1"/>
      <w:marLeft w:val="0"/>
      <w:marRight w:val="0"/>
      <w:marTop w:val="0"/>
      <w:marBottom w:val="0"/>
      <w:divBdr>
        <w:top w:val="none" w:sz="0" w:space="0" w:color="auto"/>
        <w:left w:val="none" w:sz="0" w:space="0" w:color="auto"/>
        <w:bottom w:val="none" w:sz="0" w:space="0" w:color="auto"/>
        <w:right w:val="none" w:sz="0" w:space="0" w:color="auto"/>
      </w:divBdr>
      <w:divsChild>
        <w:div w:id="1838493138">
          <w:marLeft w:val="0"/>
          <w:marRight w:val="0"/>
          <w:marTop w:val="0"/>
          <w:marBottom w:val="0"/>
          <w:divBdr>
            <w:top w:val="none" w:sz="0" w:space="0" w:color="auto"/>
            <w:left w:val="none" w:sz="0" w:space="0" w:color="auto"/>
            <w:bottom w:val="none" w:sz="0" w:space="0" w:color="auto"/>
            <w:right w:val="none" w:sz="0" w:space="0" w:color="auto"/>
          </w:divBdr>
          <w:divsChild>
            <w:div w:id="944263175">
              <w:marLeft w:val="0"/>
              <w:marRight w:val="0"/>
              <w:marTop w:val="0"/>
              <w:marBottom w:val="0"/>
              <w:divBdr>
                <w:top w:val="none" w:sz="0" w:space="0" w:color="auto"/>
                <w:left w:val="none" w:sz="0" w:space="0" w:color="auto"/>
                <w:bottom w:val="none" w:sz="0" w:space="0" w:color="auto"/>
                <w:right w:val="none" w:sz="0" w:space="0" w:color="auto"/>
              </w:divBdr>
            </w:div>
            <w:div w:id="11412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5168">
      <w:bodyDiv w:val="1"/>
      <w:marLeft w:val="30"/>
      <w:marRight w:val="30"/>
      <w:marTop w:val="30"/>
      <w:marBottom w:val="30"/>
      <w:divBdr>
        <w:top w:val="none" w:sz="0" w:space="0" w:color="auto"/>
        <w:left w:val="none" w:sz="0" w:space="0" w:color="auto"/>
        <w:bottom w:val="none" w:sz="0" w:space="0" w:color="auto"/>
        <w:right w:val="none" w:sz="0" w:space="0" w:color="auto"/>
      </w:divBdr>
      <w:divsChild>
        <w:div w:id="2110270897">
          <w:marLeft w:val="0"/>
          <w:marRight w:val="0"/>
          <w:marTop w:val="0"/>
          <w:marBottom w:val="0"/>
          <w:divBdr>
            <w:top w:val="none" w:sz="0" w:space="0" w:color="auto"/>
            <w:left w:val="none" w:sz="0" w:space="0" w:color="auto"/>
            <w:bottom w:val="none" w:sz="0" w:space="0" w:color="auto"/>
            <w:right w:val="none" w:sz="0" w:space="0" w:color="auto"/>
          </w:divBdr>
          <w:divsChild>
            <w:div w:id="1270812916">
              <w:marLeft w:val="45"/>
              <w:marRight w:val="45"/>
              <w:marTop w:val="45"/>
              <w:marBottom w:val="45"/>
              <w:divBdr>
                <w:top w:val="none" w:sz="0" w:space="0" w:color="auto"/>
                <w:left w:val="none" w:sz="0" w:space="0" w:color="auto"/>
                <w:bottom w:val="none" w:sz="0" w:space="0" w:color="auto"/>
                <w:right w:val="none" w:sz="0" w:space="0" w:color="auto"/>
              </w:divBdr>
              <w:divsChild>
                <w:div w:id="343828873">
                  <w:marLeft w:val="0"/>
                  <w:marRight w:val="0"/>
                  <w:marTop w:val="0"/>
                  <w:marBottom w:val="0"/>
                  <w:divBdr>
                    <w:top w:val="none" w:sz="0" w:space="0" w:color="auto"/>
                    <w:left w:val="none" w:sz="0" w:space="0" w:color="auto"/>
                    <w:bottom w:val="none" w:sz="0" w:space="0" w:color="auto"/>
                    <w:right w:val="none" w:sz="0" w:space="0" w:color="auto"/>
                  </w:divBdr>
                  <w:divsChild>
                    <w:div w:id="1714690795">
                      <w:marLeft w:val="0"/>
                      <w:marRight w:val="0"/>
                      <w:marTop w:val="0"/>
                      <w:marBottom w:val="0"/>
                      <w:divBdr>
                        <w:top w:val="none" w:sz="0" w:space="0" w:color="auto"/>
                        <w:left w:val="none" w:sz="0" w:space="0" w:color="auto"/>
                        <w:bottom w:val="none" w:sz="0" w:space="0" w:color="auto"/>
                        <w:right w:val="none" w:sz="0" w:space="0" w:color="auto"/>
                      </w:divBdr>
                    </w:div>
                    <w:div w:id="8713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Westlaw&amp;db=1000547&amp;docname=47CFRS73.3584&amp;rp=%2ffind%2fdefault.wl&amp;findtype=L&amp;ordoc=2032357524&amp;tc=-1&amp;vr=2.0&amp;fn=_top&amp;sv=Split&amp;tf=-1&amp;pbc=D5C07652&amp;rs=WLW14.01" TargetMode="External"/><Relationship Id="rId7" Type="http://schemas.openxmlformats.org/officeDocument/2006/relationships/hyperlink" Target="http://web2.westlaw.com/find/default.wl?mt=26&amp;db=1000546&amp;docname=47USCAS309&amp;rp=%2ffind%2fdefault.wl&amp;findtype=L&amp;ordoc=2030485532&amp;tc=-1&amp;vr=2.0&amp;fn=_top&amp;sv=Split&amp;tf=-1&amp;referencepositiontype=T&amp;pbc=0398BC0F&amp;referenceposition=SP%3b7fdd00001ca15&amp;rs=WLW13.07" TargetMode="External"/><Relationship Id="rId2" Type="http://schemas.openxmlformats.org/officeDocument/2006/relationships/hyperlink" Target="http://web2.westlaw.com/find/default.wl?mt=Westlaw&amp;db=1000546&amp;docname=47USCAS309&amp;rp=%2ffind%2fdefault.wl&amp;findtype=L&amp;ordoc=2032357524&amp;tc=-1&amp;vr=2.0&amp;fn=_top&amp;sv=Split&amp;tf=-1&amp;referencepositiontype=T&amp;pbc=D5C07652&amp;referenceposition=SP%3b5ba1000067d06&amp;rs=WLW14.01" TargetMode="External"/><Relationship Id="rId1" Type="http://schemas.openxmlformats.org/officeDocument/2006/relationships/hyperlink" Target="http://web2.westlaw.com/find/default.wl?mt=Westlaw&amp;db=1000547&amp;docname=47CFRS73.3555&amp;rp=%2ffind%2fdefault.wl&amp;findtype=L&amp;ordoc=2028249280&amp;tc=-1&amp;vr=2.0&amp;fn=_top&amp;sv=Split&amp;tf=-1&amp;pbc=3D8DC78F&amp;rs=WLW14.01" TargetMode="External"/><Relationship Id="rId6" Type="http://schemas.openxmlformats.org/officeDocument/2006/relationships/hyperlink" Target="http://web2.westlaw.com/find/default.wl?mt=26&amp;db=350&amp;tc=-1&amp;rp=%2ffind%2fdefault.wl&amp;findtype=Y&amp;ordoc=2030485532&amp;serialnum=1988122452&amp;vr=2.0&amp;fn=_top&amp;sv=Split&amp;tf=-1&amp;referencepositiontype=S&amp;pbc=0398BC0F&amp;referenceposition=1561&amp;rs=WLW13.07" TargetMode="External"/><Relationship Id="rId5" Type="http://schemas.openxmlformats.org/officeDocument/2006/relationships/hyperlink" Target="http://web2.westlaw.com/find/default.wl?mt=26&amp;db=350&amp;tc=-1&amp;rp=%2ffind%2fdefault.wl&amp;findtype=Y&amp;ordoc=2030485532&amp;serialnum=1987133410&amp;vr=2.0&amp;fn=_top&amp;sv=Split&amp;tf=-1&amp;referencepositiontype=S&amp;pbc=0398BC0F&amp;referenceposition=181&amp;rs=WLW13.07" TargetMode="External"/><Relationship Id="rId4" Type="http://schemas.openxmlformats.org/officeDocument/2006/relationships/hyperlink" Target="http://web2.westlaw.com/find/default.wl?mt=26&amp;db=1000546&amp;docname=47USCAS309&amp;rp=%2ffind%2fdefault.wl&amp;findtype=L&amp;ordoc=2030485532&amp;tc=-1&amp;vr=2.0&amp;fn=_top&amp;sv=Split&amp;tf=-1&amp;referencepositiontype=T&amp;pbc=0398BC0F&amp;referenceposition=SP%3be07e0000a9f57&amp;rs=WLW1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6106</Words>
  <Characters>34244</Characters>
  <Application>Microsoft Office Word</Application>
  <DocSecurity>0</DocSecurity>
  <Lines>542</Lines>
  <Paragraphs>134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40454</CharactersWithSpaces>
  <SharedDoc>false</SharedDoc>
  <HyperlinkBase> </HyperlinkBase>
  <HLinks>
    <vt:vector size="126" baseType="variant">
      <vt:variant>
        <vt:i4>3080245</vt:i4>
      </vt:variant>
      <vt:variant>
        <vt:i4>6</vt:i4>
      </vt:variant>
      <vt:variant>
        <vt:i4>0</vt:i4>
      </vt:variant>
      <vt:variant>
        <vt:i4>5</vt:i4>
      </vt:variant>
      <vt:variant>
        <vt:lpwstr>http://web2.westlaw.com/result/result.aspx?rs=WLW10.06&amp;ss=CNT&amp;origin=Search&amp;sv=Split&amp;referencepositiontype=T&amp;cfid=1&amp;fn=_top&amp;referenceposition=SR%3b4916&amp;ifm=NotSet&amp;n=4&amp;sskey=CLID_SSSA1925610161067&amp;mt=12&amp;eq=search&amp;method=WIN&amp;query=determination+of+de+facto+control+transcends+formulas&amp;srch=TRUE&amp;db=FCOM-ADMIN&amp;rlti=1&amp;vr=2.0&amp;fmqv=s&amp;service=Search&amp;cnt=DOC&amp;scxt=WL&amp;rltdb=CLID_DB5174215151067&amp;rlt=CLID_QRYRLT7833411161067&amp;rp=%2fsearch%2fdefault.wl</vt:lpwstr>
      </vt:variant>
      <vt:variant>
        <vt:lpwstr/>
      </vt:variant>
      <vt:variant>
        <vt:i4>2555956</vt:i4>
      </vt:variant>
      <vt:variant>
        <vt:i4>3</vt:i4>
      </vt:variant>
      <vt:variant>
        <vt:i4>0</vt:i4>
      </vt:variant>
      <vt:variant>
        <vt:i4>5</vt:i4>
      </vt:variant>
      <vt:variant>
        <vt:lpwstr>http://web2.westlaw.com/result/result.aspx?rs=WLW10.06&amp;ss=CNT&amp;origin=Search&amp;sv=Split&amp;referencepositiontype=T&amp;cfid=1&amp;fn=_top&amp;referenceposition=SR%3b4896&amp;ifm=NotSet&amp;n=4&amp;sskey=CLID_SSSA1925610161067&amp;mt=12&amp;eq=search&amp;method=WIN&amp;query=determination+of+de+facto+control+transcends+formulas&amp;srch=TRUE&amp;db=FCOM-ADMIN&amp;rlti=1&amp;vr=2.0&amp;fmqv=s&amp;service=Search&amp;cnt=DOC&amp;scxt=WL&amp;rltdb=CLID_DB5174215151067&amp;rlt=CLID_QRYRLT7833411161067&amp;rp=%2fsearch%2fdefault.wl</vt:lpwstr>
      </vt:variant>
      <vt:variant>
        <vt:lpwstr/>
      </vt:variant>
      <vt:variant>
        <vt:i4>2555959</vt:i4>
      </vt:variant>
      <vt:variant>
        <vt:i4>0</vt:i4>
      </vt:variant>
      <vt:variant>
        <vt:i4>0</vt:i4>
      </vt:variant>
      <vt:variant>
        <vt:i4>5</vt:i4>
      </vt:variant>
      <vt:variant>
        <vt:lpwstr>http://web2.westlaw.com/result/result.aspx?rs=WLW10.06&amp;ss=CNT&amp;origin=Search&amp;sv=Split&amp;referencepositiontype=T&amp;cfid=1&amp;fn=_top&amp;referenceposition=SR%3b4895&amp;ifm=NotSet&amp;n=4&amp;sskey=CLID_SSSA1925610161067&amp;mt=12&amp;eq=search&amp;method=WIN&amp;query=determination+of+de+facto+control+transcends+formulas&amp;srch=TRUE&amp;db=FCOM-ADMIN&amp;rlti=1&amp;vr=2.0&amp;fmqv=s&amp;service=Search&amp;cnt=DOC&amp;scxt=WL&amp;rltdb=CLID_DB5174215151067&amp;rlt=CLID_QRYRLT7833411161067&amp;rp=%2fsearch%2fdefault.wl</vt:lpwstr>
      </vt:variant>
      <vt:variant>
        <vt:lpwstr/>
      </vt:variant>
      <vt:variant>
        <vt:i4>2424839</vt:i4>
      </vt:variant>
      <vt:variant>
        <vt:i4>51</vt:i4>
      </vt:variant>
      <vt:variant>
        <vt:i4>0</vt:i4>
      </vt:variant>
      <vt:variant>
        <vt:i4>5</vt:i4>
      </vt:variant>
      <vt:variant>
        <vt:lpwstr>http://web2.westlaw.com/find/default.wl?mt=26&amp;db=1000547&amp;docname=47CFRS1.1206&amp;rp=%2ffind%2fdefault.wl&amp;findtype=L&amp;ordoc=2025752749&amp;tc=-1&amp;vr=2.0&amp;fn=_top&amp;sv=Split&amp;tf=-1&amp;referencepositiontype=T&amp;pbc=04B16330&amp;referenceposition=SP%3b7b9b000044381&amp;rs=WLW13.10</vt:lpwstr>
      </vt:variant>
      <vt:variant>
        <vt:lpwstr/>
      </vt:variant>
      <vt:variant>
        <vt:i4>3538966</vt:i4>
      </vt:variant>
      <vt:variant>
        <vt:i4>48</vt:i4>
      </vt:variant>
      <vt:variant>
        <vt:i4>0</vt:i4>
      </vt:variant>
      <vt:variant>
        <vt:i4>5</vt:i4>
      </vt:variant>
      <vt:variant>
        <vt:lpwstr>http://web2.westlaw.com/find/default.wl?mt=26&amp;db=0001016&amp;tc=-1&amp;rp=%2ffind%2fdefault.wl&amp;findtype=Y&amp;ordoc=2025752749&amp;serialnum=2024725669&amp;vr=2.0&amp;fn=_top&amp;sv=Split&amp;tf=-1&amp;pbc=04B16330&amp;rs=WLW13.10</vt:lpwstr>
      </vt:variant>
      <vt:variant>
        <vt:lpwstr/>
      </vt:variant>
      <vt:variant>
        <vt:i4>3932225</vt:i4>
      </vt:variant>
      <vt:variant>
        <vt:i4>45</vt:i4>
      </vt:variant>
      <vt:variant>
        <vt:i4>0</vt:i4>
      </vt:variant>
      <vt:variant>
        <vt:i4>5</vt:i4>
      </vt:variant>
      <vt:variant>
        <vt:lpwstr>http://web2.westlaw.com/find/default.wl?tf=-1&amp;rs=WLW10.10&amp;serialnum=1992238710&amp;fn=_top&amp;sv=Split&amp;tc=-1&amp;pbc=F216548D&amp;ordoc=2003640036&amp;findtype=Y&amp;db=4493&amp;vr=2.0&amp;rp=%2ffind%2fdefault.wl&amp;mt=12</vt:lpwstr>
      </vt:variant>
      <vt:variant>
        <vt:lpwstr/>
      </vt:variant>
      <vt:variant>
        <vt:i4>2490380</vt:i4>
      </vt:variant>
      <vt:variant>
        <vt:i4>42</vt:i4>
      </vt:variant>
      <vt:variant>
        <vt:i4>0</vt:i4>
      </vt:variant>
      <vt:variant>
        <vt:i4>5</vt:i4>
      </vt:variant>
      <vt:variant>
        <vt:lpwstr>http://web2.westlaw.com/find/default.wl?tf=-1&amp;rs=WLW10.10&amp;referencepositiontype=S&amp;serialnum=1995262934&amp;fn=_top&amp;sv=Split&amp;referenceposition=8143&amp;pbc=F216548D&amp;tc=-1&amp;ordoc=2003640036&amp;findtype=Y&amp;db=4493&amp;vr=2.0&amp;rp=%2ffind%2fdefault.wl&amp;mt=12</vt:lpwstr>
      </vt:variant>
      <vt:variant>
        <vt:lpwstr/>
      </vt:variant>
      <vt:variant>
        <vt:i4>2424833</vt:i4>
      </vt:variant>
      <vt:variant>
        <vt:i4>39</vt:i4>
      </vt:variant>
      <vt:variant>
        <vt:i4>0</vt:i4>
      </vt:variant>
      <vt:variant>
        <vt:i4>5</vt:i4>
      </vt:variant>
      <vt:variant>
        <vt:lpwstr>http://web2.westlaw.com/find/default.wl?tf=-1&amp;rs=WLW10.10&amp;referencepositiontype=S&amp;serialnum=2002335532&amp;fn=_top&amp;sv=Split&amp;referenceposition=10842&amp;pbc=F216548D&amp;tc=-1&amp;ordoc=2003640036&amp;findtype=Y&amp;db=4493&amp;vr=2.0&amp;rp=%2ffind%2fdefault.wl&amp;mt=12</vt:lpwstr>
      </vt:variant>
      <vt:variant>
        <vt:lpwstr/>
      </vt:variant>
      <vt:variant>
        <vt:i4>4522094</vt:i4>
      </vt:variant>
      <vt:variant>
        <vt:i4>36</vt:i4>
      </vt:variant>
      <vt:variant>
        <vt:i4>0</vt:i4>
      </vt:variant>
      <vt:variant>
        <vt:i4>5</vt:i4>
      </vt:variant>
      <vt:variant>
        <vt:lpwstr>http://web2.westlaw.com/find/default.wl?mt=26&amp;db=4493&amp;tc=-1&amp;rp=%2ffind%2fdefault.wl&amp;findtype=Y&amp;ordoc=2012822381&amp;serialnum=2001080393&amp;vr=2.0&amp;fn=_top&amp;sv=Split&amp;tf=-1&amp;referencepositiontype=S&amp;pbc=1FDA792C&amp;referenceposition=1112&amp;rs=WLW13.10</vt:lpwstr>
      </vt:variant>
      <vt:variant>
        <vt:lpwstr/>
      </vt:variant>
      <vt:variant>
        <vt:i4>917555</vt:i4>
      </vt:variant>
      <vt:variant>
        <vt:i4>33</vt:i4>
      </vt:variant>
      <vt:variant>
        <vt:i4>0</vt:i4>
      </vt:variant>
      <vt:variant>
        <vt:i4>5</vt:i4>
      </vt:variant>
      <vt:variant>
        <vt:lpwstr>http://web2.westlaw.com/find/default.wl?mt=26&amp;db=1000547&amp;docname=47CFRS73.3555&amp;rp=%2ffind%2fdefault.wl&amp;findtype=L&amp;ordoc=2031925217&amp;tc=-1&amp;vr=2.0&amp;fn=_top&amp;sv=Split&amp;tf=-1&amp;pbc=B74A40E3&amp;rs=WLW13.10</vt:lpwstr>
      </vt:variant>
      <vt:variant>
        <vt:lpwstr/>
      </vt:variant>
      <vt:variant>
        <vt:i4>917555</vt:i4>
      </vt:variant>
      <vt:variant>
        <vt:i4>30</vt:i4>
      </vt:variant>
      <vt:variant>
        <vt:i4>0</vt:i4>
      </vt:variant>
      <vt:variant>
        <vt:i4>5</vt:i4>
      </vt:variant>
      <vt:variant>
        <vt:lpwstr>http://web2.westlaw.com/find/default.wl?mt=26&amp;db=1000547&amp;docname=47CFRS73.3555&amp;rp=%2ffind%2fdefault.wl&amp;findtype=L&amp;ordoc=2031925217&amp;tc=-1&amp;vr=2.0&amp;fn=_top&amp;sv=Split&amp;tf=-1&amp;pbc=B74A40E3&amp;rs=WLW13.10</vt:lpwstr>
      </vt:variant>
      <vt:variant>
        <vt:lpwstr/>
      </vt:variant>
      <vt:variant>
        <vt:i4>786547</vt:i4>
      </vt:variant>
      <vt:variant>
        <vt:i4>27</vt:i4>
      </vt:variant>
      <vt:variant>
        <vt:i4>0</vt:i4>
      </vt:variant>
      <vt:variant>
        <vt:i4>5</vt:i4>
      </vt:variant>
      <vt:variant>
        <vt:lpwstr>http://web2.westlaw.com/find/default.wl?mt=26&amp;db=0004493&amp;tc=-1&amp;rp=%2ffind%2fdefault.wl&amp;findtype=Y&amp;ordoc=2026584332&amp;serialnum=2015394799&amp;vr=2.0&amp;fn=_top&amp;sv=Split&amp;tf=-1&amp;referencepositiontype=S&amp;pbc=3A3DDE8C&amp;referenceposition=3533&amp;rs=WLW13.10</vt:lpwstr>
      </vt:variant>
      <vt:variant>
        <vt:lpwstr/>
      </vt:variant>
      <vt:variant>
        <vt:i4>983152</vt:i4>
      </vt:variant>
      <vt:variant>
        <vt:i4>24</vt:i4>
      </vt:variant>
      <vt:variant>
        <vt:i4>0</vt:i4>
      </vt:variant>
      <vt:variant>
        <vt:i4>5</vt:i4>
      </vt:variant>
      <vt:variant>
        <vt:lpwstr>http://web2.westlaw.com/find/default.wl?mt=26&amp;db=0004493&amp;tc=-1&amp;rp=%2ffind%2fdefault.wl&amp;findtype=Y&amp;ordoc=2026584332&amp;serialnum=2021629629&amp;vr=2.0&amp;fn=_top&amp;sv=Split&amp;tf=-1&amp;referencepositiontype=S&amp;pbc=3A3DDE8C&amp;referenceposition=2813&amp;rs=WLW13.10</vt:lpwstr>
      </vt:variant>
      <vt:variant>
        <vt:lpwstr/>
      </vt:variant>
      <vt:variant>
        <vt:i4>7733335</vt:i4>
      </vt:variant>
      <vt:variant>
        <vt:i4>21</vt:i4>
      </vt:variant>
      <vt:variant>
        <vt:i4>0</vt:i4>
      </vt:variant>
      <vt:variant>
        <vt:i4>5</vt:i4>
      </vt:variant>
      <vt:variant>
        <vt:lpwstr>http://web2.westlaw.com/find/default.wl?tf=-1&amp;rs=WLW10.06&amp;referencepositiontype=S&amp;serialnum=1995262040&amp;fn=_top&amp;sv=Split&amp;referenceposition=8513&amp;pbc=9B8D1416&amp;tc=-1&amp;ordoc=2014320581&amp;findtype=Y&amp;db=4493&amp;vr=2.0&amp;rp=%2ffind%2fdefault.wl&amp;mt=12</vt:lpwstr>
      </vt:variant>
      <vt:variant>
        <vt:lpwstr/>
      </vt:variant>
      <vt:variant>
        <vt:i4>6881308</vt:i4>
      </vt:variant>
      <vt:variant>
        <vt:i4>18</vt:i4>
      </vt:variant>
      <vt:variant>
        <vt:i4>0</vt:i4>
      </vt:variant>
      <vt:variant>
        <vt:i4>5</vt:i4>
      </vt:variant>
      <vt:variant>
        <vt:lpwstr>http://web2.westlaw.com/find/default.wl?mt=26&amp;db=0001017&amp;tc=-1&amp;rp=%2ffind%2fdefault.wl&amp;findtype=Y&amp;ordoc=2030485532&amp;serialnum=1980028916&amp;vr=2.0&amp;fn=_top&amp;sv=Split&amp;tf=-1&amp;referencepositiontype=S&amp;pbc=57360A13&amp;referenceposition=98&amp;rs=WLW13.07</vt:lpwstr>
      </vt:variant>
      <vt:variant>
        <vt:lpwstr/>
      </vt:variant>
      <vt:variant>
        <vt:i4>7143503</vt:i4>
      </vt:variant>
      <vt:variant>
        <vt:i4>15</vt:i4>
      </vt:variant>
      <vt:variant>
        <vt:i4>0</vt:i4>
      </vt:variant>
      <vt:variant>
        <vt:i4>5</vt:i4>
      </vt:variant>
      <vt:variant>
        <vt:lpwstr>http://web2.westlaw.com/find/default.wl?mt=26&amp;db=506&amp;tc=-1&amp;rp=%2ffind%2fdefault.wl&amp;findtype=Y&amp;ordoc=2030485532&amp;serialnum=2003398108&amp;vr=2.0&amp;fn=_top&amp;sv=Split&amp;tf=-1&amp;pbc=57360A13&amp;rs=WLW13.07</vt:lpwstr>
      </vt:variant>
      <vt:variant>
        <vt:lpwstr/>
      </vt:variant>
      <vt:variant>
        <vt:i4>6160505</vt:i4>
      </vt:variant>
      <vt:variant>
        <vt:i4>12</vt:i4>
      </vt:variant>
      <vt:variant>
        <vt:i4>0</vt:i4>
      </vt:variant>
      <vt:variant>
        <vt:i4>5</vt:i4>
      </vt:variant>
      <vt:variant>
        <vt:lpwstr>http://web2.westlaw.com/find/default.wl?mt=26&amp;db=1000546&amp;docname=47USCAS309&amp;rp=%2ffind%2fdefault.wl&amp;findtype=L&amp;ordoc=2030485532&amp;tc=-1&amp;vr=2.0&amp;fn=_top&amp;sv=Split&amp;tf=-1&amp;referencepositiontype=T&amp;pbc=57360A13&amp;referenceposition=SP%3b5ba1000067d06&amp;rs=WLW13.07</vt:lpwstr>
      </vt:variant>
      <vt:variant>
        <vt:lpwstr/>
      </vt:variant>
      <vt:variant>
        <vt:i4>6160505</vt:i4>
      </vt:variant>
      <vt:variant>
        <vt:i4>9</vt:i4>
      </vt:variant>
      <vt:variant>
        <vt:i4>0</vt:i4>
      </vt:variant>
      <vt:variant>
        <vt:i4>5</vt:i4>
      </vt:variant>
      <vt:variant>
        <vt:lpwstr>http://web2.westlaw.com/find/default.wl?mt=26&amp;db=1000546&amp;docname=47USCAS309&amp;rp=%2ffind%2fdefault.wl&amp;findtype=L&amp;ordoc=2030485532&amp;tc=-1&amp;vr=2.0&amp;fn=_top&amp;sv=Split&amp;tf=-1&amp;referencepositiontype=T&amp;pbc=57360A13&amp;referenceposition=SP%3b5ba1000067d06&amp;rs=WLW13.07</vt:lpwstr>
      </vt:variant>
      <vt:variant>
        <vt:lpwstr/>
      </vt:variant>
      <vt:variant>
        <vt:i4>3145747</vt:i4>
      </vt:variant>
      <vt:variant>
        <vt:i4>6</vt:i4>
      </vt:variant>
      <vt:variant>
        <vt:i4>0</vt:i4>
      </vt:variant>
      <vt:variant>
        <vt:i4>5</vt:i4>
      </vt:variant>
      <vt:variant>
        <vt:lpwstr>http://web2.westlaw.com/find/default.wl?mt=26&amp;db=0001017&amp;tc=-1&amp;rp=%2ffind%2fdefault.wl&amp;findtype=Y&amp;ordoc=2031348404&amp;serialnum=1978027529&amp;vr=2.0&amp;fn=_top&amp;sv=Split&amp;tf=-1&amp;pbc=806915A6&amp;rs=WLW13.07</vt:lpwstr>
      </vt:variant>
      <vt:variant>
        <vt:lpwstr/>
      </vt:variant>
      <vt:variant>
        <vt:i4>458864</vt:i4>
      </vt:variant>
      <vt:variant>
        <vt:i4>3</vt:i4>
      </vt:variant>
      <vt:variant>
        <vt:i4>0</vt:i4>
      </vt:variant>
      <vt:variant>
        <vt:i4>5</vt:i4>
      </vt:variant>
      <vt:variant>
        <vt:lpwstr>http://web2.westlaw.com/find/default.wl?mt=26&amp;db=0004493&amp;tc=-1&amp;rp=%2ffind%2fdefault.wl&amp;findtype=Y&amp;ordoc=2031348404&amp;serialnum=1992238563&amp;vr=2.0&amp;fn=_top&amp;sv=Split&amp;tf=-1&amp;referencepositiontype=S&amp;pbc=806915A6&amp;referenceposition=6063&amp;rs=WLW13.07</vt:lpwstr>
      </vt:variant>
      <vt:variant>
        <vt:lpwstr/>
      </vt:variant>
      <vt:variant>
        <vt:i4>196728</vt:i4>
      </vt:variant>
      <vt:variant>
        <vt:i4>0</vt:i4>
      </vt:variant>
      <vt:variant>
        <vt:i4>0</vt:i4>
      </vt:variant>
      <vt:variant>
        <vt:i4>5</vt:i4>
      </vt:variant>
      <vt:variant>
        <vt:lpwstr>http://web2.westlaw.com/find/default.wl?mt=26&amp;db=1000546&amp;docname=47USCAS309&amp;rp=%2ffind%2fdefault.wl&amp;findtype=L&amp;ordoc=2031348404&amp;tc=-1&amp;vr=2.0&amp;fn=_top&amp;sv=Split&amp;tf=-1&amp;referencepositiontype=T&amp;pbc=806915A6&amp;referenceposition=SP%3be07e0000a9f57&amp;rs=WLW13.07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2007-03-27T20:24:00Z</cp:lastPrinted>
  <dcterms:created xsi:type="dcterms:W3CDTF">2014-07-24T20:36:00Z</dcterms:created>
  <dcterms:modified xsi:type="dcterms:W3CDTF">2014-07-24T20:36:00Z</dcterms:modified>
  <cp:category> </cp:category>
  <cp:contentStatus> </cp:contentStatus>
</cp:coreProperties>
</file>