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6A" w:rsidRDefault="00C12D6A" w:rsidP="00C12D6A">
      <w:pPr>
        <w:jc w:val="right"/>
        <w:rPr>
          <w:b/>
          <w:sz w:val="24"/>
        </w:rPr>
      </w:pPr>
      <w:bookmarkStart w:id="0" w:name="_GoBack"/>
      <w:bookmarkEnd w:id="0"/>
      <w:r>
        <w:rPr>
          <w:b/>
          <w:sz w:val="24"/>
        </w:rPr>
        <w:t>DA 14-1057</w:t>
      </w:r>
    </w:p>
    <w:p w:rsidR="00C12D6A" w:rsidRDefault="00C12D6A" w:rsidP="00C12D6A">
      <w:pPr>
        <w:spacing w:before="60"/>
        <w:jc w:val="right"/>
        <w:rPr>
          <w:b/>
          <w:sz w:val="24"/>
        </w:rPr>
      </w:pPr>
      <w:r>
        <w:rPr>
          <w:b/>
          <w:sz w:val="24"/>
        </w:rPr>
        <w:t>July 25, 2014</w:t>
      </w:r>
    </w:p>
    <w:p w:rsidR="00C12D6A" w:rsidRDefault="00C12D6A" w:rsidP="00C12D6A">
      <w:pPr>
        <w:jc w:val="right"/>
        <w:rPr>
          <w:sz w:val="24"/>
        </w:rPr>
      </w:pPr>
    </w:p>
    <w:p w:rsidR="00C12D6A" w:rsidRDefault="00C12D6A" w:rsidP="00C12D6A">
      <w:pPr>
        <w:jc w:val="center"/>
        <w:rPr>
          <w:b/>
          <w:caps/>
          <w:sz w:val="20"/>
          <w:szCs w:val="22"/>
        </w:rPr>
      </w:pPr>
      <w:r>
        <w:rPr>
          <w:b/>
          <w:caps/>
          <w:szCs w:val="22"/>
        </w:rPr>
        <w:t xml:space="preserve">Consumer AND Governmental Affairs Bureau Seeks Comment on PETITIONs CONCERNING THE cOMMISSION’S RULE ON OPT-OUT NOTICEs ON FAX ADVERTISEMENTS </w:t>
      </w:r>
    </w:p>
    <w:p w:rsidR="00C12D6A" w:rsidRDefault="00C12D6A" w:rsidP="00C12D6A">
      <w:pPr>
        <w:jc w:val="center"/>
        <w:rPr>
          <w:b/>
          <w:szCs w:val="22"/>
        </w:rPr>
      </w:pPr>
    </w:p>
    <w:p w:rsidR="00C12D6A" w:rsidRDefault="00C12D6A" w:rsidP="00C12D6A">
      <w:pPr>
        <w:jc w:val="center"/>
        <w:rPr>
          <w:b/>
          <w:szCs w:val="22"/>
        </w:rPr>
      </w:pPr>
      <w:r>
        <w:rPr>
          <w:b/>
          <w:szCs w:val="22"/>
        </w:rPr>
        <w:t>CG Docket No. 02-278</w:t>
      </w:r>
    </w:p>
    <w:p w:rsidR="00C12D6A" w:rsidRDefault="00C12D6A" w:rsidP="00C12D6A">
      <w:pPr>
        <w:spacing w:after="240"/>
        <w:jc w:val="center"/>
        <w:rPr>
          <w:b/>
          <w:sz w:val="24"/>
        </w:rPr>
      </w:pPr>
      <w:r>
        <w:rPr>
          <w:b/>
          <w:szCs w:val="22"/>
        </w:rPr>
        <w:t>CG Docket No. 05-338</w:t>
      </w:r>
    </w:p>
    <w:p w:rsidR="00C12D6A" w:rsidRDefault="00C12D6A" w:rsidP="00C12D6A">
      <w:pPr>
        <w:pStyle w:val="Heading3"/>
        <w:numPr>
          <w:ilvl w:val="0"/>
          <w:numId w:val="0"/>
        </w:numPr>
        <w:tabs>
          <w:tab w:val="left" w:pos="720"/>
        </w:tabs>
        <w:spacing w:after="0"/>
        <w:rPr>
          <w:sz w:val="20"/>
          <w:szCs w:val="22"/>
        </w:rPr>
      </w:pPr>
      <w:r>
        <w:rPr>
          <w:szCs w:val="22"/>
        </w:rPr>
        <w:t>Comment Date</w:t>
      </w:r>
      <w:r>
        <w:rPr>
          <w:b w:val="0"/>
          <w:szCs w:val="22"/>
        </w:rPr>
        <w:t>:</w:t>
      </w:r>
      <w:r>
        <w:rPr>
          <w:szCs w:val="22"/>
        </w:rPr>
        <w:t xml:space="preserve">  August 8, 2014</w:t>
      </w:r>
    </w:p>
    <w:p w:rsidR="00C12D6A" w:rsidRDefault="00C12D6A" w:rsidP="00C12D6A">
      <w:pPr>
        <w:rPr>
          <w:b/>
        </w:rPr>
      </w:pPr>
      <w:r>
        <w:rPr>
          <w:b/>
        </w:rPr>
        <w:t>Reply Comment Date</w:t>
      </w:r>
      <w:r>
        <w:t xml:space="preserve">:  </w:t>
      </w:r>
      <w:r>
        <w:rPr>
          <w:b/>
        </w:rPr>
        <w:t>August 15</w:t>
      </w:r>
      <w:r>
        <w:t xml:space="preserve">, </w:t>
      </w:r>
      <w:r>
        <w:rPr>
          <w:b/>
        </w:rPr>
        <w:t>2014</w:t>
      </w:r>
    </w:p>
    <w:p w:rsidR="00C12D6A" w:rsidRDefault="00C12D6A" w:rsidP="00C12D6A">
      <w:pPr>
        <w:spacing w:before="120" w:after="240"/>
        <w:rPr>
          <w:szCs w:val="22"/>
        </w:rPr>
      </w:pPr>
      <w:r>
        <w:rPr>
          <w:sz w:val="24"/>
        </w:rPr>
        <w:tab/>
      </w:r>
      <w:r>
        <w:rPr>
          <w:szCs w:val="22"/>
        </w:rPr>
        <w:t>Five petitions have been filed seeking a declaratory ruling and/or waiver concerning section 64.1200(a)(4)(iv) of the Commission’s rules, which requires fax ads sent to a consumer who has provided prior express invitation or permission to include an opt-out notice.</w:t>
      </w:r>
      <w:r>
        <w:rPr>
          <w:rStyle w:val="FootnoteReference"/>
          <w:szCs w:val="22"/>
        </w:rPr>
        <w:footnoteReference w:id="2"/>
      </w:r>
      <w:r>
        <w:rPr>
          <w:szCs w:val="22"/>
        </w:rPr>
        <w:t xml:space="preserve">  With this Public Notice, we seek comment on these petitions as described below.  </w:t>
      </w:r>
    </w:p>
    <w:p w:rsidR="00C12D6A" w:rsidRDefault="00C12D6A" w:rsidP="00C12D6A">
      <w:pPr>
        <w:spacing w:before="120" w:after="240"/>
        <w:rPr>
          <w:szCs w:val="22"/>
        </w:rPr>
      </w:pPr>
      <w:r>
        <w:rPr>
          <w:szCs w:val="22"/>
        </w:rPr>
        <w:tab/>
        <w:t>The Petitioners seek a declaratory ruling clarifying that section 64.1200(a)(4)(iv) does not apply to faxes sent with the “prior express invitation or permission” of the recipient because they contend the Commission lacks authority to regulate “solicited” faxes.</w:t>
      </w:r>
      <w:r>
        <w:rPr>
          <w:rStyle w:val="FootnoteReference"/>
          <w:szCs w:val="22"/>
        </w:rPr>
        <w:footnoteReference w:id="3"/>
      </w:r>
      <w:r>
        <w:rPr>
          <w:szCs w:val="22"/>
        </w:rPr>
        <w:t xml:space="preserve">  The Petitioners also allege confusion was created regarding the applicability of the rule by language contained in a footnote to the 2006 order in which the Commission adopted this rule.</w:t>
      </w:r>
      <w:r>
        <w:rPr>
          <w:rStyle w:val="FootnoteReference"/>
          <w:szCs w:val="22"/>
        </w:rPr>
        <w:footnoteReference w:id="4"/>
      </w:r>
      <w:r>
        <w:rPr>
          <w:szCs w:val="22"/>
        </w:rPr>
        <w:t xml:space="preserve">  In addition, four Petitioners argue that regulation of solicited faxes raises First Amendment concerns.</w:t>
      </w:r>
      <w:r>
        <w:rPr>
          <w:rStyle w:val="FootnoteReference"/>
          <w:szCs w:val="22"/>
        </w:rPr>
        <w:footnoteReference w:id="5"/>
      </w:r>
      <w:r>
        <w:rPr>
          <w:szCs w:val="22"/>
        </w:rPr>
        <w:t xml:space="preserve">  Alternatively, the Petitioners request that the Commission </w:t>
      </w:r>
      <w:r>
        <w:rPr>
          <w:szCs w:val="22"/>
        </w:rPr>
        <w:lastRenderedPageBreak/>
        <w:t>clarify that the statutory basis for this rule is not section 227(b) of the Communications Act, as amended.</w:t>
      </w:r>
      <w:r>
        <w:rPr>
          <w:rStyle w:val="FootnoteReference"/>
          <w:szCs w:val="22"/>
        </w:rPr>
        <w:footnoteReference w:id="6"/>
      </w:r>
      <w:r>
        <w:rPr>
          <w:szCs w:val="22"/>
        </w:rPr>
        <w:t xml:space="preserve">  Should the Commission decline these requests for declaratory ruling, the Petitioners seek a retroactive waiver of the opt-out notice requirement for fax ads sent where prior express invitation or permission has been obtained from the recipient.</w:t>
      </w:r>
      <w:r>
        <w:rPr>
          <w:rStyle w:val="FootnoteReference"/>
          <w:szCs w:val="22"/>
        </w:rPr>
        <w:footnoteReference w:id="7"/>
      </w:r>
      <w:r>
        <w:rPr>
          <w:szCs w:val="22"/>
        </w:rPr>
        <w:t xml:space="preserve">   </w:t>
      </w:r>
    </w:p>
    <w:p w:rsidR="00C12D6A" w:rsidRDefault="00C12D6A" w:rsidP="00C12D6A">
      <w:pPr>
        <w:autoSpaceDE w:val="0"/>
        <w:autoSpaceDN w:val="0"/>
        <w:adjustRightInd w:val="0"/>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w:t>
      </w:r>
      <w:r>
        <w:rPr>
          <w:szCs w:val="22"/>
        </w:rPr>
        <w:t xml:space="preserve"> Electronic Filing of Documents in Rulemaking Proceedings, 63 FR 24121 (1998).</w:t>
      </w:r>
    </w:p>
    <w:p w:rsidR="00C12D6A" w:rsidRDefault="00C12D6A" w:rsidP="00C12D6A">
      <w:pPr>
        <w:autoSpaceDE w:val="0"/>
        <w:autoSpaceDN w:val="0"/>
        <w:adjustRightInd w:val="0"/>
        <w:ind w:firstLine="720"/>
        <w:rPr>
          <w:szCs w:val="22"/>
        </w:rPr>
      </w:pPr>
    </w:p>
    <w:p w:rsidR="00C12D6A" w:rsidRDefault="00C12D6A" w:rsidP="00C12D6A">
      <w:pPr>
        <w:numPr>
          <w:ilvl w:val="0"/>
          <w:numId w:val="20"/>
        </w:numPr>
        <w:autoSpaceDE w:val="0"/>
        <w:autoSpaceDN w:val="0"/>
        <w:adjustRightInd w:val="0"/>
        <w:rPr>
          <w:szCs w:val="22"/>
        </w:rPr>
      </w:pPr>
      <w:r>
        <w:rPr>
          <w:szCs w:val="22"/>
        </w:rPr>
        <w:t xml:space="preserve">Electronic Filers:  Comments may be filed electronically using the Internet by accessing ECFS:  http://fjallfoss.fcc.gov/ecfs2/.  </w:t>
      </w:r>
    </w:p>
    <w:p w:rsidR="00C12D6A" w:rsidRDefault="00C12D6A" w:rsidP="00C12D6A">
      <w:pPr>
        <w:numPr>
          <w:ilvl w:val="0"/>
          <w:numId w:val="20"/>
        </w:numPr>
        <w:autoSpaceDE w:val="0"/>
        <w:autoSpaceDN w:val="0"/>
        <w:adjustRightInd w:val="0"/>
        <w:rPr>
          <w:szCs w:val="22"/>
        </w:rPr>
      </w:pPr>
      <w:r>
        <w:rPr>
          <w:szCs w:val="22"/>
        </w:rPr>
        <w:t xml:space="preserve">Paper Filers:  Parties who choose to file by paper must file an original and one copy of each filing.  </w:t>
      </w:r>
    </w:p>
    <w:p w:rsidR="00C12D6A" w:rsidRDefault="00C12D6A" w:rsidP="00C12D6A">
      <w:pPr>
        <w:numPr>
          <w:ilvl w:val="0"/>
          <w:numId w:val="20"/>
        </w:numPr>
        <w:autoSpaceDE w:val="0"/>
        <w:autoSpaceDN w:val="0"/>
        <w:adjustRightInd w:val="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12D6A" w:rsidRDefault="00C12D6A" w:rsidP="00C12D6A">
      <w:pPr>
        <w:numPr>
          <w:ilvl w:val="0"/>
          <w:numId w:val="20"/>
        </w:numPr>
        <w:autoSpaceDE w:val="0"/>
        <w:autoSpaceDN w:val="0"/>
        <w:adjustRightInd w:val="0"/>
        <w:rPr>
          <w:szCs w:val="22"/>
        </w:rPr>
      </w:pPr>
      <w:r>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C12D6A" w:rsidRDefault="00C12D6A" w:rsidP="00C12D6A">
      <w:pPr>
        <w:numPr>
          <w:ilvl w:val="0"/>
          <w:numId w:val="20"/>
        </w:numPr>
        <w:autoSpaceDE w:val="0"/>
        <w:autoSpaceDN w:val="0"/>
        <w:adjustRightInd w:val="0"/>
        <w:rPr>
          <w:szCs w:val="22"/>
        </w:rPr>
      </w:pPr>
      <w:r>
        <w:rPr>
          <w:szCs w:val="22"/>
        </w:rPr>
        <w:t>Commercial overnight mail (other than U.S. Postal Service Express Mail and Priority Mail) must be sent to 9300 East Hampton Drive, Capitol Heights, MD  20743.</w:t>
      </w:r>
    </w:p>
    <w:p w:rsidR="00C12D6A" w:rsidRDefault="00C12D6A" w:rsidP="00C12D6A">
      <w:pPr>
        <w:numPr>
          <w:ilvl w:val="0"/>
          <w:numId w:val="20"/>
        </w:numPr>
        <w:autoSpaceDE w:val="0"/>
        <w:autoSpaceDN w:val="0"/>
        <w:adjustRightInd w:val="0"/>
        <w:rPr>
          <w:szCs w:val="22"/>
        </w:rPr>
      </w:pPr>
      <w:r>
        <w:rPr>
          <w:szCs w:val="22"/>
        </w:rPr>
        <w:t>U.S. Postal Service first-class, Express, and Priority mail must be addressed to 445 12th Street, SW, Washington DC  20554.</w:t>
      </w:r>
    </w:p>
    <w:p w:rsidR="00C12D6A" w:rsidRDefault="00C12D6A" w:rsidP="00C12D6A">
      <w:pPr>
        <w:autoSpaceDE w:val="0"/>
        <w:autoSpaceDN w:val="0"/>
        <w:adjustRightInd w:val="0"/>
        <w:rPr>
          <w:szCs w:val="22"/>
        </w:rPr>
      </w:pPr>
    </w:p>
    <w:p w:rsidR="00C12D6A" w:rsidRDefault="00C12D6A" w:rsidP="00C12D6A">
      <w:pPr>
        <w:ind w:firstLine="720"/>
      </w:pPr>
      <w:r>
        <w:lastRenderedPageBreak/>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and Governmental Affairs Bureau at 202-418-0530 (voice), 202-418-0432 (tty).</w:t>
      </w:r>
    </w:p>
    <w:p w:rsidR="00C12D6A" w:rsidRDefault="00C12D6A" w:rsidP="00C12D6A">
      <w:pPr>
        <w:autoSpaceDE w:val="0"/>
        <w:autoSpaceDN w:val="0"/>
        <w:adjustRightInd w:val="0"/>
        <w:ind w:firstLine="720"/>
        <w:rPr>
          <w:szCs w:val="22"/>
        </w:rPr>
      </w:pPr>
    </w:p>
    <w:p w:rsidR="00C12D6A" w:rsidRDefault="00C12D6A" w:rsidP="00C12D6A">
      <w:pPr>
        <w:ind w:firstLine="720"/>
      </w:pPr>
      <w:r>
        <w:t xml:space="preserve">The proceeding this Notice initiates shall be treated as a “permit-but-disclose” proceeding in accordance with the Commission’s </w:t>
      </w:r>
      <w:r>
        <w:rPr>
          <w:i/>
          <w:iCs/>
        </w:rPr>
        <w:t xml:space="preserve">ex parte </w:t>
      </w:r>
      <w:r>
        <w:t>rules.</w:t>
      </w:r>
      <w:r>
        <w:rPr>
          <w:vertAlign w:val="superscript"/>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ab/>
      </w:r>
    </w:p>
    <w:p w:rsidR="00C12D6A" w:rsidRDefault="00C12D6A" w:rsidP="00C12D6A">
      <w:pPr>
        <w:autoSpaceDE w:val="0"/>
        <w:autoSpaceDN w:val="0"/>
        <w:adjustRightInd w:val="0"/>
        <w:rPr>
          <w:szCs w:val="22"/>
        </w:rPr>
      </w:pPr>
    </w:p>
    <w:p w:rsidR="00C12D6A" w:rsidRDefault="00C12D6A" w:rsidP="00C12D6A">
      <w:pPr>
        <w:rPr>
          <w:szCs w:val="22"/>
        </w:rPr>
      </w:pPr>
      <w:r>
        <w:rPr>
          <w:b/>
          <w:szCs w:val="22"/>
        </w:rPr>
        <w:t>FOR FURTHER INFORMATION CONTACT:</w:t>
      </w:r>
      <w:r>
        <w:rPr>
          <w:szCs w:val="22"/>
        </w:rPr>
        <w:t xml:space="preserve">  Richard D. Smith, Consumer and Governmental Affairs Bureau, Federal Communications Commission, (717) 338-2797; or Richard.Smith@fcc.gov.</w:t>
      </w:r>
    </w:p>
    <w:p w:rsidR="00C12D6A" w:rsidRDefault="00C12D6A" w:rsidP="00C12D6A">
      <w:pPr>
        <w:jc w:val="center"/>
        <w:rPr>
          <w:b/>
          <w:sz w:val="24"/>
          <w:szCs w:val="24"/>
        </w:rPr>
      </w:pPr>
      <w:r>
        <w:rPr>
          <w:b/>
          <w:sz w:val="24"/>
          <w:szCs w:val="24"/>
        </w:rPr>
        <w:t>-FCC-</w:t>
      </w:r>
    </w:p>
    <w:p w:rsidR="00BE0CD2" w:rsidRPr="00C12D6A" w:rsidRDefault="00BE0CD2" w:rsidP="00C12D6A"/>
    <w:sectPr w:rsidR="00BE0CD2" w:rsidRPr="00C12D6A" w:rsidSect="00851E0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B6" w:rsidRDefault="002D16B6">
      <w:r>
        <w:separator/>
      </w:r>
    </w:p>
  </w:endnote>
  <w:endnote w:type="continuationSeparator" w:id="0">
    <w:p w:rsidR="002D16B6" w:rsidRDefault="002D16B6">
      <w:r>
        <w:continuationSeparator/>
      </w:r>
    </w:p>
  </w:endnote>
  <w:endnote w:type="continuationNotice" w:id="1">
    <w:p w:rsidR="002D16B6" w:rsidRDefault="002D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C" w:rsidRDefault="00D93FEC"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048" w:rsidRDefault="00461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C" w:rsidRDefault="00D93FEC"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0C0">
      <w:rPr>
        <w:rStyle w:val="PageNumber"/>
        <w:noProof/>
      </w:rPr>
      <w:t>2</w:t>
    </w:r>
    <w:r>
      <w:rPr>
        <w:rStyle w:val="PageNumber"/>
      </w:rPr>
      <w:fldChar w:fldCharType="end"/>
    </w:r>
  </w:p>
  <w:p w:rsidR="00461048" w:rsidRDefault="00461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15" w:rsidRDefault="0005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B6" w:rsidRDefault="002D16B6">
      <w:r>
        <w:separator/>
      </w:r>
    </w:p>
  </w:footnote>
  <w:footnote w:type="continuationSeparator" w:id="0">
    <w:p w:rsidR="002D16B6" w:rsidRDefault="002D16B6">
      <w:r>
        <w:continuationSeparator/>
      </w:r>
    </w:p>
  </w:footnote>
  <w:footnote w:type="continuationNotice" w:id="1">
    <w:p w:rsidR="002D16B6" w:rsidRDefault="002D16B6"/>
  </w:footnote>
  <w:footnote w:id="2">
    <w:p w:rsidR="00C12D6A" w:rsidRDefault="00C12D6A" w:rsidP="00C12D6A">
      <w:pPr>
        <w:rPr>
          <w:sz w:val="20"/>
        </w:rPr>
      </w:pPr>
      <w:r>
        <w:rPr>
          <w:rStyle w:val="FootnoteReference"/>
        </w:rPr>
        <w:footnoteRef/>
      </w:r>
      <w:r>
        <w:t xml:space="preserve"> </w:t>
      </w:r>
      <w:r>
        <w:rPr>
          <w:i/>
        </w:rPr>
        <w:t>See Petition of American Caresource Holdings, Inc. for Declaratory Ruling and/or Waiver</w:t>
      </w:r>
      <w:r>
        <w:t xml:space="preserve">, CG Docket Nos. 02-278, 05-338 (filed June 30, 2014) (ACH Petition); </w:t>
      </w:r>
      <w:r>
        <w:rPr>
          <w:i/>
        </w:rPr>
        <w:t>Petition of CARFAX, Inc. for Declaratory Ruling and/or Waiver of Section 64.1200(a)(4)(iv) of the Commission’s Rules</w:t>
      </w:r>
      <w:r>
        <w:t xml:space="preserve">, CG Docket Nos. 02-278, 05-338 (filed July 11, 2014) (CARFAX Petition); </w:t>
      </w:r>
      <w:r>
        <w:rPr>
          <w:i/>
        </w:rPr>
        <w:t>Petition of Merck and Company, Inc. for Declaratory Ruling and/or Waiver</w:t>
      </w:r>
      <w:r>
        <w:t xml:space="preserve">, CG Docket Nos. 02-278, 05-338 (filed July 11, 2014) (Merck Petition); </w:t>
      </w:r>
      <w:r>
        <w:rPr>
          <w:i/>
        </w:rPr>
        <w:t>Petition of UnitedHealth Group, Inc. for Declaratory Ruling and/or Waiver</w:t>
      </w:r>
      <w:r>
        <w:t xml:space="preserve">, CG Docket Nos. 02-278, 05-338 (filed July 11, 2014) (UnitedHealth Petition); </w:t>
      </w:r>
      <w:r>
        <w:rPr>
          <w:i/>
        </w:rPr>
        <w:t>Petition of MedLearning, Inc. and Medica, Inc. for Declaratory Ruling and/or Waiver</w:t>
      </w:r>
      <w:r>
        <w:t xml:space="preserve">, CG Docket Nos. 02-278, 05-338 (filed July 16, 2014)  (Medica Petition) (collectively “Petitioners”); </w:t>
      </w:r>
      <w:r>
        <w:rPr>
          <w:i/>
        </w:rPr>
        <w:t xml:space="preserve">see also </w:t>
      </w:r>
      <w:r>
        <w:t xml:space="preserve">47 C.F.R. § 64.1200 (a)(4)(iv). </w:t>
      </w:r>
    </w:p>
    <w:p w:rsidR="00C12D6A" w:rsidRDefault="00C12D6A" w:rsidP="00C12D6A"/>
  </w:footnote>
  <w:footnote w:id="3">
    <w:p w:rsidR="00C12D6A" w:rsidRDefault="00C12D6A" w:rsidP="00C12D6A">
      <w:pPr>
        <w:pStyle w:val="FootnoteText"/>
      </w:pPr>
      <w:r>
        <w:rPr>
          <w:rStyle w:val="FootnoteReference"/>
        </w:rPr>
        <w:footnoteRef/>
      </w:r>
      <w:r>
        <w:t xml:space="preserve"> </w:t>
      </w:r>
      <w:r>
        <w:rPr>
          <w:i/>
        </w:rPr>
        <w:t xml:space="preserve">See </w:t>
      </w:r>
      <w:r>
        <w:t>ACH Petition at 5-6; CARFAX Petition at 6-8; Medica Petition at 6-9; Merck Petition at 5-9; UnitedHealth Petition at 5-7.</w:t>
      </w:r>
    </w:p>
  </w:footnote>
  <w:footnote w:id="4">
    <w:p w:rsidR="00C12D6A" w:rsidRDefault="00C12D6A" w:rsidP="00C12D6A">
      <w:pPr>
        <w:pStyle w:val="FootnoteText"/>
      </w:pPr>
      <w:r>
        <w:rPr>
          <w:rStyle w:val="FootnoteReference"/>
        </w:rPr>
        <w:footnoteRef/>
      </w:r>
      <w:r>
        <w:t xml:space="preserve"> ACH Petition at 5-6; CARFAX Petition at 6; Medica Petition at 7; Merck Petition at 5; UnitedHealth Petition at 5.</w:t>
      </w:r>
    </w:p>
  </w:footnote>
  <w:footnote w:id="5">
    <w:p w:rsidR="00C12D6A" w:rsidRDefault="00C12D6A" w:rsidP="00C12D6A">
      <w:pPr>
        <w:pStyle w:val="FootnoteText"/>
      </w:pPr>
      <w:r>
        <w:rPr>
          <w:rStyle w:val="FootnoteReference"/>
        </w:rPr>
        <w:footnoteRef/>
      </w:r>
      <w:r>
        <w:t xml:space="preserve"> CARFAX Petition at 9 (“The FCC has not established that its rule requiring solicited faxes to include opt-out notices satisfies the test established by the Supreme Court not to be ‘more extensive than is necessary’ to advance a substantial governmental interest”); Medica Petition at 9; Merck Petition at 10-12; UnitedHealth Petition at 7.</w:t>
      </w:r>
    </w:p>
  </w:footnote>
  <w:footnote w:id="6">
    <w:p w:rsidR="00C12D6A" w:rsidRDefault="00C12D6A" w:rsidP="00C12D6A">
      <w:pPr>
        <w:pStyle w:val="FootnoteText"/>
      </w:pPr>
      <w:r>
        <w:rPr>
          <w:rStyle w:val="FootnoteReference"/>
        </w:rPr>
        <w:footnoteRef/>
      </w:r>
      <w:r>
        <w:t xml:space="preserve"> ACH Petition at 7; CARFAX Petition at 11; Medica Petition at 9-11; Merck Petition at 12-13; UnitedHealth Petition at 9.</w:t>
      </w:r>
    </w:p>
  </w:footnote>
  <w:footnote w:id="7">
    <w:p w:rsidR="00C12D6A" w:rsidRDefault="00C12D6A" w:rsidP="00C12D6A">
      <w:pPr>
        <w:pStyle w:val="FootnoteText"/>
      </w:pPr>
      <w:r>
        <w:rPr>
          <w:rStyle w:val="FootnoteReference"/>
        </w:rPr>
        <w:footnoteRef/>
      </w:r>
      <w:r>
        <w:t xml:space="preserve"> </w:t>
      </w:r>
      <w:r>
        <w:rPr>
          <w:i/>
        </w:rPr>
        <w:t xml:space="preserve">See </w:t>
      </w:r>
      <w:r>
        <w:t>ACH Petition at 8 (“[r]equiring strict compliance with the Regulation … is inequitable, unduly burdensome and contrary to the public interest”);</w:t>
      </w:r>
      <w:r>
        <w:rPr>
          <w:i/>
        </w:rPr>
        <w:t xml:space="preserve"> </w:t>
      </w:r>
      <w:r>
        <w:t>CARFAX Petition at 11-12 (“in light of ambiguity and confusion regarding the scope and applicability of Section 64.1200(a)(4)(iv), denial of a waiver could also impose substantial harm on CARFAX and other organizations”); Medica Petition at 13 (“[a] waiver would serve the public interest by avoiding an abuse of the private right of action”); Merck Petition at 16-17 (“[t]here is no public interest in subjecting Merck to a lawsuit seeking massive damages on the basis of faxes sent pursuant to the recipients’ prior express invitation or permission that included demonstrably effective opt-out notice on the first page describing a cost-free opt-out mechanism”); UnitedHealth Petition at 9 (“no real purpose is served by enforcing Section 64.1200(a)(4)(iv) with respect to recipients who have already provided express invitation or permission”).</w:t>
      </w:r>
    </w:p>
  </w:footnote>
  <w:footnote w:id="8">
    <w:p w:rsidR="00C12D6A" w:rsidRDefault="00C12D6A" w:rsidP="00C12D6A">
      <w:pPr>
        <w:pStyle w:val="FootnoteText"/>
        <w:rPr>
          <w:iCs/>
        </w:rPr>
      </w:pPr>
      <w:r>
        <w:rPr>
          <w:rStyle w:val="FootnoteReference"/>
        </w:rPr>
        <w:footnoteRef/>
      </w:r>
      <w:r>
        <w:t xml:space="preserve"> 47 C.F.R. §§ 1.1200 </w:t>
      </w:r>
      <w:r>
        <w:rPr>
          <w:i/>
          <w:iCs/>
        </w:rPr>
        <w:t>et seq</w:t>
      </w:r>
      <w:r>
        <w:rPr>
          <w:iCs/>
        </w:rPr>
        <w:t>.</w:t>
      </w:r>
    </w:p>
    <w:p w:rsidR="00C12D6A" w:rsidRDefault="00C12D6A" w:rsidP="00C12D6A">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15" w:rsidRDefault="00052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15" w:rsidRDefault="00052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48" w:rsidRDefault="00FD7C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48" w:rsidRDefault="00461048">
                          <w:pPr>
                            <w:rPr>
                              <w:rFonts w:ascii="Arial" w:hAnsi="Arial"/>
                              <w:b/>
                            </w:rPr>
                          </w:pPr>
                          <w:r>
                            <w:rPr>
                              <w:rFonts w:ascii="Arial" w:hAnsi="Arial"/>
                              <w:b/>
                            </w:rPr>
                            <w:t>Federal Communications Commission</w:t>
                          </w:r>
                        </w:p>
                        <w:p w:rsidR="00461048" w:rsidRDefault="0046104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1048" w:rsidRDefault="0046104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61048" w:rsidRDefault="00461048">
                    <w:pPr>
                      <w:rPr>
                        <w:rFonts w:ascii="Arial" w:hAnsi="Arial"/>
                        <w:b/>
                      </w:rPr>
                    </w:pPr>
                    <w:r>
                      <w:rPr>
                        <w:rFonts w:ascii="Arial" w:hAnsi="Arial"/>
                        <w:b/>
                      </w:rPr>
                      <w:t>Federal Communications Commission</w:t>
                    </w:r>
                  </w:p>
                  <w:p w:rsidR="00461048" w:rsidRDefault="0046104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1048" w:rsidRDefault="0046104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61048">
      <w:rPr>
        <w:rFonts w:ascii="News Gothic MT" w:hAnsi="News Gothic MT"/>
        <w:b/>
        <w:kern w:val="28"/>
        <w:sz w:val="96"/>
      </w:rPr>
      <w:t>PUBLIC NOTICE</w:t>
    </w:r>
  </w:p>
  <w:p w:rsidR="00461048" w:rsidRDefault="00FD7C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48" w:rsidRDefault="00461048">
                          <w:pPr>
                            <w:spacing w:before="40"/>
                            <w:jc w:val="right"/>
                            <w:rPr>
                              <w:rFonts w:ascii="Arial" w:hAnsi="Arial"/>
                              <w:b/>
                              <w:sz w:val="16"/>
                            </w:rPr>
                          </w:pPr>
                          <w:r>
                            <w:rPr>
                              <w:rFonts w:ascii="Arial" w:hAnsi="Arial"/>
                              <w:b/>
                              <w:sz w:val="16"/>
                            </w:rPr>
                            <w:t>News Media Information 202 / 418-0500</w:t>
                          </w:r>
                        </w:p>
                        <w:p w:rsidR="00461048" w:rsidRDefault="0046104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1048" w:rsidRDefault="00461048">
                          <w:pPr>
                            <w:jc w:val="right"/>
                            <w:rPr>
                              <w:rFonts w:ascii="Arial" w:hAnsi="Arial"/>
                              <w:b/>
                              <w:sz w:val="16"/>
                            </w:rPr>
                          </w:pPr>
                          <w:r>
                            <w:rPr>
                              <w:rFonts w:ascii="Arial" w:hAnsi="Arial"/>
                              <w:b/>
                              <w:sz w:val="16"/>
                            </w:rPr>
                            <w:t>TTY: 1-888-835-5322</w:t>
                          </w:r>
                        </w:p>
                        <w:p w:rsidR="00461048" w:rsidRDefault="0046104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461048" w:rsidRDefault="00461048">
                    <w:pPr>
                      <w:spacing w:before="40"/>
                      <w:jc w:val="right"/>
                      <w:rPr>
                        <w:rFonts w:ascii="Arial" w:hAnsi="Arial"/>
                        <w:b/>
                        <w:sz w:val="16"/>
                      </w:rPr>
                    </w:pPr>
                    <w:r>
                      <w:rPr>
                        <w:rFonts w:ascii="Arial" w:hAnsi="Arial"/>
                        <w:b/>
                        <w:sz w:val="16"/>
                      </w:rPr>
                      <w:t>News Media Information 202 / 418-0500</w:t>
                    </w:r>
                  </w:p>
                  <w:p w:rsidR="00461048" w:rsidRDefault="0046104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61048" w:rsidRDefault="00461048">
                    <w:pPr>
                      <w:jc w:val="right"/>
                      <w:rPr>
                        <w:rFonts w:ascii="Arial" w:hAnsi="Arial"/>
                        <w:b/>
                        <w:sz w:val="16"/>
                      </w:rPr>
                    </w:pPr>
                    <w:r>
                      <w:rPr>
                        <w:rFonts w:ascii="Arial" w:hAnsi="Arial"/>
                        <w:b/>
                        <w:sz w:val="16"/>
                      </w:rPr>
                      <w:t>TTY: 1-888-835-5322</w:t>
                    </w:r>
                  </w:p>
                  <w:p w:rsidR="00461048" w:rsidRDefault="00461048">
                    <w:pPr>
                      <w:jc w:val="right"/>
                    </w:pPr>
                  </w:p>
                </w:txbxContent>
              </v:textbox>
            </v:shape>
          </w:pict>
        </mc:Fallback>
      </mc:AlternateContent>
    </w:r>
  </w:p>
  <w:p w:rsidR="00461048" w:rsidRDefault="00FD7C13">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16DE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31E1B"/>
    <w:rsid w:val="0003516D"/>
    <w:rsid w:val="00043FE9"/>
    <w:rsid w:val="00044B88"/>
    <w:rsid w:val="0004515A"/>
    <w:rsid w:val="00052415"/>
    <w:rsid w:val="000534A3"/>
    <w:rsid w:val="00061970"/>
    <w:rsid w:val="00063856"/>
    <w:rsid w:val="00064245"/>
    <w:rsid w:val="00066F63"/>
    <w:rsid w:val="000717FD"/>
    <w:rsid w:val="00081B3A"/>
    <w:rsid w:val="000853F4"/>
    <w:rsid w:val="00087480"/>
    <w:rsid w:val="00087A88"/>
    <w:rsid w:val="00090A7B"/>
    <w:rsid w:val="000A312E"/>
    <w:rsid w:val="000A5614"/>
    <w:rsid w:val="000B1F2C"/>
    <w:rsid w:val="000B7A6D"/>
    <w:rsid w:val="000C5139"/>
    <w:rsid w:val="000C6F75"/>
    <w:rsid w:val="000C7ED0"/>
    <w:rsid w:val="000D51AC"/>
    <w:rsid w:val="000D5DBE"/>
    <w:rsid w:val="000D60E0"/>
    <w:rsid w:val="000E761C"/>
    <w:rsid w:val="000E78A3"/>
    <w:rsid w:val="000F106F"/>
    <w:rsid w:val="001109F1"/>
    <w:rsid w:val="001253D4"/>
    <w:rsid w:val="0012699D"/>
    <w:rsid w:val="00135494"/>
    <w:rsid w:val="00135D96"/>
    <w:rsid w:val="0013626C"/>
    <w:rsid w:val="00137867"/>
    <w:rsid w:val="00160812"/>
    <w:rsid w:val="00161025"/>
    <w:rsid w:val="00163342"/>
    <w:rsid w:val="0016418D"/>
    <w:rsid w:val="001679EC"/>
    <w:rsid w:val="001721ED"/>
    <w:rsid w:val="001724C1"/>
    <w:rsid w:val="00173D00"/>
    <w:rsid w:val="001815F6"/>
    <w:rsid w:val="00191ABD"/>
    <w:rsid w:val="00196343"/>
    <w:rsid w:val="00197395"/>
    <w:rsid w:val="001A2416"/>
    <w:rsid w:val="001A29B4"/>
    <w:rsid w:val="001A4A32"/>
    <w:rsid w:val="001A528C"/>
    <w:rsid w:val="001A6037"/>
    <w:rsid w:val="001B3ECD"/>
    <w:rsid w:val="001C4ED3"/>
    <w:rsid w:val="001D19F2"/>
    <w:rsid w:val="001E0D34"/>
    <w:rsid w:val="001E7D37"/>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656C"/>
    <w:rsid w:val="00230AB6"/>
    <w:rsid w:val="002438F3"/>
    <w:rsid w:val="0024471E"/>
    <w:rsid w:val="00253A5A"/>
    <w:rsid w:val="00257C4D"/>
    <w:rsid w:val="002606A5"/>
    <w:rsid w:val="00262992"/>
    <w:rsid w:val="00276A67"/>
    <w:rsid w:val="00281EDE"/>
    <w:rsid w:val="00285C4D"/>
    <w:rsid w:val="00291156"/>
    <w:rsid w:val="00297055"/>
    <w:rsid w:val="00297A99"/>
    <w:rsid w:val="002A1E73"/>
    <w:rsid w:val="002A4E33"/>
    <w:rsid w:val="002B2006"/>
    <w:rsid w:val="002B2FF7"/>
    <w:rsid w:val="002D16B6"/>
    <w:rsid w:val="002D2228"/>
    <w:rsid w:val="002E5A64"/>
    <w:rsid w:val="002F0672"/>
    <w:rsid w:val="002F77C3"/>
    <w:rsid w:val="003012FA"/>
    <w:rsid w:val="0030255A"/>
    <w:rsid w:val="00302BC0"/>
    <w:rsid w:val="00303110"/>
    <w:rsid w:val="003104B0"/>
    <w:rsid w:val="003109CE"/>
    <w:rsid w:val="00311A3A"/>
    <w:rsid w:val="00312043"/>
    <w:rsid w:val="00316C79"/>
    <w:rsid w:val="003175D6"/>
    <w:rsid w:val="00334C56"/>
    <w:rsid w:val="00336493"/>
    <w:rsid w:val="00344B85"/>
    <w:rsid w:val="00351A40"/>
    <w:rsid w:val="00353569"/>
    <w:rsid w:val="0035363D"/>
    <w:rsid w:val="003538F3"/>
    <w:rsid w:val="003557D8"/>
    <w:rsid w:val="00357784"/>
    <w:rsid w:val="0035789A"/>
    <w:rsid w:val="003701F6"/>
    <w:rsid w:val="0037165F"/>
    <w:rsid w:val="003827EF"/>
    <w:rsid w:val="00383EFD"/>
    <w:rsid w:val="0038551C"/>
    <w:rsid w:val="00397F9C"/>
    <w:rsid w:val="003A1030"/>
    <w:rsid w:val="003A4A39"/>
    <w:rsid w:val="003B0012"/>
    <w:rsid w:val="003B2903"/>
    <w:rsid w:val="003B71EA"/>
    <w:rsid w:val="003C0ED0"/>
    <w:rsid w:val="003C2345"/>
    <w:rsid w:val="003C341D"/>
    <w:rsid w:val="003D1B38"/>
    <w:rsid w:val="003D1CE5"/>
    <w:rsid w:val="003F3C1C"/>
    <w:rsid w:val="004050C0"/>
    <w:rsid w:val="004122A1"/>
    <w:rsid w:val="004164FB"/>
    <w:rsid w:val="0043046E"/>
    <w:rsid w:val="0043584F"/>
    <w:rsid w:val="00435AF2"/>
    <w:rsid w:val="00440664"/>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C40DB"/>
    <w:rsid w:val="004C4E0A"/>
    <w:rsid w:val="004C6613"/>
    <w:rsid w:val="004D17F5"/>
    <w:rsid w:val="004D1E9B"/>
    <w:rsid w:val="004D2766"/>
    <w:rsid w:val="004D3591"/>
    <w:rsid w:val="004D69FA"/>
    <w:rsid w:val="004E04EC"/>
    <w:rsid w:val="004E3059"/>
    <w:rsid w:val="00501614"/>
    <w:rsid w:val="00502161"/>
    <w:rsid w:val="00505D7E"/>
    <w:rsid w:val="005060BC"/>
    <w:rsid w:val="0050654E"/>
    <w:rsid w:val="00511AD9"/>
    <w:rsid w:val="00511F24"/>
    <w:rsid w:val="00511FB3"/>
    <w:rsid w:val="005131A7"/>
    <w:rsid w:val="005212CF"/>
    <w:rsid w:val="0052536E"/>
    <w:rsid w:val="00525F27"/>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3232"/>
    <w:rsid w:val="00574DD8"/>
    <w:rsid w:val="00581284"/>
    <w:rsid w:val="00583B02"/>
    <w:rsid w:val="00587BF6"/>
    <w:rsid w:val="0059496F"/>
    <w:rsid w:val="00596586"/>
    <w:rsid w:val="005A1E38"/>
    <w:rsid w:val="005B5506"/>
    <w:rsid w:val="005B667F"/>
    <w:rsid w:val="005D33A7"/>
    <w:rsid w:val="005D7C69"/>
    <w:rsid w:val="005E0BA8"/>
    <w:rsid w:val="005F2440"/>
    <w:rsid w:val="005F79EA"/>
    <w:rsid w:val="00602121"/>
    <w:rsid w:val="00605115"/>
    <w:rsid w:val="006105CB"/>
    <w:rsid w:val="00610645"/>
    <w:rsid w:val="00612D26"/>
    <w:rsid w:val="00614B2C"/>
    <w:rsid w:val="0061661D"/>
    <w:rsid w:val="00621C34"/>
    <w:rsid w:val="00621F74"/>
    <w:rsid w:val="006318D0"/>
    <w:rsid w:val="00634305"/>
    <w:rsid w:val="006354E5"/>
    <w:rsid w:val="00643617"/>
    <w:rsid w:val="0064404B"/>
    <w:rsid w:val="00644A1B"/>
    <w:rsid w:val="006468DA"/>
    <w:rsid w:val="00650134"/>
    <w:rsid w:val="00652CB9"/>
    <w:rsid w:val="00654CE3"/>
    <w:rsid w:val="0066091A"/>
    <w:rsid w:val="006662E3"/>
    <w:rsid w:val="006736A5"/>
    <w:rsid w:val="00677BD2"/>
    <w:rsid w:val="00680C1A"/>
    <w:rsid w:val="00686A1B"/>
    <w:rsid w:val="00686FF3"/>
    <w:rsid w:val="006943CC"/>
    <w:rsid w:val="006A031E"/>
    <w:rsid w:val="006A52AB"/>
    <w:rsid w:val="006B5C97"/>
    <w:rsid w:val="006C55FD"/>
    <w:rsid w:val="006D4EBB"/>
    <w:rsid w:val="006E0E96"/>
    <w:rsid w:val="006E2FE6"/>
    <w:rsid w:val="006E3A09"/>
    <w:rsid w:val="006E4A74"/>
    <w:rsid w:val="006E5BEF"/>
    <w:rsid w:val="006F2A55"/>
    <w:rsid w:val="006F2BB3"/>
    <w:rsid w:val="006F3E81"/>
    <w:rsid w:val="006F40DF"/>
    <w:rsid w:val="006F44BD"/>
    <w:rsid w:val="006F6E53"/>
    <w:rsid w:val="00700914"/>
    <w:rsid w:val="007115CD"/>
    <w:rsid w:val="0071161F"/>
    <w:rsid w:val="00715E09"/>
    <w:rsid w:val="00716AAF"/>
    <w:rsid w:val="00717EE1"/>
    <w:rsid w:val="00734157"/>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80E1B"/>
    <w:rsid w:val="00787498"/>
    <w:rsid w:val="007923CD"/>
    <w:rsid w:val="007954E3"/>
    <w:rsid w:val="007A03DE"/>
    <w:rsid w:val="007A5C30"/>
    <w:rsid w:val="007A7A19"/>
    <w:rsid w:val="007D1F49"/>
    <w:rsid w:val="007D7AB0"/>
    <w:rsid w:val="007E4BDE"/>
    <w:rsid w:val="007F11D4"/>
    <w:rsid w:val="007F5D51"/>
    <w:rsid w:val="00811829"/>
    <w:rsid w:val="00811E0C"/>
    <w:rsid w:val="00814A74"/>
    <w:rsid w:val="008151B0"/>
    <w:rsid w:val="00821450"/>
    <w:rsid w:val="008215EF"/>
    <w:rsid w:val="008218F4"/>
    <w:rsid w:val="00823DFB"/>
    <w:rsid w:val="00826348"/>
    <w:rsid w:val="008274C0"/>
    <w:rsid w:val="00831FE3"/>
    <w:rsid w:val="008330ED"/>
    <w:rsid w:val="0083533D"/>
    <w:rsid w:val="008373FF"/>
    <w:rsid w:val="00837C1C"/>
    <w:rsid w:val="008457DA"/>
    <w:rsid w:val="00845F8F"/>
    <w:rsid w:val="00851E0F"/>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D1EEC"/>
    <w:rsid w:val="008E582F"/>
    <w:rsid w:val="008E6A95"/>
    <w:rsid w:val="008E72A6"/>
    <w:rsid w:val="008F1550"/>
    <w:rsid w:val="008F3431"/>
    <w:rsid w:val="00900122"/>
    <w:rsid w:val="009007BF"/>
    <w:rsid w:val="009019CA"/>
    <w:rsid w:val="00906664"/>
    <w:rsid w:val="0091222C"/>
    <w:rsid w:val="00913B17"/>
    <w:rsid w:val="009200CE"/>
    <w:rsid w:val="009227AF"/>
    <w:rsid w:val="00932B50"/>
    <w:rsid w:val="00933AC0"/>
    <w:rsid w:val="00940EB0"/>
    <w:rsid w:val="00944AAF"/>
    <w:rsid w:val="00945DCD"/>
    <w:rsid w:val="0094622F"/>
    <w:rsid w:val="00955EE3"/>
    <w:rsid w:val="009561FE"/>
    <w:rsid w:val="00964E4B"/>
    <w:rsid w:val="0096619E"/>
    <w:rsid w:val="00971E6F"/>
    <w:rsid w:val="00973849"/>
    <w:rsid w:val="00975BE8"/>
    <w:rsid w:val="00977EE6"/>
    <w:rsid w:val="0099503F"/>
    <w:rsid w:val="009A589A"/>
    <w:rsid w:val="009A6ABD"/>
    <w:rsid w:val="009B14B2"/>
    <w:rsid w:val="009B3C50"/>
    <w:rsid w:val="009B72D6"/>
    <w:rsid w:val="009C14E2"/>
    <w:rsid w:val="009C2F73"/>
    <w:rsid w:val="009D63C6"/>
    <w:rsid w:val="009D6ED8"/>
    <w:rsid w:val="009E305C"/>
    <w:rsid w:val="009F06E2"/>
    <w:rsid w:val="009F1886"/>
    <w:rsid w:val="009F4F21"/>
    <w:rsid w:val="009F6175"/>
    <w:rsid w:val="00A03C9B"/>
    <w:rsid w:val="00A0407A"/>
    <w:rsid w:val="00A0532F"/>
    <w:rsid w:val="00A0543E"/>
    <w:rsid w:val="00A20FA2"/>
    <w:rsid w:val="00A212B4"/>
    <w:rsid w:val="00A31C22"/>
    <w:rsid w:val="00A3681F"/>
    <w:rsid w:val="00A561A9"/>
    <w:rsid w:val="00A65335"/>
    <w:rsid w:val="00A66569"/>
    <w:rsid w:val="00A74529"/>
    <w:rsid w:val="00A824AF"/>
    <w:rsid w:val="00A8453A"/>
    <w:rsid w:val="00A8566D"/>
    <w:rsid w:val="00A879C4"/>
    <w:rsid w:val="00A90872"/>
    <w:rsid w:val="00A918F5"/>
    <w:rsid w:val="00A9351A"/>
    <w:rsid w:val="00A93E4E"/>
    <w:rsid w:val="00A9430C"/>
    <w:rsid w:val="00A969D1"/>
    <w:rsid w:val="00A96AA1"/>
    <w:rsid w:val="00AA2F39"/>
    <w:rsid w:val="00AA387B"/>
    <w:rsid w:val="00AA56D4"/>
    <w:rsid w:val="00AA6A7C"/>
    <w:rsid w:val="00AA7CB8"/>
    <w:rsid w:val="00AB204F"/>
    <w:rsid w:val="00AC593C"/>
    <w:rsid w:val="00AC5B36"/>
    <w:rsid w:val="00AC79AB"/>
    <w:rsid w:val="00AD6768"/>
    <w:rsid w:val="00AE139A"/>
    <w:rsid w:val="00AE4225"/>
    <w:rsid w:val="00AF13D1"/>
    <w:rsid w:val="00AF208D"/>
    <w:rsid w:val="00AF2781"/>
    <w:rsid w:val="00B05FD3"/>
    <w:rsid w:val="00B11C08"/>
    <w:rsid w:val="00B21B35"/>
    <w:rsid w:val="00B23784"/>
    <w:rsid w:val="00B248C7"/>
    <w:rsid w:val="00B2594A"/>
    <w:rsid w:val="00B270D4"/>
    <w:rsid w:val="00B27DE9"/>
    <w:rsid w:val="00B30004"/>
    <w:rsid w:val="00B3495F"/>
    <w:rsid w:val="00B3641D"/>
    <w:rsid w:val="00B36DD0"/>
    <w:rsid w:val="00B3701F"/>
    <w:rsid w:val="00B42019"/>
    <w:rsid w:val="00B43CC2"/>
    <w:rsid w:val="00B43FA4"/>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4A01"/>
    <w:rsid w:val="00C10ED4"/>
    <w:rsid w:val="00C12005"/>
    <w:rsid w:val="00C12D6A"/>
    <w:rsid w:val="00C14700"/>
    <w:rsid w:val="00C219DA"/>
    <w:rsid w:val="00C27AD3"/>
    <w:rsid w:val="00C35180"/>
    <w:rsid w:val="00C35BBD"/>
    <w:rsid w:val="00C35BE1"/>
    <w:rsid w:val="00C41EA0"/>
    <w:rsid w:val="00C43F56"/>
    <w:rsid w:val="00C476C2"/>
    <w:rsid w:val="00C47731"/>
    <w:rsid w:val="00C47F86"/>
    <w:rsid w:val="00C53E8A"/>
    <w:rsid w:val="00C55119"/>
    <w:rsid w:val="00C6035C"/>
    <w:rsid w:val="00C60732"/>
    <w:rsid w:val="00C612A0"/>
    <w:rsid w:val="00C6351E"/>
    <w:rsid w:val="00C65D05"/>
    <w:rsid w:val="00C67F2A"/>
    <w:rsid w:val="00C77AE2"/>
    <w:rsid w:val="00C801EA"/>
    <w:rsid w:val="00C86C07"/>
    <w:rsid w:val="00C8723D"/>
    <w:rsid w:val="00C967B8"/>
    <w:rsid w:val="00CA20F5"/>
    <w:rsid w:val="00CA4812"/>
    <w:rsid w:val="00CA4929"/>
    <w:rsid w:val="00CB6822"/>
    <w:rsid w:val="00CC63C3"/>
    <w:rsid w:val="00CC63F2"/>
    <w:rsid w:val="00CD2C6B"/>
    <w:rsid w:val="00CD3325"/>
    <w:rsid w:val="00CE0CB6"/>
    <w:rsid w:val="00CE20E0"/>
    <w:rsid w:val="00CE688F"/>
    <w:rsid w:val="00CF06EB"/>
    <w:rsid w:val="00D006DA"/>
    <w:rsid w:val="00D07051"/>
    <w:rsid w:val="00D11CDE"/>
    <w:rsid w:val="00D1438F"/>
    <w:rsid w:val="00D20E76"/>
    <w:rsid w:val="00D212E5"/>
    <w:rsid w:val="00D34899"/>
    <w:rsid w:val="00D367AA"/>
    <w:rsid w:val="00D37BE5"/>
    <w:rsid w:val="00D42C44"/>
    <w:rsid w:val="00D64F42"/>
    <w:rsid w:val="00D67DCF"/>
    <w:rsid w:val="00D73A63"/>
    <w:rsid w:val="00D77647"/>
    <w:rsid w:val="00D80A01"/>
    <w:rsid w:val="00D870B5"/>
    <w:rsid w:val="00D916CC"/>
    <w:rsid w:val="00D93FEC"/>
    <w:rsid w:val="00DA14EC"/>
    <w:rsid w:val="00DA76E5"/>
    <w:rsid w:val="00DB5C12"/>
    <w:rsid w:val="00DC631A"/>
    <w:rsid w:val="00DC70F1"/>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1ECD"/>
    <w:rsid w:val="00E23AF0"/>
    <w:rsid w:val="00E25F8E"/>
    <w:rsid w:val="00E27E96"/>
    <w:rsid w:val="00E314D5"/>
    <w:rsid w:val="00E44576"/>
    <w:rsid w:val="00E465D4"/>
    <w:rsid w:val="00E4790C"/>
    <w:rsid w:val="00E4790D"/>
    <w:rsid w:val="00E529C2"/>
    <w:rsid w:val="00E5320A"/>
    <w:rsid w:val="00E55C68"/>
    <w:rsid w:val="00E73913"/>
    <w:rsid w:val="00E75CB0"/>
    <w:rsid w:val="00E77280"/>
    <w:rsid w:val="00E906EA"/>
    <w:rsid w:val="00E90C85"/>
    <w:rsid w:val="00E90D39"/>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5FC9"/>
    <w:rsid w:val="00EC6B5C"/>
    <w:rsid w:val="00ED34C5"/>
    <w:rsid w:val="00ED77EA"/>
    <w:rsid w:val="00ED7CF9"/>
    <w:rsid w:val="00EE7529"/>
    <w:rsid w:val="00EF7905"/>
    <w:rsid w:val="00F01179"/>
    <w:rsid w:val="00F03F24"/>
    <w:rsid w:val="00F2289B"/>
    <w:rsid w:val="00F32945"/>
    <w:rsid w:val="00F32F63"/>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C17ED"/>
    <w:rsid w:val="00FC1BB2"/>
    <w:rsid w:val="00FD5666"/>
    <w:rsid w:val="00FD7410"/>
    <w:rsid w:val="00FD7C13"/>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805</Words>
  <Characters>4615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5448</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2013-11-21T14:49:00Z</cp:lastPrinted>
  <dcterms:created xsi:type="dcterms:W3CDTF">2014-07-25T14:19:00Z</dcterms:created>
  <dcterms:modified xsi:type="dcterms:W3CDTF">2014-07-25T14:19:00Z</dcterms:modified>
  <cp:category> </cp:category>
  <cp:contentStatus> </cp:contentStatus>
</cp:coreProperties>
</file>