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395" w:rsidRDefault="00511395">
      <w:pPr>
        <w:jc w:val="center"/>
        <w:rPr>
          <w:b/>
        </w:rPr>
      </w:pPr>
      <w:bookmarkStart w:id="0" w:name="_GoBack"/>
      <w:bookmarkEnd w:id="0"/>
      <w:r>
        <w:rPr>
          <w:b/>
        </w:rPr>
        <w:t>Before the</w:t>
      </w:r>
    </w:p>
    <w:p w:rsidR="00511395" w:rsidRDefault="00511395">
      <w:pPr>
        <w:jc w:val="center"/>
        <w:rPr>
          <w:b/>
        </w:rPr>
      </w:pPr>
      <w:r>
        <w:rPr>
          <w:b/>
        </w:rPr>
        <w:t>Federal Communications Commission</w:t>
      </w:r>
    </w:p>
    <w:p w:rsidR="00511395" w:rsidRDefault="00511395">
      <w:pPr>
        <w:jc w:val="center"/>
        <w:rPr>
          <w:b/>
        </w:rPr>
      </w:pPr>
      <w:r>
        <w:rPr>
          <w:b/>
        </w:rPr>
        <w:t>Washington, D.C. 20554</w:t>
      </w:r>
    </w:p>
    <w:p w:rsidR="00511395" w:rsidRDefault="00511395">
      <w:pPr>
        <w:tabs>
          <w:tab w:val="left" w:pos="-720"/>
        </w:tabs>
        <w:suppressAutoHyphens/>
        <w:spacing w:line="227" w:lineRule="auto"/>
        <w:rPr>
          <w:spacing w:val="-2"/>
        </w:rPr>
      </w:pPr>
    </w:p>
    <w:p w:rsidR="00511395" w:rsidRDefault="00511395">
      <w:pPr>
        <w:tabs>
          <w:tab w:val="left" w:pos="-720"/>
        </w:tabs>
        <w:suppressAutoHyphens/>
        <w:spacing w:line="227" w:lineRule="auto"/>
        <w:rPr>
          <w:spacing w:val="-2"/>
        </w:rPr>
      </w:pPr>
    </w:p>
    <w:tbl>
      <w:tblPr>
        <w:tblW w:w="0" w:type="auto"/>
        <w:tblLayout w:type="fixed"/>
        <w:tblLook w:val="0000" w:firstRow="0" w:lastRow="0" w:firstColumn="0" w:lastColumn="0" w:noHBand="0" w:noVBand="0"/>
      </w:tblPr>
      <w:tblGrid>
        <w:gridCol w:w="4698"/>
        <w:gridCol w:w="630"/>
        <w:gridCol w:w="4248"/>
      </w:tblGrid>
      <w:tr w:rsidR="00511395">
        <w:tc>
          <w:tcPr>
            <w:tcW w:w="4698" w:type="dxa"/>
          </w:tcPr>
          <w:p w:rsidR="00511395" w:rsidRDefault="00511395">
            <w:pPr>
              <w:tabs>
                <w:tab w:val="center" w:pos="4680"/>
              </w:tabs>
              <w:suppressAutoHyphens/>
              <w:rPr>
                <w:spacing w:val="-2"/>
              </w:rPr>
            </w:pPr>
          </w:p>
          <w:p w:rsidR="00511395" w:rsidRDefault="00511395" w:rsidP="00511395">
            <w:r>
              <w:t>In the Matter of</w:t>
            </w:r>
          </w:p>
          <w:p w:rsidR="00511395" w:rsidRDefault="00511395" w:rsidP="00511395"/>
          <w:p w:rsidR="00511395" w:rsidRDefault="00511395" w:rsidP="00511395">
            <w:r>
              <w:t>MARICOPA COUNTY, ARIZONA</w:t>
            </w:r>
          </w:p>
          <w:p w:rsidR="00511395" w:rsidRDefault="00511395" w:rsidP="00511395"/>
          <w:p w:rsidR="00511395" w:rsidRDefault="00511395" w:rsidP="00511395">
            <w:r>
              <w:t>Further Request for Extension of Time</w:t>
            </w:r>
          </w:p>
        </w:tc>
        <w:tc>
          <w:tcPr>
            <w:tcW w:w="630" w:type="dxa"/>
          </w:tcPr>
          <w:p w:rsidR="00511395" w:rsidRDefault="00511395">
            <w:pPr>
              <w:tabs>
                <w:tab w:val="center" w:pos="4680"/>
              </w:tabs>
              <w:suppressAutoHyphens/>
              <w:rPr>
                <w:b/>
                <w:spacing w:val="-2"/>
              </w:rPr>
            </w:pPr>
            <w:r>
              <w:rPr>
                <w:b/>
                <w:spacing w:val="-2"/>
              </w:rPr>
              <w:t>)</w:t>
            </w:r>
          </w:p>
          <w:p w:rsidR="00511395" w:rsidRDefault="00511395">
            <w:pPr>
              <w:tabs>
                <w:tab w:val="center" w:pos="4680"/>
              </w:tabs>
              <w:suppressAutoHyphens/>
              <w:rPr>
                <w:b/>
                <w:spacing w:val="-2"/>
              </w:rPr>
            </w:pPr>
            <w:r>
              <w:rPr>
                <w:b/>
                <w:spacing w:val="-2"/>
              </w:rPr>
              <w:t>)</w:t>
            </w:r>
          </w:p>
          <w:p w:rsidR="00511395" w:rsidRDefault="00511395">
            <w:pPr>
              <w:tabs>
                <w:tab w:val="center" w:pos="4680"/>
              </w:tabs>
              <w:suppressAutoHyphens/>
              <w:rPr>
                <w:b/>
                <w:spacing w:val="-2"/>
              </w:rPr>
            </w:pPr>
            <w:r>
              <w:rPr>
                <w:b/>
                <w:spacing w:val="-2"/>
              </w:rPr>
              <w:t>)</w:t>
            </w:r>
          </w:p>
          <w:p w:rsidR="00511395" w:rsidRDefault="00511395">
            <w:pPr>
              <w:tabs>
                <w:tab w:val="center" w:pos="4680"/>
              </w:tabs>
              <w:suppressAutoHyphens/>
              <w:rPr>
                <w:b/>
                <w:spacing w:val="-2"/>
              </w:rPr>
            </w:pPr>
            <w:r>
              <w:rPr>
                <w:b/>
                <w:spacing w:val="-2"/>
              </w:rPr>
              <w:t>)</w:t>
            </w:r>
          </w:p>
          <w:p w:rsidR="00511395" w:rsidRDefault="00511395">
            <w:pPr>
              <w:tabs>
                <w:tab w:val="center" w:pos="4680"/>
              </w:tabs>
              <w:suppressAutoHyphens/>
              <w:rPr>
                <w:b/>
                <w:spacing w:val="-2"/>
              </w:rPr>
            </w:pPr>
            <w:r>
              <w:rPr>
                <w:b/>
                <w:spacing w:val="-2"/>
              </w:rPr>
              <w:t>)</w:t>
            </w:r>
          </w:p>
          <w:p w:rsidR="00511395" w:rsidRDefault="00511395">
            <w:pPr>
              <w:tabs>
                <w:tab w:val="center" w:pos="4680"/>
              </w:tabs>
              <w:suppressAutoHyphens/>
              <w:rPr>
                <w:b/>
                <w:spacing w:val="-2"/>
              </w:rPr>
            </w:pPr>
            <w:r>
              <w:rPr>
                <w:b/>
                <w:spacing w:val="-2"/>
              </w:rPr>
              <w:t>)</w:t>
            </w:r>
          </w:p>
          <w:p w:rsidR="00511395" w:rsidRDefault="00511395">
            <w:pPr>
              <w:tabs>
                <w:tab w:val="center" w:pos="4680"/>
              </w:tabs>
              <w:suppressAutoHyphens/>
              <w:rPr>
                <w:spacing w:val="-2"/>
              </w:rPr>
            </w:pPr>
          </w:p>
        </w:tc>
        <w:tc>
          <w:tcPr>
            <w:tcW w:w="4248" w:type="dxa"/>
          </w:tcPr>
          <w:p w:rsidR="00511395" w:rsidRDefault="00511395">
            <w:pPr>
              <w:tabs>
                <w:tab w:val="center" w:pos="4680"/>
              </w:tabs>
              <w:suppressAutoHyphens/>
              <w:rPr>
                <w:spacing w:val="-2"/>
              </w:rPr>
            </w:pPr>
          </w:p>
          <w:p w:rsidR="00511395" w:rsidRDefault="00511395">
            <w:pPr>
              <w:tabs>
                <w:tab w:val="center" w:pos="4680"/>
              </w:tabs>
              <w:suppressAutoHyphens/>
              <w:rPr>
                <w:spacing w:val="-2"/>
              </w:rPr>
            </w:pPr>
          </w:p>
          <w:p w:rsidR="00511395" w:rsidRDefault="00511395">
            <w:pPr>
              <w:pStyle w:val="TOAHeading"/>
              <w:tabs>
                <w:tab w:val="clear" w:pos="9360"/>
                <w:tab w:val="center" w:pos="4680"/>
              </w:tabs>
              <w:rPr>
                <w:spacing w:val="-2"/>
              </w:rPr>
            </w:pPr>
          </w:p>
          <w:p w:rsidR="00511395" w:rsidRDefault="00511395">
            <w:pPr>
              <w:tabs>
                <w:tab w:val="center" w:pos="4680"/>
              </w:tabs>
              <w:suppressAutoHyphens/>
              <w:rPr>
                <w:spacing w:val="-2"/>
              </w:rPr>
            </w:pPr>
            <w:r>
              <w:rPr>
                <w:spacing w:val="-2"/>
              </w:rPr>
              <w:t>WT Docket No, 02-55</w:t>
            </w:r>
          </w:p>
        </w:tc>
      </w:tr>
    </w:tbl>
    <w:p w:rsidR="00511395" w:rsidRDefault="00511395">
      <w:pPr>
        <w:jc w:val="center"/>
        <w:rPr>
          <w:b/>
        </w:rPr>
      </w:pPr>
      <w:r>
        <w:rPr>
          <w:b/>
        </w:rPr>
        <w:t>ORDER</w:t>
      </w:r>
    </w:p>
    <w:p w:rsidR="00511395" w:rsidRDefault="00511395">
      <w:pPr>
        <w:tabs>
          <w:tab w:val="left" w:pos="-720"/>
        </w:tabs>
        <w:suppressAutoHyphens/>
        <w:spacing w:line="227" w:lineRule="auto"/>
        <w:rPr>
          <w:spacing w:val="-2"/>
        </w:rPr>
      </w:pPr>
    </w:p>
    <w:p w:rsidR="00511395" w:rsidRDefault="00511395">
      <w:pPr>
        <w:tabs>
          <w:tab w:val="left" w:pos="720"/>
          <w:tab w:val="left" w:pos="5760"/>
        </w:tabs>
        <w:suppressAutoHyphens/>
        <w:spacing w:line="227" w:lineRule="auto"/>
        <w:rPr>
          <w:spacing w:val="-2"/>
        </w:rPr>
      </w:pPr>
      <w:r>
        <w:rPr>
          <w:b/>
          <w:spacing w:val="-2"/>
        </w:rPr>
        <w:t xml:space="preserve">Adopted:  </w:t>
      </w:r>
      <w:r w:rsidR="002D46CB">
        <w:rPr>
          <w:spacing w:val="-2"/>
        </w:rPr>
        <w:t>July 24, 2014</w:t>
      </w:r>
      <w:r>
        <w:rPr>
          <w:b/>
          <w:spacing w:val="-2"/>
        </w:rPr>
        <w:tab/>
        <w:t xml:space="preserve">Released: </w:t>
      </w:r>
      <w:r w:rsidR="002D46CB">
        <w:rPr>
          <w:spacing w:val="-2"/>
        </w:rPr>
        <w:t>July 24, 2014</w:t>
      </w:r>
    </w:p>
    <w:p w:rsidR="00511395" w:rsidRDefault="00511395"/>
    <w:p w:rsidR="00511395" w:rsidRDefault="00511395" w:rsidP="00511395">
      <w:pPr>
        <w:jc w:val="left"/>
        <w:rPr>
          <w:spacing w:val="-2"/>
        </w:rPr>
      </w:pPr>
      <w:r>
        <w:rPr>
          <w:spacing w:val="-2"/>
        </w:rPr>
        <w:t>By the Deputy Chief</w:t>
      </w:r>
      <w:r w:rsidR="00822649">
        <w:rPr>
          <w:spacing w:val="-2"/>
        </w:rPr>
        <w:t>, Policy and Licensing Division</w:t>
      </w:r>
      <w:r w:rsidR="002D46CB">
        <w:rPr>
          <w:spacing w:val="-2"/>
        </w:rPr>
        <w:t>,</w:t>
      </w:r>
      <w:r w:rsidR="00822649">
        <w:rPr>
          <w:spacing w:val="-2"/>
        </w:rPr>
        <w:t xml:space="preserve"> </w:t>
      </w:r>
      <w:r>
        <w:rPr>
          <w:spacing w:val="-2"/>
        </w:rPr>
        <w:t>Public Safety and Homeland Security Bureau:</w:t>
      </w:r>
    </w:p>
    <w:p w:rsidR="00511395" w:rsidRDefault="00511395" w:rsidP="00511395">
      <w:pPr>
        <w:jc w:val="left"/>
        <w:rPr>
          <w:spacing w:val="-2"/>
        </w:rPr>
      </w:pPr>
    </w:p>
    <w:p w:rsidR="00511395" w:rsidRDefault="00511395">
      <w:pPr>
        <w:rPr>
          <w:spacing w:val="-2"/>
        </w:rPr>
      </w:pPr>
    </w:p>
    <w:p w:rsidR="00511395" w:rsidRDefault="00511395" w:rsidP="00822649">
      <w:pPr>
        <w:pStyle w:val="Heading1"/>
        <w:jc w:val="left"/>
      </w:pPr>
      <w:r>
        <w:t>introduction and background</w:t>
      </w:r>
    </w:p>
    <w:p w:rsidR="00AB44D2" w:rsidRDefault="00511395" w:rsidP="00822649">
      <w:pPr>
        <w:pStyle w:val="ParaNum"/>
        <w:jc w:val="left"/>
      </w:pPr>
      <w:r>
        <w:t>Under consideration is the Further Request for Ext</w:t>
      </w:r>
      <w:r w:rsidR="00822649">
        <w:t>ension of Time (Request) filed July 14, 2014 by Maricopa County, Arizona (Maricopa).  Maricopa has not filed a cost estimate for reconfiguration of its 800 MHz communications system</w:t>
      </w:r>
      <w:r w:rsidR="000659CC">
        <w:rPr>
          <w:rStyle w:val="FootnoteReference"/>
        </w:rPr>
        <w:footnoteReference w:id="2"/>
      </w:r>
      <w:r w:rsidR="00822649">
        <w:t xml:space="preserve"> and requests an extension of time until October 5, 2014 to do so.</w:t>
      </w:r>
      <w:r w:rsidR="00ED31C1">
        <w:t xml:space="preserve">  Maricopa’s cost estimat</w:t>
      </w:r>
      <w:r w:rsidR="0036666E">
        <w:t>e was due on November 20, 2013</w:t>
      </w:r>
      <w:r w:rsidR="00ED31C1">
        <w:t>.  It previously sought an extension of time</w:t>
      </w:r>
      <w:r w:rsidR="00C503C5">
        <w:t xml:space="preserve"> to file its cost estimate by</w:t>
      </w:r>
      <w:r w:rsidR="00ED31C1">
        <w:t xml:space="preserve"> June 1, 2014 which </w:t>
      </w:r>
      <w:r w:rsidR="00C503C5">
        <w:t xml:space="preserve">request </w:t>
      </w:r>
      <w:r w:rsidR="00ED31C1">
        <w:t xml:space="preserve">was denied by the Public Safety and Homeland Security Bureau </w:t>
      </w:r>
      <w:r w:rsidR="00C3090A">
        <w:t xml:space="preserve">(Bureau) </w:t>
      </w:r>
      <w:r w:rsidR="00ED31C1">
        <w:t>which ordered Maricopa to furnish its cost estimate by March 10, 2014</w:t>
      </w:r>
      <w:r w:rsidR="0033322D">
        <w:t xml:space="preserve"> or request a further extension.  Maricopa failed to furnish a cost estimate by March 10, 2014, </w:t>
      </w:r>
      <w:r w:rsidR="00C503C5">
        <w:t xml:space="preserve">because of </w:t>
      </w:r>
      <w:r w:rsidR="0033322D">
        <w:t xml:space="preserve">a mistake:  </w:t>
      </w:r>
      <w:r w:rsidR="0036666E">
        <w:t xml:space="preserve">it </w:t>
      </w:r>
      <w:r w:rsidR="00102540">
        <w:t xml:space="preserve">had </w:t>
      </w:r>
      <w:r w:rsidR="00C503C5">
        <w:t xml:space="preserve">failed to </w:t>
      </w:r>
      <w:r w:rsidR="008C6225">
        <w:t xml:space="preserve">contract </w:t>
      </w:r>
      <w:r w:rsidR="00654B2C">
        <w:t xml:space="preserve">with </w:t>
      </w:r>
      <w:r w:rsidR="0033322D">
        <w:t xml:space="preserve">its vendor, Motorola Solutions, Inc. (Motorola) </w:t>
      </w:r>
      <w:r w:rsidR="00654B2C">
        <w:t xml:space="preserve">for the planning work </w:t>
      </w:r>
      <w:r w:rsidR="0033322D">
        <w:t>necessary for Maricopa’s preparation of its cost estimate.</w:t>
      </w:r>
      <w:r w:rsidR="00654B2C">
        <w:rPr>
          <w:rStyle w:val="FootnoteReference"/>
        </w:rPr>
        <w:footnoteReference w:id="3"/>
      </w:r>
      <w:r w:rsidR="00091D74">
        <w:t xml:space="preserve">  Maricopa then filed an additional extension request</w:t>
      </w:r>
      <w:r w:rsidR="00C3090A">
        <w:t xml:space="preserve"> which was opposed by Sprint Corporation (Sprint) which intimated, </w:t>
      </w:r>
      <w:r w:rsidR="00993F7D">
        <w:t xml:space="preserve">using </w:t>
      </w:r>
      <w:r w:rsidR="00C3090A">
        <w:lastRenderedPageBreak/>
        <w:t>Maricopa’s terms, “that Maricopa was ‘slow rolling’ its planning in order to request a system upgrade.”</w:t>
      </w:r>
      <w:r w:rsidR="00C3090A">
        <w:rPr>
          <w:rStyle w:val="FootnoteReference"/>
        </w:rPr>
        <w:footnoteReference w:id="4"/>
      </w:r>
      <w:r w:rsidR="00C3090A">
        <w:t xml:space="preserve">  In a reply to Sprint’s opposition, Maricopa disclaimed any intent to attempt a system upgrade.  The Bureau </w:t>
      </w:r>
      <w:r w:rsidR="002C4FED">
        <w:t>denied Maricopa’s extension request, but gave it until July 14</w:t>
      </w:r>
      <w:r w:rsidR="00993F7D">
        <w:t>, 2014</w:t>
      </w:r>
      <w:r w:rsidR="002C4FED">
        <w:t xml:space="preserve"> to submit a cost estimate, imposing certain conditions if Maricopa failed to do so.</w:t>
      </w:r>
      <w:r w:rsidR="002C4FED">
        <w:rPr>
          <w:rStyle w:val="FootnoteReference"/>
        </w:rPr>
        <w:footnoteReference w:id="5"/>
      </w:r>
      <w:r w:rsidR="00993F7D">
        <w:t xml:space="preserve">  Maricopa did not file a cost estimate by July 14, 2014 and, instead, filed the instant Request.</w:t>
      </w:r>
    </w:p>
    <w:p w:rsidR="00511395" w:rsidRDefault="00AB44D2" w:rsidP="00822649">
      <w:pPr>
        <w:pStyle w:val="ParaNum"/>
        <w:jc w:val="left"/>
      </w:pPr>
      <w:r>
        <w:t>According to Maricopa, it did not comply with the previous extension because “Motorola has been unable to work fast enough to deliver a cost estimate in time for the Bureau’s deadline.”</w:t>
      </w:r>
      <w:r>
        <w:rPr>
          <w:rStyle w:val="FootnoteReference"/>
        </w:rPr>
        <w:footnoteReference w:id="6"/>
      </w:r>
      <w:r w:rsidR="002C4FED">
        <w:t xml:space="preserve">  </w:t>
      </w:r>
      <w:r w:rsidR="000E7B4F">
        <w:t>In support of that statement, Maricopa provides a timeline which “details Motorola’s past, current and future work on the project.</w:t>
      </w:r>
      <w:r w:rsidR="000E7B4F">
        <w:rPr>
          <w:rStyle w:val="FootnoteReference"/>
        </w:rPr>
        <w:footnoteReference w:id="7"/>
      </w:r>
      <w:r w:rsidR="000E7B4F">
        <w:t xml:space="preserve">  The Motorola-supplied timeline shows “Customer Delivery” of Motorola’s Statement of Work by </w:t>
      </w:r>
      <w:r w:rsidR="005E24C2">
        <w:t>September 5, 2014.</w:t>
      </w:r>
    </w:p>
    <w:p w:rsidR="005E24C2" w:rsidRDefault="005E24C2" w:rsidP="005E24C2">
      <w:pPr>
        <w:pStyle w:val="Heading1"/>
      </w:pPr>
      <w:r>
        <w:t>discussion</w:t>
      </w:r>
    </w:p>
    <w:p w:rsidR="005E24C2" w:rsidRPr="006204B5" w:rsidRDefault="005E24C2" w:rsidP="005E24C2">
      <w:pPr>
        <w:pStyle w:val="ParaNum"/>
        <w:jc w:val="left"/>
        <w:rPr>
          <w:szCs w:val="22"/>
        </w:rPr>
      </w:pPr>
      <w:r w:rsidRPr="006204B5">
        <w:rPr>
          <w:szCs w:val="22"/>
        </w:rPr>
        <w:t>Section 1.46(a) of the Commission’s rules states that “[i]t is the policy of the Commission that extensions of time shall not be routinely granted.”</w:t>
      </w:r>
      <w:r w:rsidRPr="006204B5">
        <w:rPr>
          <w:szCs w:val="22"/>
          <w:vertAlign w:val="superscript"/>
        </w:rPr>
        <w:footnoteReference w:id="8"/>
      </w:r>
      <w:r w:rsidRPr="006204B5">
        <w:rPr>
          <w:szCs w:val="22"/>
        </w:rPr>
        <w:t xml:space="preserve">  The Bureau has emphasized that the “import of that rule is </w:t>
      </w:r>
      <w:r w:rsidRPr="005E24C2">
        <w:t>especially</w:t>
      </w:r>
      <w:r w:rsidRPr="006204B5">
        <w:rPr>
          <w:szCs w:val="22"/>
        </w:rPr>
        <w:t xml:space="preserve"> relevant to 800 MHz rebanding where delay in rebanding by one licensee can cause a ‘domino effect’ delay in the rebanding efforts of other licensees that have met the Commission’s 800 MHz band reconfiguration deadlines with a consequent delay of the overall program. We therefore afford a high degree of scrutiny to the reasons licensees advance for extensions of time.”</w:t>
      </w:r>
      <w:r w:rsidRPr="006204B5">
        <w:rPr>
          <w:szCs w:val="22"/>
          <w:vertAlign w:val="superscript"/>
        </w:rPr>
        <w:footnoteReference w:id="9"/>
      </w:r>
    </w:p>
    <w:p w:rsidR="001837D5" w:rsidRPr="005E24C2" w:rsidRDefault="005E24C2" w:rsidP="00C503C5">
      <w:pPr>
        <w:pStyle w:val="ParaNum"/>
      </w:pPr>
      <w:r>
        <w:t>Here, Maricopa</w:t>
      </w:r>
      <w:r w:rsidR="007D7186">
        <w:t>,</w:t>
      </w:r>
      <w:r>
        <w:t xml:space="preserve"> in the knowledge that it was expected to provide a cost estimate to Sprint and the 800 MHz Transition Administrator</w:t>
      </w:r>
      <w:r w:rsidR="00263988">
        <w:t xml:space="preserve"> (TA)</w:t>
      </w:r>
      <w:r>
        <w:t xml:space="preserve"> by November </w:t>
      </w:r>
      <w:r w:rsidR="003E00C9">
        <w:t>20, 2013, did not even recognize until late in 2013 that it had failed to contract with Motorola for work essential to preparation of the cost estimate.</w:t>
      </w:r>
      <w:r w:rsidR="007D7186">
        <w:rPr>
          <w:rStyle w:val="FootnoteReference"/>
        </w:rPr>
        <w:footnoteReference w:id="10"/>
      </w:r>
      <w:r w:rsidR="003E00C9">
        <w:t xml:space="preserve">  It is </w:t>
      </w:r>
      <w:r w:rsidR="00C503C5">
        <w:t>unremarkable therefore</w:t>
      </w:r>
      <w:r w:rsidR="003E00C9">
        <w:t xml:space="preserve">, that Maricopa finds itself well behind schedule.  Short of finding bad faith on Maricopa’s part, however, there is </w:t>
      </w:r>
      <w:r w:rsidR="00102540">
        <w:t xml:space="preserve">little </w:t>
      </w:r>
      <w:r w:rsidR="003E00C9">
        <w:t xml:space="preserve">the Bureau can do </w:t>
      </w:r>
      <w:r w:rsidR="00021EBF">
        <w:t xml:space="preserve">to remedy the problem that Maricopa has created.  We will not, however, equate negligence with bad faith in this instance.  Accordingly, having no practical alternative, we will grant Maricopa an extension of time </w:t>
      </w:r>
      <w:r w:rsidR="002B7356">
        <w:t>to submit its cost estimate until October 5, 2014.  In the interim, Maricopa shall report to the Bureau</w:t>
      </w:r>
      <w:r w:rsidR="00263988">
        <w:t>, and the TA Mediator, within one business day,</w:t>
      </w:r>
      <w:r w:rsidR="002B7356">
        <w:t xml:space="preserve"> any instance in which Motorola fails to meet the start and finish dates listed in the attachment to </w:t>
      </w:r>
      <w:r w:rsidR="00C503C5">
        <w:t xml:space="preserve">Maricopa’s </w:t>
      </w:r>
      <w:r w:rsidR="002B7356">
        <w:t>Request.</w:t>
      </w:r>
      <w:r w:rsidR="00263988">
        <w:t xml:space="preserve">  In addition, Maricopa shall </w:t>
      </w:r>
      <w:r w:rsidR="00102540">
        <w:t xml:space="preserve">attend </w:t>
      </w:r>
      <w:r w:rsidR="00263988">
        <w:t>such conferences</w:t>
      </w:r>
      <w:r w:rsidR="00102540">
        <w:t>, and furnish such reports,</w:t>
      </w:r>
      <w:r w:rsidR="00263988">
        <w:t xml:space="preserve"> as the TA Mediator may direct.</w:t>
      </w:r>
    </w:p>
    <w:p w:rsidR="00102540" w:rsidRDefault="001837D5" w:rsidP="001837D5">
      <w:pPr>
        <w:pStyle w:val="ParaNum"/>
      </w:pPr>
      <w:r>
        <w:t xml:space="preserve">In Maricopa’s case, as with others, the Bureau has been faced with delays to the rebanding program due, in large </w:t>
      </w:r>
      <w:r w:rsidR="006B20BA">
        <w:t xml:space="preserve">part, to vendors </w:t>
      </w:r>
      <w:r w:rsidR="00102540">
        <w:t xml:space="preserve">not providing </w:t>
      </w:r>
      <w:r w:rsidR="006B20BA">
        <w:t xml:space="preserve">timely planning services to </w:t>
      </w:r>
      <w:r w:rsidR="00102540">
        <w:t xml:space="preserve">their </w:t>
      </w:r>
      <w:r w:rsidR="006B20BA">
        <w:t xml:space="preserve">customers.  Such delays are </w:t>
      </w:r>
      <w:r w:rsidR="00E94BD2">
        <w:t xml:space="preserve">inimical </w:t>
      </w:r>
      <w:r w:rsidR="006B20BA">
        <w:t xml:space="preserve">to the Commission’s objective promptly to conclude rebanding so as to eliminate the hazard that </w:t>
      </w:r>
      <w:r w:rsidR="00E94BD2">
        <w:t xml:space="preserve">800 MHz </w:t>
      </w:r>
      <w:r w:rsidR="006B20BA">
        <w:t>interference creates for first responders.  Licensees faced with such delays are well advised to request their vendors to apply additional resources to the task</w:t>
      </w:r>
      <w:r w:rsidR="00E94BD2">
        <w:t>.</w:t>
      </w:r>
    </w:p>
    <w:p w:rsidR="00511395" w:rsidRDefault="00B73891" w:rsidP="00B73891">
      <w:pPr>
        <w:pStyle w:val="Heading1"/>
      </w:pPr>
      <w:r>
        <w:t xml:space="preserve">  decision</w:t>
      </w:r>
      <w:r w:rsidR="00E94BD2">
        <w:t xml:space="preserve">    </w:t>
      </w:r>
    </w:p>
    <w:p w:rsidR="00B73891" w:rsidRDefault="00B73891" w:rsidP="00B73891">
      <w:pPr>
        <w:pStyle w:val="ParaNum"/>
      </w:pPr>
      <w:r>
        <w:t>We grant Maricopa an extension of time until October 5, 2014 to provide a cost estimate to Sprint and the TA.  The extension includes a 30-day period for Maricopa to evaluate the Motorola statement of work,</w:t>
      </w:r>
      <w:r w:rsidR="002C5C65">
        <w:t xml:space="preserve"> obtain any required changes, and estimate Maricopa’s rebanding-related internal costs.  We expect Maricopa to exercise diligence in timely obtaining the cost estimate and to avoid </w:t>
      </w:r>
      <w:r w:rsidR="007D7186">
        <w:t xml:space="preserve">mistakes </w:t>
      </w:r>
      <w:r w:rsidR="002C5C65">
        <w:t>of the kind that contributed to delays to date.</w:t>
      </w:r>
    </w:p>
    <w:p w:rsidR="002C5C65" w:rsidRDefault="002C5C65" w:rsidP="002C5C65">
      <w:pPr>
        <w:pStyle w:val="Heading1"/>
      </w:pPr>
      <w:r>
        <w:t xml:space="preserve"> ordering clause</w:t>
      </w:r>
    </w:p>
    <w:p w:rsidR="002C5C65" w:rsidRDefault="002C5C65" w:rsidP="002C5C65">
      <w:pPr>
        <w:pStyle w:val="ParaNum"/>
      </w:pPr>
      <w:r>
        <w:t xml:space="preserve">Accordingly, IT IS ORDERED that the </w:t>
      </w:r>
      <w:r w:rsidRPr="002C5C65">
        <w:t>Further Request for Extension of Time filed July 14, 2014</w:t>
      </w:r>
      <w:r w:rsidR="00053F86">
        <w:t xml:space="preserve"> by Maricopa County, Arizona, IS GRANTED to the extent provided for herein.</w:t>
      </w:r>
    </w:p>
    <w:p w:rsidR="00053F86" w:rsidRDefault="00053F86" w:rsidP="00053F86">
      <w:pPr>
        <w:pStyle w:val="ParaNum"/>
      </w:pPr>
      <w:r w:rsidRPr="00053F86">
        <w:t>This action is taken under delegated authority pursuant to Sections 0.191(a) and 0.392 of the Commission's Rules, 47 C.F.R. §§ 0.191(a), 0.392</w:t>
      </w:r>
      <w:r>
        <w:t>.</w:t>
      </w:r>
    </w:p>
    <w:p w:rsidR="00053F86" w:rsidRDefault="00053F86" w:rsidP="00053F86">
      <w:pPr>
        <w:pStyle w:val="ParaNum"/>
        <w:numPr>
          <w:ilvl w:val="0"/>
          <w:numId w:val="0"/>
        </w:numPr>
        <w:spacing w:after="0"/>
        <w:ind w:left="3600"/>
      </w:pPr>
      <w:r>
        <w:t>FEDERAL COMMUNICATIONS COMMISSION</w:t>
      </w:r>
    </w:p>
    <w:p w:rsidR="00053F86" w:rsidRDefault="00053F86" w:rsidP="00053F86">
      <w:pPr>
        <w:pStyle w:val="ParaNum"/>
        <w:numPr>
          <w:ilvl w:val="0"/>
          <w:numId w:val="0"/>
        </w:numPr>
        <w:spacing w:after="0"/>
        <w:ind w:left="3600"/>
      </w:pPr>
    </w:p>
    <w:p w:rsidR="00053F86" w:rsidRDefault="00053F86" w:rsidP="00053F86">
      <w:pPr>
        <w:pStyle w:val="ParaNum"/>
        <w:numPr>
          <w:ilvl w:val="0"/>
          <w:numId w:val="0"/>
        </w:numPr>
        <w:spacing w:after="0"/>
        <w:ind w:left="3600"/>
      </w:pPr>
    </w:p>
    <w:p w:rsidR="00053F86" w:rsidRDefault="00053F86" w:rsidP="00053F86">
      <w:pPr>
        <w:pStyle w:val="ParaNum"/>
        <w:numPr>
          <w:ilvl w:val="0"/>
          <w:numId w:val="0"/>
        </w:numPr>
        <w:spacing w:after="0"/>
        <w:ind w:left="3600"/>
      </w:pPr>
    </w:p>
    <w:p w:rsidR="00053F86" w:rsidRDefault="00053F86" w:rsidP="00053F86">
      <w:pPr>
        <w:pStyle w:val="ParaNum"/>
        <w:numPr>
          <w:ilvl w:val="0"/>
          <w:numId w:val="0"/>
        </w:numPr>
        <w:spacing w:after="0"/>
        <w:ind w:left="3600"/>
      </w:pPr>
      <w:r>
        <w:t>Michael J. Wilhelm</w:t>
      </w:r>
    </w:p>
    <w:p w:rsidR="00053F86" w:rsidRDefault="00053F86" w:rsidP="00053F86">
      <w:pPr>
        <w:pStyle w:val="ParaNum"/>
        <w:numPr>
          <w:ilvl w:val="0"/>
          <w:numId w:val="0"/>
        </w:numPr>
        <w:spacing w:after="0"/>
        <w:ind w:left="3600"/>
      </w:pPr>
      <w:r>
        <w:t>Deputy Chief, Policy and Licensing Division</w:t>
      </w:r>
    </w:p>
    <w:p w:rsidR="00053F86" w:rsidRPr="002C5C65" w:rsidRDefault="00053F86" w:rsidP="00053F86">
      <w:pPr>
        <w:pStyle w:val="ParaNum"/>
        <w:numPr>
          <w:ilvl w:val="0"/>
          <w:numId w:val="0"/>
        </w:numPr>
        <w:spacing w:after="0"/>
        <w:ind w:left="3600"/>
      </w:pPr>
      <w:r>
        <w:t xml:space="preserve">Public Safety and Homeland Security Bureau  </w:t>
      </w:r>
    </w:p>
    <w:p w:rsidR="00511395" w:rsidRDefault="00511395"/>
    <w:p w:rsidR="00511395" w:rsidRDefault="00511395"/>
    <w:p w:rsidR="00511395" w:rsidRDefault="00511395"/>
    <w:sectPr w:rsidR="00511395">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sectPr>
  </w:body>
</w:document>
</file>

<file path=word/customizations.xml><?xml version="1.0" encoding="utf-8"?>
<wne:tcg xmlns:r="http://schemas.openxmlformats.org/officeDocument/2006/relationships" xmlns:wne="http://schemas.microsoft.com/office/word/2006/wordml">
  <wne:keymaps>
    <wne:keymap wne:mask="1" wne:kcmPrimary="026D"/>
    <wne:keymap wne:kcmPrimary="02BD">
      <wne:wch wne:val="00002014"/>
    </wne:keymap>
    <wne:keymap wne:kcmPrimary="0450">
      <wne:wch wne:val="000000B6"/>
    </wne:keymap>
    <wne:keymap wne:kcmPrimary="0453">
      <wne:wch wne:val="000000A7"/>
    </wne:keymap>
    <wne:keymap wne:kcmPrimary="0634">
      <wne:acd wne:acdName="acd1"/>
    </wne:keymap>
    <wne:keymap wne:kcmPrimary="0635">
      <wne:acd wne:acdName="acd2"/>
    </wne:keymap>
    <wne:keymap wne:kcmPrimary="0636">
      <wne:acd wne:acdName="acd3"/>
    </wne:keymap>
    <wne:keymap wne:kcmPrimary="0637">
      <wne:acd wne:acdName="acd4"/>
    </wne:keymap>
    <wne:keymap wne:kcmPrimary="0638">
      <wne:acd wne:acdName="acd5"/>
    </wne:keymap>
    <wne:keymap wne:kcmPrimary="0639">
      <wne:acd wne:acdName="acd6"/>
    </wne:keymap>
    <wne:keymap wne:kcmPrimary="064E">
      <wne:acd wne:acdName="acd0"/>
    </wne:keymap>
    <wne:keymap wne:kcmPrimary="06BD">
      <wne:wch wne:val="00002013"/>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QAGEAcgBhAE4AdQBtAA==" wne:acdName="acd0" wne:fciIndexBasedOn="0065"/>
    <wne:acd wne:argValue="AQAAAAQA" wne:acdName="acd1" wne:fciIndexBasedOn="0065"/>
    <wne:acd wne:argValue="AQAAAAUA" wne:acdName="acd2" wne:fciIndexBasedOn="0065"/>
    <wne:acd wne:argValue="AQAAAAYA" wne:acdName="acd3" wne:fciIndexBasedOn="0065"/>
    <wne:acd wne:argValue="AQAAAAcA" wne:acdName="acd4" wne:fciIndexBasedOn="0065"/>
    <wne:acd wne:argValue="AQAAAAgA" wne:acdName="acd5" wne:fciIndexBasedOn="0065"/>
    <wne:acd wne:argValue="AQAAAAkA" wne:acdName="acd6" wne:fciIndexBasedOn="0065"/>
    <wne:acd wne:argValue="AQAAAAAA" wne:acdName="acd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FCF" w:rsidRDefault="00BE6FCF">
      <w:pPr>
        <w:spacing w:line="20" w:lineRule="exact"/>
      </w:pPr>
    </w:p>
  </w:endnote>
  <w:endnote w:type="continuationSeparator" w:id="0">
    <w:p w:rsidR="00BE6FCF" w:rsidRDefault="00BE6FCF">
      <w:r>
        <w:t xml:space="preserve"> </w:t>
      </w:r>
    </w:p>
  </w:endnote>
  <w:endnote w:type="continuationNotice" w:id="1">
    <w:p w:rsidR="00BE6FCF" w:rsidRDefault="00BE6FC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BA" w:rsidRDefault="006B20BA">
    <w:pPr>
      <w:pStyle w:val="Footer"/>
      <w:framePr w:wrap="around" w:vAnchor="text" w:hAnchor="margin" w:xAlign="center" w:y="1"/>
    </w:pPr>
    <w:r>
      <w:fldChar w:fldCharType="begin"/>
    </w:r>
    <w:r>
      <w:instrText xml:space="preserve">PAGE  </w:instrText>
    </w:r>
    <w:r>
      <w:fldChar w:fldCharType="end"/>
    </w:r>
  </w:p>
  <w:p w:rsidR="006B20BA" w:rsidRDefault="006B20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BA" w:rsidRDefault="006B20BA">
    <w:pPr>
      <w:pStyle w:val="Footer"/>
      <w:framePr w:wrap="around" w:vAnchor="text" w:hAnchor="margin" w:xAlign="center" w:y="1"/>
    </w:pPr>
    <w:r>
      <w:fldChar w:fldCharType="begin"/>
    </w:r>
    <w:r>
      <w:instrText xml:space="preserve">PAGE  </w:instrText>
    </w:r>
    <w:r>
      <w:fldChar w:fldCharType="separate"/>
    </w:r>
    <w:r w:rsidR="00E3033D">
      <w:rPr>
        <w:noProof/>
      </w:rPr>
      <w:t>1</w:t>
    </w:r>
    <w:r>
      <w:fldChar w:fldCharType="end"/>
    </w:r>
  </w:p>
  <w:p w:rsidR="006B20BA" w:rsidRDefault="006B20BA">
    <w:pPr>
      <w:spacing w:before="140" w:line="100" w:lineRule="exact"/>
      <w:rPr>
        <w:sz w:val="10"/>
      </w:rPr>
    </w:pPr>
  </w:p>
  <w:p w:rsidR="006B20BA" w:rsidRDefault="006B20BA">
    <w:pPr>
      <w:suppressAutoHyphens/>
      <w:spacing w:line="227" w:lineRule="auto"/>
    </w:pPr>
  </w:p>
  <w:p w:rsidR="006B20BA" w:rsidRDefault="006B20B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BA" w:rsidRDefault="006B20BA">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FCF" w:rsidRDefault="00BE6FCF">
      <w:r>
        <w:separator/>
      </w:r>
    </w:p>
  </w:footnote>
  <w:footnote w:type="continuationSeparator" w:id="0">
    <w:p w:rsidR="00BE6FCF" w:rsidRDefault="00BE6FCF">
      <w:pPr>
        <w:rPr>
          <w:sz w:val="20"/>
        </w:rPr>
      </w:pPr>
      <w:r>
        <w:rPr>
          <w:sz w:val="20"/>
        </w:rPr>
        <w:t xml:space="preserve">(Continued from previous page)  </w:t>
      </w:r>
      <w:r>
        <w:rPr>
          <w:sz w:val="20"/>
        </w:rPr>
        <w:separator/>
      </w:r>
    </w:p>
  </w:footnote>
  <w:footnote w:type="continuationNotice" w:id="1">
    <w:p w:rsidR="00BE6FCF" w:rsidRDefault="00BE6FCF">
      <w:pPr>
        <w:rPr>
          <w:sz w:val="20"/>
        </w:rPr>
      </w:pPr>
      <w:r>
        <w:rPr>
          <w:sz w:val="20"/>
        </w:rPr>
        <w:t>(continued….)</w:t>
      </w:r>
    </w:p>
  </w:footnote>
  <w:footnote w:id="2">
    <w:p w:rsidR="000659CC" w:rsidRDefault="000659CC" w:rsidP="008C6225">
      <w:pPr>
        <w:autoSpaceDE w:val="0"/>
        <w:autoSpaceDN w:val="0"/>
        <w:adjustRightInd w:val="0"/>
        <w:spacing w:after="120"/>
      </w:pPr>
      <w:r>
        <w:rPr>
          <w:rStyle w:val="FootnoteReference"/>
        </w:rPr>
        <w:footnoteRef/>
      </w:r>
      <w:r>
        <w:t xml:space="preserve"> </w:t>
      </w:r>
      <w:r w:rsidR="004D1A0D" w:rsidRPr="004D1A0D">
        <w:rPr>
          <w:i/>
          <w:iCs/>
          <w:snapToGrid/>
          <w:kern w:val="0"/>
          <w:sz w:val="20"/>
        </w:rPr>
        <w:t>Improving Public Safety Communications in the 800 MHz Band</w:t>
      </w:r>
      <w:r w:rsidR="004D1A0D" w:rsidRPr="004D1A0D">
        <w:rPr>
          <w:snapToGrid/>
          <w:kern w:val="0"/>
          <w:sz w:val="20"/>
        </w:rPr>
        <w:t xml:space="preserve">, </w:t>
      </w:r>
      <w:r w:rsidR="004D1A0D" w:rsidRPr="004D1A0D">
        <w:rPr>
          <w:i/>
          <w:iCs/>
          <w:snapToGrid/>
          <w:kern w:val="0"/>
          <w:sz w:val="20"/>
        </w:rPr>
        <w:t>Report and Order, Fifth Report and Order,</w:t>
      </w:r>
      <w:r w:rsidR="008C6225">
        <w:rPr>
          <w:i/>
          <w:iCs/>
          <w:snapToGrid/>
          <w:kern w:val="0"/>
          <w:sz w:val="20"/>
        </w:rPr>
        <w:t xml:space="preserve"> </w:t>
      </w:r>
      <w:r w:rsidR="004D1A0D" w:rsidRPr="004D1A0D">
        <w:rPr>
          <w:i/>
          <w:iCs/>
          <w:snapToGrid/>
          <w:kern w:val="0"/>
          <w:sz w:val="20"/>
        </w:rPr>
        <w:t>Fourth Memorandum Opinion and Order, and Order</w:t>
      </w:r>
      <w:r w:rsidR="004D1A0D" w:rsidRPr="004D1A0D">
        <w:rPr>
          <w:snapToGrid/>
          <w:kern w:val="0"/>
          <w:sz w:val="20"/>
        </w:rPr>
        <w:t xml:space="preserve">, 19 FCC Rcd 14969 (2004); </w:t>
      </w:r>
      <w:r w:rsidR="004D1A0D" w:rsidRPr="004D1A0D">
        <w:rPr>
          <w:i/>
          <w:iCs/>
          <w:snapToGrid/>
          <w:kern w:val="0"/>
          <w:sz w:val="20"/>
        </w:rPr>
        <w:t>Erratum</w:t>
      </w:r>
      <w:r w:rsidR="004D1A0D" w:rsidRPr="004D1A0D">
        <w:rPr>
          <w:snapToGrid/>
          <w:kern w:val="0"/>
          <w:sz w:val="20"/>
        </w:rPr>
        <w:t>, WT Docket No. 02-55</w:t>
      </w:r>
      <w:r w:rsidR="008C6225">
        <w:rPr>
          <w:snapToGrid/>
          <w:kern w:val="0"/>
          <w:sz w:val="20"/>
        </w:rPr>
        <w:t xml:space="preserve"> </w:t>
      </w:r>
      <w:r w:rsidR="004D1A0D" w:rsidRPr="004D1A0D">
        <w:rPr>
          <w:snapToGrid/>
          <w:kern w:val="0"/>
          <w:sz w:val="20"/>
        </w:rPr>
        <w:t xml:space="preserve">(rel. Sep. 10, 2004); </w:t>
      </w:r>
      <w:r w:rsidR="004D1A0D" w:rsidRPr="004D1A0D">
        <w:rPr>
          <w:i/>
          <w:iCs/>
          <w:snapToGrid/>
          <w:kern w:val="0"/>
          <w:sz w:val="20"/>
        </w:rPr>
        <w:t>Second Erratum</w:t>
      </w:r>
      <w:r w:rsidR="004D1A0D" w:rsidRPr="004D1A0D">
        <w:rPr>
          <w:snapToGrid/>
          <w:kern w:val="0"/>
          <w:sz w:val="20"/>
        </w:rPr>
        <w:t xml:space="preserve">, 19 FCC Rcd 19651 (2004); </w:t>
      </w:r>
      <w:r w:rsidR="004D1A0D" w:rsidRPr="004D1A0D">
        <w:rPr>
          <w:i/>
          <w:iCs/>
          <w:snapToGrid/>
          <w:kern w:val="0"/>
          <w:sz w:val="20"/>
        </w:rPr>
        <w:t>Third Erratum</w:t>
      </w:r>
      <w:r w:rsidR="004D1A0D" w:rsidRPr="004D1A0D">
        <w:rPr>
          <w:snapToGrid/>
          <w:kern w:val="0"/>
          <w:sz w:val="20"/>
        </w:rPr>
        <w:t>, 19 FCC Rcd 21818 (2004) (</w:t>
      </w:r>
      <w:r w:rsidR="004D1A0D" w:rsidRPr="004D1A0D">
        <w:rPr>
          <w:i/>
          <w:iCs/>
          <w:snapToGrid/>
          <w:kern w:val="0"/>
          <w:sz w:val="20"/>
        </w:rPr>
        <w:t>800</w:t>
      </w:r>
      <w:r w:rsidR="008C6225">
        <w:rPr>
          <w:i/>
          <w:iCs/>
          <w:snapToGrid/>
          <w:kern w:val="0"/>
          <w:sz w:val="20"/>
        </w:rPr>
        <w:t xml:space="preserve"> </w:t>
      </w:r>
      <w:r w:rsidR="004D1A0D" w:rsidRPr="004D1A0D">
        <w:rPr>
          <w:i/>
          <w:iCs/>
          <w:snapToGrid/>
          <w:kern w:val="0"/>
          <w:sz w:val="20"/>
        </w:rPr>
        <w:t>MHz Report and Order</w:t>
      </w:r>
      <w:r w:rsidR="004D1A0D" w:rsidRPr="004D1A0D">
        <w:rPr>
          <w:snapToGrid/>
          <w:kern w:val="0"/>
          <w:sz w:val="20"/>
        </w:rPr>
        <w:t xml:space="preserve">); </w:t>
      </w:r>
      <w:r w:rsidR="004D1A0D" w:rsidRPr="004D1A0D">
        <w:rPr>
          <w:i/>
          <w:iCs/>
          <w:snapToGrid/>
          <w:kern w:val="0"/>
          <w:sz w:val="20"/>
        </w:rPr>
        <w:t xml:space="preserve">Supplemental Order and Order on Reconsideration, </w:t>
      </w:r>
      <w:r w:rsidR="004D1A0D" w:rsidRPr="004D1A0D">
        <w:rPr>
          <w:snapToGrid/>
          <w:kern w:val="0"/>
          <w:sz w:val="20"/>
        </w:rPr>
        <w:t xml:space="preserve">19 FCC Rcd 25120 (2004); </w:t>
      </w:r>
      <w:r w:rsidR="004D1A0D" w:rsidRPr="004D1A0D">
        <w:rPr>
          <w:i/>
          <w:iCs/>
          <w:snapToGrid/>
          <w:kern w:val="0"/>
          <w:sz w:val="20"/>
        </w:rPr>
        <w:t>Erratum</w:t>
      </w:r>
      <w:r w:rsidR="004D1A0D" w:rsidRPr="004D1A0D">
        <w:rPr>
          <w:snapToGrid/>
          <w:kern w:val="0"/>
          <w:sz w:val="20"/>
        </w:rPr>
        <w:t xml:space="preserve">, WT </w:t>
      </w:r>
      <w:r w:rsidR="004D1A0D" w:rsidRPr="004D1A0D">
        <w:rPr>
          <w:sz w:val="20"/>
        </w:rPr>
        <w:t>Docket No. 02-55 (rel. Jan. 19, 2005) (</w:t>
      </w:r>
      <w:r w:rsidR="004D1A0D" w:rsidRPr="004D1A0D">
        <w:rPr>
          <w:i/>
          <w:iCs/>
          <w:sz w:val="20"/>
        </w:rPr>
        <w:t>Supplemental Order</w:t>
      </w:r>
      <w:r w:rsidR="004D1A0D" w:rsidRPr="004D1A0D">
        <w:rPr>
          <w:sz w:val="20"/>
        </w:rPr>
        <w:t xml:space="preserve">) </w:t>
      </w:r>
      <w:r w:rsidR="004D1A0D" w:rsidRPr="004D1A0D">
        <w:rPr>
          <w:i/>
          <w:sz w:val="20"/>
        </w:rPr>
        <w:t xml:space="preserve">review denied sub nom. Mobile Relay Associates v. FCC, </w:t>
      </w:r>
      <w:r w:rsidR="004D1A0D" w:rsidRPr="004D1A0D">
        <w:rPr>
          <w:sz w:val="20"/>
        </w:rPr>
        <w:t xml:space="preserve">457 F.3d 1 (D.C. Cir. 2006); </w:t>
      </w:r>
      <w:r w:rsidR="004D1A0D" w:rsidRPr="004D1A0D">
        <w:rPr>
          <w:i/>
          <w:iCs/>
          <w:sz w:val="20"/>
        </w:rPr>
        <w:t>Memorandum Opinion and Order</w:t>
      </w:r>
      <w:r w:rsidR="004D1A0D" w:rsidRPr="004D1A0D">
        <w:rPr>
          <w:sz w:val="20"/>
        </w:rPr>
        <w:t>, 20 FCC Rcd 16015 (2005) (</w:t>
      </w:r>
      <w:r w:rsidR="004D1A0D" w:rsidRPr="004D1A0D">
        <w:rPr>
          <w:i/>
          <w:iCs/>
          <w:sz w:val="20"/>
        </w:rPr>
        <w:t>800 MHz MO&amp;O</w:t>
      </w:r>
      <w:r w:rsidR="004D1A0D" w:rsidRPr="004D1A0D">
        <w:rPr>
          <w:sz w:val="20"/>
        </w:rPr>
        <w:t xml:space="preserve">); </w:t>
      </w:r>
      <w:r w:rsidR="004D1A0D" w:rsidRPr="004D1A0D">
        <w:rPr>
          <w:i/>
          <w:iCs/>
          <w:sz w:val="20"/>
        </w:rPr>
        <w:t>Order</w:t>
      </w:r>
      <w:r w:rsidR="004D1A0D" w:rsidRPr="004D1A0D">
        <w:rPr>
          <w:sz w:val="20"/>
        </w:rPr>
        <w:t>, 21 FCC Rcd 5503 (2006) (</w:t>
      </w:r>
      <w:r w:rsidR="004D1A0D" w:rsidRPr="004D1A0D">
        <w:rPr>
          <w:i/>
          <w:iCs/>
          <w:sz w:val="20"/>
        </w:rPr>
        <w:t>Mediation Extension Order</w:t>
      </w:r>
      <w:r w:rsidR="004D1A0D" w:rsidRPr="004D1A0D">
        <w:rPr>
          <w:sz w:val="20"/>
        </w:rPr>
        <w:t xml:space="preserve">); </w:t>
      </w:r>
      <w:r w:rsidR="004D1A0D" w:rsidRPr="004D1A0D">
        <w:rPr>
          <w:i/>
          <w:iCs/>
          <w:sz w:val="20"/>
        </w:rPr>
        <w:t xml:space="preserve">Second Memorandum Opinion and Order, </w:t>
      </w:r>
      <w:r w:rsidR="004D1A0D" w:rsidRPr="004D1A0D">
        <w:rPr>
          <w:sz w:val="20"/>
        </w:rPr>
        <w:t xml:space="preserve">22 FCC Rcd 10467 (2007); </w:t>
      </w:r>
      <w:r w:rsidR="004D1A0D" w:rsidRPr="004D1A0D">
        <w:rPr>
          <w:i/>
          <w:iCs/>
          <w:sz w:val="20"/>
        </w:rPr>
        <w:t>Erratum</w:t>
      </w:r>
      <w:r w:rsidR="004D1A0D" w:rsidRPr="004D1A0D">
        <w:rPr>
          <w:sz w:val="20"/>
        </w:rPr>
        <w:t>, WT Docket No. 02-55 (rel. July 26, 2007) (</w:t>
      </w:r>
      <w:r w:rsidR="004D1A0D" w:rsidRPr="004D1A0D">
        <w:rPr>
          <w:i/>
          <w:iCs/>
          <w:sz w:val="20"/>
        </w:rPr>
        <w:t>800 MHz Second MO&amp;O</w:t>
      </w:r>
      <w:r w:rsidR="004D1A0D" w:rsidRPr="004D1A0D">
        <w:rPr>
          <w:sz w:val="20"/>
        </w:rPr>
        <w:t xml:space="preserve">); </w:t>
      </w:r>
      <w:r w:rsidR="004D1A0D" w:rsidRPr="004D1A0D">
        <w:rPr>
          <w:i/>
          <w:iCs/>
          <w:sz w:val="20"/>
        </w:rPr>
        <w:t xml:space="preserve">Third Memorandum Opinion and Order, </w:t>
      </w:r>
      <w:r w:rsidR="004D1A0D" w:rsidRPr="004D1A0D">
        <w:rPr>
          <w:sz w:val="20"/>
        </w:rPr>
        <w:t>22 FCC Rcd 17209 (2007) (</w:t>
      </w:r>
      <w:r w:rsidR="004D1A0D" w:rsidRPr="004D1A0D">
        <w:rPr>
          <w:i/>
          <w:iCs/>
          <w:sz w:val="20"/>
        </w:rPr>
        <w:t>800 MHz Third MO&amp;O</w:t>
      </w:r>
      <w:r w:rsidR="004D1A0D" w:rsidRPr="004D1A0D">
        <w:rPr>
          <w:sz w:val="20"/>
        </w:rPr>
        <w:t xml:space="preserve">); </w:t>
      </w:r>
      <w:r w:rsidR="004D1A0D" w:rsidRPr="004D1A0D">
        <w:rPr>
          <w:i/>
          <w:iCs/>
          <w:sz w:val="20"/>
        </w:rPr>
        <w:t>Second Report and Order</w:t>
      </w:r>
      <w:r w:rsidR="004D1A0D" w:rsidRPr="004D1A0D">
        <w:rPr>
          <w:sz w:val="20"/>
        </w:rPr>
        <w:t xml:space="preserve">, 23 FCC Rcd 7605 (2008), </w:t>
      </w:r>
      <w:r w:rsidR="004D1A0D" w:rsidRPr="004D1A0D">
        <w:rPr>
          <w:i/>
          <w:iCs/>
          <w:sz w:val="20"/>
        </w:rPr>
        <w:t>Erratum</w:t>
      </w:r>
      <w:r w:rsidR="004D1A0D" w:rsidRPr="004D1A0D">
        <w:rPr>
          <w:sz w:val="20"/>
        </w:rPr>
        <w:t>, WT Docket No. 02-55 (rel. May 28, 2008) (</w:t>
      </w:r>
      <w:r w:rsidR="004D1A0D" w:rsidRPr="004D1A0D">
        <w:rPr>
          <w:i/>
          <w:iCs/>
          <w:sz w:val="20"/>
        </w:rPr>
        <w:t>800 MHz Second Report and Order</w:t>
      </w:r>
      <w:r w:rsidR="004D1A0D" w:rsidRPr="004D1A0D">
        <w:rPr>
          <w:sz w:val="20"/>
        </w:rPr>
        <w:t xml:space="preserve">); </w:t>
      </w:r>
      <w:r w:rsidR="004D1A0D" w:rsidRPr="004D1A0D">
        <w:rPr>
          <w:i/>
          <w:iCs/>
          <w:sz w:val="20"/>
        </w:rPr>
        <w:t>Fourth Memorandum Opinion and Order</w:t>
      </w:r>
      <w:r w:rsidR="004D1A0D" w:rsidRPr="004D1A0D">
        <w:rPr>
          <w:sz w:val="20"/>
        </w:rPr>
        <w:t>, 23 FCC Rcd 18512 (2008) (</w:t>
      </w:r>
      <w:r w:rsidR="004D1A0D" w:rsidRPr="004D1A0D">
        <w:rPr>
          <w:i/>
          <w:iCs/>
          <w:sz w:val="20"/>
        </w:rPr>
        <w:t>800 MHz Fourth MO&amp;O</w:t>
      </w:r>
      <w:r w:rsidR="004D1A0D" w:rsidRPr="004D1A0D">
        <w:rPr>
          <w:sz w:val="20"/>
        </w:rPr>
        <w:t xml:space="preserve">); </w:t>
      </w:r>
      <w:r w:rsidR="004D1A0D" w:rsidRPr="004D1A0D">
        <w:rPr>
          <w:i/>
          <w:iCs/>
          <w:sz w:val="20"/>
        </w:rPr>
        <w:t xml:space="preserve">Third Report and Order, </w:t>
      </w:r>
      <w:r w:rsidR="004D1A0D" w:rsidRPr="004D1A0D">
        <w:rPr>
          <w:sz w:val="20"/>
        </w:rPr>
        <w:t>25 FCC Rcd 4443 (2010) (</w:t>
      </w:r>
      <w:r w:rsidR="004D1A0D" w:rsidRPr="004D1A0D">
        <w:rPr>
          <w:i/>
          <w:iCs/>
          <w:sz w:val="20"/>
        </w:rPr>
        <w:t>800 MHz Third Report and Order</w:t>
      </w:r>
      <w:r w:rsidR="004D1A0D" w:rsidRPr="004D1A0D">
        <w:rPr>
          <w:sz w:val="20"/>
        </w:rPr>
        <w:t xml:space="preserve">); </w:t>
      </w:r>
      <w:r w:rsidR="004D1A0D" w:rsidRPr="004D1A0D">
        <w:rPr>
          <w:i/>
          <w:iCs/>
          <w:sz w:val="20"/>
        </w:rPr>
        <w:t xml:space="preserve">Fourth Report and Order, </w:t>
      </w:r>
      <w:r w:rsidR="004D1A0D" w:rsidRPr="004D1A0D">
        <w:rPr>
          <w:sz w:val="20"/>
        </w:rPr>
        <w:t>26 FCC Rcd 1937 (2011) (</w:t>
      </w:r>
      <w:r w:rsidR="004D1A0D" w:rsidRPr="004D1A0D">
        <w:rPr>
          <w:i/>
          <w:iCs/>
          <w:sz w:val="20"/>
        </w:rPr>
        <w:t>800 MHz Fourth Report and Order</w:t>
      </w:r>
      <w:r w:rsidR="004D1A0D" w:rsidRPr="004D1A0D">
        <w:rPr>
          <w:sz w:val="20"/>
        </w:rPr>
        <w:t xml:space="preserve">); </w:t>
      </w:r>
      <w:r w:rsidR="004D1A0D" w:rsidRPr="004D1A0D">
        <w:rPr>
          <w:i/>
          <w:iCs/>
          <w:sz w:val="20"/>
        </w:rPr>
        <w:t xml:space="preserve">Fifth Report and Order, </w:t>
      </w:r>
      <w:r w:rsidR="004D1A0D" w:rsidRPr="004D1A0D">
        <w:rPr>
          <w:sz w:val="20"/>
        </w:rPr>
        <w:t>28 FCC Rcd 4085 (2013) (</w:t>
      </w:r>
      <w:r w:rsidR="004D1A0D" w:rsidRPr="004D1A0D">
        <w:rPr>
          <w:i/>
          <w:iCs/>
          <w:sz w:val="20"/>
        </w:rPr>
        <w:t>Fifth Report and Order</w:t>
      </w:r>
      <w:r w:rsidR="004D1A0D" w:rsidRPr="004D1A0D">
        <w:rPr>
          <w:sz w:val="20"/>
        </w:rPr>
        <w:t xml:space="preserve">).  </w:t>
      </w:r>
    </w:p>
  </w:footnote>
  <w:footnote w:id="3">
    <w:p w:rsidR="006B20BA" w:rsidRPr="005D5120" w:rsidRDefault="006B20BA" w:rsidP="004D1A0D">
      <w:pPr>
        <w:pStyle w:val="FootnoteText"/>
      </w:pPr>
      <w:r>
        <w:rPr>
          <w:rStyle w:val="FootnoteReference"/>
        </w:rPr>
        <w:footnoteRef/>
      </w:r>
      <w:r>
        <w:t xml:space="preserve"> Maricopa </w:t>
      </w:r>
      <w:r w:rsidR="004D1A0D">
        <w:t xml:space="preserve">blames </w:t>
      </w:r>
      <w:r>
        <w:t xml:space="preserve">Motorola for </w:t>
      </w:r>
      <w:r w:rsidR="004D1A0D">
        <w:t xml:space="preserve">Maricopa’s </w:t>
      </w:r>
      <w:r>
        <w:t xml:space="preserve">failure to negotiate </w:t>
      </w:r>
      <w:r w:rsidR="004D1A0D">
        <w:t xml:space="preserve">the planning </w:t>
      </w:r>
      <w:r>
        <w:t xml:space="preserve">contract. Request at unnumbered page 2.  </w:t>
      </w:r>
      <w:r w:rsidR="004D1A0D">
        <w:t xml:space="preserve">It claims the failure was due to the </w:t>
      </w:r>
      <w:r>
        <w:t xml:space="preserve">“retirement of certain Motorola personnel and replacement with new-to-Maricopa personnel.” </w:t>
      </w:r>
      <w:r w:rsidRPr="007A70CA">
        <w:rPr>
          <w:i/>
        </w:rPr>
        <w:t>I</w:t>
      </w:r>
      <w:r>
        <w:rPr>
          <w:i/>
        </w:rPr>
        <w:t xml:space="preserve">d. </w:t>
      </w:r>
      <w:r>
        <w:t>The Request is silent on why Maricopa, or counsel, failed to recognize the need timely to conclude a contract essential to development of the cost estimate.</w:t>
      </w:r>
    </w:p>
  </w:footnote>
  <w:footnote w:id="4">
    <w:p w:rsidR="006B20BA" w:rsidRDefault="006B20BA" w:rsidP="004D1A0D">
      <w:pPr>
        <w:pStyle w:val="FootnoteText"/>
      </w:pPr>
      <w:r>
        <w:rPr>
          <w:rStyle w:val="FootnoteReference"/>
        </w:rPr>
        <w:footnoteRef/>
      </w:r>
      <w:r>
        <w:t xml:space="preserve"> Request at unnumbered page 3.</w:t>
      </w:r>
    </w:p>
  </w:footnote>
  <w:footnote w:id="5">
    <w:p w:rsidR="006B20BA" w:rsidRPr="002C4FED" w:rsidRDefault="006B20BA" w:rsidP="004D1A0D">
      <w:pPr>
        <w:pStyle w:val="FootnoteText"/>
      </w:pPr>
      <w:r>
        <w:rPr>
          <w:rStyle w:val="FootnoteReference"/>
        </w:rPr>
        <w:footnoteRef/>
      </w:r>
      <w:r>
        <w:t xml:space="preserve"> </w:t>
      </w:r>
      <w:r w:rsidRPr="007A70CA">
        <w:rPr>
          <w:i/>
        </w:rPr>
        <w:t>Id.</w:t>
      </w:r>
      <w:r>
        <w:rPr>
          <w:i/>
        </w:rPr>
        <w:t xml:space="preserve"> </w:t>
      </w:r>
      <w:r>
        <w:t xml:space="preserve">Maricopa filed a petition for reconsideration of the Bureau order denying the extension, which petition remains pending. The filing of the petition did not stay Maricopa’s obligation to submit a cost estimate by July 14, 2014.  </w:t>
      </w:r>
      <w:r w:rsidRPr="001837D5">
        <w:t>47 U.S.C. § 405(a)</w:t>
      </w:r>
      <w:r>
        <w:t xml:space="preserve">: </w:t>
      </w:r>
      <w:r w:rsidRPr="001837D5">
        <w:t xml:space="preserve"> “No [petition for reconsideration before the Commission] shall excuse any person from complying with or obeying any order, decision, report, or action of the Commission, or operate in any manner to stay or postpone the enforcement thereof, without the special order of the Commission.” </w:t>
      </w:r>
    </w:p>
  </w:footnote>
  <w:footnote w:id="6">
    <w:p w:rsidR="006B20BA" w:rsidRDefault="006B20BA" w:rsidP="004D1A0D">
      <w:pPr>
        <w:pStyle w:val="FootnoteText"/>
      </w:pPr>
      <w:r>
        <w:rPr>
          <w:rStyle w:val="FootnoteReference"/>
        </w:rPr>
        <w:footnoteRef/>
      </w:r>
      <w:r>
        <w:t xml:space="preserve"> Request at unnumbered page 3. </w:t>
      </w:r>
      <w:r w:rsidRPr="00AB44D2">
        <w:t xml:space="preserve">Maricopa implies that the Commission should have been aware that Maricopa required more time to complete its cost estimate “as Maricopa understands that the Commission has weekly conference calls with Motorola to discuss rebanding status.”  Request at unnumbered page 2, n.3.  Maricopa is mistaken; the Commission holds </w:t>
      </w:r>
      <w:r>
        <w:t>no such weekly conference calls with Motorola.</w:t>
      </w:r>
    </w:p>
  </w:footnote>
  <w:footnote w:id="7">
    <w:p w:rsidR="006B20BA" w:rsidRDefault="006B20BA" w:rsidP="004D1A0D">
      <w:pPr>
        <w:pStyle w:val="FootnoteText"/>
      </w:pPr>
      <w:r>
        <w:rPr>
          <w:rStyle w:val="FootnoteReference"/>
        </w:rPr>
        <w:footnoteRef/>
      </w:r>
      <w:r>
        <w:t xml:space="preserve"> Request</w:t>
      </w:r>
      <w:r w:rsidR="007D7186">
        <w:t xml:space="preserve"> at</w:t>
      </w:r>
      <w:r>
        <w:t xml:space="preserve"> unnumbered page 4.</w:t>
      </w:r>
    </w:p>
  </w:footnote>
  <w:footnote w:id="8">
    <w:p w:rsidR="006B20BA" w:rsidRDefault="006B20BA" w:rsidP="004D1A0D">
      <w:pPr>
        <w:pStyle w:val="FootnoteText"/>
      </w:pPr>
      <w:r>
        <w:rPr>
          <w:rStyle w:val="FootnoteReference"/>
        </w:rPr>
        <w:footnoteRef/>
      </w:r>
      <w:r>
        <w:t xml:space="preserve"> 47 C.F.R. § 1.46(a).</w:t>
      </w:r>
    </w:p>
  </w:footnote>
  <w:footnote w:id="9">
    <w:p w:rsidR="006B20BA" w:rsidRPr="00A80C4B" w:rsidRDefault="006B20BA" w:rsidP="004D1A0D">
      <w:pPr>
        <w:pStyle w:val="FootnoteText"/>
      </w:pPr>
      <w:r>
        <w:rPr>
          <w:rStyle w:val="FootnoteReference"/>
        </w:rPr>
        <w:footnoteRef/>
      </w:r>
      <w:r>
        <w:t xml:space="preserve"> Regents of the University of California, </w:t>
      </w:r>
      <w:r w:rsidRPr="00A80C4B">
        <w:rPr>
          <w:i/>
        </w:rPr>
        <w:t>Order</w:t>
      </w:r>
      <w:r>
        <w:rPr>
          <w:i/>
        </w:rPr>
        <w:t xml:space="preserve">, </w:t>
      </w:r>
      <w:r>
        <w:t>28 FCC Rcd 15920, 15921 (PSHSB 2013).</w:t>
      </w:r>
    </w:p>
  </w:footnote>
  <w:footnote w:id="10">
    <w:p w:rsidR="007D7186" w:rsidRDefault="007D7186" w:rsidP="004D1A0D">
      <w:pPr>
        <w:pStyle w:val="FootnoteText"/>
      </w:pPr>
      <w:r>
        <w:rPr>
          <w:rStyle w:val="FootnoteReference"/>
        </w:rPr>
        <w:footnoteRef/>
      </w:r>
      <w:r>
        <w:t xml:space="preserve"> Request </w:t>
      </w:r>
      <w:r w:rsidR="000659CC">
        <w:t>at unnumbered page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344" w:rsidRDefault="003873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BA" w:rsidRDefault="006B20BA">
    <w:pPr>
      <w:pStyle w:val="Header"/>
      <w:pBdr>
        <w:bottom w:val="single" w:sz="12" w:space="1" w:color="auto"/>
      </w:pBdr>
      <w:rPr>
        <w:b w:val="0"/>
      </w:rPr>
    </w:pPr>
    <w:r>
      <w:tab/>
      <w:t>Federal Communications Commission</w:t>
    </w:r>
    <w:r>
      <w:tab/>
    </w:r>
    <w:r w:rsidR="0069552F">
      <w:t xml:space="preserve"> DA 14-</w:t>
    </w:r>
    <w:r w:rsidR="00ED2BC6">
      <w:t>1061</w:t>
    </w:r>
  </w:p>
  <w:p w:rsidR="006B20BA" w:rsidRDefault="006B20BA">
    <w:pPr>
      <w:tabs>
        <w:tab w:val="left" w:pos="-720"/>
      </w:tabs>
      <w:suppressAutoHyphens/>
      <w:spacing w:line="19" w:lineRule="exact"/>
      <w:rPr>
        <w:spacing w:val="-2"/>
      </w:rPr>
    </w:pPr>
  </w:p>
  <w:p w:rsidR="006B20BA" w:rsidRDefault="006B20BA">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BA" w:rsidRDefault="006B20BA">
    <w:pPr>
      <w:pStyle w:val="Header"/>
      <w:pBdr>
        <w:bottom w:val="single" w:sz="12" w:space="1" w:color="auto"/>
      </w:pBdr>
      <w:rPr>
        <w:b w:val="0"/>
      </w:rPr>
    </w:pPr>
    <w:r>
      <w:tab/>
      <w:t>Federal Communications Commission</w:t>
    </w:r>
    <w:r>
      <w:tab/>
      <w:t>-</w:t>
    </w:r>
    <w:r>
      <w:fldChar w:fldCharType="begin"/>
    </w:r>
    <w:r>
      <w:instrText xml:space="preserve"> MACROBUTTON NoMacro [Click to enter order number]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0"/>
  </w:num>
  <w:num w:numId="2">
    <w:abstractNumId w:val="2"/>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395"/>
    <w:rsid w:val="00021EBF"/>
    <w:rsid w:val="00053F86"/>
    <w:rsid w:val="000659CC"/>
    <w:rsid w:val="00091D74"/>
    <w:rsid w:val="000E7B4F"/>
    <w:rsid w:val="00102540"/>
    <w:rsid w:val="001837D5"/>
    <w:rsid w:val="00263988"/>
    <w:rsid w:val="002B7356"/>
    <w:rsid w:val="002C4FED"/>
    <w:rsid w:val="002C5C65"/>
    <w:rsid w:val="002D46CB"/>
    <w:rsid w:val="0033322D"/>
    <w:rsid w:val="0036666E"/>
    <w:rsid w:val="00387344"/>
    <w:rsid w:val="003E00C9"/>
    <w:rsid w:val="004324F0"/>
    <w:rsid w:val="004D1A0D"/>
    <w:rsid w:val="00511395"/>
    <w:rsid w:val="005D5120"/>
    <w:rsid w:val="005E24C2"/>
    <w:rsid w:val="00654B2C"/>
    <w:rsid w:val="0069552F"/>
    <w:rsid w:val="006B20BA"/>
    <w:rsid w:val="007D7186"/>
    <w:rsid w:val="00822649"/>
    <w:rsid w:val="008C6225"/>
    <w:rsid w:val="00993F7D"/>
    <w:rsid w:val="00AB44D2"/>
    <w:rsid w:val="00B73891"/>
    <w:rsid w:val="00BE6FCF"/>
    <w:rsid w:val="00C3090A"/>
    <w:rsid w:val="00C503C5"/>
    <w:rsid w:val="00E3033D"/>
    <w:rsid w:val="00E94BD2"/>
    <w:rsid w:val="00ED2BC6"/>
    <w:rsid w:val="00ED3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tabs>
        <w:tab w:val="clear" w:pos="720"/>
        <w:tab w:val="left" w:pos="360"/>
      </w:tabs>
      <w:suppressAutoHyphens/>
      <w:spacing w:after="220"/>
      <w:ind w:left="360" w:hanging="360"/>
      <w:outlineLvl w:val="0"/>
    </w:pPr>
    <w:rPr>
      <w:rFonts w:ascii="Times New Roman Bold" w:hAnsi="Times New Roman Bold"/>
      <w:b/>
      <w:caps/>
    </w:rPr>
  </w:style>
  <w:style w:type="paragraph" w:styleId="Heading2">
    <w:name w:val="heading 2"/>
    <w:basedOn w:val="Normal"/>
    <w:next w:val="ParaNum"/>
    <w:qFormat/>
    <w:pPr>
      <w:keepNext/>
      <w:numPr>
        <w:ilvl w:val="1"/>
        <w:numId w:val="3"/>
      </w:numPr>
      <w:tabs>
        <w:tab w:val="clear" w:pos="1440"/>
        <w:tab w:val="num" w:pos="720"/>
      </w:tabs>
      <w:spacing w:after="220"/>
      <w:ind w:left="720" w:hanging="360"/>
      <w:outlineLvl w:val="1"/>
    </w:pPr>
    <w:rPr>
      <w:b/>
    </w:rPr>
  </w:style>
  <w:style w:type="paragraph" w:styleId="Heading3">
    <w:name w:val="heading 3"/>
    <w:basedOn w:val="Normal"/>
    <w:next w:val="ParaNum"/>
    <w:qFormat/>
    <w:pPr>
      <w:keepNext/>
      <w:numPr>
        <w:ilvl w:val="2"/>
        <w:numId w:val="3"/>
      </w:numPr>
      <w:tabs>
        <w:tab w:val="clear" w:pos="2160"/>
        <w:tab w:val="left" w:pos="1080"/>
      </w:tabs>
      <w:spacing w:after="220"/>
      <w:ind w:left="1080" w:hanging="360"/>
      <w:outlineLvl w:val="2"/>
    </w:pPr>
    <w:rPr>
      <w:b/>
    </w:rPr>
  </w:style>
  <w:style w:type="paragraph" w:styleId="Heading4">
    <w:name w:val="heading 4"/>
    <w:basedOn w:val="Normal"/>
    <w:next w:val="ParaNum"/>
    <w:qFormat/>
    <w:pPr>
      <w:keepNext/>
      <w:numPr>
        <w:ilvl w:val="3"/>
        <w:numId w:val="3"/>
      </w:numPr>
      <w:tabs>
        <w:tab w:val="clear" w:pos="2880"/>
        <w:tab w:val="left" w:pos="1440"/>
      </w:tabs>
      <w:spacing w:after="220"/>
      <w:ind w:left="1440" w:hanging="360"/>
      <w:outlineLvl w:val="3"/>
    </w:pPr>
    <w:rPr>
      <w:b/>
    </w:rPr>
  </w:style>
  <w:style w:type="paragraph" w:styleId="Heading5">
    <w:name w:val="heading 5"/>
    <w:basedOn w:val="Normal"/>
    <w:next w:val="ParaNum"/>
    <w:qFormat/>
    <w:pPr>
      <w:keepNext/>
      <w:numPr>
        <w:ilvl w:val="4"/>
        <w:numId w:val="3"/>
      </w:numPr>
      <w:tabs>
        <w:tab w:val="clear" w:pos="3600"/>
        <w:tab w:val="left" w:pos="1800"/>
      </w:tabs>
      <w:suppressAutoHyphens/>
      <w:spacing w:after="220"/>
      <w:ind w:left="1800" w:hanging="360"/>
      <w:outlineLvl w:val="4"/>
    </w:pPr>
    <w:rPr>
      <w:b/>
    </w:rPr>
  </w:style>
  <w:style w:type="paragraph" w:styleId="Heading6">
    <w:name w:val="heading 6"/>
    <w:basedOn w:val="Normal"/>
    <w:next w:val="ParaNum"/>
    <w:qFormat/>
    <w:pPr>
      <w:numPr>
        <w:ilvl w:val="5"/>
        <w:numId w:val="3"/>
      </w:numPr>
      <w:tabs>
        <w:tab w:val="clear" w:pos="4320"/>
        <w:tab w:val="left" w:pos="2160"/>
      </w:tabs>
      <w:spacing w:after="220"/>
      <w:ind w:left="2160" w:hanging="360"/>
      <w:outlineLvl w:val="5"/>
    </w:pPr>
    <w:rPr>
      <w:b/>
    </w:rPr>
  </w:style>
  <w:style w:type="paragraph" w:styleId="Heading7">
    <w:name w:val="heading 7"/>
    <w:basedOn w:val="Normal"/>
    <w:next w:val="ParaNum"/>
    <w:qFormat/>
    <w:pPr>
      <w:numPr>
        <w:ilvl w:val="6"/>
        <w:numId w:val="3"/>
      </w:numPr>
      <w:tabs>
        <w:tab w:val="clear" w:pos="5040"/>
        <w:tab w:val="left" w:pos="2520"/>
      </w:tabs>
      <w:spacing w:after="240"/>
      <w:ind w:left="2520" w:hanging="360"/>
      <w:outlineLvl w:val="6"/>
    </w:pPr>
    <w:rPr>
      <w:b/>
    </w:rPr>
  </w:style>
  <w:style w:type="paragraph" w:styleId="Heading8">
    <w:name w:val="heading 8"/>
    <w:basedOn w:val="Normal"/>
    <w:next w:val="ParaNum"/>
    <w:qFormat/>
    <w:pPr>
      <w:numPr>
        <w:ilvl w:val="7"/>
        <w:numId w:val="3"/>
      </w:numPr>
      <w:tabs>
        <w:tab w:val="clear" w:pos="5400"/>
        <w:tab w:val="left" w:pos="2880"/>
      </w:tabs>
      <w:spacing w:after="240"/>
      <w:ind w:left="2880" w:hanging="360"/>
      <w:outlineLvl w:val="7"/>
    </w:pPr>
    <w:rPr>
      <w:b/>
    </w:rPr>
  </w:style>
  <w:style w:type="paragraph" w:styleId="Heading9">
    <w:name w:val="heading 9"/>
    <w:basedOn w:val="Normal"/>
    <w:next w:val="ParaNum"/>
    <w:qFormat/>
    <w:pPr>
      <w:numPr>
        <w:ilvl w:val="8"/>
        <w:numId w:val="3"/>
      </w:numPr>
      <w:tabs>
        <w:tab w:val="clear" w:pos="6120"/>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spacing w:after="2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aliases w:val="Footnote Text Char1 Char,Footnote Text Char7 Char Char,Footnote Text Char4 Char1 Char Char,Footnote Text Char Char Char4 Char Char,Footnote Text Char7 Char Char Char Char Char,Footnote Text Char1,Footnote Text Char7 Char"/>
    <w:link w:val="FootnoteTextChar"/>
    <w:autoRedefine/>
    <w:semiHidden/>
    <w:pPr>
      <w:tabs>
        <w:tab w:val="left" w:pos="720"/>
        <w:tab w:val="left" w:pos="1440"/>
      </w:tabs>
      <w:spacing w:after="120"/>
      <w:ind w:right="144"/>
    </w:pPr>
  </w:style>
  <w:style w:type="character" w:styleId="FootnoteReference">
    <w:name w:val="footnote reference"/>
    <w:aliases w:val="(NECG) Footnote Reference,o,fr,Style 3,Appel note de bas de p,Style 12,Style 124,Style 13"/>
    <w:basedOn w:val="DefaultParagraphFont"/>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jc w:val="left"/>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character" w:customStyle="1" w:styleId="FootnoteTextChar">
    <w:name w:val="Footnote Text Char"/>
    <w:aliases w:val="Footnote Text Char1 Char Char,Footnote Text Char7 Char Char Char,Footnote Text Char4 Char1 Char Char Char,Footnote Text Char Char Char4 Char Char Char,Footnote Text Char7 Char Char Char Char Char Char,Footnote Text Char1 Char1"/>
    <w:link w:val="FootnoteText"/>
    <w:semiHidden/>
    <w:rsid w:val="005E24C2"/>
  </w:style>
  <w:style w:type="paragraph" w:styleId="BalloonText">
    <w:name w:val="Balloon Text"/>
    <w:basedOn w:val="Normal"/>
    <w:link w:val="BalloonTextChar"/>
    <w:rsid w:val="002D46CB"/>
    <w:rPr>
      <w:rFonts w:ascii="Tahoma" w:hAnsi="Tahoma" w:cs="Tahoma"/>
      <w:sz w:val="16"/>
      <w:szCs w:val="16"/>
    </w:rPr>
  </w:style>
  <w:style w:type="character" w:customStyle="1" w:styleId="BalloonTextChar">
    <w:name w:val="Balloon Text Char"/>
    <w:basedOn w:val="DefaultParagraphFont"/>
    <w:link w:val="BalloonText"/>
    <w:rsid w:val="002D46CB"/>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tabs>
        <w:tab w:val="clear" w:pos="720"/>
        <w:tab w:val="left" w:pos="360"/>
      </w:tabs>
      <w:suppressAutoHyphens/>
      <w:spacing w:after="220"/>
      <w:ind w:left="360" w:hanging="360"/>
      <w:outlineLvl w:val="0"/>
    </w:pPr>
    <w:rPr>
      <w:rFonts w:ascii="Times New Roman Bold" w:hAnsi="Times New Roman Bold"/>
      <w:b/>
      <w:caps/>
    </w:rPr>
  </w:style>
  <w:style w:type="paragraph" w:styleId="Heading2">
    <w:name w:val="heading 2"/>
    <w:basedOn w:val="Normal"/>
    <w:next w:val="ParaNum"/>
    <w:qFormat/>
    <w:pPr>
      <w:keepNext/>
      <w:numPr>
        <w:ilvl w:val="1"/>
        <w:numId w:val="3"/>
      </w:numPr>
      <w:tabs>
        <w:tab w:val="clear" w:pos="1440"/>
        <w:tab w:val="num" w:pos="720"/>
      </w:tabs>
      <w:spacing w:after="220"/>
      <w:ind w:left="720" w:hanging="360"/>
      <w:outlineLvl w:val="1"/>
    </w:pPr>
    <w:rPr>
      <w:b/>
    </w:rPr>
  </w:style>
  <w:style w:type="paragraph" w:styleId="Heading3">
    <w:name w:val="heading 3"/>
    <w:basedOn w:val="Normal"/>
    <w:next w:val="ParaNum"/>
    <w:qFormat/>
    <w:pPr>
      <w:keepNext/>
      <w:numPr>
        <w:ilvl w:val="2"/>
        <w:numId w:val="3"/>
      </w:numPr>
      <w:tabs>
        <w:tab w:val="clear" w:pos="2160"/>
        <w:tab w:val="left" w:pos="1080"/>
      </w:tabs>
      <w:spacing w:after="220"/>
      <w:ind w:left="1080" w:hanging="360"/>
      <w:outlineLvl w:val="2"/>
    </w:pPr>
    <w:rPr>
      <w:b/>
    </w:rPr>
  </w:style>
  <w:style w:type="paragraph" w:styleId="Heading4">
    <w:name w:val="heading 4"/>
    <w:basedOn w:val="Normal"/>
    <w:next w:val="ParaNum"/>
    <w:qFormat/>
    <w:pPr>
      <w:keepNext/>
      <w:numPr>
        <w:ilvl w:val="3"/>
        <w:numId w:val="3"/>
      </w:numPr>
      <w:tabs>
        <w:tab w:val="clear" w:pos="2880"/>
        <w:tab w:val="left" w:pos="1440"/>
      </w:tabs>
      <w:spacing w:after="220"/>
      <w:ind w:left="1440" w:hanging="360"/>
      <w:outlineLvl w:val="3"/>
    </w:pPr>
    <w:rPr>
      <w:b/>
    </w:rPr>
  </w:style>
  <w:style w:type="paragraph" w:styleId="Heading5">
    <w:name w:val="heading 5"/>
    <w:basedOn w:val="Normal"/>
    <w:next w:val="ParaNum"/>
    <w:qFormat/>
    <w:pPr>
      <w:keepNext/>
      <w:numPr>
        <w:ilvl w:val="4"/>
        <w:numId w:val="3"/>
      </w:numPr>
      <w:tabs>
        <w:tab w:val="clear" w:pos="3600"/>
        <w:tab w:val="left" w:pos="1800"/>
      </w:tabs>
      <w:suppressAutoHyphens/>
      <w:spacing w:after="220"/>
      <w:ind w:left="1800" w:hanging="360"/>
      <w:outlineLvl w:val="4"/>
    </w:pPr>
    <w:rPr>
      <w:b/>
    </w:rPr>
  </w:style>
  <w:style w:type="paragraph" w:styleId="Heading6">
    <w:name w:val="heading 6"/>
    <w:basedOn w:val="Normal"/>
    <w:next w:val="ParaNum"/>
    <w:qFormat/>
    <w:pPr>
      <w:numPr>
        <w:ilvl w:val="5"/>
        <w:numId w:val="3"/>
      </w:numPr>
      <w:tabs>
        <w:tab w:val="clear" w:pos="4320"/>
        <w:tab w:val="left" w:pos="2160"/>
      </w:tabs>
      <w:spacing w:after="220"/>
      <w:ind w:left="2160" w:hanging="360"/>
      <w:outlineLvl w:val="5"/>
    </w:pPr>
    <w:rPr>
      <w:b/>
    </w:rPr>
  </w:style>
  <w:style w:type="paragraph" w:styleId="Heading7">
    <w:name w:val="heading 7"/>
    <w:basedOn w:val="Normal"/>
    <w:next w:val="ParaNum"/>
    <w:qFormat/>
    <w:pPr>
      <w:numPr>
        <w:ilvl w:val="6"/>
        <w:numId w:val="3"/>
      </w:numPr>
      <w:tabs>
        <w:tab w:val="clear" w:pos="5040"/>
        <w:tab w:val="left" w:pos="2520"/>
      </w:tabs>
      <w:spacing w:after="240"/>
      <w:ind w:left="2520" w:hanging="360"/>
      <w:outlineLvl w:val="6"/>
    </w:pPr>
    <w:rPr>
      <w:b/>
    </w:rPr>
  </w:style>
  <w:style w:type="paragraph" w:styleId="Heading8">
    <w:name w:val="heading 8"/>
    <w:basedOn w:val="Normal"/>
    <w:next w:val="ParaNum"/>
    <w:qFormat/>
    <w:pPr>
      <w:numPr>
        <w:ilvl w:val="7"/>
        <w:numId w:val="3"/>
      </w:numPr>
      <w:tabs>
        <w:tab w:val="clear" w:pos="5400"/>
        <w:tab w:val="left" w:pos="2880"/>
      </w:tabs>
      <w:spacing w:after="240"/>
      <w:ind w:left="2880" w:hanging="360"/>
      <w:outlineLvl w:val="7"/>
    </w:pPr>
    <w:rPr>
      <w:b/>
    </w:rPr>
  </w:style>
  <w:style w:type="paragraph" w:styleId="Heading9">
    <w:name w:val="heading 9"/>
    <w:basedOn w:val="Normal"/>
    <w:next w:val="ParaNum"/>
    <w:qFormat/>
    <w:pPr>
      <w:numPr>
        <w:ilvl w:val="8"/>
        <w:numId w:val="3"/>
      </w:numPr>
      <w:tabs>
        <w:tab w:val="clear" w:pos="6120"/>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spacing w:after="2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aliases w:val="Footnote Text Char1 Char,Footnote Text Char7 Char Char,Footnote Text Char4 Char1 Char Char,Footnote Text Char Char Char4 Char Char,Footnote Text Char7 Char Char Char Char Char,Footnote Text Char1,Footnote Text Char7 Char"/>
    <w:link w:val="FootnoteTextChar"/>
    <w:autoRedefine/>
    <w:semiHidden/>
    <w:pPr>
      <w:tabs>
        <w:tab w:val="left" w:pos="720"/>
        <w:tab w:val="left" w:pos="1440"/>
      </w:tabs>
      <w:spacing w:after="120"/>
      <w:ind w:right="144"/>
    </w:pPr>
  </w:style>
  <w:style w:type="character" w:styleId="FootnoteReference">
    <w:name w:val="footnote reference"/>
    <w:aliases w:val="(NECG) Footnote Reference,o,fr,Style 3,Appel note de bas de p,Style 12,Style 124,Style 13"/>
    <w:basedOn w:val="DefaultParagraphFont"/>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jc w:val="left"/>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character" w:customStyle="1" w:styleId="FootnoteTextChar">
    <w:name w:val="Footnote Text Char"/>
    <w:aliases w:val="Footnote Text Char1 Char Char,Footnote Text Char7 Char Char Char,Footnote Text Char4 Char1 Char Char Char,Footnote Text Char Char Char4 Char Char Char,Footnote Text Char7 Char Char Char Char Char Char,Footnote Text Char1 Char1"/>
    <w:link w:val="FootnoteText"/>
    <w:semiHidden/>
    <w:rsid w:val="005E24C2"/>
  </w:style>
  <w:style w:type="paragraph" w:styleId="BalloonText">
    <w:name w:val="Balloon Text"/>
    <w:basedOn w:val="Normal"/>
    <w:link w:val="BalloonTextChar"/>
    <w:rsid w:val="002D46CB"/>
    <w:rPr>
      <w:rFonts w:ascii="Tahoma" w:hAnsi="Tahoma" w:cs="Tahoma"/>
      <w:sz w:val="16"/>
      <w:szCs w:val="16"/>
    </w:rPr>
  </w:style>
  <w:style w:type="character" w:customStyle="1" w:styleId="BalloonTextChar">
    <w:name w:val="Balloon Text Char"/>
    <w:basedOn w:val="DefaultParagraphFont"/>
    <w:link w:val="BalloonText"/>
    <w:rsid w:val="002D46CB"/>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4487</Characters>
  <Application>Microsoft Office Word</Application>
  <DocSecurity>0</DocSecurity>
  <Lines>93</Lines>
  <Paragraphs>32</Paragraphs>
  <ScaleCrop>false</ScaleCrop>
  <HeadingPairs>
    <vt:vector size="2" baseType="variant">
      <vt:variant>
        <vt:lpstr>Title</vt:lpstr>
      </vt:variant>
      <vt:variant>
        <vt:i4>1</vt:i4>
      </vt:variant>
    </vt:vector>
  </HeadingPairs>
  <TitlesOfParts>
    <vt:vector size="1" baseType="lpstr">
      <vt:lpstr>errata</vt:lpstr>
    </vt:vector>
  </TitlesOfParts>
  <Manager/>
  <Company/>
  <LinksUpToDate>false</LinksUpToDate>
  <CharactersWithSpaces>5346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2014-07-24T19:27:00Z</cp:lastPrinted>
  <dcterms:created xsi:type="dcterms:W3CDTF">2014-07-24T19:54:00Z</dcterms:created>
  <dcterms:modified xsi:type="dcterms:W3CDTF">2014-07-24T19:54:00Z</dcterms:modified>
  <cp:category> </cp:category>
  <cp:contentStatus> </cp:contentStatus>
</cp:coreProperties>
</file>