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7C" w:rsidRDefault="00F52D7C">
      <w:pPr>
        <w:jc w:val="center"/>
        <w:rPr>
          <w:b/>
          <w:szCs w:val="22"/>
        </w:rPr>
      </w:pPr>
      <w:bookmarkStart w:id="0" w:name="_GoBack"/>
      <w:bookmarkEnd w:id="0"/>
      <w:r>
        <w:rPr>
          <w:b/>
          <w:szCs w:val="22"/>
        </w:rPr>
        <w:t>Before the</w:t>
      </w:r>
    </w:p>
    <w:p w:rsidR="00F52D7C" w:rsidRDefault="00F52D7C">
      <w:pPr>
        <w:jc w:val="center"/>
        <w:rPr>
          <w:b/>
          <w:szCs w:val="22"/>
        </w:rPr>
      </w:pPr>
      <w:r>
        <w:rPr>
          <w:b/>
          <w:szCs w:val="22"/>
        </w:rPr>
        <w:t>Federal Communications Commission</w:t>
      </w:r>
    </w:p>
    <w:p w:rsidR="00F52D7C" w:rsidRDefault="00F52D7C">
      <w:pPr>
        <w:jc w:val="center"/>
        <w:rPr>
          <w:b/>
          <w:szCs w:val="22"/>
        </w:rPr>
      </w:pPr>
      <w:r>
        <w:rPr>
          <w:b/>
          <w:szCs w:val="22"/>
        </w:rPr>
        <w:t>Washington, D.C. 20554</w:t>
      </w:r>
    </w:p>
    <w:p w:rsidR="00F52D7C" w:rsidRDefault="00F52D7C">
      <w:pPr>
        <w:rPr>
          <w:szCs w:val="22"/>
        </w:rPr>
      </w:pPr>
    </w:p>
    <w:p w:rsidR="00F52D7C" w:rsidRDefault="00F52D7C">
      <w:pPr>
        <w:rPr>
          <w:szCs w:val="22"/>
        </w:rPr>
      </w:pPr>
    </w:p>
    <w:tbl>
      <w:tblPr>
        <w:tblW w:w="9648" w:type="dxa"/>
        <w:tblLook w:val="0000" w:firstRow="0" w:lastRow="0" w:firstColumn="0" w:lastColumn="0" w:noHBand="0" w:noVBand="0"/>
      </w:tblPr>
      <w:tblGrid>
        <w:gridCol w:w="4698"/>
        <w:gridCol w:w="720"/>
        <w:gridCol w:w="4230"/>
      </w:tblGrid>
      <w:tr w:rsidR="00F52D7C">
        <w:tc>
          <w:tcPr>
            <w:tcW w:w="4698" w:type="dxa"/>
          </w:tcPr>
          <w:p w:rsidR="00F52D7C" w:rsidRDefault="00F52D7C">
            <w:pPr>
              <w:tabs>
                <w:tab w:val="center" w:pos="4680"/>
              </w:tabs>
              <w:suppressAutoHyphens/>
              <w:rPr>
                <w:spacing w:val="-2"/>
              </w:rPr>
            </w:pPr>
            <w:r>
              <w:rPr>
                <w:spacing w:val="-2"/>
              </w:rPr>
              <w:t>In the Matter of</w:t>
            </w:r>
          </w:p>
          <w:p w:rsidR="00F52D7C" w:rsidRDefault="00F52D7C">
            <w:pPr>
              <w:tabs>
                <w:tab w:val="center" w:pos="4680"/>
              </w:tabs>
              <w:suppressAutoHyphens/>
              <w:rPr>
                <w:spacing w:val="-2"/>
              </w:rPr>
            </w:pPr>
          </w:p>
          <w:p w:rsidR="00F52D7C" w:rsidRDefault="008A16A8">
            <w:r>
              <w:t>Del Norte County, California</w:t>
            </w:r>
          </w:p>
          <w:p w:rsidR="005269D9" w:rsidRDefault="005269D9"/>
          <w:p w:rsidR="00F52D7C" w:rsidRDefault="00F52D7C" w:rsidP="00F52D7C">
            <w:pPr>
              <w:ind w:right="-18"/>
              <w:rPr>
                <w:szCs w:val="22"/>
              </w:rPr>
            </w:pPr>
            <w:r>
              <w:t>Request for Waiver of Section 90.209(b) of the Commission’s Rules</w:t>
            </w:r>
          </w:p>
        </w:tc>
        <w:tc>
          <w:tcPr>
            <w:tcW w:w="720" w:type="dxa"/>
          </w:tcPr>
          <w:p w:rsidR="00F52D7C" w:rsidRDefault="00F52D7C">
            <w:pPr>
              <w:rPr>
                <w:szCs w:val="22"/>
              </w:rPr>
            </w:pPr>
            <w:r>
              <w:rPr>
                <w:szCs w:val="22"/>
              </w:rPr>
              <w:t>)</w:t>
            </w:r>
          </w:p>
          <w:p w:rsidR="00F52D7C" w:rsidRDefault="00F52D7C">
            <w:pPr>
              <w:rPr>
                <w:szCs w:val="22"/>
              </w:rPr>
            </w:pPr>
            <w:r>
              <w:rPr>
                <w:szCs w:val="22"/>
              </w:rPr>
              <w:t>)</w:t>
            </w:r>
          </w:p>
          <w:p w:rsidR="00F52D7C" w:rsidRDefault="00F52D7C">
            <w:pPr>
              <w:rPr>
                <w:szCs w:val="22"/>
              </w:rPr>
            </w:pPr>
            <w:r>
              <w:rPr>
                <w:szCs w:val="22"/>
              </w:rPr>
              <w:t>)</w:t>
            </w:r>
          </w:p>
          <w:p w:rsidR="00F52D7C" w:rsidRDefault="00F52D7C">
            <w:pPr>
              <w:rPr>
                <w:szCs w:val="22"/>
              </w:rPr>
            </w:pPr>
            <w:r>
              <w:rPr>
                <w:szCs w:val="22"/>
              </w:rPr>
              <w:t>)</w:t>
            </w:r>
          </w:p>
          <w:p w:rsidR="00F52D7C" w:rsidRDefault="00F52D7C">
            <w:pPr>
              <w:rPr>
                <w:szCs w:val="22"/>
              </w:rPr>
            </w:pPr>
            <w:r>
              <w:rPr>
                <w:szCs w:val="22"/>
              </w:rPr>
              <w:t>)</w:t>
            </w:r>
          </w:p>
          <w:p w:rsidR="00F52D7C" w:rsidRDefault="00F52D7C">
            <w:pPr>
              <w:rPr>
                <w:szCs w:val="22"/>
              </w:rPr>
            </w:pPr>
            <w:r>
              <w:rPr>
                <w:szCs w:val="22"/>
              </w:rPr>
              <w:t>)</w:t>
            </w:r>
          </w:p>
          <w:p w:rsidR="00F52D7C" w:rsidRDefault="00F52D7C">
            <w:pPr>
              <w:rPr>
                <w:szCs w:val="22"/>
              </w:rPr>
            </w:pPr>
            <w:r>
              <w:rPr>
                <w:szCs w:val="22"/>
              </w:rPr>
              <w:t>)</w:t>
            </w:r>
          </w:p>
        </w:tc>
        <w:tc>
          <w:tcPr>
            <w:tcW w:w="4230" w:type="dxa"/>
          </w:tcPr>
          <w:p w:rsidR="00F52D7C" w:rsidRDefault="00F52D7C">
            <w:pPr>
              <w:rPr>
                <w:szCs w:val="22"/>
              </w:rPr>
            </w:pPr>
          </w:p>
          <w:p w:rsidR="00F52D7C" w:rsidRDefault="00F52D7C">
            <w:pPr>
              <w:rPr>
                <w:szCs w:val="22"/>
              </w:rPr>
            </w:pPr>
          </w:p>
          <w:p w:rsidR="00F52D7C" w:rsidRDefault="00F52D7C">
            <w:pPr>
              <w:rPr>
                <w:szCs w:val="22"/>
              </w:rPr>
            </w:pPr>
            <w:r>
              <w:rPr>
                <w:szCs w:val="22"/>
              </w:rPr>
              <w:t>WT Docket 99-87</w:t>
            </w:r>
          </w:p>
        </w:tc>
      </w:tr>
    </w:tbl>
    <w:p w:rsidR="00F52D7C" w:rsidRDefault="00F52D7C">
      <w:pPr>
        <w:rPr>
          <w:szCs w:val="22"/>
        </w:rPr>
      </w:pPr>
    </w:p>
    <w:p w:rsidR="00F52D7C" w:rsidRDefault="00F52D7C">
      <w:pPr>
        <w:spacing w:before="120"/>
        <w:jc w:val="center"/>
        <w:rPr>
          <w:b/>
          <w:szCs w:val="22"/>
        </w:rPr>
      </w:pPr>
      <w:r>
        <w:rPr>
          <w:b/>
          <w:spacing w:val="-2"/>
          <w:szCs w:val="22"/>
        </w:rPr>
        <w:t>ORDER</w:t>
      </w:r>
    </w:p>
    <w:p w:rsidR="00F52D7C" w:rsidRDefault="00F52D7C">
      <w:pPr>
        <w:rPr>
          <w:szCs w:val="22"/>
        </w:rPr>
      </w:pPr>
    </w:p>
    <w:p w:rsidR="00F52D7C" w:rsidRDefault="00F52D7C">
      <w:pPr>
        <w:tabs>
          <w:tab w:val="left" w:pos="5760"/>
          <w:tab w:val="right" w:pos="9360"/>
        </w:tabs>
        <w:rPr>
          <w:b/>
          <w:szCs w:val="22"/>
        </w:rPr>
      </w:pPr>
      <w:r>
        <w:rPr>
          <w:b/>
          <w:szCs w:val="22"/>
        </w:rPr>
        <w:t>Adopted:</w:t>
      </w:r>
      <w:r w:rsidR="002169A5">
        <w:rPr>
          <w:b/>
          <w:szCs w:val="22"/>
        </w:rPr>
        <w:t xml:space="preserve"> </w:t>
      </w:r>
      <w:r w:rsidR="0020676F">
        <w:rPr>
          <w:b/>
          <w:szCs w:val="22"/>
        </w:rPr>
        <w:t>July 28, 2014</w:t>
      </w:r>
      <w:r>
        <w:rPr>
          <w:b/>
          <w:szCs w:val="22"/>
        </w:rPr>
        <w:tab/>
        <w:t xml:space="preserve">Released: </w:t>
      </w:r>
      <w:r w:rsidR="0020676F">
        <w:rPr>
          <w:b/>
          <w:szCs w:val="22"/>
        </w:rPr>
        <w:t>July 28, 2014</w:t>
      </w:r>
    </w:p>
    <w:p w:rsidR="00F52D7C" w:rsidRDefault="00F52D7C">
      <w:pPr>
        <w:tabs>
          <w:tab w:val="left" w:pos="5760"/>
          <w:tab w:val="right" w:pos="9360"/>
        </w:tabs>
        <w:rPr>
          <w:b/>
          <w:szCs w:val="22"/>
        </w:rPr>
      </w:pPr>
    </w:p>
    <w:p w:rsidR="00F52D7C" w:rsidRDefault="00057F9D">
      <w:pPr>
        <w:rPr>
          <w:spacing w:val="-2"/>
        </w:rPr>
      </w:pPr>
      <w:r w:rsidRPr="00266EF5">
        <w:rPr>
          <w:rFonts w:cs="Courier New"/>
        </w:rPr>
        <w:t>By the Chief, Public Safety and Homeland Security Bureau</w:t>
      </w:r>
      <w:r w:rsidR="00F52D7C">
        <w:rPr>
          <w:spacing w:val="-2"/>
        </w:rPr>
        <w:t>:</w:t>
      </w:r>
    </w:p>
    <w:p w:rsidR="00F52D7C" w:rsidRDefault="00F52D7C">
      <w:pPr>
        <w:tabs>
          <w:tab w:val="left" w:pos="5760"/>
        </w:tabs>
        <w:rPr>
          <w:b/>
          <w:szCs w:val="22"/>
        </w:rPr>
      </w:pPr>
    </w:p>
    <w:p w:rsidR="00C75540" w:rsidRDefault="00C75540">
      <w:pPr>
        <w:pStyle w:val="StyleHeading1LeftAfter6pt"/>
        <w:rPr>
          <w:color w:val="000000"/>
        </w:rPr>
      </w:pPr>
      <w:r>
        <w:t>Introduction</w:t>
      </w:r>
    </w:p>
    <w:p w:rsidR="00F52D7C" w:rsidRDefault="00F52D7C">
      <w:pPr>
        <w:pStyle w:val="ParaNum"/>
        <w:numPr>
          <w:ilvl w:val="0"/>
          <w:numId w:val="4"/>
        </w:numPr>
        <w:tabs>
          <w:tab w:val="clear" w:pos="900"/>
        </w:tabs>
        <w:ind w:left="0" w:firstLine="720"/>
      </w:pPr>
      <w:bookmarkStart w:id="1" w:name="OLE_LINK1"/>
      <w:bookmarkStart w:id="2" w:name="OLE_LINK2"/>
      <w:bookmarkStart w:id="3" w:name="OLE_LINK5"/>
      <w:r>
        <w:rPr>
          <w:color w:val="000000"/>
          <w:szCs w:val="22"/>
        </w:rPr>
        <w:t>We have be</w:t>
      </w:r>
      <w:r w:rsidR="003C4D47">
        <w:rPr>
          <w:color w:val="000000"/>
          <w:szCs w:val="22"/>
        </w:rPr>
        <w:t xml:space="preserve">fore us </w:t>
      </w:r>
      <w:r w:rsidR="00465358">
        <w:rPr>
          <w:color w:val="000000"/>
          <w:szCs w:val="22"/>
        </w:rPr>
        <w:t xml:space="preserve">a </w:t>
      </w:r>
      <w:r w:rsidR="003C4D47">
        <w:rPr>
          <w:color w:val="000000"/>
          <w:szCs w:val="22"/>
        </w:rPr>
        <w:t>request</w:t>
      </w:r>
      <w:r w:rsidR="008567C0">
        <w:rPr>
          <w:color w:val="000000"/>
          <w:szCs w:val="22"/>
        </w:rPr>
        <w:t xml:space="preserve"> </w:t>
      </w:r>
      <w:r w:rsidR="00465358">
        <w:rPr>
          <w:color w:val="000000"/>
          <w:szCs w:val="22"/>
        </w:rPr>
        <w:t>for a</w:t>
      </w:r>
      <w:r w:rsidR="003C0395">
        <w:rPr>
          <w:color w:val="000000"/>
          <w:szCs w:val="22"/>
        </w:rPr>
        <w:t xml:space="preserve"> permanent </w:t>
      </w:r>
      <w:r w:rsidR="00465358">
        <w:rPr>
          <w:color w:val="000000"/>
          <w:szCs w:val="22"/>
        </w:rPr>
        <w:t xml:space="preserve">waiver of the Commission’s VHF/UHF narrowbanding </w:t>
      </w:r>
      <w:r w:rsidR="008567C0">
        <w:rPr>
          <w:color w:val="000000"/>
          <w:szCs w:val="22"/>
        </w:rPr>
        <w:t xml:space="preserve">rule </w:t>
      </w:r>
      <w:r w:rsidR="00465358">
        <w:rPr>
          <w:color w:val="000000"/>
          <w:szCs w:val="22"/>
        </w:rPr>
        <w:t xml:space="preserve">filed by </w:t>
      </w:r>
      <w:r w:rsidR="008A16A8">
        <w:rPr>
          <w:color w:val="000000"/>
          <w:szCs w:val="22"/>
        </w:rPr>
        <w:t>Del Norte County, California (Del Norte</w:t>
      </w:r>
      <w:r w:rsidR="007A551F">
        <w:rPr>
          <w:color w:val="000000"/>
          <w:szCs w:val="22"/>
        </w:rPr>
        <w:t xml:space="preserve"> or the County</w:t>
      </w:r>
      <w:r w:rsidR="008A16A8">
        <w:rPr>
          <w:color w:val="000000"/>
          <w:szCs w:val="22"/>
        </w:rPr>
        <w:t>)</w:t>
      </w:r>
      <w:r w:rsidR="00465358">
        <w:rPr>
          <w:color w:val="000000"/>
          <w:szCs w:val="22"/>
        </w:rPr>
        <w:t>.</w:t>
      </w:r>
      <w:r w:rsidR="008567C0">
        <w:rPr>
          <w:rStyle w:val="FootnoteReference"/>
          <w:color w:val="000000"/>
          <w:szCs w:val="22"/>
        </w:rPr>
        <w:footnoteReference w:id="1"/>
      </w:r>
      <w:r w:rsidR="008567C0">
        <w:rPr>
          <w:color w:val="000000"/>
          <w:szCs w:val="22"/>
        </w:rPr>
        <w:t xml:space="preserve"> </w:t>
      </w:r>
      <w:r w:rsidR="008A16A8">
        <w:rPr>
          <w:color w:val="000000"/>
          <w:szCs w:val="22"/>
        </w:rPr>
        <w:t xml:space="preserve"> </w:t>
      </w:r>
      <w:r w:rsidR="007E23F8">
        <w:rPr>
          <w:color w:val="000000"/>
          <w:szCs w:val="22"/>
        </w:rPr>
        <w:t xml:space="preserve"> </w:t>
      </w:r>
      <w:r w:rsidR="00254890">
        <w:rPr>
          <w:color w:val="000000"/>
          <w:szCs w:val="22"/>
        </w:rPr>
        <w:t>Th</w:t>
      </w:r>
      <w:r w:rsidR="008567C0">
        <w:rPr>
          <w:color w:val="000000"/>
          <w:szCs w:val="22"/>
        </w:rPr>
        <w:t>e narrowbanding rule</w:t>
      </w:r>
      <w:r>
        <w:rPr>
          <w:color w:val="000000"/>
          <w:szCs w:val="22"/>
        </w:rPr>
        <w:t xml:space="preserve"> requires </w:t>
      </w:r>
      <w:r>
        <w:rPr>
          <w:szCs w:val="22"/>
        </w:rPr>
        <w:t xml:space="preserve">private land mobile radio licensees </w:t>
      </w:r>
      <w:r w:rsidR="008567C0">
        <w:rPr>
          <w:szCs w:val="22"/>
        </w:rPr>
        <w:t xml:space="preserve">operating </w:t>
      </w:r>
      <w:r>
        <w:rPr>
          <w:szCs w:val="22"/>
        </w:rPr>
        <w:t>in the 150-174 MHz and 450-512 MHz bands to</w:t>
      </w:r>
      <w:r>
        <w:rPr>
          <w:color w:val="000000"/>
          <w:szCs w:val="22"/>
        </w:rPr>
        <w:t xml:space="preserve"> operate using channel bandwidth </w:t>
      </w:r>
      <w:r w:rsidRPr="002F3F82">
        <w:rPr>
          <w:color w:val="000000"/>
          <w:szCs w:val="22"/>
        </w:rPr>
        <w:t xml:space="preserve">of </w:t>
      </w:r>
      <w:r>
        <w:rPr>
          <w:color w:val="000000"/>
          <w:szCs w:val="22"/>
        </w:rPr>
        <w:t>no more than 12.</w:t>
      </w:r>
      <w:r w:rsidRPr="002F3F82">
        <w:rPr>
          <w:color w:val="000000"/>
          <w:szCs w:val="22"/>
        </w:rPr>
        <w:t xml:space="preserve">5 kHz or </w:t>
      </w:r>
      <w:r>
        <w:rPr>
          <w:color w:val="000000"/>
          <w:szCs w:val="22"/>
        </w:rPr>
        <w:t xml:space="preserve">equivalent efficiency </w:t>
      </w:r>
      <w:r w:rsidR="008567C0">
        <w:rPr>
          <w:color w:val="000000"/>
          <w:szCs w:val="22"/>
        </w:rPr>
        <w:t xml:space="preserve">after </w:t>
      </w:r>
      <w:r w:rsidRPr="002F3F82">
        <w:rPr>
          <w:color w:val="000000"/>
          <w:szCs w:val="22"/>
        </w:rPr>
        <w:t>January 1, 2013.</w:t>
      </w:r>
      <w:r>
        <w:rPr>
          <w:rStyle w:val="FootnoteReference"/>
          <w:color w:val="000000"/>
          <w:szCs w:val="22"/>
        </w:rPr>
        <w:footnoteReference w:id="2"/>
      </w:r>
      <w:r>
        <w:rPr>
          <w:color w:val="000000"/>
          <w:szCs w:val="22"/>
        </w:rPr>
        <w:t xml:space="preserve"> </w:t>
      </w:r>
      <w:r>
        <w:rPr>
          <w:szCs w:val="22"/>
        </w:rPr>
        <w:t xml:space="preserve">  By this Order, we </w:t>
      </w:r>
      <w:r w:rsidR="007E23F8">
        <w:rPr>
          <w:szCs w:val="22"/>
        </w:rPr>
        <w:t>deny</w:t>
      </w:r>
      <w:r w:rsidR="00492002">
        <w:rPr>
          <w:szCs w:val="22"/>
        </w:rPr>
        <w:t xml:space="preserve"> the </w:t>
      </w:r>
      <w:r w:rsidR="008536E0">
        <w:rPr>
          <w:szCs w:val="22"/>
        </w:rPr>
        <w:t>w</w:t>
      </w:r>
      <w:r w:rsidR="00492002">
        <w:rPr>
          <w:szCs w:val="22"/>
        </w:rPr>
        <w:t xml:space="preserve">aiver </w:t>
      </w:r>
      <w:r w:rsidR="008536E0">
        <w:rPr>
          <w:szCs w:val="22"/>
        </w:rPr>
        <w:t>r</w:t>
      </w:r>
      <w:r w:rsidR="00492002">
        <w:rPr>
          <w:szCs w:val="22"/>
        </w:rPr>
        <w:t>equest</w:t>
      </w:r>
      <w:r>
        <w:rPr>
          <w:szCs w:val="22"/>
        </w:rPr>
        <w:t>.</w:t>
      </w:r>
    </w:p>
    <w:bookmarkEnd w:id="1"/>
    <w:bookmarkEnd w:id="2"/>
    <w:bookmarkEnd w:id="3"/>
    <w:p w:rsidR="00F52D7C" w:rsidRDefault="00F52D7C">
      <w:pPr>
        <w:pStyle w:val="StyleHeading1LeftAfter6pt"/>
      </w:pPr>
      <w:r>
        <w:t>BACKGROUND</w:t>
      </w:r>
    </w:p>
    <w:p w:rsidR="008A16A8" w:rsidRPr="001C114C" w:rsidRDefault="008A16A8" w:rsidP="00F52D7C">
      <w:pPr>
        <w:pStyle w:val="ParaNum"/>
        <w:numPr>
          <w:ilvl w:val="0"/>
          <w:numId w:val="4"/>
        </w:numPr>
        <w:tabs>
          <w:tab w:val="clear" w:pos="900"/>
        </w:tabs>
        <w:ind w:left="0" w:firstLine="720"/>
        <w:rPr>
          <w:color w:val="000000"/>
          <w:szCs w:val="22"/>
        </w:rPr>
      </w:pPr>
      <w:r w:rsidRPr="008A16A8">
        <w:rPr>
          <w:szCs w:val="22"/>
        </w:rPr>
        <w:t>Del Norte County is locat</w:t>
      </w:r>
      <w:r w:rsidR="008567C0">
        <w:rPr>
          <w:szCs w:val="22"/>
        </w:rPr>
        <w:t xml:space="preserve">ed </w:t>
      </w:r>
      <w:r w:rsidRPr="008A16A8">
        <w:rPr>
          <w:szCs w:val="22"/>
        </w:rPr>
        <w:t xml:space="preserve">in Northern California at the Oregon border along the </w:t>
      </w:r>
      <w:r w:rsidR="008567C0">
        <w:rPr>
          <w:szCs w:val="22"/>
        </w:rPr>
        <w:t xml:space="preserve">Pacific </w:t>
      </w:r>
      <w:r w:rsidRPr="008A16A8">
        <w:rPr>
          <w:szCs w:val="22"/>
        </w:rPr>
        <w:t xml:space="preserve">coast.  It </w:t>
      </w:r>
      <w:r w:rsidR="008567C0">
        <w:rPr>
          <w:szCs w:val="22"/>
        </w:rPr>
        <w:t xml:space="preserve">has a land area of </w:t>
      </w:r>
      <w:r>
        <w:rPr>
          <w:szCs w:val="22"/>
        </w:rPr>
        <w:t>approximately</w:t>
      </w:r>
      <w:r w:rsidRPr="008A16A8">
        <w:rPr>
          <w:szCs w:val="22"/>
        </w:rPr>
        <w:t xml:space="preserve"> 1007 square miles </w:t>
      </w:r>
      <w:r>
        <w:rPr>
          <w:szCs w:val="22"/>
        </w:rPr>
        <w:t>with</w:t>
      </w:r>
      <w:r w:rsidRPr="008A16A8">
        <w:rPr>
          <w:szCs w:val="22"/>
        </w:rPr>
        <w:t xml:space="preserve"> a </w:t>
      </w:r>
      <w:r>
        <w:rPr>
          <w:szCs w:val="22"/>
        </w:rPr>
        <w:t xml:space="preserve">population </w:t>
      </w:r>
      <w:r w:rsidRPr="008A16A8">
        <w:rPr>
          <w:szCs w:val="22"/>
        </w:rPr>
        <w:t>of about 30,000 people</w:t>
      </w:r>
      <w:r w:rsidR="007E23F8">
        <w:rPr>
          <w:szCs w:val="22"/>
        </w:rPr>
        <w:t>.</w:t>
      </w:r>
      <w:r w:rsidR="007E23F8">
        <w:rPr>
          <w:rStyle w:val="FootnoteReference"/>
          <w:szCs w:val="22"/>
        </w:rPr>
        <w:footnoteReference w:id="3"/>
      </w:r>
      <w:r w:rsidR="007E23F8">
        <w:rPr>
          <w:szCs w:val="22"/>
        </w:rPr>
        <w:t xml:space="preserve"> </w:t>
      </w:r>
      <w:r w:rsidR="00465358">
        <w:rPr>
          <w:szCs w:val="22"/>
        </w:rPr>
        <w:t xml:space="preserve"> </w:t>
      </w:r>
      <w:r w:rsidR="008567C0">
        <w:rPr>
          <w:szCs w:val="22"/>
        </w:rPr>
        <w:t xml:space="preserve">In 2012, </w:t>
      </w:r>
      <w:r>
        <w:rPr>
          <w:szCs w:val="22"/>
        </w:rPr>
        <w:t xml:space="preserve">Del Norte </w:t>
      </w:r>
      <w:r w:rsidR="008567C0">
        <w:rPr>
          <w:szCs w:val="22"/>
        </w:rPr>
        <w:t>converted its VHF</w:t>
      </w:r>
      <w:r w:rsidR="00505063">
        <w:rPr>
          <w:szCs w:val="22"/>
        </w:rPr>
        <w:t xml:space="preserve"> </w:t>
      </w:r>
      <w:r w:rsidR="008567C0">
        <w:rPr>
          <w:szCs w:val="22"/>
        </w:rPr>
        <w:t>system</w:t>
      </w:r>
      <w:r w:rsidR="00ED63D3">
        <w:rPr>
          <w:szCs w:val="22"/>
        </w:rPr>
        <w:t xml:space="preserve"> to </w:t>
      </w:r>
      <w:r>
        <w:rPr>
          <w:szCs w:val="22"/>
        </w:rPr>
        <w:t xml:space="preserve">narrowband </w:t>
      </w:r>
      <w:r w:rsidR="00ED63D3">
        <w:rPr>
          <w:szCs w:val="22"/>
        </w:rPr>
        <w:t xml:space="preserve">operation, and it is currently in compliance with the rule.  However, Del Norte </w:t>
      </w:r>
      <w:r w:rsidR="001C72A3">
        <w:rPr>
          <w:szCs w:val="22"/>
        </w:rPr>
        <w:t xml:space="preserve">states </w:t>
      </w:r>
      <w:r>
        <w:rPr>
          <w:szCs w:val="22"/>
        </w:rPr>
        <w:t xml:space="preserve">that </w:t>
      </w:r>
      <w:r w:rsidR="00ED63D3">
        <w:rPr>
          <w:szCs w:val="22"/>
        </w:rPr>
        <w:t xml:space="preserve">as a result of narrowbanding its system, </w:t>
      </w:r>
      <w:r w:rsidR="001C72A3">
        <w:rPr>
          <w:szCs w:val="22"/>
        </w:rPr>
        <w:t xml:space="preserve">it </w:t>
      </w:r>
      <w:r>
        <w:rPr>
          <w:szCs w:val="22"/>
        </w:rPr>
        <w:t xml:space="preserve">has </w:t>
      </w:r>
      <w:r w:rsidR="00ED63D3">
        <w:rPr>
          <w:szCs w:val="22"/>
        </w:rPr>
        <w:t xml:space="preserve">experienced </w:t>
      </w:r>
      <w:r>
        <w:rPr>
          <w:szCs w:val="22"/>
        </w:rPr>
        <w:t>a 40</w:t>
      </w:r>
      <w:r w:rsidR="00ED63D3">
        <w:rPr>
          <w:szCs w:val="22"/>
        </w:rPr>
        <w:t xml:space="preserve"> percent l</w:t>
      </w:r>
      <w:r>
        <w:rPr>
          <w:szCs w:val="22"/>
        </w:rPr>
        <w:t>oss of coverage in its operational area</w:t>
      </w:r>
      <w:r w:rsidR="007E23F8">
        <w:rPr>
          <w:szCs w:val="22"/>
        </w:rPr>
        <w:t>.</w:t>
      </w:r>
      <w:r w:rsidR="00191792">
        <w:rPr>
          <w:rStyle w:val="FootnoteReference"/>
          <w:szCs w:val="22"/>
        </w:rPr>
        <w:footnoteReference w:id="4"/>
      </w:r>
      <w:r w:rsidR="00492002">
        <w:rPr>
          <w:szCs w:val="22"/>
        </w:rPr>
        <w:t xml:space="preserve">  </w:t>
      </w:r>
      <w:r>
        <w:rPr>
          <w:szCs w:val="22"/>
        </w:rPr>
        <w:t xml:space="preserve">The County states it has worked with its vendor and Commission staff to ensure </w:t>
      </w:r>
      <w:r w:rsidR="00ED63D3">
        <w:rPr>
          <w:szCs w:val="22"/>
        </w:rPr>
        <w:t xml:space="preserve">that </w:t>
      </w:r>
      <w:r>
        <w:rPr>
          <w:szCs w:val="22"/>
        </w:rPr>
        <w:t>its existing equipment is operating a</w:t>
      </w:r>
      <w:r w:rsidR="00465358">
        <w:rPr>
          <w:szCs w:val="22"/>
        </w:rPr>
        <w:t>t</w:t>
      </w:r>
      <w:r>
        <w:rPr>
          <w:szCs w:val="22"/>
        </w:rPr>
        <w:t xml:space="preserve"> optimum efficiency, but </w:t>
      </w:r>
      <w:r w:rsidR="00ED63D3">
        <w:rPr>
          <w:szCs w:val="22"/>
        </w:rPr>
        <w:t xml:space="preserve">that </w:t>
      </w:r>
      <w:r>
        <w:rPr>
          <w:szCs w:val="22"/>
        </w:rPr>
        <w:t xml:space="preserve">these improvements have not </w:t>
      </w:r>
      <w:r w:rsidR="00ED63D3">
        <w:rPr>
          <w:szCs w:val="22"/>
        </w:rPr>
        <w:t xml:space="preserve">restored </w:t>
      </w:r>
      <w:r w:rsidR="003C0395">
        <w:rPr>
          <w:szCs w:val="22"/>
        </w:rPr>
        <w:t xml:space="preserve">the </w:t>
      </w:r>
      <w:r>
        <w:rPr>
          <w:szCs w:val="22"/>
        </w:rPr>
        <w:t>system</w:t>
      </w:r>
      <w:r w:rsidR="003C0395">
        <w:rPr>
          <w:szCs w:val="22"/>
        </w:rPr>
        <w:t>’s</w:t>
      </w:r>
      <w:r>
        <w:rPr>
          <w:szCs w:val="22"/>
        </w:rPr>
        <w:t xml:space="preserve"> coverage</w:t>
      </w:r>
      <w:r w:rsidR="003C0395">
        <w:rPr>
          <w:szCs w:val="22"/>
        </w:rPr>
        <w:t xml:space="preserve"> that existed prior to narrowbanding</w:t>
      </w:r>
      <w:r>
        <w:rPr>
          <w:szCs w:val="22"/>
        </w:rPr>
        <w:t>.</w:t>
      </w:r>
      <w:r>
        <w:rPr>
          <w:rStyle w:val="FootnoteReference"/>
          <w:szCs w:val="22"/>
        </w:rPr>
        <w:footnoteReference w:id="5"/>
      </w:r>
      <w:r>
        <w:rPr>
          <w:szCs w:val="22"/>
        </w:rPr>
        <w:t xml:space="preserve">  </w:t>
      </w:r>
      <w:r w:rsidR="004F658F">
        <w:rPr>
          <w:szCs w:val="22"/>
        </w:rPr>
        <w:t xml:space="preserve">Del Norte states that </w:t>
      </w:r>
      <w:r w:rsidR="001C72A3">
        <w:rPr>
          <w:szCs w:val="22"/>
        </w:rPr>
        <w:t xml:space="preserve">the </w:t>
      </w:r>
      <w:r w:rsidR="004F658F">
        <w:rPr>
          <w:szCs w:val="22"/>
        </w:rPr>
        <w:t xml:space="preserve">lack of coverage </w:t>
      </w:r>
      <w:r w:rsidR="001C72A3">
        <w:rPr>
          <w:szCs w:val="22"/>
        </w:rPr>
        <w:t xml:space="preserve">caused by </w:t>
      </w:r>
      <w:r w:rsidR="003C0395">
        <w:rPr>
          <w:szCs w:val="22"/>
        </w:rPr>
        <w:t xml:space="preserve">narrowband operation in </w:t>
      </w:r>
      <w:r w:rsidR="001C72A3">
        <w:rPr>
          <w:szCs w:val="22"/>
        </w:rPr>
        <w:t xml:space="preserve">compliance with the Commission’s </w:t>
      </w:r>
      <w:r w:rsidR="001C72A3">
        <w:rPr>
          <w:szCs w:val="22"/>
        </w:rPr>
        <w:lastRenderedPageBreak/>
        <w:t xml:space="preserve">rules </w:t>
      </w:r>
      <w:r w:rsidR="004F658F">
        <w:rPr>
          <w:szCs w:val="22"/>
        </w:rPr>
        <w:t>places its first responders at risk.</w:t>
      </w:r>
      <w:r w:rsidR="004F658F">
        <w:rPr>
          <w:rStyle w:val="FootnoteReference"/>
          <w:szCs w:val="22"/>
        </w:rPr>
        <w:footnoteReference w:id="6"/>
      </w:r>
      <w:r w:rsidR="003C0395">
        <w:rPr>
          <w:szCs w:val="22"/>
        </w:rPr>
        <w:t xml:space="preserve">  Accordingly, Del Norte asks for a permanent waiver of the narrowbanding rule allowing it to resume wideband operations and to operate in wideband mode indefinitely.</w:t>
      </w:r>
    </w:p>
    <w:p w:rsidR="002136F8" w:rsidRDefault="003C0395" w:rsidP="003C0395">
      <w:pPr>
        <w:pStyle w:val="ParaNum"/>
        <w:numPr>
          <w:ilvl w:val="0"/>
          <w:numId w:val="4"/>
        </w:numPr>
        <w:tabs>
          <w:tab w:val="clear" w:pos="900"/>
        </w:tabs>
        <w:ind w:left="0" w:firstLine="720"/>
      </w:pPr>
      <w:r w:rsidRPr="003C0395">
        <w:rPr>
          <w:szCs w:val="22"/>
        </w:rPr>
        <w:t xml:space="preserve">In support of its waiver request, </w:t>
      </w:r>
      <w:r w:rsidR="008A16A8" w:rsidRPr="003C0395">
        <w:rPr>
          <w:szCs w:val="22"/>
        </w:rPr>
        <w:t xml:space="preserve">Del Norte states that </w:t>
      </w:r>
      <w:r w:rsidR="007C0A76">
        <w:rPr>
          <w:szCs w:val="22"/>
        </w:rPr>
        <w:t xml:space="preserve">the only way for it to restore </w:t>
      </w:r>
      <w:r w:rsidR="008A16A8" w:rsidRPr="003C0395">
        <w:rPr>
          <w:szCs w:val="22"/>
        </w:rPr>
        <w:t xml:space="preserve">system coverage </w:t>
      </w:r>
      <w:r w:rsidR="007C0A76">
        <w:rPr>
          <w:szCs w:val="22"/>
        </w:rPr>
        <w:t xml:space="preserve">while continuing to comply with the narrowbanding rule would be to construct </w:t>
      </w:r>
      <w:r w:rsidR="008A16A8" w:rsidRPr="00747DC1">
        <w:rPr>
          <w:szCs w:val="22"/>
        </w:rPr>
        <w:t>between three to five additional towers</w:t>
      </w:r>
      <w:r w:rsidR="007C0A76">
        <w:rPr>
          <w:szCs w:val="22"/>
        </w:rPr>
        <w:t xml:space="preserve"> to augment its existing two-tower system</w:t>
      </w:r>
      <w:r w:rsidR="008A16A8" w:rsidRPr="007C0A76">
        <w:rPr>
          <w:szCs w:val="22"/>
        </w:rPr>
        <w:t>.</w:t>
      </w:r>
      <w:r w:rsidR="004F658F">
        <w:rPr>
          <w:rStyle w:val="FootnoteReference"/>
          <w:szCs w:val="22"/>
        </w:rPr>
        <w:footnoteReference w:id="7"/>
      </w:r>
      <w:r w:rsidR="008A16A8" w:rsidRPr="003C0395">
        <w:rPr>
          <w:szCs w:val="22"/>
        </w:rPr>
        <w:t xml:space="preserve">  Del Norte</w:t>
      </w:r>
      <w:r w:rsidR="004F658F" w:rsidRPr="003C0395">
        <w:rPr>
          <w:szCs w:val="22"/>
        </w:rPr>
        <w:t xml:space="preserve"> states that it lacks the funding to undertake such an endeavor.</w:t>
      </w:r>
      <w:r w:rsidR="004F658F" w:rsidRPr="003C0395">
        <w:rPr>
          <w:rStyle w:val="FootnoteReference"/>
          <w:szCs w:val="22"/>
        </w:rPr>
        <w:t xml:space="preserve"> </w:t>
      </w:r>
      <w:r w:rsidR="004F658F">
        <w:rPr>
          <w:rStyle w:val="FootnoteReference"/>
          <w:szCs w:val="22"/>
        </w:rPr>
        <w:footnoteReference w:id="8"/>
      </w:r>
      <w:bookmarkStart w:id="4" w:name="_Ref161212854"/>
      <w:r>
        <w:t xml:space="preserve">  </w:t>
      </w:r>
      <w:r w:rsidR="004F658F">
        <w:t xml:space="preserve">Del Norte </w:t>
      </w:r>
      <w:r>
        <w:t xml:space="preserve">also </w:t>
      </w:r>
      <w:r w:rsidR="004F658F">
        <w:t xml:space="preserve">claims </w:t>
      </w:r>
      <w:r>
        <w:t xml:space="preserve">that </w:t>
      </w:r>
      <w:r w:rsidR="004F658F">
        <w:t>it did not need to convert from wideband to narrowband operations because there is no spectrum congestion i</w:t>
      </w:r>
      <w:r w:rsidR="005F6221">
        <w:t>n</w:t>
      </w:r>
      <w:r w:rsidR="004F658F">
        <w:t xml:space="preserve"> </w:t>
      </w:r>
      <w:r w:rsidR="005F6221">
        <w:t>the County</w:t>
      </w:r>
      <w:r w:rsidR="004F658F">
        <w:t>.</w:t>
      </w:r>
      <w:r w:rsidR="004F658F">
        <w:rPr>
          <w:rStyle w:val="FootnoteReference"/>
        </w:rPr>
        <w:footnoteReference w:id="9"/>
      </w:r>
      <w:r w:rsidR="008B6590">
        <w:t xml:space="preserve"> </w:t>
      </w:r>
    </w:p>
    <w:p w:rsidR="00C75540" w:rsidRDefault="00C75540">
      <w:pPr>
        <w:pStyle w:val="StyleHeading1LeftAfter6pt"/>
      </w:pPr>
      <w:bookmarkStart w:id="5" w:name="SR;349"/>
      <w:bookmarkEnd w:id="4"/>
      <w:bookmarkEnd w:id="5"/>
      <w:r>
        <w:t>discussion</w:t>
      </w:r>
    </w:p>
    <w:p w:rsidR="009B11C9" w:rsidRDefault="009B11C9" w:rsidP="00591789">
      <w:pPr>
        <w:pStyle w:val="ParaNum"/>
        <w:numPr>
          <w:ilvl w:val="0"/>
          <w:numId w:val="4"/>
        </w:numPr>
        <w:tabs>
          <w:tab w:val="clear" w:pos="900"/>
        </w:tabs>
        <w:ind w:left="0" w:firstLine="720"/>
      </w:pPr>
      <w:r>
        <w:rPr>
          <w:szCs w:val="22"/>
        </w:rPr>
        <w:t xml:space="preserve">The Commission </w:t>
      </w:r>
      <w:r w:rsidR="007C0A76">
        <w:rPr>
          <w:szCs w:val="22"/>
        </w:rPr>
        <w:t xml:space="preserve">initiated the narrowbanding process </w:t>
      </w:r>
      <w:r w:rsidR="000F3512">
        <w:rPr>
          <w:szCs w:val="22"/>
        </w:rPr>
        <w:t>in 1995 to remedy congestion in the</w:t>
      </w:r>
      <w:r w:rsidR="007C0A76">
        <w:rPr>
          <w:szCs w:val="22"/>
        </w:rPr>
        <w:t xml:space="preserve"> UHF and VHF </w:t>
      </w:r>
      <w:r>
        <w:t>frequency bands</w:t>
      </w:r>
      <w:r w:rsidR="007C0A76">
        <w:t>,</w:t>
      </w:r>
      <w:r>
        <w:t xml:space="preserve"> </w:t>
      </w:r>
      <w:r w:rsidR="000F3512">
        <w:t xml:space="preserve">which </w:t>
      </w:r>
      <w:r>
        <w:t xml:space="preserve">limited </w:t>
      </w:r>
      <w:r w:rsidR="000F3512">
        <w:t xml:space="preserve">the amount of </w:t>
      </w:r>
      <w:r>
        <w:t xml:space="preserve">spectrum </w:t>
      </w:r>
      <w:r w:rsidR="000F3512">
        <w:t xml:space="preserve">available </w:t>
      </w:r>
      <w:r>
        <w:t>for system expansion or implementation of new systems.</w:t>
      </w:r>
      <w:r w:rsidR="000F3512">
        <w:rPr>
          <w:rStyle w:val="FootnoteReference"/>
        </w:rPr>
        <w:footnoteReference w:id="10"/>
      </w:r>
      <w:r w:rsidR="000F3512">
        <w:t xml:space="preserve"> </w:t>
      </w:r>
      <w:r w:rsidR="007C0A76">
        <w:t xml:space="preserve"> </w:t>
      </w:r>
      <w:r>
        <w:t xml:space="preserve">The migration to 12.5 kHz efficiency technology </w:t>
      </w:r>
      <w:r w:rsidR="000F3512">
        <w:t>require</w:t>
      </w:r>
      <w:r w:rsidR="007C0A76">
        <w:t>s</w:t>
      </w:r>
      <w:r>
        <w:t xml:space="preserve"> licensees to operate </w:t>
      </w:r>
      <w:r w:rsidR="007C0A76">
        <w:t xml:space="preserve">with greater spectral </w:t>
      </w:r>
      <w:r>
        <w:t>efficien</w:t>
      </w:r>
      <w:r w:rsidR="007C0A76">
        <w:t>c</w:t>
      </w:r>
      <w:r>
        <w:t xml:space="preserve">y, either on narrower channel bandwidths or increased voice paths on existing channels. </w:t>
      </w:r>
      <w:r w:rsidR="007C0A76">
        <w:t xml:space="preserve"> This </w:t>
      </w:r>
      <w:r>
        <w:t>allow</w:t>
      </w:r>
      <w:r w:rsidR="007C0A76">
        <w:t>s</w:t>
      </w:r>
      <w:r>
        <w:t xml:space="preserve"> creation of additional channels within the same spectrum, thereby supporting more users.</w:t>
      </w:r>
      <w:r w:rsidRPr="009B11C9">
        <w:rPr>
          <w:szCs w:val="22"/>
        </w:rPr>
        <w:t xml:space="preserve"> </w:t>
      </w:r>
      <w:r w:rsidR="007C0A76">
        <w:rPr>
          <w:szCs w:val="22"/>
        </w:rPr>
        <w:t xml:space="preserve"> </w:t>
      </w:r>
      <w:r>
        <w:rPr>
          <w:szCs w:val="22"/>
        </w:rPr>
        <w:t xml:space="preserve">The </w:t>
      </w:r>
      <w:r>
        <w:t xml:space="preserve">efficient use of scarce VHF/UHF spectrum and </w:t>
      </w:r>
      <w:r>
        <w:rPr>
          <w:szCs w:val="22"/>
        </w:rPr>
        <w:t>freeing of capacity for potential new spectrum uses are key goals of the narrowbanding program</w:t>
      </w:r>
      <w:r w:rsidR="000F3512">
        <w:rPr>
          <w:szCs w:val="22"/>
        </w:rPr>
        <w:t>.</w:t>
      </w:r>
      <w:r>
        <w:rPr>
          <w:rStyle w:val="FootnoteReference"/>
        </w:rPr>
        <w:footnoteReference w:id="11"/>
      </w:r>
      <w:r>
        <w:t xml:space="preserve">  </w:t>
      </w:r>
    </w:p>
    <w:p w:rsidR="007C0A76" w:rsidRPr="007C0A76" w:rsidRDefault="008A16A8" w:rsidP="00591789">
      <w:pPr>
        <w:pStyle w:val="ParaNum"/>
        <w:numPr>
          <w:ilvl w:val="0"/>
          <w:numId w:val="4"/>
        </w:numPr>
        <w:tabs>
          <w:tab w:val="clear" w:pos="900"/>
        </w:tabs>
        <w:ind w:left="0" w:firstLine="720"/>
      </w:pPr>
      <w:r>
        <w:t>Del Norte</w:t>
      </w:r>
      <w:r w:rsidR="00F52D7C">
        <w:t xml:space="preserve"> seek</w:t>
      </w:r>
      <w:r w:rsidR="00805661">
        <w:t>s</w:t>
      </w:r>
      <w:r w:rsidR="00F52D7C">
        <w:t xml:space="preserve"> </w:t>
      </w:r>
      <w:r w:rsidR="005F6221">
        <w:t xml:space="preserve">permanent </w:t>
      </w:r>
      <w:r w:rsidR="00F52D7C">
        <w:t xml:space="preserve">relief </w:t>
      </w:r>
      <w:r w:rsidR="007C0A76">
        <w:t xml:space="preserve">from the narrowbanding rule </w:t>
      </w:r>
      <w:r w:rsidR="00F52D7C">
        <w:t>pursuant to Section 1.925 of the Commission’s rules, which provides that to obtain a waiver of the Commission’s rules, a petitioner must demonstrate either that: (i) the underlying purpose of the rule(s) would not be served or would be frustrated by application to the present case, and that a grant of the waiver would be in the public interest;</w:t>
      </w:r>
      <w:r w:rsidR="00F52D7C">
        <w:rPr>
          <w:rStyle w:val="FootnoteReference"/>
        </w:rPr>
        <w:footnoteReference w:id="12"/>
      </w:r>
      <w:r w:rsidR="00F52D7C">
        <w:t xml:space="preserve"> or (ii) in view of unique or unusual factual circumstances of the instant case, application of the rule(s) would be inequitable, unduly burdensome, or contrary to the public interest, or the applicant has no reasonable alternative</w:t>
      </w:r>
      <w:r w:rsidR="00F52D7C" w:rsidRPr="001E76A3">
        <w:rPr>
          <w:color w:val="000000"/>
          <w:szCs w:val="22"/>
        </w:rPr>
        <w:t>.</w:t>
      </w:r>
      <w:r w:rsidR="00F52D7C">
        <w:rPr>
          <w:rStyle w:val="FootnoteReference"/>
          <w:bCs/>
          <w:color w:val="000000"/>
          <w:szCs w:val="22"/>
        </w:rPr>
        <w:footnoteReference w:id="13"/>
      </w:r>
      <w:r w:rsidR="00F52D7C" w:rsidRPr="001E76A3">
        <w:rPr>
          <w:color w:val="000000"/>
          <w:szCs w:val="22"/>
        </w:rPr>
        <w:t xml:space="preserve">  </w:t>
      </w:r>
      <w:r w:rsidR="00F52D7C">
        <w:rPr>
          <w:color w:val="000000"/>
          <w:szCs w:val="22"/>
        </w:rPr>
        <w:t>Applying this standard to narrowbanding, we have stated i</w:t>
      </w:r>
      <w:r w:rsidR="00F52D7C">
        <w:rPr>
          <w:szCs w:val="22"/>
        </w:rPr>
        <w:t xml:space="preserve">n </w:t>
      </w:r>
      <w:r w:rsidR="006E5CDD">
        <w:rPr>
          <w:szCs w:val="22"/>
        </w:rPr>
        <w:t xml:space="preserve">the </w:t>
      </w:r>
      <w:r w:rsidR="006E5CDD" w:rsidRPr="0033422B">
        <w:rPr>
          <w:rStyle w:val="documentbody"/>
          <w:i/>
        </w:rPr>
        <w:t>Narrowbanding Waiver Guidance Notice</w:t>
      </w:r>
      <w:r w:rsidR="006E5CDD">
        <w:rPr>
          <w:rStyle w:val="documentbody"/>
          <w:i/>
        </w:rPr>
        <w:t>,</w:t>
      </w:r>
      <w:r w:rsidR="00F52D7C">
        <w:rPr>
          <w:rStyle w:val="documentbody"/>
        </w:rPr>
        <w:t xml:space="preserve"> jointly issued by the Wireless Telecommunications Bureau, the Public Safety and Homeland Security Bureau, and the Office of Engineering and Technology </w:t>
      </w:r>
      <w:r w:rsidR="00F52D7C">
        <w:rPr>
          <w:color w:val="000000"/>
          <w:szCs w:val="22"/>
        </w:rPr>
        <w:t xml:space="preserve">that narrowbanding waiver requests </w:t>
      </w:r>
      <w:r w:rsidR="00F52D7C">
        <w:rPr>
          <w:szCs w:val="22"/>
        </w:rPr>
        <w:t>“will be subject to a high level of scrutiny” under the waiver standard.</w:t>
      </w:r>
      <w:r w:rsidR="00F52D7C">
        <w:rPr>
          <w:rStyle w:val="FootnoteReference"/>
        </w:rPr>
        <w:footnoteReference w:id="14"/>
      </w:r>
      <w:r w:rsidR="00F52D7C">
        <w:rPr>
          <w:szCs w:val="22"/>
        </w:rPr>
        <w:t xml:space="preserve">  </w:t>
      </w:r>
    </w:p>
    <w:p w:rsidR="00CE1798" w:rsidRPr="008B1011" w:rsidRDefault="005F6221" w:rsidP="00CE1798">
      <w:pPr>
        <w:pStyle w:val="ParaNum"/>
        <w:numPr>
          <w:ilvl w:val="0"/>
          <w:numId w:val="4"/>
        </w:numPr>
        <w:tabs>
          <w:tab w:val="clear" w:pos="900"/>
        </w:tabs>
        <w:ind w:left="0" w:firstLine="720"/>
      </w:pPr>
      <w:r w:rsidRPr="005F6221">
        <w:rPr>
          <w:szCs w:val="22"/>
        </w:rPr>
        <w:t xml:space="preserve">The Bureau has granted temporary waivers of the narrowbanding rule to licensees that have been able </w:t>
      </w:r>
      <w:r w:rsidR="00F52D7C" w:rsidRPr="005F6221">
        <w:rPr>
          <w:szCs w:val="22"/>
        </w:rPr>
        <w:t>to demonstrate that “(i) they have worked diligently and in good faith to narrowband their systems expeditiously; (ii) their specific circumstances warrant a temporary extension of the deadline; and (iii) the amount of time for which a waiver is r</w:t>
      </w:r>
      <w:r w:rsidR="00F52D7C" w:rsidRPr="00BD0662">
        <w:rPr>
          <w:szCs w:val="22"/>
        </w:rPr>
        <w:t>equested is no more than is reasonably necessary to complete the narrowbanding process.”</w:t>
      </w:r>
      <w:r w:rsidR="00F52D7C">
        <w:rPr>
          <w:rStyle w:val="FootnoteReference"/>
          <w:szCs w:val="22"/>
        </w:rPr>
        <w:footnoteReference w:id="15"/>
      </w:r>
      <w:r w:rsidR="00F52D7C">
        <w:rPr>
          <w:rStyle w:val="documentbody"/>
        </w:rPr>
        <w:t xml:space="preserve">  </w:t>
      </w:r>
      <w:r w:rsidR="00F52D7C" w:rsidRPr="005F6221">
        <w:rPr>
          <w:color w:val="000000"/>
          <w:szCs w:val="22"/>
        </w:rPr>
        <w:t xml:space="preserve"> </w:t>
      </w:r>
      <w:bookmarkStart w:id="6" w:name="_Ref235348554"/>
      <w:r w:rsidRPr="005F6221">
        <w:rPr>
          <w:color w:val="000000"/>
          <w:szCs w:val="22"/>
        </w:rPr>
        <w:t xml:space="preserve">However, Del Norte seeks a permanent waiver of the rule, not a temporary waiver.  </w:t>
      </w:r>
    </w:p>
    <w:p w:rsidR="00CE1798" w:rsidRPr="00505063" w:rsidRDefault="005F6221" w:rsidP="00CE1798">
      <w:pPr>
        <w:pStyle w:val="ParaNum"/>
        <w:numPr>
          <w:ilvl w:val="0"/>
          <w:numId w:val="4"/>
        </w:numPr>
        <w:tabs>
          <w:tab w:val="clear" w:pos="900"/>
        </w:tabs>
        <w:ind w:left="0" w:firstLine="720"/>
      </w:pPr>
      <w:r w:rsidRPr="00CE1798">
        <w:rPr>
          <w:color w:val="000000"/>
          <w:szCs w:val="22"/>
        </w:rPr>
        <w:t xml:space="preserve">We </w:t>
      </w:r>
      <w:r w:rsidR="00254890" w:rsidRPr="00CE1798">
        <w:rPr>
          <w:color w:val="000000"/>
          <w:szCs w:val="22"/>
        </w:rPr>
        <w:t xml:space="preserve">conclude that </w:t>
      </w:r>
      <w:r w:rsidR="008A16A8" w:rsidRPr="00CE1798">
        <w:rPr>
          <w:color w:val="000000"/>
          <w:szCs w:val="22"/>
        </w:rPr>
        <w:t>Del Norte</w:t>
      </w:r>
      <w:r w:rsidR="00254890" w:rsidRPr="00CE1798">
        <w:rPr>
          <w:color w:val="000000"/>
          <w:szCs w:val="22"/>
        </w:rPr>
        <w:t xml:space="preserve"> </w:t>
      </w:r>
      <w:r w:rsidR="00254890">
        <w:rPr>
          <w:rStyle w:val="documentbody"/>
        </w:rPr>
        <w:t xml:space="preserve">has not presented sufficient facts to </w:t>
      </w:r>
      <w:r>
        <w:rPr>
          <w:rStyle w:val="documentbody"/>
        </w:rPr>
        <w:t xml:space="preserve">support its </w:t>
      </w:r>
      <w:r w:rsidR="00254890" w:rsidRPr="00CE1798">
        <w:rPr>
          <w:color w:val="000000"/>
          <w:szCs w:val="22"/>
        </w:rPr>
        <w:t>request</w:t>
      </w:r>
      <w:r w:rsidRPr="00CE1798">
        <w:rPr>
          <w:color w:val="000000"/>
          <w:szCs w:val="22"/>
        </w:rPr>
        <w:t xml:space="preserve"> for a permanent </w:t>
      </w:r>
      <w:r w:rsidR="00254890" w:rsidRPr="00CE1798">
        <w:rPr>
          <w:color w:val="000000"/>
          <w:szCs w:val="22"/>
        </w:rPr>
        <w:t xml:space="preserve">waiver.  </w:t>
      </w:r>
      <w:r w:rsidRPr="00CE1798">
        <w:rPr>
          <w:color w:val="000000"/>
          <w:szCs w:val="22"/>
        </w:rPr>
        <w:t>We recognize the financial constraints Del Norte faces to construct additional towers, but this circumstance is not unusual or unique among licensees that have been subject to the narrowbanding requi</w:t>
      </w:r>
      <w:r w:rsidRPr="00BD0662">
        <w:rPr>
          <w:color w:val="000000"/>
          <w:szCs w:val="22"/>
        </w:rPr>
        <w:t xml:space="preserve">rement.  Thousands of public safety licensees have converted their systems to narrowband </w:t>
      </w:r>
      <w:r w:rsidRPr="00730327">
        <w:rPr>
          <w:color w:val="000000"/>
          <w:szCs w:val="22"/>
        </w:rPr>
        <w:t xml:space="preserve">operation, and many of them have had to enhance system infrastructure as part of their conversion.  </w:t>
      </w:r>
      <w:r w:rsidR="006411D1" w:rsidRPr="00730327">
        <w:rPr>
          <w:color w:val="000000"/>
          <w:szCs w:val="22"/>
        </w:rPr>
        <w:t xml:space="preserve">While </w:t>
      </w:r>
      <w:r w:rsidR="00CE1798">
        <w:rPr>
          <w:color w:val="000000"/>
          <w:szCs w:val="22"/>
        </w:rPr>
        <w:t xml:space="preserve">Del Norte’s </w:t>
      </w:r>
      <w:r w:rsidR="006411D1" w:rsidRPr="00CE1798">
        <w:rPr>
          <w:color w:val="000000"/>
          <w:szCs w:val="22"/>
        </w:rPr>
        <w:t xml:space="preserve">financial constraints could weigh in favor of a temporary waiver to afford the County additional time to upgrade its system, they do not justify a permanent waiver.  </w:t>
      </w:r>
    </w:p>
    <w:p w:rsidR="004F658F" w:rsidRPr="001C114C" w:rsidRDefault="005F6221" w:rsidP="00CE1798">
      <w:pPr>
        <w:pStyle w:val="ParaNum"/>
        <w:numPr>
          <w:ilvl w:val="0"/>
          <w:numId w:val="4"/>
        </w:numPr>
        <w:tabs>
          <w:tab w:val="clear" w:pos="900"/>
        </w:tabs>
        <w:ind w:left="0" w:firstLine="720"/>
      </w:pPr>
      <w:r w:rsidRPr="00CE1798">
        <w:rPr>
          <w:color w:val="000000"/>
          <w:szCs w:val="22"/>
        </w:rPr>
        <w:t>Similarly,</w:t>
      </w:r>
      <w:r w:rsidR="006411D1" w:rsidRPr="00CE1798">
        <w:rPr>
          <w:color w:val="000000"/>
          <w:szCs w:val="22"/>
        </w:rPr>
        <w:t xml:space="preserve"> w</w:t>
      </w:r>
      <w:r w:rsidR="006D0D85" w:rsidRPr="00CE1798">
        <w:rPr>
          <w:color w:val="000000"/>
          <w:szCs w:val="22"/>
        </w:rPr>
        <w:t xml:space="preserve">e are not persuaded by Del Norte’s argument that </w:t>
      </w:r>
      <w:r w:rsidR="006411D1" w:rsidRPr="00CE1798">
        <w:rPr>
          <w:color w:val="000000"/>
          <w:szCs w:val="22"/>
        </w:rPr>
        <w:t xml:space="preserve">a permanent waiver is justified </w:t>
      </w:r>
      <w:r w:rsidR="006D0D85" w:rsidRPr="00CE1798">
        <w:rPr>
          <w:color w:val="000000"/>
          <w:szCs w:val="22"/>
        </w:rPr>
        <w:t xml:space="preserve">because it is not in a spectrally congested area. </w:t>
      </w:r>
      <w:r w:rsidR="006411D1" w:rsidRPr="00CE1798">
        <w:rPr>
          <w:color w:val="000000"/>
          <w:szCs w:val="22"/>
        </w:rPr>
        <w:t xml:space="preserve">This </w:t>
      </w:r>
      <w:r w:rsidR="007A551F" w:rsidRPr="00CE1798">
        <w:rPr>
          <w:color w:val="000000"/>
          <w:szCs w:val="22"/>
        </w:rPr>
        <w:t xml:space="preserve">argument presupposes that </w:t>
      </w:r>
      <w:r w:rsidR="00CE1798">
        <w:rPr>
          <w:color w:val="000000"/>
          <w:szCs w:val="22"/>
        </w:rPr>
        <w:t xml:space="preserve">the lack of spectral congestion is a permanent condition and that other parties will never seek access to spectrum there.  We are not prepared to make this assumption, which would undermine </w:t>
      </w:r>
      <w:r w:rsidR="006D0D85" w:rsidRPr="00CE1798">
        <w:rPr>
          <w:color w:val="000000"/>
          <w:szCs w:val="22"/>
        </w:rPr>
        <w:t>the underlying purpose of the narrowbanding rules</w:t>
      </w:r>
      <w:r w:rsidR="00CE1798">
        <w:rPr>
          <w:color w:val="000000"/>
          <w:szCs w:val="22"/>
        </w:rPr>
        <w:t xml:space="preserve"> </w:t>
      </w:r>
      <w:r w:rsidR="007A551F" w:rsidRPr="00CE1798">
        <w:rPr>
          <w:color w:val="000000"/>
          <w:szCs w:val="22"/>
        </w:rPr>
        <w:t xml:space="preserve">to </w:t>
      </w:r>
      <w:r w:rsidR="00CE1798">
        <w:rPr>
          <w:color w:val="000000"/>
          <w:szCs w:val="22"/>
        </w:rPr>
        <w:t xml:space="preserve">ensure that </w:t>
      </w:r>
      <w:r w:rsidR="007A551F" w:rsidRPr="00CE1798">
        <w:rPr>
          <w:color w:val="000000"/>
          <w:szCs w:val="22"/>
        </w:rPr>
        <w:t xml:space="preserve">additional spectrum </w:t>
      </w:r>
      <w:r w:rsidR="00CE1798">
        <w:rPr>
          <w:color w:val="000000"/>
          <w:szCs w:val="22"/>
        </w:rPr>
        <w:t xml:space="preserve">is available </w:t>
      </w:r>
      <w:r w:rsidR="007A551F" w:rsidRPr="00CE1798">
        <w:rPr>
          <w:color w:val="000000"/>
          <w:szCs w:val="22"/>
        </w:rPr>
        <w:t>for future use</w:t>
      </w:r>
      <w:r w:rsidR="00CE1798">
        <w:rPr>
          <w:color w:val="000000"/>
          <w:szCs w:val="22"/>
        </w:rPr>
        <w:t xml:space="preserve"> </w:t>
      </w:r>
      <w:r w:rsidR="00730327">
        <w:rPr>
          <w:color w:val="000000"/>
          <w:szCs w:val="22"/>
        </w:rPr>
        <w:t xml:space="preserve">– including for use that may not be anticipated. </w:t>
      </w:r>
      <w:r w:rsidR="006D0D85" w:rsidRPr="00CE1798">
        <w:rPr>
          <w:color w:val="000000"/>
          <w:szCs w:val="22"/>
        </w:rPr>
        <w:t xml:space="preserve"> </w:t>
      </w:r>
      <w:r w:rsidR="000F3512" w:rsidRPr="00CE1798">
        <w:rPr>
          <w:color w:val="000000"/>
          <w:szCs w:val="22"/>
        </w:rPr>
        <w:t xml:space="preserve"> </w:t>
      </w:r>
      <w:r w:rsidR="008B1011" w:rsidRPr="00CE1798">
        <w:rPr>
          <w:color w:val="000000"/>
          <w:szCs w:val="22"/>
        </w:rPr>
        <w:t xml:space="preserve">  </w:t>
      </w:r>
    </w:p>
    <w:p w:rsidR="00F52D7C" w:rsidRPr="00591789" w:rsidRDefault="007A551F" w:rsidP="00591789">
      <w:pPr>
        <w:pStyle w:val="ParaNum"/>
        <w:numPr>
          <w:ilvl w:val="0"/>
          <w:numId w:val="4"/>
        </w:numPr>
        <w:tabs>
          <w:tab w:val="clear" w:pos="900"/>
        </w:tabs>
        <w:ind w:left="0" w:firstLine="720"/>
      </w:pPr>
      <w:r>
        <w:rPr>
          <w:color w:val="000000"/>
          <w:szCs w:val="22"/>
        </w:rPr>
        <w:t xml:space="preserve">Del Norte also fails to demonstrate how </w:t>
      </w:r>
      <w:r w:rsidR="00CE1798">
        <w:rPr>
          <w:color w:val="000000"/>
          <w:szCs w:val="22"/>
        </w:rPr>
        <w:t xml:space="preserve">a permanent </w:t>
      </w:r>
      <w:r>
        <w:rPr>
          <w:color w:val="000000"/>
          <w:szCs w:val="22"/>
        </w:rPr>
        <w:t>waiver would serve the public interest</w:t>
      </w:r>
      <w:r w:rsidR="00730327">
        <w:rPr>
          <w:color w:val="000000"/>
          <w:szCs w:val="22"/>
        </w:rPr>
        <w:t xml:space="preserve">, in light of the fact </w:t>
      </w:r>
      <w:r>
        <w:rPr>
          <w:color w:val="000000"/>
          <w:szCs w:val="22"/>
        </w:rPr>
        <w:t>that the Commission’s rules prohibit the manufacture, marketing and sale of wideband</w:t>
      </w:r>
      <w:r w:rsidR="00730327">
        <w:rPr>
          <w:color w:val="000000"/>
          <w:szCs w:val="22"/>
        </w:rPr>
        <w:t>-</w:t>
      </w:r>
      <w:r>
        <w:rPr>
          <w:color w:val="000000"/>
          <w:szCs w:val="22"/>
        </w:rPr>
        <w:t>capable equipment</w:t>
      </w:r>
      <w:r w:rsidR="003C0395">
        <w:rPr>
          <w:color w:val="000000"/>
          <w:szCs w:val="22"/>
        </w:rPr>
        <w:t>.</w:t>
      </w:r>
      <w:r w:rsidR="00CF3602">
        <w:rPr>
          <w:rStyle w:val="FootnoteReference"/>
          <w:szCs w:val="22"/>
        </w:rPr>
        <w:footnoteReference w:id="16"/>
      </w:r>
      <w:r w:rsidR="003C0395">
        <w:rPr>
          <w:color w:val="000000"/>
          <w:szCs w:val="22"/>
        </w:rPr>
        <w:t xml:space="preserve">  </w:t>
      </w:r>
      <w:r w:rsidR="00D02CDC">
        <w:rPr>
          <w:color w:val="000000"/>
          <w:szCs w:val="22"/>
        </w:rPr>
        <w:t xml:space="preserve">The Commission </w:t>
      </w:r>
      <w:r w:rsidR="00051A86">
        <w:rPr>
          <w:color w:val="000000"/>
          <w:szCs w:val="22"/>
        </w:rPr>
        <w:t>adopted</w:t>
      </w:r>
      <w:r w:rsidR="00D02CDC">
        <w:rPr>
          <w:color w:val="000000"/>
          <w:szCs w:val="22"/>
        </w:rPr>
        <w:t xml:space="preserve"> these equipment restrictions to </w:t>
      </w:r>
      <w:r w:rsidR="00051A86">
        <w:rPr>
          <w:color w:val="000000"/>
          <w:szCs w:val="22"/>
        </w:rPr>
        <w:t xml:space="preserve">prevent the development and sale of </w:t>
      </w:r>
      <w:r w:rsidR="007E5EFC">
        <w:rPr>
          <w:color w:val="000000"/>
          <w:szCs w:val="22"/>
        </w:rPr>
        <w:t xml:space="preserve">equipment </w:t>
      </w:r>
      <w:r w:rsidR="00051A86">
        <w:rPr>
          <w:color w:val="000000"/>
          <w:szCs w:val="22"/>
        </w:rPr>
        <w:t xml:space="preserve">whose use </w:t>
      </w:r>
      <w:r w:rsidR="007E5EFC">
        <w:rPr>
          <w:color w:val="000000"/>
          <w:szCs w:val="22"/>
        </w:rPr>
        <w:t xml:space="preserve">would </w:t>
      </w:r>
      <w:r w:rsidR="001E4E14">
        <w:rPr>
          <w:color w:val="000000"/>
          <w:szCs w:val="22"/>
        </w:rPr>
        <w:t xml:space="preserve">negate </w:t>
      </w:r>
      <w:r w:rsidR="00051A86">
        <w:rPr>
          <w:color w:val="000000"/>
          <w:szCs w:val="22"/>
        </w:rPr>
        <w:t xml:space="preserve">any </w:t>
      </w:r>
      <w:r w:rsidR="00D02CDC">
        <w:rPr>
          <w:color w:val="000000"/>
          <w:szCs w:val="22"/>
        </w:rPr>
        <w:t>spectral efficiencies gained through narrowbanding</w:t>
      </w:r>
      <w:r w:rsidR="007E5EFC">
        <w:rPr>
          <w:color w:val="000000"/>
          <w:szCs w:val="22"/>
        </w:rPr>
        <w:t>.</w:t>
      </w:r>
      <w:r w:rsidR="00D02CDC">
        <w:rPr>
          <w:color w:val="000000"/>
          <w:szCs w:val="22"/>
        </w:rPr>
        <w:t xml:space="preserve"> </w:t>
      </w:r>
      <w:r w:rsidR="007E5EFC">
        <w:rPr>
          <w:color w:val="000000"/>
          <w:szCs w:val="22"/>
        </w:rPr>
        <w:t xml:space="preserve">  </w:t>
      </w:r>
      <w:r w:rsidR="00625370">
        <w:rPr>
          <w:color w:val="000000"/>
          <w:szCs w:val="22"/>
        </w:rPr>
        <w:t>E</w:t>
      </w:r>
      <w:r w:rsidR="00730327">
        <w:rPr>
          <w:color w:val="000000"/>
          <w:szCs w:val="22"/>
        </w:rPr>
        <w:t xml:space="preserve">ven if we were </w:t>
      </w:r>
      <w:r>
        <w:rPr>
          <w:color w:val="000000"/>
          <w:szCs w:val="22"/>
        </w:rPr>
        <w:t xml:space="preserve">to </w:t>
      </w:r>
      <w:r w:rsidR="00BD0662">
        <w:rPr>
          <w:color w:val="000000"/>
          <w:szCs w:val="22"/>
        </w:rPr>
        <w:t xml:space="preserve">allow </w:t>
      </w:r>
      <w:r>
        <w:rPr>
          <w:color w:val="000000"/>
          <w:szCs w:val="22"/>
        </w:rPr>
        <w:t>Del Norte</w:t>
      </w:r>
      <w:r w:rsidR="00730327">
        <w:rPr>
          <w:color w:val="000000"/>
          <w:szCs w:val="22"/>
        </w:rPr>
        <w:t xml:space="preserve"> </w:t>
      </w:r>
      <w:r w:rsidR="00BD0662">
        <w:rPr>
          <w:color w:val="000000"/>
          <w:szCs w:val="22"/>
        </w:rPr>
        <w:t xml:space="preserve">to operate in wideband mode indefinitely, </w:t>
      </w:r>
      <w:r w:rsidR="00625370">
        <w:rPr>
          <w:color w:val="000000"/>
          <w:szCs w:val="22"/>
        </w:rPr>
        <w:t xml:space="preserve">these restrictions would prevent the County from being able to properly maintain or replace its equipment, and as a result </w:t>
      </w:r>
      <w:r>
        <w:rPr>
          <w:color w:val="000000"/>
          <w:szCs w:val="22"/>
        </w:rPr>
        <w:t>it</w:t>
      </w:r>
      <w:r w:rsidR="00730327">
        <w:rPr>
          <w:color w:val="000000"/>
          <w:szCs w:val="22"/>
        </w:rPr>
        <w:t xml:space="preserve">s system </w:t>
      </w:r>
      <w:r>
        <w:rPr>
          <w:color w:val="000000"/>
          <w:szCs w:val="22"/>
        </w:rPr>
        <w:t xml:space="preserve">would </w:t>
      </w:r>
      <w:r w:rsidR="00730327">
        <w:rPr>
          <w:color w:val="000000"/>
          <w:szCs w:val="22"/>
        </w:rPr>
        <w:t xml:space="preserve">become </w:t>
      </w:r>
      <w:r w:rsidR="00625370">
        <w:rPr>
          <w:color w:val="000000"/>
          <w:szCs w:val="22"/>
        </w:rPr>
        <w:t xml:space="preserve">increasingly less reliable as well as progressively more </w:t>
      </w:r>
      <w:r>
        <w:rPr>
          <w:color w:val="000000"/>
          <w:szCs w:val="22"/>
        </w:rPr>
        <w:t>obsolete</w:t>
      </w:r>
      <w:r w:rsidR="00625370">
        <w:rPr>
          <w:color w:val="000000"/>
          <w:szCs w:val="22"/>
        </w:rPr>
        <w:t>.</w:t>
      </w:r>
      <w:r>
        <w:rPr>
          <w:color w:val="000000"/>
          <w:szCs w:val="22"/>
        </w:rPr>
        <w:t xml:space="preserve">   We fail to see how such a situation </w:t>
      </w:r>
      <w:r w:rsidR="00730327">
        <w:rPr>
          <w:color w:val="000000"/>
          <w:szCs w:val="22"/>
        </w:rPr>
        <w:t xml:space="preserve">would serve </w:t>
      </w:r>
      <w:r>
        <w:rPr>
          <w:color w:val="000000"/>
          <w:szCs w:val="22"/>
        </w:rPr>
        <w:t>the public interest.</w:t>
      </w:r>
      <w:r w:rsidR="00730327">
        <w:rPr>
          <w:color w:val="000000"/>
          <w:szCs w:val="22"/>
        </w:rPr>
        <w:t xml:space="preserve">  For all of the above reasons, </w:t>
      </w:r>
      <w:r w:rsidR="0066797B">
        <w:rPr>
          <w:color w:val="000000"/>
          <w:szCs w:val="22"/>
        </w:rPr>
        <w:t>we deny the request</w:t>
      </w:r>
      <w:r w:rsidR="00730327">
        <w:rPr>
          <w:color w:val="000000"/>
          <w:szCs w:val="22"/>
        </w:rPr>
        <w:t xml:space="preserve"> for a permanent waiver</w:t>
      </w:r>
      <w:r w:rsidR="0066797B">
        <w:rPr>
          <w:color w:val="000000"/>
          <w:szCs w:val="22"/>
        </w:rPr>
        <w:t>.</w:t>
      </w:r>
      <w:r w:rsidR="007B4AB4">
        <w:rPr>
          <w:color w:val="000000"/>
          <w:szCs w:val="22"/>
        </w:rPr>
        <w:t xml:space="preserve"> </w:t>
      </w:r>
      <w:bookmarkEnd w:id="6"/>
    </w:p>
    <w:p w:rsidR="00591789" w:rsidRPr="00591789" w:rsidRDefault="00591789" w:rsidP="00591789">
      <w:pPr>
        <w:pStyle w:val="Heading1"/>
      </w:pPr>
      <w:r>
        <w:t>ORDERING CLAUSES</w:t>
      </w:r>
    </w:p>
    <w:p w:rsidR="00591789" w:rsidRPr="00591789" w:rsidRDefault="00591789" w:rsidP="00591789">
      <w:pPr>
        <w:pStyle w:val="ParaNum"/>
        <w:numPr>
          <w:ilvl w:val="0"/>
          <w:numId w:val="4"/>
        </w:numPr>
        <w:tabs>
          <w:tab w:val="clear" w:pos="900"/>
        </w:tabs>
        <w:ind w:left="0" w:firstLine="720"/>
      </w:pPr>
      <w:r w:rsidRPr="00591789">
        <w:rPr>
          <w:color w:val="000000"/>
          <w:szCs w:val="22"/>
        </w:rPr>
        <w:t xml:space="preserve">Accordingly, IT IS ORDERED pursuant to Section 4(i) of the Communications Act of 1934, as amended, 47 U.S.C. § 154(i), and Section 1.925(b)(3) of the Commission’s rules, 47 C.F.R. § 1.925(b)(3), that the Request for Waiver, filed by </w:t>
      </w:r>
      <w:r>
        <w:rPr>
          <w:color w:val="000000"/>
          <w:szCs w:val="22"/>
        </w:rPr>
        <w:t xml:space="preserve">the </w:t>
      </w:r>
      <w:r w:rsidR="001C114C">
        <w:rPr>
          <w:color w:val="000000"/>
          <w:szCs w:val="22"/>
        </w:rPr>
        <w:t>Del Norte County, California</w:t>
      </w:r>
      <w:r>
        <w:rPr>
          <w:color w:val="000000"/>
          <w:szCs w:val="22"/>
        </w:rPr>
        <w:t xml:space="preserve"> </w:t>
      </w:r>
      <w:r w:rsidRPr="00591789">
        <w:rPr>
          <w:color w:val="000000"/>
          <w:szCs w:val="22"/>
        </w:rPr>
        <w:t>IS DENIED</w:t>
      </w:r>
      <w:r w:rsidR="001C114C">
        <w:rPr>
          <w:color w:val="000000"/>
          <w:szCs w:val="22"/>
        </w:rPr>
        <w:t>.</w:t>
      </w:r>
    </w:p>
    <w:p w:rsidR="00F52D7C" w:rsidRPr="00591789" w:rsidRDefault="00F52D7C" w:rsidP="00591789">
      <w:pPr>
        <w:pStyle w:val="ParaNum"/>
        <w:numPr>
          <w:ilvl w:val="0"/>
          <w:numId w:val="4"/>
        </w:numPr>
        <w:tabs>
          <w:tab w:val="clear" w:pos="900"/>
        </w:tabs>
        <w:ind w:left="0" w:firstLine="720"/>
      </w:pPr>
      <w:r w:rsidRPr="00591789">
        <w:rPr>
          <w:szCs w:val="22"/>
        </w:rPr>
        <w:t>This action is taken under delegated authority pursuant to Sections 0.191 and 0.392 of the Commission’s rules, 47 C.F.R. §§ 0.191, 0.392.</w:t>
      </w:r>
    </w:p>
    <w:p w:rsidR="00F52D7C" w:rsidRDefault="00F52D7C">
      <w:pPr>
        <w:pStyle w:val="ParaNum"/>
        <w:ind w:firstLine="0"/>
      </w:pPr>
      <w:r>
        <w:tab/>
      </w:r>
      <w:r>
        <w:tab/>
        <w:t xml:space="preserve">                                      FEDERAL COMMUNICATIONS COMMISSION</w:t>
      </w:r>
    </w:p>
    <w:p w:rsidR="00F52D7C" w:rsidRDefault="00F52D7C">
      <w:pPr>
        <w:ind w:left="3600" w:firstLine="720"/>
        <w:rPr>
          <w:szCs w:val="22"/>
        </w:rPr>
      </w:pPr>
    </w:p>
    <w:p w:rsidR="00F52D7C" w:rsidRDefault="00F52D7C">
      <w:pPr>
        <w:ind w:left="3600" w:firstLine="720"/>
        <w:rPr>
          <w:szCs w:val="22"/>
        </w:rPr>
      </w:pPr>
    </w:p>
    <w:p w:rsidR="00F52D7C" w:rsidRDefault="00F52D7C">
      <w:pPr>
        <w:ind w:left="3600" w:firstLine="720"/>
        <w:rPr>
          <w:szCs w:val="22"/>
        </w:rPr>
      </w:pPr>
    </w:p>
    <w:p w:rsidR="00F52D7C" w:rsidRDefault="00F52D7C">
      <w:pPr>
        <w:ind w:left="3600" w:firstLine="720"/>
        <w:rPr>
          <w:szCs w:val="22"/>
        </w:rPr>
      </w:pPr>
    </w:p>
    <w:p w:rsidR="002545CD" w:rsidRDefault="00730327" w:rsidP="002545CD">
      <w:pPr>
        <w:ind w:left="3600" w:firstLine="720"/>
        <w:rPr>
          <w:szCs w:val="22"/>
        </w:rPr>
      </w:pPr>
      <w:bookmarkStart w:id="7" w:name="sp_999_4"/>
      <w:bookmarkStart w:id="8" w:name="SDU_4"/>
      <w:bookmarkEnd w:id="7"/>
      <w:bookmarkEnd w:id="8"/>
      <w:r>
        <w:rPr>
          <w:szCs w:val="22"/>
        </w:rPr>
        <w:t>David G. Simpson, Rear Admiral, USN (Ret.)</w:t>
      </w:r>
    </w:p>
    <w:p w:rsidR="00F52D7C" w:rsidRDefault="002545CD" w:rsidP="00C71F1A">
      <w:pPr>
        <w:ind w:left="3600" w:firstLine="720"/>
      </w:pPr>
      <w:r>
        <w:rPr>
          <w:szCs w:val="22"/>
        </w:rPr>
        <w:t xml:space="preserve">Chief, Public Safety and Homeland Security </w:t>
      </w:r>
      <w:r w:rsidR="00C7384D">
        <w:rPr>
          <w:szCs w:val="22"/>
        </w:rPr>
        <w:t>Bureau</w:t>
      </w:r>
    </w:p>
    <w:sectPr w:rsidR="00F52D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A2" w:rsidRDefault="007670A2">
      <w:r>
        <w:separator/>
      </w:r>
    </w:p>
  </w:endnote>
  <w:endnote w:type="continuationSeparator" w:id="0">
    <w:p w:rsidR="007670A2" w:rsidRDefault="0076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48" w:rsidRDefault="001C0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FC" w:rsidRDefault="007E5EF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C0C48">
      <w:rPr>
        <w:rStyle w:val="PageNumber"/>
        <w:noProof/>
      </w:rPr>
      <w:t>3</w:t>
    </w:r>
    <w:r>
      <w:rPr>
        <w:rStyle w:val="PageNumber"/>
      </w:rPr>
      <w:fldChar w:fldCharType="end"/>
    </w:r>
  </w:p>
  <w:p w:rsidR="007E5EFC" w:rsidRDefault="007E5EFC">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FC" w:rsidRDefault="007E5E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A2" w:rsidRDefault="007670A2">
      <w:r>
        <w:separator/>
      </w:r>
    </w:p>
  </w:footnote>
  <w:footnote w:type="continuationSeparator" w:id="0">
    <w:p w:rsidR="007670A2" w:rsidRDefault="007670A2">
      <w:r>
        <w:continuationSeparator/>
      </w:r>
    </w:p>
  </w:footnote>
  <w:footnote w:id="1">
    <w:p w:rsidR="007E5EFC" w:rsidRPr="007E23F8" w:rsidRDefault="007E5EFC" w:rsidP="008567C0">
      <w:pPr>
        <w:pStyle w:val="FootnoteText"/>
        <w:rPr>
          <w:lang w:val="en-US"/>
        </w:rPr>
      </w:pPr>
      <w:r>
        <w:rPr>
          <w:rStyle w:val="FootnoteReference"/>
        </w:rPr>
        <w:footnoteRef/>
      </w:r>
      <w:r>
        <w:t xml:space="preserve"> </w:t>
      </w:r>
      <w:r>
        <w:rPr>
          <w:lang w:val="en-US"/>
        </w:rPr>
        <w:t>Letter, dated June 19, 2013, from Sheriff Dean D. Wilson (Waiver Request).</w:t>
      </w:r>
    </w:p>
  </w:footnote>
  <w:footnote w:id="2">
    <w:p w:rsidR="007E5EFC" w:rsidRPr="00505063" w:rsidRDefault="007E5EFC" w:rsidP="00F52D7C">
      <w:pPr>
        <w:pStyle w:val="FootnoteText"/>
        <w:rPr>
          <w:lang w:val="en-US"/>
        </w:rPr>
      </w:pPr>
      <w:r>
        <w:rPr>
          <w:rStyle w:val="FootnoteReference"/>
        </w:rPr>
        <w:footnoteRef/>
      </w:r>
      <w:r>
        <w:t xml:space="preserve"> </w:t>
      </w:r>
      <w:r>
        <w:rPr>
          <w:color w:val="000000"/>
          <w:szCs w:val="22"/>
        </w:rPr>
        <w:t xml:space="preserve">47 C.F.R </w:t>
      </w:r>
      <w:r w:rsidRPr="002F3F82">
        <w:rPr>
          <w:color w:val="000000"/>
          <w:szCs w:val="22"/>
        </w:rPr>
        <w:t>§ 90.209(b)</w:t>
      </w:r>
      <w:r>
        <w:rPr>
          <w:color w:val="000000"/>
          <w:szCs w:val="22"/>
        </w:rPr>
        <w:t>.</w:t>
      </w:r>
      <w:r>
        <w:rPr>
          <w:color w:val="000000"/>
          <w:szCs w:val="22"/>
          <w:lang w:val="en-US"/>
        </w:rPr>
        <w:t xml:space="preserve">  </w:t>
      </w:r>
      <w:r>
        <w:rPr>
          <w:i/>
        </w:rPr>
        <w:t xml:space="preserve">See </w:t>
      </w:r>
      <w:r>
        <w:rPr>
          <w:spacing w:val="-2"/>
        </w:rPr>
        <w:t xml:space="preserve">Implementation of Sections 309(j) and 337 of the Communications Act of 1934 as Amended; </w:t>
      </w:r>
      <w:r>
        <w:t>Promotion of Spectrum Efficient Technologies on Certain Part 90 Frequencies,</w:t>
      </w:r>
      <w:r>
        <w:rPr>
          <w:i/>
        </w:rPr>
        <w:t xml:space="preserve"> Second Report and Order and Second Further Notice of Proposed Rulemaking, </w:t>
      </w:r>
      <w:r>
        <w:t xml:space="preserve">WT Docket No. 99-87, RM-9332, 18 FCC Rcd 3034 (2003); </w:t>
      </w:r>
      <w:r>
        <w:rPr>
          <w:spacing w:val="-2"/>
        </w:rPr>
        <w:t xml:space="preserve">Implementation of Sections 309(j) and 337 of the Communications Act of 1934 as Amended; </w:t>
      </w:r>
      <w:r>
        <w:t>Promotion of Spectrum Efficient Technologies on Certain Part 90 Frequencies,</w:t>
      </w:r>
      <w:r>
        <w:rPr>
          <w:i/>
        </w:rPr>
        <w:t xml:space="preserve"> Third Memorandum Opinion and Order, Third Further Notice of Proposed Rule Making and Order, </w:t>
      </w:r>
      <w:r>
        <w:t>WT Docket No. 99-87, RM-9332, 19 FCC Rcd 25045 (2004);</w:t>
      </w:r>
      <w:r w:rsidRPr="00782553">
        <w:rPr>
          <w:spacing w:val="-2"/>
        </w:rPr>
        <w:t xml:space="preserve"> </w:t>
      </w:r>
      <w:r>
        <w:rPr>
          <w:spacing w:val="-2"/>
        </w:rPr>
        <w:t xml:space="preserve">Implementation of Sections 309(j) and 337 of the Communications Act of 1934 as Amended; </w:t>
      </w:r>
      <w:r>
        <w:t>Promotion of Spectrum Efficient Technologies on Certain Part 90 Frequencies,</w:t>
      </w:r>
      <w:r>
        <w:rPr>
          <w:i/>
        </w:rPr>
        <w:t xml:space="preserve"> Order, </w:t>
      </w:r>
      <w:r>
        <w:t>WT Docket No. 99-87, RM-9332, 25 FCC Rcd 8861 (2010) (</w:t>
      </w:r>
      <w:r>
        <w:rPr>
          <w:i/>
        </w:rPr>
        <w:t>Narrowbanding Waiver Order</w:t>
      </w:r>
      <w:r>
        <w:t>)</w:t>
      </w:r>
      <w:r>
        <w:rPr>
          <w:lang w:val="en-US"/>
        </w:rPr>
        <w:t>.</w:t>
      </w:r>
    </w:p>
  </w:footnote>
  <w:footnote w:id="3">
    <w:p w:rsidR="007E5EFC" w:rsidRPr="007E23F8" w:rsidRDefault="007E5EFC">
      <w:pPr>
        <w:pStyle w:val="FootnoteText"/>
        <w:rPr>
          <w:lang w:val="en-US"/>
        </w:rPr>
      </w:pPr>
      <w:r>
        <w:rPr>
          <w:rStyle w:val="FootnoteReference"/>
        </w:rPr>
        <w:footnoteRef/>
      </w:r>
      <w:r>
        <w:t xml:space="preserve"> </w:t>
      </w:r>
      <w:r>
        <w:rPr>
          <w:lang w:val="en-US"/>
        </w:rPr>
        <w:t>Waiver Request.</w:t>
      </w:r>
    </w:p>
  </w:footnote>
  <w:footnote w:id="4">
    <w:p w:rsidR="007E5EFC" w:rsidRPr="00E92D8F" w:rsidRDefault="007E5EFC">
      <w:pPr>
        <w:pStyle w:val="FootnoteText"/>
        <w:rPr>
          <w:lang w:val="en-US"/>
        </w:rPr>
      </w:pPr>
      <w:r>
        <w:rPr>
          <w:rStyle w:val="FootnoteReference"/>
        </w:rPr>
        <w:footnoteRef/>
      </w:r>
      <w:r>
        <w:t xml:space="preserve"> </w:t>
      </w:r>
      <w:r>
        <w:rPr>
          <w:i/>
        </w:rPr>
        <w:t xml:space="preserve">Id. </w:t>
      </w:r>
    </w:p>
  </w:footnote>
  <w:footnote w:id="5">
    <w:p w:rsidR="007E5EFC" w:rsidRPr="001C114C" w:rsidRDefault="007E5EFC">
      <w:pPr>
        <w:pStyle w:val="FootnoteText"/>
        <w:rPr>
          <w:i/>
          <w:lang w:val="en-US"/>
        </w:rPr>
      </w:pPr>
      <w:r>
        <w:rPr>
          <w:rStyle w:val="FootnoteReference"/>
        </w:rPr>
        <w:footnoteRef/>
      </w:r>
      <w:r>
        <w:t xml:space="preserve"> </w:t>
      </w:r>
      <w:r>
        <w:rPr>
          <w:i/>
          <w:lang w:val="en-US"/>
        </w:rPr>
        <w:t>Id.</w:t>
      </w:r>
    </w:p>
  </w:footnote>
  <w:footnote w:id="6">
    <w:p w:rsidR="007E5EFC" w:rsidRPr="001C114C" w:rsidRDefault="007E5EFC">
      <w:pPr>
        <w:pStyle w:val="FootnoteText"/>
        <w:rPr>
          <w:i/>
          <w:lang w:val="en-US"/>
        </w:rPr>
      </w:pPr>
      <w:r>
        <w:rPr>
          <w:rStyle w:val="FootnoteReference"/>
        </w:rPr>
        <w:footnoteRef/>
      </w:r>
      <w:r>
        <w:t xml:space="preserve"> </w:t>
      </w:r>
      <w:r>
        <w:rPr>
          <w:i/>
          <w:lang w:val="en-US"/>
        </w:rPr>
        <w:t>Id.</w:t>
      </w:r>
    </w:p>
  </w:footnote>
  <w:footnote w:id="7">
    <w:p w:rsidR="007E5EFC" w:rsidRPr="00D219E8" w:rsidRDefault="007E5EFC" w:rsidP="004F658F">
      <w:pPr>
        <w:pStyle w:val="FootnoteText"/>
        <w:rPr>
          <w:i/>
          <w:lang w:val="en-US"/>
        </w:rPr>
      </w:pPr>
      <w:r>
        <w:rPr>
          <w:rStyle w:val="FootnoteReference"/>
        </w:rPr>
        <w:footnoteRef/>
      </w:r>
      <w:r>
        <w:t xml:space="preserve"> </w:t>
      </w:r>
      <w:r>
        <w:rPr>
          <w:i/>
          <w:lang w:val="en-US"/>
        </w:rPr>
        <w:t>Id.</w:t>
      </w:r>
    </w:p>
  </w:footnote>
  <w:footnote w:id="8">
    <w:p w:rsidR="007E5EFC" w:rsidRPr="00D219E8" w:rsidRDefault="007E5EFC" w:rsidP="004F658F">
      <w:pPr>
        <w:pStyle w:val="FootnoteText"/>
        <w:rPr>
          <w:i/>
          <w:lang w:val="en-US"/>
        </w:rPr>
      </w:pPr>
      <w:r>
        <w:rPr>
          <w:rStyle w:val="FootnoteReference"/>
        </w:rPr>
        <w:footnoteRef/>
      </w:r>
      <w:r>
        <w:t xml:space="preserve"> </w:t>
      </w:r>
      <w:r>
        <w:rPr>
          <w:i/>
          <w:lang w:val="en-US"/>
        </w:rPr>
        <w:t>Id.</w:t>
      </w:r>
    </w:p>
  </w:footnote>
  <w:footnote w:id="9">
    <w:p w:rsidR="007E5EFC" w:rsidRPr="001C114C" w:rsidRDefault="007E5EFC">
      <w:pPr>
        <w:pStyle w:val="FootnoteText"/>
        <w:rPr>
          <w:i/>
          <w:lang w:val="en-US"/>
        </w:rPr>
      </w:pPr>
      <w:r>
        <w:rPr>
          <w:rStyle w:val="FootnoteReference"/>
        </w:rPr>
        <w:footnoteRef/>
      </w:r>
      <w:r>
        <w:t xml:space="preserve"> </w:t>
      </w:r>
      <w:r>
        <w:rPr>
          <w:i/>
          <w:lang w:val="en-US"/>
        </w:rPr>
        <w:t>Id.</w:t>
      </w:r>
    </w:p>
  </w:footnote>
  <w:footnote w:id="10">
    <w:p w:rsidR="007E5EFC" w:rsidRPr="00C71F1A" w:rsidRDefault="007E5EFC" w:rsidP="000F3512">
      <w:pPr>
        <w:pStyle w:val="FootnoteText"/>
        <w:rPr>
          <w:lang w:val="en-US"/>
        </w:rPr>
      </w:pPr>
      <w:r>
        <w:rPr>
          <w:rStyle w:val="FootnoteReference"/>
        </w:rPr>
        <w:footnoteRef/>
      </w:r>
      <w:r>
        <w:t xml:space="preserve"> </w:t>
      </w:r>
      <w:r w:rsidRPr="00470D6E">
        <w:rPr>
          <w:i/>
        </w:rPr>
        <w:t>See</w:t>
      </w:r>
      <w:r w:rsidRPr="00470D6E">
        <w:t xml:space="preserve"> Replacement of Part 90 by Part 88 to Revise the Private Land Mobile Radio Services and Modify the Policies Governing Them, </w:t>
      </w:r>
      <w:r w:rsidRPr="00470D6E">
        <w:rPr>
          <w:i/>
        </w:rPr>
        <w:t>Report and Order and Further Notice of Proposed Rule Making</w:t>
      </w:r>
      <w:r w:rsidRPr="00470D6E">
        <w:t>, PR Docket No. 92-235, 10 FCC Rcd 10076, 10077 ¶2 (1995).</w:t>
      </w:r>
      <w:r w:rsidR="00A20851">
        <w:rPr>
          <w:lang w:val="en-US"/>
        </w:rPr>
        <w:t xml:space="preserve">  Narrowbanding is one of several initiatives the Commission instigated as part of its efforts to address frequency congestion.  </w:t>
      </w:r>
      <w:r w:rsidR="00A20851">
        <w:rPr>
          <w:i/>
          <w:lang w:val="en-US"/>
        </w:rPr>
        <w:t xml:space="preserve">See </w:t>
      </w:r>
      <w:r w:rsidR="00A20851">
        <w:rPr>
          <w:lang w:val="en-US"/>
        </w:rPr>
        <w:t xml:space="preserve">Spectrum Efficiency in the Private Land </w:t>
      </w:r>
      <w:r w:rsidR="002D5E02">
        <w:rPr>
          <w:lang w:val="en-US"/>
        </w:rPr>
        <w:t xml:space="preserve">Mobile Radio Bands In Use Prior to 1968, </w:t>
      </w:r>
      <w:r w:rsidR="002D5E02">
        <w:rPr>
          <w:i/>
          <w:lang w:val="en-US"/>
        </w:rPr>
        <w:t>Notice of Inquiry</w:t>
      </w:r>
      <w:r w:rsidR="00A20851" w:rsidRPr="00470D6E">
        <w:t>, PR Docket No. 9</w:t>
      </w:r>
      <w:r w:rsidR="002D5E02">
        <w:rPr>
          <w:lang w:val="en-US"/>
        </w:rPr>
        <w:t>1-170</w:t>
      </w:r>
      <w:r w:rsidR="002D5E02">
        <w:t xml:space="preserve">, </w:t>
      </w:r>
      <w:r w:rsidR="002D5E02">
        <w:rPr>
          <w:lang w:val="en-US"/>
        </w:rPr>
        <w:t>6</w:t>
      </w:r>
      <w:r w:rsidR="00A20851" w:rsidRPr="00470D6E">
        <w:t xml:space="preserve"> FCC Rcd </w:t>
      </w:r>
      <w:r w:rsidR="002D5E02">
        <w:rPr>
          <w:lang w:val="en-US"/>
        </w:rPr>
        <w:t>4126</w:t>
      </w:r>
      <w:r w:rsidR="00A20851" w:rsidRPr="00470D6E">
        <w:t xml:space="preserve">, </w:t>
      </w:r>
      <w:r w:rsidR="002D5E02">
        <w:rPr>
          <w:lang w:val="en-US"/>
        </w:rPr>
        <w:t>4131-32</w:t>
      </w:r>
      <w:r w:rsidR="00A20851" w:rsidRPr="00470D6E">
        <w:t xml:space="preserve"> </w:t>
      </w:r>
      <w:r w:rsidR="002D5E02" w:rsidRPr="00470D6E">
        <w:t>¶¶</w:t>
      </w:r>
      <w:r w:rsidR="002D5E02">
        <w:rPr>
          <w:lang w:val="en-US"/>
        </w:rPr>
        <w:t>40-44</w:t>
      </w:r>
      <w:r w:rsidR="00A20851" w:rsidRPr="00470D6E">
        <w:t xml:space="preserve"> (1995).</w:t>
      </w:r>
    </w:p>
  </w:footnote>
  <w:footnote w:id="11">
    <w:p w:rsidR="007E5EFC" w:rsidRPr="00470D6E" w:rsidRDefault="007E5EFC" w:rsidP="009B11C9">
      <w:pPr>
        <w:pStyle w:val="FootnoteText"/>
      </w:pPr>
      <w:r>
        <w:rPr>
          <w:rStyle w:val="FootnoteReference"/>
        </w:rPr>
        <w:footnoteRef/>
      </w:r>
      <w:r>
        <w:t xml:space="preserve"> </w:t>
      </w:r>
      <w:r>
        <w:rPr>
          <w:i/>
          <w:lang w:val="en-US"/>
        </w:rPr>
        <w:t>Id.</w:t>
      </w:r>
    </w:p>
  </w:footnote>
  <w:footnote w:id="12">
    <w:p w:rsidR="007E5EFC" w:rsidRDefault="007E5EFC">
      <w:pPr>
        <w:pStyle w:val="FootnoteText"/>
      </w:pPr>
      <w:r>
        <w:rPr>
          <w:rStyle w:val="FootnoteReference"/>
        </w:rPr>
        <w:footnoteRef/>
      </w:r>
      <w:r>
        <w:t xml:space="preserve"> 47 C.F.R. § 1.925(b)(3)(i).</w:t>
      </w:r>
    </w:p>
  </w:footnote>
  <w:footnote w:id="13">
    <w:p w:rsidR="007E5EFC" w:rsidRDefault="007E5EFC">
      <w:pPr>
        <w:pStyle w:val="FootnoteText"/>
      </w:pPr>
      <w:r>
        <w:rPr>
          <w:rStyle w:val="FootnoteReference"/>
        </w:rPr>
        <w:footnoteRef/>
      </w:r>
      <w:r>
        <w:t xml:space="preserve"> 47 C.F.R. § 1.925(b)(3)(ii).</w:t>
      </w:r>
    </w:p>
  </w:footnote>
  <w:footnote w:id="14">
    <w:p w:rsidR="007E5EFC" w:rsidRPr="00DC4A81" w:rsidRDefault="007E5EFC" w:rsidP="00F52D7C">
      <w:pPr>
        <w:pStyle w:val="FootnoteText"/>
      </w:pPr>
      <w:r>
        <w:rPr>
          <w:rStyle w:val="FootnoteReference"/>
        </w:rPr>
        <w:footnoteRef/>
      </w:r>
      <w:r>
        <w:t xml:space="preserve"> Wireless Telecommunications Bureau, Public Safety And Homeland Security Bureau, And Office Of Engineering And Technology Provide Reminder Of January 1, 2013 Deadline For Transition To Narrowband Operations In The 150-174 MHz And 421-512 MHz Bands And Guidance For Submission Of Requests For Waiver And Other Matters, </w:t>
      </w:r>
      <w:r>
        <w:rPr>
          <w:i/>
        </w:rPr>
        <w:t xml:space="preserve">Public Notice, </w:t>
      </w:r>
      <w:r>
        <w:t>26 FCC Rcd 9647 (2011) (</w:t>
      </w:r>
      <w:r w:rsidRPr="005B1CE5">
        <w:rPr>
          <w:i/>
        </w:rPr>
        <w:t>Narrowbanding Waiver Guidance Notice</w:t>
      </w:r>
      <w:r>
        <w:t>).</w:t>
      </w:r>
    </w:p>
  </w:footnote>
  <w:footnote w:id="15">
    <w:p w:rsidR="007E5EFC" w:rsidRPr="005B1CE5" w:rsidRDefault="007E5EFC">
      <w:pPr>
        <w:pStyle w:val="FootnoteText"/>
      </w:pPr>
      <w:r>
        <w:rPr>
          <w:rStyle w:val="FootnoteReference"/>
        </w:rPr>
        <w:footnoteRef/>
      </w:r>
      <w:r>
        <w:t xml:space="preserve"> </w:t>
      </w:r>
      <w:r>
        <w:rPr>
          <w:i/>
        </w:rPr>
        <w:t xml:space="preserve">Id. </w:t>
      </w:r>
      <w:r>
        <w:t>at 9649.</w:t>
      </w:r>
    </w:p>
  </w:footnote>
  <w:footnote w:id="16">
    <w:p w:rsidR="00CF3602" w:rsidRPr="00C71F1A" w:rsidRDefault="00CF3602" w:rsidP="00CF3602">
      <w:pPr>
        <w:pStyle w:val="FootnoteText"/>
        <w:widowControl w:val="0"/>
        <w:rPr>
          <w:lang w:val="en-US"/>
        </w:rPr>
      </w:pPr>
      <w:r>
        <w:rPr>
          <w:rStyle w:val="FootnoteReference"/>
        </w:rPr>
        <w:footnoteRef/>
      </w:r>
      <w:r>
        <w:t xml:space="preserve"> </w:t>
      </w:r>
      <w:r w:rsidRPr="00CD636D">
        <w:rPr>
          <w:i/>
        </w:rPr>
        <w:t>See</w:t>
      </w:r>
      <w:r w:rsidRPr="00CD636D">
        <w:t xml:space="preserve"> 47 C.F.R. §</w:t>
      </w:r>
      <w:r>
        <w:t xml:space="preserve"> </w:t>
      </w:r>
      <w:r w:rsidRPr="00CD636D">
        <w:t>90.203(j)(10)</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48" w:rsidRDefault="001C0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FC" w:rsidRDefault="007E5EFC">
    <w:pPr>
      <w:pStyle w:val="Header"/>
      <w:tabs>
        <w:tab w:val="clear" w:pos="4320"/>
        <w:tab w:val="clear" w:pos="8640"/>
        <w:tab w:val="center" w:pos="4680"/>
        <w:tab w:val="right" w:pos="9360"/>
      </w:tabs>
      <w:rPr>
        <w:b/>
      </w:rPr>
    </w:pPr>
    <w:r>
      <w:rPr>
        <w:b/>
      </w:rPr>
      <w:tab/>
      <w:t>Federal Communications Commission</w:t>
    </w:r>
    <w:r>
      <w:rPr>
        <w:b/>
      </w:rPr>
      <w:tab/>
      <w:t xml:space="preserve">DA </w:t>
    </w:r>
    <w:r w:rsidR="00DA0859" w:rsidRPr="00DA0859">
      <w:rPr>
        <w:b/>
      </w:rPr>
      <w:t>14-1067</w:t>
    </w:r>
  </w:p>
  <w:p w:rsidR="007E5EFC" w:rsidRDefault="007E5EFC">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2FAB14D" wp14:editId="2670A50D">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7E5EFC" w:rsidRDefault="007E5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FC" w:rsidRDefault="007E5EFC">
    <w:pPr>
      <w:pStyle w:val="Header"/>
      <w:tabs>
        <w:tab w:val="clear" w:pos="4320"/>
        <w:tab w:val="clear" w:pos="8640"/>
        <w:tab w:val="center" w:pos="4680"/>
        <w:tab w:val="right" w:pos="9360"/>
      </w:tabs>
      <w:rPr>
        <w:b/>
      </w:rPr>
    </w:pPr>
    <w:r>
      <w:rPr>
        <w:b/>
      </w:rPr>
      <w:tab/>
      <w:t>Federal Communications Commission</w:t>
    </w:r>
    <w:r>
      <w:rPr>
        <w:b/>
      </w:rPr>
      <w:tab/>
      <w:t xml:space="preserve">DA </w:t>
    </w:r>
    <w:r w:rsidR="00DA0859" w:rsidRPr="00DA0859">
      <w:rPr>
        <w:b/>
      </w:rPr>
      <w:t>14-1067</w:t>
    </w:r>
  </w:p>
  <w:p w:rsidR="007E5EFC" w:rsidRDefault="007E5EFC">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02025E96"/>
    <w:lvl w:ilvl="0" w:tplc="057E11B2">
      <w:start w:val="1"/>
      <w:numFmt w:val="decimal"/>
      <w:lvlText w:val="%1."/>
      <w:lvlJc w:val="left"/>
      <w:pPr>
        <w:tabs>
          <w:tab w:val="num" w:pos="900"/>
        </w:tabs>
        <w:ind w:left="90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1957039"/>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83F4BB0"/>
    <w:multiLevelType w:val="hybridMultilevel"/>
    <w:tmpl w:val="BA62D0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A3E7779"/>
    <w:multiLevelType w:val="hybridMultilevel"/>
    <w:tmpl w:val="54EA03E8"/>
    <w:lvl w:ilvl="0" w:tplc="D7B26E92">
      <w:start w:val="1"/>
      <w:numFmt w:val="decimal"/>
      <w:pStyle w:val="StyleParaNumItalic"/>
      <w:lvlText w:val="%1."/>
      <w:lvlJc w:val="left"/>
      <w:pPr>
        <w:tabs>
          <w:tab w:val="num" w:pos="1800"/>
        </w:tabs>
        <w:ind w:left="720" w:firstLine="720"/>
      </w:pPr>
      <w:rPr>
        <w:rFonts w:ascii="Times New Roman" w:hAnsi="Times New Roman" w:cs="Times New Roman" w:hint="default"/>
        <w:color w:val="000000"/>
        <w:sz w:val="22"/>
        <w:szCs w:val="22"/>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B83198D"/>
    <w:multiLevelType w:val="hybridMultilevel"/>
    <w:tmpl w:val="F26A52EA"/>
    <w:lvl w:ilvl="0" w:tplc="04090001">
      <w:start w:val="1"/>
      <w:numFmt w:val="bullet"/>
      <w:lvlText w:val=""/>
      <w:lvlJc w:val="left"/>
      <w:pPr>
        <w:tabs>
          <w:tab w:val="num" w:pos="900"/>
        </w:tabs>
        <w:ind w:left="900" w:hanging="360"/>
      </w:pPr>
      <w:rPr>
        <w:rFonts w:ascii="Symbol" w:hAnsi="Symbol"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EDE2CE1"/>
    <w:multiLevelType w:val="hybridMultilevel"/>
    <w:tmpl w:val="CC3CD6AE"/>
    <w:lvl w:ilvl="0" w:tplc="04090001">
      <w:start w:val="1"/>
      <w:numFmt w:val="bullet"/>
      <w:lvlText w:val=""/>
      <w:lvlJc w:val="left"/>
      <w:pPr>
        <w:tabs>
          <w:tab w:val="num" w:pos="900"/>
        </w:tabs>
        <w:ind w:left="900" w:hanging="360"/>
      </w:pPr>
      <w:rPr>
        <w:rFonts w:ascii="Symbol" w:hAnsi="Symbol"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700407D"/>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4B7B7FA8"/>
    <w:multiLevelType w:val="hybridMultilevel"/>
    <w:tmpl w:val="B120B938"/>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D707A20"/>
    <w:multiLevelType w:val="multilevel"/>
    <w:tmpl w:val="FB1E530E"/>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4D766165"/>
    <w:multiLevelType w:val="hybridMultilevel"/>
    <w:tmpl w:val="764EF95C"/>
    <w:lvl w:ilvl="0" w:tplc="04090015">
      <w:start w:val="1"/>
      <w:numFmt w:val="upp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41F6B38"/>
    <w:multiLevelType w:val="multilevel"/>
    <w:tmpl w:val="B42A3B3C"/>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2">
    <w:nsid w:val="61182925"/>
    <w:multiLevelType w:val="singleLevel"/>
    <w:tmpl w:val="D180CED0"/>
    <w:lvl w:ilvl="0">
      <w:start w:val="1"/>
      <w:numFmt w:val="decimal"/>
      <w:lvlText w:val="%1."/>
      <w:lvlJc w:val="left"/>
      <w:pPr>
        <w:tabs>
          <w:tab w:val="num" w:pos="1080"/>
        </w:tabs>
        <w:ind w:firstLine="720"/>
      </w:pPr>
      <w:rPr>
        <w:rFonts w:cs="Times New Roman"/>
      </w:rPr>
    </w:lvl>
  </w:abstractNum>
  <w:abstractNum w:abstractNumId="13">
    <w:nsid w:val="637D0060"/>
    <w:multiLevelType w:val="multilevel"/>
    <w:tmpl w:val="02025E96"/>
    <w:lvl w:ilvl="0">
      <w:start w:val="1"/>
      <w:numFmt w:val="decimal"/>
      <w:lvlText w:val="%1."/>
      <w:lvlJc w:val="left"/>
      <w:pPr>
        <w:tabs>
          <w:tab w:val="num" w:pos="900"/>
        </w:tabs>
        <w:ind w:left="90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652D38AC"/>
    <w:multiLevelType w:val="multilevel"/>
    <w:tmpl w:val="D026CECA"/>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711E5025"/>
    <w:multiLevelType w:val="hybridMultilevel"/>
    <w:tmpl w:val="AC966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66E1C18"/>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8"/>
  </w:num>
  <w:num w:numId="4">
    <w:abstractNumId w:val="0"/>
  </w:num>
  <w:num w:numId="5">
    <w:abstractNumId w:val="5"/>
  </w:num>
  <w:num w:numId="6">
    <w:abstractNumId w:val="12"/>
  </w:num>
  <w:num w:numId="7">
    <w:abstractNumId w:val="11"/>
  </w:num>
  <w:num w:numId="8">
    <w:abstractNumId w:val="9"/>
  </w:num>
  <w:num w:numId="9">
    <w:abstractNumId w:val="3"/>
  </w:num>
  <w:num w:numId="10">
    <w:abstractNumId w:val="5"/>
  </w:num>
  <w:num w:numId="11">
    <w:abstractNumId w:val="14"/>
  </w:num>
  <w:num w:numId="12">
    <w:abstractNumId w:val="2"/>
  </w:num>
  <w:num w:numId="13">
    <w:abstractNumId w:val="7"/>
  </w:num>
  <w:num w:numId="14">
    <w:abstractNumId w:val="1"/>
  </w:num>
  <w:num w:numId="15">
    <w:abstractNumId w:val="16"/>
  </w:num>
  <w:num w:numId="16">
    <w:abstractNumId w:val="15"/>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EC"/>
    <w:rsid w:val="0000232F"/>
    <w:rsid w:val="0000387F"/>
    <w:rsid w:val="000248BF"/>
    <w:rsid w:val="000313C8"/>
    <w:rsid w:val="00051A86"/>
    <w:rsid w:val="00057F9D"/>
    <w:rsid w:val="00062AC8"/>
    <w:rsid w:val="0006487D"/>
    <w:rsid w:val="00073B1A"/>
    <w:rsid w:val="00076345"/>
    <w:rsid w:val="000770F1"/>
    <w:rsid w:val="000837D4"/>
    <w:rsid w:val="000A473B"/>
    <w:rsid w:val="000B05C2"/>
    <w:rsid w:val="000B1096"/>
    <w:rsid w:val="000B5A9C"/>
    <w:rsid w:val="000C69C3"/>
    <w:rsid w:val="000D2F08"/>
    <w:rsid w:val="000D445E"/>
    <w:rsid w:val="000F3512"/>
    <w:rsid w:val="000F782F"/>
    <w:rsid w:val="0010560B"/>
    <w:rsid w:val="00132330"/>
    <w:rsid w:val="00170CBF"/>
    <w:rsid w:val="00185CF3"/>
    <w:rsid w:val="00187675"/>
    <w:rsid w:val="00191792"/>
    <w:rsid w:val="00195A1B"/>
    <w:rsid w:val="001A2494"/>
    <w:rsid w:val="001B47F8"/>
    <w:rsid w:val="001C0C48"/>
    <w:rsid w:val="001C0D49"/>
    <w:rsid w:val="001C114C"/>
    <w:rsid w:val="001C4CFD"/>
    <w:rsid w:val="001C6965"/>
    <w:rsid w:val="001C72A3"/>
    <w:rsid w:val="001D5C6C"/>
    <w:rsid w:val="001E4E14"/>
    <w:rsid w:val="001E76A3"/>
    <w:rsid w:val="001F2DFC"/>
    <w:rsid w:val="001F69F8"/>
    <w:rsid w:val="0020676F"/>
    <w:rsid w:val="002136F8"/>
    <w:rsid w:val="002169A5"/>
    <w:rsid w:val="00224D29"/>
    <w:rsid w:val="002438CD"/>
    <w:rsid w:val="0024611B"/>
    <w:rsid w:val="002545CD"/>
    <w:rsid w:val="00254890"/>
    <w:rsid w:val="00254AD3"/>
    <w:rsid w:val="002642E3"/>
    <w:rsid w:val="00270FCE"/>
    <w:rsid w:val="002721AD"/>
    <w:rsid w:val="002738EC"/>
    <w:rsid w:val="00280D8F"/>
    <w:rsid w:val="00293EBE"/>
    <w:rsid w:val="002A3A1F"/>
    <w:rsid w:val="002B634B"/>
    <w:rsid w:val="002D5E02"/>
    <w:rsid w:val="002F2005"/>
    <w:rsid w:val="00313A5C"/>
    <w:rsid w:val="0032087C"/>
    <w:rsid w:val="00323D27"/>
    <w:rsid w:val="003335C3"/>
    <w:rsid w:val="0033422B"/>
    <w:rsid w:val="00337F9E"/>
    <w:rsid w:val="00342E1C"/>
    <w:rsid w:val="00344DD7"/>
    <w:rsid w:val="00345A51"/>
    <w:rsid w:val="003B5069"/>
    <w:rsid w:val="003C0395"/>
    <w:rsid w:val="003C4D47"/>
    <w:rsid w:val="003D1E6A"/>
    <w:rsid w:val="003E02EA"/>
    <w:rsid w:val="003E11EC"/>
    <w:rsid w:val="003E5F44"/>
    <w:rsid w:val="003F2F00"/>
    <w:rsid w:val="00410A05"/>
    <w:rsid w:val="00423172"/>
    <w:rsid w:val="00426CB6"/>
    <w:rsid w:val="00433699"/>
    <w:rsid w:val="0043556E"/>
    <w:rsid w:val="00440FD1"/>
    <w:rsid w:val="004541EC"/>
    <w:rsid w:val="004645E0"/>
    <w:rsid w:val="00465358"/>
    <w:rsid w:val="00470D6E"/>
    <w:rsid w:val="00492002"/>
    <w:rsid w:val="0049581E"/>
    <w:rsid w:val="004C33E5"/>
    <w:rsid w:val="004C65F2"/>
    <w:rsid w:val="004F658F"/>
    <w:rsid w:val="00502DFA"/>
    <w:rsid w:val="00505063"/>
    <w:rsid w:val="00515A4B"/>
    <w:rsid w:val="0052357E"/>
    <w:rsid w:val="005269D9"/>
    <w:rsid w:val="005422F4"/>
    <w:rsid w:val="0054324D"/>
    <w:rsid w:val="005549CF"/>
    <w:rsid w:val="0056395B"/>
    <w:rsid w:val="00570B46"/>
    <w:rsid w:val="0057200F"/>
    <w:rsid w:val="00591789"/>
    <w:rsid w:val="00596ABD"/>
    <w:rsid w:val="005B1CE5"/>
    <w:rsid w:val="005F1505"/>
    <w:rsid w:val="005F6221"/>
    <w:rsid w:val="0060775D"/>
    <w:rsid w:val="00611C01"/>
    <w:rsid w:val="00615897"/>
    <w:rsid w:val="00622261"/>
    <w:rsid w:val="00625370"/>
    <w:rsid w:val="00626061"/>
    <w:rsid w:val="00637C86"/>
    <w:rsid w:val="006411D1"/>
    <w:rsid w:val="00646979"/>
    <w:rsid w:val="0066797B"/>
    <w:rsid w:val="006729D6"/>
    <w:rsid w:val="006765A5"/>
    <w:rsid w:val="00677AF3"/>
    <w:rsid w:val="00684C91"/>
    <w:rsid w:val="00685D60"/>
    <w:rsid w:val="006A04F8"/>
    <w:rsid w:val="006B057F"/>
    <w:rsid w:val="006B68E2"/>
    <w:rsid w:val="006C2F8F"/>
    <w:rsid w:val="006D0D85"/>
    <w:rsid w:val="006D0D8D"/>
    <w:rsid w:val="006D29EF"/>
    <w:rsid w:val="006E5CDD"/>
    <w:rsid w:val="006F0BEB"/>
    <w:rsid w:val="00706949"/>
    <w:rsid w:val="007165D6"/>
    <w:rsid w:val="00730327"/>
    <w:rsid w:val="00747DC1"/>
    <w:rsid w:val="007670A2"/>
    <w:rsid w:val="00775F5B"/>
    <w:rsid w:val="007A1EFA"/>
    <w:rsid w:val="007A551F"/>
    <w:rsid w:val="007B0CB1"/>
    <w:rsid w:val="007B0E42"/>
    <w:rsid w:val="007B4AB4"/>
    <w:rsid w:val="007B57DC"/>
    <w:rsid w:val="007B583D"/>
    <w:rsid w:val="007B61E5"/>
    <w:rsid w:val="007C0A76"/>
    <w:rsid w:val="007C61B6"/>
    <w:rsid w:val="007D3D4C"/>
    <w:rsid w:val="007D794F"/>
    <w:rsid w:val="007E23F8"/>
    <w:rsid w:val="007E312C"/>
    <w:rsid w:val="007E4FC1"/>
    <w:rsid w:val="007E5EFC"/>
    <w:rsid w:val="007F1953"/>
    <w:rsid w:val="00805661"/>
    <w:rsid w:val="0082373D"/>
    <w:rsid w:val="00824B63"/>
    <w:rsid w:val="008326B8"/>
    <w:rsid w:val="00841340"/>
    <w:rsid w:val="008507A5"/>
    <w:rsid w:val="008536E0"/>
    <w:rsid w:val="008567C0"/>
    <w:rsid w:val="008852BB"/>
    <w:rsid w:val="008902DC"/>
    <w:rsid w:val="00897DCB"/>
    <w:rsid w:val="008A16A8"/>
    <w:rsid w:val="008B1011"/>
    <w:rsid w:val="008B6590"/>
    <w:rsid w:val="008F23E9"/>
    <w:rsid w:val="008F2C87"/>
    <w:rsid w:val="008F6E30"/>
    <w:rsid w:val="00914B06"/>
    <w:rsid w:val="00914D69"/>
    <w:rsid w:val="00924ECE"/>
    <w:rsid w:val="00943DED"/>
    <w:rsid w:val="00943E18"/>
    <w:rsid w:val="00944D34"/>
    <w:rsid w:val="00975B9B"/>
    <w:rsid w:val="009B11C9"/>
    <w:rsid w:val="009D4FC0"/>
    <w:rsid w:val="009E0F51"/>
    <w:rsid w:val="00A00A6F"/>
    <w:rsid w:val="00A0710D"/>
    <w:rsid w:val="00A074AB"/>
    <w:rsid w:val="00A1103F"/>
    <w:rsid w:val="00A20851"/>
    <w:rsid w:val="00A31BF2"/>
    <w:rsid w:val="00A3303C"/>
    <w:rsid w:val="00A54B80"/>
    <w:rsid w:val="00A57C17"/>
    <w:rsid w:val="00A61135"/>
    <w:rsid w:val="00A65CD7"/>
    <w:rsid w:val="00A92468"/>
    <w:rsid w:val="00AE77D8"/>
    <w:rsid w:val="00AF2009"/>
    <w:rsid w:val="00B11F5D"/>
    <w:rsid w:val="00B16C5B"/>
    <w:rsid w:val="00B2628B"/>
    <w:rsid w:val="00B2662F"/>
    <w:rsid w:val="00B303D1"/>
    <w:rsid w:val="00B3275A"/>
    <w:rsid w:val="00B34E08"/>
    <w:rsid w:val="00B36C50"/>
    <w:rsid w:val="00B5599A"/>
    <w:rsid w:val="00B60FBC"/>
    <w:rsid w:val="00B87AAA"/>
    <w:rsid w:val="00B92CEE"/>
    <w:rsid w:val="00B9333D"/>
    <w:rsid w:val="00BA6CA5"/>
    <w:rsid w:val="00BB2D5D"/>
    <w:rsid w:val="00BD0662"/>
    <w:rsid w:val="00BE04C1"/>
    <w:rsid w:val="00BE0793"/>
    <w:rsid w:val="00BE55E6"/>
    <w:rsid w:val="00BE588A"/>
    <w:rsid w:val="00BF23E1"/>
    <w:rsid w:val="00C249D7"/>
    <w:rsid w:val="00C56E5C"/>
    <w:rsid w:val="00C7050F"/>
    <w:rsid w:val="00C71F1A"/>
    <w:rsid w:val="00C7384D"/>
    <w:rsid w:val="00C73ACD"/>
    <w:rsid w:val="00C740C3"/>
    <w:rsid w:val="00C75540"/>
    <w:rsid w:val="00C81A48"/>
    <w:rsid w:val="00C85948"/>
    <w:rsid w:val="00C93C52"/>
    <w:rsid w:val="00C96F73"/>
    <w:rsid w:val="00CC135D"/>
    <w:rsid w:val="00CD0810"/>
    <w:rsid w:val="00CD30CD"/>
    <w:rsid w:val="00CE1798"/>
    <w:rsid w:val="00CE3D13"/>
    <w:rsid w:val="00CF1000"/>
    <w:rsid w:val="00CF1783"/>
    <w:rsid w:val="00CF3602"/>
    <w:rsid w:val="00D02CDC"/>
    <w:rsid w:val="00D0548D"/>
    <w:rsid w:val="00D1029D"/>
    <w:rsid w:val="00D1083A"/>
    <w:rsid w:val="00D1111B"/>
    <w:rsid w:val="00D17911"/>
    <w:rsid w:val="00D22E86"/>
    <w:rsid w:val="00D27870"/>
    <w:rsid w:val="00D454C0"/>
    <w:rsid w:val="00D45B7C"/>
    <w:rsid w:val="00D569DA"/>
    <w:rsid w:val="00D77E69"/>
    <w:rsid w:val="00D8104A"/>
    <w:rsid w:val="00D84E57"/>
    <w:rsid w:val="00DA0859"/>
    <w:rsid w:val="00DB3ED8"/>
    <w:rsid w:val="00DC4A81"/>
    <w:rsid w:val="00DD270B"/>
    <w:rsid w:val="00DE021B"/>
    <w:rsid w:val="00DF670F"/>
    <w:rsid w:val="00E04C6D"/>
    <w:rsid w:val="00E13D20"/>
    <w:rsid w:val="00E2087E"/>
    <w:rsid w:val="00E22065"/>
    <w:rsid w:val="00E37CB7"/>
    <w:rsid w:val="00E53086"/>
    <w:rsid w:val="00E775F9"/>
    <w:rsid w:val="00E86EF3"/>
    <w:rsid w:val="00E90B70"/>
    <w:rsid w:val="00E92D8F"/>
    <w:rsid w:val="00E967A7"/>
    <w:rsid w:val="00E97CE9"/>
    <w:rsid w:val="00EA0157"/>
    <w:rsid w:val="00EB41C6"/>
    <w:rsid w:val="00EB6699"/>
    <w:rsid w:val="00ED63D3"/>
    <w:rsid w:val="00EF0E80"/>
    <w:rsid w:val="00EF60AB"/>
    <w:rsid w:val="00F133FE"/>
    <w:rsid w:val="00F215F8"/>
    <w:rsid w:val="00F52D7C"/>
    <w:rsid w:val="00F81F4F"/>
    <w:rsid w:val="00F87680"/>
    <w:rsid w:val="00F94DA4"/>
    <w:rsid w:val="00FB4DD7"/>
    <w:rsid w:val="00FB5F0E"/>
    <w:rsid w:val="00FB6FC0"/>
    <w:rsid w:val="00FC7F66"/>
    <w:rsid w:val="00FD64E1"/>
    <w:rsid w:val="00FD77BD"/>
    <w:rsid w:val="00FE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rsid w:val="00FB6FC0"/>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rsid w:val="00FB6FC0"/>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rsid w:val="00FB6FC0"/>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rsid w:val="00FB6FC0"/>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rsid w:val="00FB6FC0"/>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rsid w:val="00FB6FC0"/>
    <w:pPr>
      <w:widowControl w:val="0"/>
      <w:numPr>
        <w:ilvl w:val="5"/>
        <w:numId w:val="1"/>
      </w:numPr>
      <w:spacing w:after="220"/>
      <w:jc w:val="both"/>
      <w:outlineLvl w:val="5"/>
    </w:pPr>
    <w:rPr>
      <w:b/>
    </w:rPr>
  </w:style>
  <w:style w:type="paragraph" w:styleId="Heading7">
    <w:name w:val="heading 7"/>
    <w:basedOn w:val="Normal"/>
    <w:next w:val="ParaNum"/>
    <w:link w:val="Heading7Char"/>
    <w:qFormat/>
    <w:rsid w:val="00FB6FC0"/>
    <w:pPr>
      <w:widowControl w:val="0"/>
      <w:numPr>
        <w:ilvl w:val="6"/>
        <w:numId w:val="1"/>
      </w:numPr>
      <w:spacing w:after="220"/>
      <w:jc w:val="both"/>
      <w:outlineLvl w:val="6"/>
    </w:pPr>
    <w:rPr>
      <w:b/>
    </w:rPr>
  </w:style>
  <w:style w:type="paragraph" w:styleId="Heading8">
    <w:name w:val="heading 8"/>
    <w:basedOn w:val="Normal"/>
    <w:next w:val="ParaNum"/>
    <w:link w:val="Heading8Char"/>
    <w:qFormat/>
    <w:rsid w:val="00FB6FC0"/>
    <w:pPr>
      <w:widowControl w:val="0"/>
      <w:numPr>
        <w:ilvl w:val="7"/>
        <w:numId w:val="1"/>
      </w:numPr>
      <w:spacing w:after="220"/>
      <w:jc w:val="both"/>
      <w:outlineLvl w:val="7"/>
    </w:pPr>
    <w:rPr>
      <w:b/>
    </w:rPr>
  </w:style>
  <w:style w:type="paragraph" w:styleId="Heading9">
    <w:name w:val="heading 9"/>
    <w:basedOn w:val="Normal"/>
    <w:next w:val="ParaNum"/>
    <w:link w:val="Heading9Char"/>
    <w:qFormat/>
    <w:rsid w:val="00FB6FC0"/>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b/>
      <w:caps/>
      <w:sz w:val="22"/>
      <w:lang w:val="en-US" w:eastAsia="en-US" w:bidi="ar-SA"/>
    </w:rPr>
  </w:style>
  <w:style w:type="character" w:customStyle="1" w:styleId="Heading2Char">
    <w:name w:val="Heading 2 Char"/>
    <w:link w:val="Heading2"/>
    <w:semiHidden/>
    <w:locked/>
    <w:rPr>
      <w:b/>
      <w:sz w:val="22"/>
      <w:lang w:val="en-US" w:eastAsia="en-US" w:bidi="ar-SA"/>
    </w:rPr>
  </w:style>
  <w:style w:type="character" w:customStyle="1" w:styleId="Heading3Char">
    <w:name w:val="Heading 3 Char"/>
    <w:link w:val="Heading3"/>
    <w:semiHidden/>
    <w:locked/>
    <w:rPr>
      <w:b/>
      <w:sz w:val="22"/>
      <w:lang w:val="en-US" w:eastAsia="en-US" w:bidi="ar-SA"/>
    </w:rPr>
  </w:style>
  <w:style w:type="character" w:customStyle="1" w:styleId="Heading4Char">
    <w:name w:val="Heading 4 Char"/>
    <w:link w:val="Heading4"/>
    <w:semiHidden/>
    <w:locked/>
    <w:rPr>
      <w:b/>
      <w:sz w:val="22"/>
      <w:lang w:val="en-US" w:eastAsia="en-US" w:bidi="ar-SA"/>
    </w:rPr>
  </w:style>
  <w:style w:type="character" w:customStyle="1" w:styleId="Heading5Char">
    <w:name w:val="Heading 5 Char"/>
    <w:link w:val="Heading5"/>
    <w:semiHidden/>
    <w:locked/>
    <w:rPr>
      <w:b/>
      <w:sz w:val="22"/>
      <w:lang w:val="en-US" w:eastAsia="en-US" w:bidi="ar-SA"/>
    </w:rPr>
  </w:style>
  <w:style w:type="character" w:customStyle="1" w:styleId="Heading6Char">
    <w:name w:val="Heading 6 Char"/>
    <w:link w:val="Heading6"/>
    <w:semiHidden/>
    <w:locked/>
    <w:rPr>
      <w:b/>
      <w:sz w:val="22"/>
      <w:lang w:val="en-US" w:eastAsia="en-US" w:bidi="ar-SA"/>
    </w:rPr>
  </w:style>
  <w:style w:type="character" w:customStyle="1" w:styleId="Heading7Char">
    <w:name w:val="Heading 7 Char"/>
    <w:link w:val="Heading7"/>
    <w:semiHidden/>
    <w:locked/>
    <w:rPr>
      <w:b/>
      <w:sz w:val="22"/>
      <w:lang w:val="en-US" w:eastAsia="en-US" w:bidi="ar-SA"/>
    </w:rPr>
  </w:style>
  <w:style w:type="character" w:customStyle="1" w:styleId="Heading8Char">
    <w:name w:val="Heading 8 Char"/>
    <w:link w:val="Heading8"/>
    <w:semiHidden/>
    <w:locked/>
    <w:rPr>
      <w:b/>
      <w:sz w:val="22"/>
      <w:lang w:val="en-US" w:eastAsia="en-US" w:bidi="ar-SA"/>
    </w:rPr>
  </w:style>
  <w:style w:type="character" w:customStyle="1" w:styleId="Heading9Char">
    <w:name w:val="Heading 9 Char"/>
    <w:link w:val="Heading9"/>
    <w:semiHidden/>
    <w:locked/>
    <w:rPr>
      <w:b/>
      <w:sz w:val="22"/>
      <w:lang w:val="en-US" w:eastAsia="en-US" w:bidi="ar-SA"/>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
    <w:basedOn w:val="Normal"/>
    <w:link w:val="FootnoteTextChar3"/>
    <w:pPr>
      <w:tabs>
        <w:tab w:val="left" w:pos="180"/>
        <w:tab w:val="left" w:pos="720"/>
        <w:tab w:val="left" w:pos="1440"/>
        <w:tab w:val="left" w:pos="2160"/>
      </w:tabs>
      <w:spacing w:after="120"/>
    </w:pPr>
    <w:rPr>
      <w:sz w:val="20"/>
      <w:lang w:val="x-none" w:eastAsia="x-none"/>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locked/>
    <w:rPr>
      <w:rFonts w:cs="Times New Roman"/>
      <w:sz w:val="20"/>
      <w:szCs w:val="20"/>
    </w:rPr>
  </w:style>
  <w:style w:type="character" w:styleId="FootnoteReference">
    <w:name w:val="footnote reference"/>
    <w:aliases w:val="Appel note de bas de p,Style 12,(NECG) Footnote Reference,Style 124,Style 13,o,fr,Style 3,FR"/>
    <w:semiHidden/>
    <w:rPr>
      <w:rFonts w:cs="Times New Roman"/>
      <w:vertAlign w:val="superscript"/>
    </w:rPr>
  </w:style>
  <w:style w:type="paragraph" w:styleId="Header">
    <w:name w:val="header"/>
    <w:basedOn w:val="Normal"/>
    <w:link w:val="HeaderChar"/>
    <w:rsid w:val="00FB6FC0"/>
    <w:pPr>
      <w:tabs>
        <w:tab w:val="center" w:pos="4320"/>
        <w:tab w:val="right" w:pos="8640"/>
      </w:tabs>
    </w:pPr>
  </w:style>
  <w:style w:type="character" w:customStyle="1" w:styleId="HeaderChar">
    <w:name w:val="Header Char"/>
    <w:link w:val="Header"/>
    <w:semiHidden/>
    <w:locked/>
    <w:rPr>
      <w:sz w:val="22"/>
      <w:lang w:val="en-US" w:eastAsia="en-US" w:bidi="ar-SA"/>
    </w:rPr>
  </w:style>
  <w:style w:type="paragraph" w:styleId="Footer">
    <w:name w:val="footer"/>
    <w:basedOn w:val="Normal"/>
    <w:link w:val="FooterChar"/>
    <w:rsid w:val="00FB6FC0"/>
    <w:pPr>
      <w:tabs>
        <w:tab w:val="center" w:pos="4320"/>
        <w:tab w:val="right" w:pos="8640"/>
      </w:tabs>
    </w:pPr>
  </w:style>
  <w:style w:type="character" w:customStyle="1" w:styleId="FooterChar">
    <w:name w:val="Footer Char"/>
    <w:link w:val="Footer"/>
    <w:semiHidden/>
    <w:locked/>
    <w:rPr>
      <w:sz w:val="22"/>
      <w:lang w:val="en-US" w:eastAsia="en-US" w:bidi="ar-SA"/>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rsid w:val="00FB6FC0"/>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rPr>
      <w:sz w:val="20"/>
      <w:lang w:val="x-none" w:eastAsia="x-none"/>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ParaNum"/>
    <w:link w:val="BalloonTextChar"/>
    <w:rsid w:val="00FB6FC0"/>
    <w:rPr>
      <w:sz w:val="20"/>
      <w:lang w:val="x-none" w:eastAsia="x-none"/>
    </w:rPr>
  </w:style>
  <w:style w:type="character" w:customStyle="1" w:styleId="BalloonTextChar">
    <w:name w:val="Balloon Text Char"/>
    <w:link w:val="BalloonText"/>
    <w:semiHidden/>
    <w:locked/>
    <w:rsid w:val="00FB6FC0"/>
    <w:rPr>
      <w:lang w:val="x-none" w:eastAsia="x-none" w:bidi="ar-SA"/>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rsid w:val="00FB6FC0"/>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rsid w:val="00FB6FC0"/>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rsid w:val="00FB6FC0"/>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rsid w:val="00FB6FC0"/>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rsid w:val="00FB6FC0"/>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rsid w:val="00FB6FC0"/>
    <w:pPr>
      <w:widowControl w:val="0"/>
      <w:numPr>
        <w:ilvl w:val="5"/>
        <w:numId w:val="1"/>
      </w:numPr>
      <w:spacing w:after="220"/>
      <w:jc w:val="both"/>
      <w:outlineLvl w:val="5"/>
    </w:pPr>
    <w:rPr>
      <w:b/>
    </w:rPr>
  </w:style>
  <w:style w:type="paragraph" w:styleId="Heading7">
    <w:name w:val="heading 7"/>
    <w:basedOn w:val="Normal"/>
    <w:next w:val="ParaNum"/>
    <w:link w:val="Heading7Char"/>
    <w:qFormat/>
    <w:rsid w:val="00FB6FC0"/>
    <w:pPr>
      <w:widowControl w:val="0"/>
      <w:numPr>
        <w:ilvl w:val="6"/>
        <w:numId w:val="1"/>
      </w:numPr>
      <w:spacing w:after="220"/>
      <w:jc w:val="both"/>
      <w:outlineLvl w:val="6"/>
    </w:pPr>
    <w:rPr>
      <w:b/>
    </w:rPr>
  </w:style>
  <w:style w:type="paragraph" w:styleId="Heading8">
    <w:name w:val="heading 8"/>
    <w:basedOn w:val="Normal"/>
    <w:next w:val="ParaNum"/>
    <w:link w:val="Heading8Char"/>
    <w:qFormat/>
    <w:rsid w:val="00FB6FC0"/>
    <w:pPr>
      <w:widowControl w:val="0"/>
      <w:numPr>
        <w:ilvl w:val="7"/>
        <w:numId w:val="1"/>
      </w:numPr>
      <w:spacing w:after="220"/>
      <w:jc w:val="both"/>
      <w:outlineLvl w:val="7"/>
    </w:pPr>
    <w:rPr>
      <w:b/>
    </w:rPr>
  </w:style>
  <w:style w:type="paragraph" w:styleId="Heading9">
    <w:name w:val="heading 9"/>
    <w:basedOn w:val="Normal"/>
    <w:next w:val="ParaNum"/>
    <w:link w:val="Heading9Char"/>
    <w:qFormat/>
    <w:rsid w:val="00FB6FC0"/>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b/>
      <w:caps/>
      <w:sz w:val="22"/>
      <w:lang w:val="en-US" w:eastAsia="en-US" w:bidi="ar-SA"/>
    </w:rPr>
  </w:style>
  <w:style w:type="character" w:customStyle="1" w:styleId="Heading2Char">
    <w:name w:val="Heading 2 Char"/>
    <w:link w:val="Heading2"/>
    <w:semiHidden/>
    <w:locked/>
    <w:rPr>
      <w:b/>
      <w:sz w:val="22"/>
      <w:lang w:val="en-US" w:eastAsia="en-US" w:bidi="ar-SA"/>
    </w:rPr>
  </w:style>
  <w:style w:type="character" w:customStyle="1" w:styleId="Heading3Char">
    <w:name w:val="Heading 3 Char"/>
    <w:link w:val="Heading3"/>
    <w:semiHidden/>
    <w:locked/>
    <w:rPr>
      <w:b/>
      <w:sz w:val="22"/>
      <w:lang w:val="en-US" w:eastAsia="en-US" w:bidi="ar-SA"/>
    </w:rPr>
  </w:style>
  <w:style w:type="character" w:customStyle="1" w:styleId="Heading4Char">
    <w:name w:val="Heading 4 Char"/>
    <w:link w:val="Heading4"/>
    <w:semiHidden/>
    <w:locked/>
    <w:rPr>
      <w:b/>
      <w:sz w:val="22"/>
      <w:lang w:val="en-US" w:eastAsia="en-US" w:bidi="ar-SA"/>
    </w:rPr>
  </w:style>
  <w:style w:type="character" w:customStyle="1" w:styleId="Heading5Char">
    <w:name w:val="Heading 5 Char"/>
    <w:link w:val="Heading5"/>
    <w:semiHidden/>
    <w:locked/>
    <w:rPr>
      <w:b/>
      <w:sz w:val="22"/>
      <w:lang w:val="en-US" w:eastAsia="en-US" w:bidi="ar-SA"/>
    </w:rPr>
  </w:style>
  <w:style w:type="character" w:customStyle="1" w:styleId="Heading6Char">
    <w:name w:val="Heading 6 Char"/>
    <w:link w:val="Heading6"/>
    <w:semiHidden/>
    <w:locked/>
    <w:rPr>
      <w:b/>
      <w:sz w:val="22"/>
      <w:lang w:val="en-US" w:eastAsia="en-US" w:bidi="ar-SA"/>
    </w:rPr>
  </w:style>
  <w:style w:type="character" w:customStyle="1" w:styleId="Heading7Char">
    <w:name w:val="Heading 7 Char"/>
    <w:link w:val="Heading7"/>
    <w:semiHidden/>
    <w:locked/>
    <w:rPr>
      <w:b/>
      <w:sz w:val="22"/>
      <w:lang w:val="en-US" w:eastAsia="en-US" w:bidi="ar-SA"/>
    </w:rPr>
  </w:style>
  <w:style w:type="character" w:customStyle="1" w:styleId="Heading8Char">
    <w:name w:val="Heading 8 Char"/>
    <w:link w:val="Heading8"/>
    <w:semiHidden/>
    <w:locked/>
    <w:rPr>
      <w:b/>
      <w:sz w:val="22"/>
      <w:lang w:val="en-US" w:eastAsia="en-US" w:bidi="ar-SA"/>
    </w:rPr>
  </w:style>
  <w:style w:type="character" w:customStyle="1" w:styleId="Heading9Char">
    <w:name w:val="Heading 9 Char"/>
    <w:link w:val="Heading9"/>
    <w:semiHidden/>
    <w:locked/>
    <w:rPr>
      <w:b/>
      <w:sz w:val="22"/>
      <w:lang w:val="en-US" w:eastAsia="en-US" w:bidi="ar-SA"/>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
    <w:basedOn w:val="Normal"/>
    <w:link w:val="FootnoteTextChar3"/>
    <w:pPr>
      <w:tabs>
        <w:tab w:val="left" w:pos="180"/>
        <w:tab w:val="left" w:pos="720"/>
        <w:tab w:val="left" w:pos="1440"/>
        <w:tab w:val="left" w:pos="2160"/>
      </w:tabs>
      <w:spacing w:after="120"/>
    </w:pPr>
    <w:rPr>
      <w:sz w:val="20"/>
      <w:lang w:val="x-none" w:eastAsia="x-none"/>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locked/>
    <w:rPr>
      <w:rFonts w:cs="Times New Roman"/>
      <w:sz w:val="20"/>
      <w:szCs w:val="20"/>
    </w:rPr>
  </w:style>
  <w:style w:type="character" w:styleId="FootnoteReference">
    <w:name w:val="footnote reference"/>
    <w:aliases w:val="Appel note de bas de p,Style 12,(NECG) Footnote Reference,Style 124,Style 13,o,fr,Style 3,FR"/>
    <w:semiHidden/>
    <w:rPr>
      <w:rFonts w:cs="Times New Roman"/>
      <w:vertAlign w:val="superscript"/>
    </w:rPr>
  </w:style>
  <w:style w:type="paragraph" w:styleId="Header">
    <w:name w:val="header"/>
    <w:basedOn w:val="Normal"/>
    <w:link w:val="HeaderChar"/>
    <w:rsid w:val="00FB6FC0"/>
    <w:pPr>
      <w:tabs>
        <w:tab w:val="center" w:pos="4320"/>
        <w:tab w:val="right" w:pos="8640"/>
      </w:tabs>
    </w:pPr>
  </w:style>
  <w:style w:type="character" w:customStyle="1" w:styleId="HeaderChar">
    <w:name w:val="Header Char"/>
    <w:link w:val="Header"/>
    <w:semiHidden/>
    <w:locked/>
    <w:rPr>
      <w:sz w:val="22"/>
      <w:lang w:val="en-US" w:eastAsia="en-US" w:bidi="ar-SA"/>
    </w:rPr>
  </w:style>
  <w:style w:type="paragraph" w:styleId="Footer">
    <w:name w:val="footer"/>
    <w:basedOn w:val="Normal"/>
    <w:link w:val="FooterChar"/>
    <w:rsid w:val="00FB6FC0"/>
    <w:pPr>
      <w:tabs>
        <w:tab w:val="center" w:pos="4320"/>
        <w:tab w:val="right" w:pos="8640"/>
      </w:tabs>
    </w:pPr>
  </w:style>
  <w:style w:type="character" w:customStyle="1" w:styleId="FooterChar">
    <w:name w:val="Footer Char"/>
    <w:link w:val="Footer"/>
    <w:semiHidden/>
    <w:locked/>
    <w:rPr>
      <w:sz w:val="22"/>
      <w:lang w:val="en-US" w:eastAsia="en-US" w:bidi="ar-SA"/>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rsid w:val="00FB6FC0"/>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rPr>
      <w:sz w:val="20"/>
      <w:lang w:val="x-none" w:eastAsia="x-none"/>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ParaNum"/>
    <w:link w:val="BalloonTextChar"/>
    <w:rsid w:val="00FB6FC0"/>
    <w:rPr>
      <w:sz w:val="20"/>
      <w:lang w:val="x-none" w:eastAsia="x-none"/>
    </w:rPr>
  </w:style>
  <w:style w:type="character" w:customStyle="1" w:styleId="BalloonTextChar">
    <w:name w:val="Balloon Text Char"/>
    <w:link w:val="BalloonText"/>
    <w:semiHidden/>
    <w:locked/>
    <w:rsid w:val="00FB6FC0"/>
    <w:rPr>
      <w:lang w:val="x-none" w:eastAsia="x-none" w:bidi="ar-SA"/>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31"/>
      <w:marRight w:val="31"/>
      <w:marTop w:val="31"/>
      <w:marBottom w:val="31"/>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46"/>
              <w:marRight w:val="46"/>
              <w:marTop w:val="46"/>
              <w:marBottom w:val="46"/>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186"/>
                      <w:marRight w:val="0"/>
                      <w:marTop w:val="0"/>
                      <w:marBottom w:val="0"/>
                      <w:divBdr>
                        <w:top w:val="none" w:sz="0" w:space="0" w:color="auto"/>
                        <w:left w:val="none" w:sz="0" w:space="0" w:color="auto"/>
                        <w:bottom w:val="none" w:sz="0" w:space="0" w:color="auto"/>
                        <w:right w:val="none" w:sz="0" w:space="0" w:color="auto"/>
                      </w:divBdr>
                    </w:div>
                    <w:div w:id="4">
                      <w:marLeft w:val="372"/>
                      <w:marRight w:val="0"/>
                      <w:marTop w:val="0"/>
                      <w:marBottom w:val="0"/>
                      <w:divBdr>
                        <w:top w:val="none" w:sz="0" w:space="0" w:color="auto"/>
                        <w:left w:val="none" w:sz="0" w:space="0" w:color="auto"/>
                        <w:bottom w:val="none" w:sz="0" w:space="0" w:color="auto"/>
                        <w:right w:val="none" w:sz="0" w:space="0" w:color="auto"/>
                      </w:divBdr>
                    </w:div>
                    <w:div w:id="5">
                      <w:marLeft w:val="372"/>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372"/>
                      <w:marRight w:val="0"/>
                      <w:marTop w:val="0"/>
                      <w:marBottom w:val="0"/>
                      <w:divBdr>
                        <w:top w:val="none" w:sz="0" w:space="0" w:color="auto"/>
                        <w:left w:val="none" w:sz="0" w:space="0" w:color="auto"/>
                        <w:bottom w:val="none" w:sz="0" w:space="0" w:color="auto"/>
                        <w:right w:val="none" w:sz="0" w:space="0" w:color="auto"/>
                      </w:divBdr>
                    </w:div>
                    <w:div w:id="15">
                      <w:marLeft w:val="372"/>
                      <w:marRight w:val="0"/>
                      <w:marTop w:val="0"/>
                      <w:marBottom w:val="0"/>
                      <w:divBdr>
                        <w:top w:val="none" w:sz="0" w:space="0" w:color="auto"/>
                        <w:left w:val="none" w:sz="0" w:space="0" w:color="auto"/>
                        <w:bottom w:val="none" w:sz="0" w:space="0" w:color="auto"/>
                        <w:right w:val="none" w:sz="0" w:space="0" w:color="auto"/>
                      </w:divBdr>
                    </w:div>
                    <w:div w:id="17">
                      <w:marLeft w:val="186"/>
                      <w:marRight w:val="0"/>
                      <w:marTop w:val="0"/>
                      <w:marBottom w:val="0"/>
                      <w:divBdr>
                        <w:top w:val="none" w:sz="0" w:space="0" w:color="auto"/>
                        <w:left w:val="none" w:sz="0" w:space="0" w:color="auto"/>
                        <w:bottom w:val="none" w:sz="0" w:space="0" w:color="auto"/>
                        <w:right w:val="none" w:sz="0" w:space="0" w:color="auto"/>
                      </w:divBdr>
                    </w:div>
                    <w:div w:id="21">
                      <w:marLeft w:val="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6003</Characters>
  <Application>Microsoft Office Word</Application>
  <DocSecurity>0</DocSecurity>
  <Lines>110</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2012-04-11T14:04:00Z</cp:lastPrinted>
  <dcterms:created xsi:type="dcterms:W3CDTF">2014-07-28T14:26:00Z</dcterms:created>
  <dcterms:modified xsi:type="dcterms:W3CDTF">2014-07-28T14:26:00Z</dcterms:modified>
  <cp:category> </cp:category>
  <cp:contentStatus> </cp:contentStatus>
</cp:coreProperties>
</file>