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FD4E" w14:textId="77777777" w:rsidR="00D3760F" w:rsidRDefault="00D3760F">
      <w:pPr>
        <w:widowControl/>
        <w:jc w:val="center"/>
        <w:rPr>
          <w:b/>
          <w:szCs w:val="22"/>
        </w:rPr>
      </w:pPr>
      <w:bookmarkStart w:id="0" w:name="_GoBack"/>
      <w:bookmarkEnd w:id="0"/>
      <w:r>
        <w:rPr>
          <w:b/>
          <w:kern w:val="0"/>
          <w:szCs w:val="22"/>
        </w:rPr>
        <w:t>Before</w:t>
      </w:r>
      <w:r>
        <w:rPr>
          <w:b/>
          <w:szCs w:val="22"/>
        </w:rPr>
        <w:t xml:space="preserve"> the</w:t>
      </w:r>
    </w:p>
    <w:p w14:paraId="25236DB5" w14:textId="77777777" w:rsidR="00D3760F" w:rsidRDefault="00D3760F">
      <w:pPr>
        <w:pStyle w:val="StyleBoldCentered"/>
        <w:widowControl/>
        <w:rPr>
          <w:rFonts w:ascii="Times New Roman" w:hAnsi="Times New Roman"/>
          <w:caps w:val="0"/>
        </w:rPr>
      </w:pPr>
      <w:r>
        <w:rPr>
          <w:rFonts w:ascii="Times New Roman" w:hAnsi="Times New Roman"/>
        </w:rPr>
        <w:t>F</w:t>
      </w:r>
      <w:r>
        <w:rPr>
          <w:rFonts w:ascii="Times New Roman" w:hAnsi="Times New Roman"/>
          <w:caps w:val="0"/>
        </w:rPr>
        <w:t>ederal Communications Commission</w:t>
      </w:r>
    </w:p>
    <w:p w14:paraId="5B348075" w14:textId="77777777" w:rsidR="00D3760F" w:rsidRDefault="00D3760F">
      <w:pPr>
        <w:pStyle w:val="StyleBoldCentered"/>
        <w:widowControl/>
        <w:rPr>
          <w:rFonts w:ascii="Times New Roman" w:hAnsi="Times New Roman"/>
        </w:rPr>
      </w:pPr>
      <w:smartTag w:uri="urn:schemas-microsoft-com:office:smarttags" w:element="City">
        <w:smartTag w:uri="urn:schemas-microsoft-com:office:smarttags" w:element="place">
          <w:r>
            <w:rPr>
              <w:rFonts w:ascii="Times New Roman" w:hAnsi="Times New Roman"/>
              <w:caps w:val="0"/>
            </w:rPr>
            <w:t>Washington</w:t>
          </w:r>
        </w:smartTag>
        <w:r>
          <w:rPr>
            <w:rFonts w:ascii="Times New Roman" w:hAnsi="Times New Roman"/>
            <w:caps w:val="0"/>
          </w:rPr>
          <w:t xml:space="preserve">, </w:t>
        </w:r>
        <w:smartTag w:uri="urn:schemas-microsoft-com:office:smarttags" w:element="PostalCode">
          <w:smartTag w:uri="urn:schemas-microsoft-com:office:smarttags" w:element="State">
            <w:r>
              <w:rPr>
                <w:rFonts w:ascii="Times New Roman" w:hAnsi="Times New Roman"/>
                <w:caps w:val="0"/>
              </w:rPr>
              <w:t>D.C.</w:t>
            </w:r>
          </w:smartTag>
        </w:smartTag>
        <w:r>
          <w:rPr>
            <w:rFonts w:ascii="Times New Roman" w:hAnsi="Times New Roman"/>
            <w:caps w:val="0"/>
          </w:rPr>
          <w:t xml:space="preserve"> </w:t>
        </w:r>
        <w:smartTag w:uri="urn:schemas-microsoft-com:office:smarttags" w:element="PostalCode">
          <w:r>
            <w:rPr>
              <w:rFonts w:ascii="Times New Roman" w:hAnsi="Times New Roman"/>
              <w:caps w:val="0"/>
            </w:rPr>
            <w:t>20554</w:t>
          </w:r>
        </w:smartTag>
      </w:smartTag>
    </w:p>
    <w:p w14:paraId="08310231" w14:textId="77777777" w:rsidR="00D3760F" w:rsidRDefault="00D3760F">
      <w:pPr>
        <w:widowControl/>
        <w:rPr>
          <w:szCs w:val="22"/>
        </w:rPr>
      </w:pPr>
    </w:p>
    <w:tbl>
      <w:tblPr>
        <w:tblW w:w="0" w:type="auto"/>
        <w:tblLayout w:type="fixed"/>
        <w:tblLook w:val="0000" w:firstRow="0" w:lastRow="0" w:firstColumn="0" w:lastColumn="0" w:noHBand="0" w:noVBand="0"/>
      </w:tblPr>
      <w:tblGrid>
        <w:gridCol w:w="4698"/>
        <w:gridCol w:w="630"/>
        <w:gridCol w:w="4248"/>
      </w:tblGrid>
      <w:tr w:rsidR="00D3760F" w14:paraId="1967A000" w14:textId="77777777">
        <w:tc>
          <w:tcPr>
            <w:tcW w:w="4698" w:type="dxa"/>
          </w:tcPr>
          <w:p w14:paraId="5B2DC4AD" w14:textId="77777777" w:rsidR="00D3760F" w:rsidRDefault="00D3760F">
            <w:pPr>
              <w:widowControl/>
              <w:tabs>
                <w:tab w:val="center" w:pos="4680"/>
              </w:tabs>
              <w:suppressAutoHyphens/>
              <w:rPr>
                <w:spacing w:val="-2"/>
                <w:szCs w:val="22"/>
              </w:rPr>
            </w:pPr>
            <w:r>
              <w:rPr>
                <w:spacing w:val="-2"/>
                <w:szCs w:val="22"/>
              </w:rPr>
              <w:t>In the Matter of</w:t>
            </w:r>
          </w:p>
          <w:p w14:paraId="05DF0781" w14:textId="77777777" w:rsidR="00D3760F" w:rsidRDefault="00D3760F">
            <w:pPr>
              <w:widowControl/>
              <w:tabs>
                <w:tab w:val="center" w:pos="4680"/>
              </w:tabs>
              <w:suppressAutoHyphens/>
              <w:rPr>
                <w:spacing w:val="-2"/>
                <w:szCs w:val="22"/>
              </w:rPr>
            </w:pPr>
          </w:p>
          <w:p w14:paraId="582F8D7E" w14:textId="77777777" w:rsidR="00CE7790" w:rsidRDefault="00566709" w:rsidP="00F20957">
            <w:pPr>
              <w:widowControl/>
              <w:tabs>
                <w:tab w:val="center" w:pos="4680"/>
              </w:tabs>
              <w:suppressAutoHyphens/>
              <w:rPr>
                <w:spacing w:val="-2"/>
                <w:szCs w:val="22"/>
              </w:rPr>
            </w:pPr>
            <w:r>
              <w:rPr>
                <w:spacing w:val="-2"/>
                <w:szCs w:val="22"/>
              </w:rPr>
              <w:t>The Hi</w:t>
            </w:r>
            <w:r w:rsidR="00CE7790">
              <w:rPr>
                <w:spacing w:val="-2"/>
                <w:szCs w:val="22"/>
              </w:rPr>
              <w:t xml:space="preserve">nton Telephone Company </w:t>
            </w:r>
          </w:p>
          <w:p w14:paraId="33540C5E" w14:textId="77777777" w:rsidR="00D3760F" w:rsidRDefault="00CE7790" w:rsidP="00F20957">
            <w:pPr>
              <w:widowControl/>
              <w:tabs>
                <w:tab w:val="center" w:pos="4680"/>
              </w:tabs>
              <w:suppressAutoHyphens/>
              <w:rPr>
                <w:spacing w:val="-2"/>
                <w:szCs w:val="22"/>
              </w:rPr>
            </w:pPr>
            <w:r>
              <w:rPr>
                <w:spacing w:val="-2"/>
                <w:szCs w:val="22"/>
              </w:rPr>
              <w:t>of Hinton, Oklahoma,</w:t>
            </w:r>
            <w:r w:rsidR="00F20957">
              <w:rPr>
                <w:spacing w:val="-2"/>
                <w:szCs w:val="22"/>
              </w:rPr>
              <w:t xml:space="preserve"> Inc.</w:t>
            </w:r>
            <w:r w:rsidR="00EC4A67">
              <w:rPr>
                <w:spacing w:val="-2"/>
                <w:szCs w:val="22"/>
              </w:rPr>
              <w:t>,</w:t>
            </w:r>
            <w:r w:rsidR="00F20957">
              <w:rPr>
                <w:spacing w:val="-2"/>
                <w:szCs w:val="22"/>
              </w:rPr>
              <w:t xml:space="preserve"> </w:t>
            </w:r>
          </w:p>
          <w:p w14:paraId="3A6B33B6" w14:textId="77777777" w:rsidR="00CE7790" w:rsidRDefault="00CE7790" w:rsidP="00F20957">
            <w:pPr>
              <w:widowControl/>
              <w:tabs>
                <w:tab w:val="center" w:pos="4680"/>
              </w:tabs>
              <w:suppressAutoHyphens/>
              <w:rPr>
                <w:spacing w:val="-2"/>
                <w:szCs w:val="22"/>
              </w:rPr>
            </w:pPr>
            <w:r>
              <w:rPr>
                <w:spacing w:val="-2"/>
                <w:szCs w:val="22"/>
              </w:rPr>
              <w:t>d</w:t>
            </w:r>
            <w:r w:rsidR="00EC4A67">
              <w:rPr>
                <w:spacing w:val="-2"/>
                <w:szCs w:val="22"/>
              </w:rPr>
              <w:t>/</w:t>
            </w:r>
            <w:r>
              <w:rPr>
                <w:spacing w:val="-2"/>
                <w:szCs w:val="22"/>
              </w:rPr>
              <w:t>b</w:t>
            </w:r>
            <w:r w:rsidR="00EC4A67">
              <w:rPr>
                <w:spacing w:val="-2"/>
                <w:szCs w:val="22"/>
              </w:rPr>
              <w:t>/</w:t>
            </w:r>
            <w:r>
              <w:rPr>
                <w:spacing w:val="-2"/>
                <w:szCs w:val="22"/>
              </w:rPr>
              <w:t>a Hinton Telephone Company</w:t>
            </w:r>
          </w:p>
          <w:p w14:paraId="3DABA47C" w14:textId="77777777" w:rsidR="00F20957" w:rsidRDefault="00F20957" w:rsidP="00F20957">
            <w:pPr>
              <w:widowControl/>
              <w:tabs>
                <w:tab w:val="center" w:pos="4680"/>
              </w:tabs>
              <w:suppressAutoHyphens/>
              <w:rPr>
                <w:spacing w:val="-2"/>
                <w:szCs w:val="22"/>
              </w:rPr>
            </w:pPr>
          </w:p>
        </w:tc>
        <w:tc>
          <w:tcPr>
            <w:tcW w:w="630" w:type="dxa"/>
          </w:tcPr>
          <w:p w14:paraId="7CD1FAF1" w14:textId="77777777" w:rsidR="00D3760F" w:rsidRDefault="00D3760F">
            <w:pPr>
              <w:widowControl/>
              <w:tabs>
                <w:tab w:val="center" w:pos="4680"/>
              </w:tabs>
              <w:suppressAutoHyphens/>
              <w:rPr>
                <w:b/>
                <w:spacing w:val="-2"/>
                <w:szCs w:val="22"/>
              </w:rPr>
            </w:pPr>
            <w:r>
              <w:rPr>
                <w:b/>
                <w:spacing w:val="-2"/>
                <w:szCs w:val="22"/>
              </w:rPr>
              <w:t>)</w:t>
            </w:r>
          </w:p>
          <w:p w14:paraId="1E94DDD9" w14:textId="77777777" w:rsidR="00D3760F" w:rsidRDefault="00D3760F">
            <w:pPr>
              <w:widowControl/>
              <w:tabs>
                <w:tab w:val="center" w:pos="4680"/>
              </w:tabs>
              <w:suppressAutoHyphens/>
              <w:rPr>
                <w:b/>
                <w:spacing w:val="-2"/>
                <w:szCs w:val="22"/>
              </w:rPr>
            </w:pPr>
            <w:r>
              <w:rPr>
                <w:b/>
                <w:spacing w:val="-2"/>
                <w:szCs w:val="22"/>
              </w:rPr>
              <w:t>)</w:t>
            </w:r>
          </w:p>
          <w:p w14:paraId="500F8FB1" w14:textId="77777777" w:rsidR="00D3760F" w:rsidRDefault="00D3760F">
            <w:pPr>
              <w:widowControl/>
              <w:tabs>
                <w:tab w:val="center" w:pos="4680"/>
              </w:tabs>
              <w:suppressAutoHyphens/>
              <w:rPr>
                <w:b/>
                <w:spacing w:val="-2"/>
                <w:szCs w:val="22"/>
              </w:rPr>
            </w:pPr>
            <w:r>
              <w:rPr>
                <w:b/>
                <w:spacing w:val="-2"/>
                <w:szCs w:val="22"/>
              </w:rPr>
              <w:t>)</w:t>
            </w:r>
          </w:p>
          <w:p w14:paraId="00086C8B" w14:textId="77777777" w:rsidR="00D3760F" w:rsidRDefault="00D3760F">
            <w:pPr>
              <w:widowControl/>
              <w:tabs>
                <w:tab w:val="center" w:pos="4680"/>
              </w:tabs>
              <w:suppressAutoHyphens/>
              <w:rPr>
                <w:b/>
                <w:spacing w:val="-2"/>
                <w:szCs w:val="22"/>
              </w:rPr>
            </w:pPr>
            <w:r>
              <w:rPr>
                <w:b/>
                <w:spacing w:val="-2"/>
                <w:szCs w:val="22"/>
              </w:rPr>
              <w:t>)</w:t>
            </w:r>
          </w:p>
          <w:p w14:paraId="5E38D1E8" w14:textId="77777777" w:rsidR="00D3760F" w:rsidRDefault="00D3760F">
            <w:pPr>
              <w:widowControl/>
              <w:tabs>
                <w:tab w:val="center" w:pos="4680"/>
              </w:tabs>
              <w:suppressAutoHyphens/>
              <w:rPr>
                <w:b/>
                <w:spacing w:val="-2"/>
                <w:szCs w:val="22"/>
              </w:rPr>
            </w:pPr>
            <w:r>
              <w:rPr>
                <w:b/>
                <w:spacing w:val="-2"/>
                <w:szCs w:val="22"/>
              </w:rPr>
              <w:t>)</w:t>
            </w:r>
          </w:p>
          <w:p w14:paraId="44D9A113" w14:textId="77777777" w:rsidR="00D3760F" w:rsidRDefault="00D3760F">
            <w:pPr>
              <w:widowControl/>
              <w:tabs>
                <w:tab w:val="center" w:pos="4680"/>
              </w:tabs>
              <w:suppressAutoHyphens/>
              <w:rPr>
                <w:b/>
                <w:spacing w:val="-2"/>
                <w:szCs w:val="22"/>
              </w:rPr>
            </w:pPr>
            <w:r>
              <w:rPr>
                <w:b/>
                <w:spacing w:val="-2"/>
                <w:szCs w:val="22"/>
              </w:rPr>
              <w:t>)</w:t>
            </w:r>
          </w:p>
          <w:p w14:paraId="6C053DAD" w14:textId="77777777" w:rsidR="00D3760F" w:rsidRDefault="00D3760F">
            <w:pPr>
              <w:widowControl/>
              <w:tabs>
                <w:tab w:val="center" w:pos="4680"/>
              </w:tabs>
              <w:suppressAutoHyphens/>
              <w:rPr>
                <w:spacing w:val="-2"/>
                <w:szCs w:val="22"/>
              </w:rPr>
            </w:pPr>
            <w:r>
              <w:rPr>
                <w:b/>
                <w:spacing w:val="-2"/>
                <w:szCs w:val="22"/>
              </w:rPr>
              <w:t>)</w:t>
            </w:r>
          </w:p>
        </w:tc>
        <w:tc>
          <w:tcPr>
            <w:tcW w:w="4248" w:type="dxa"/>
          </w:tcPr>
          <w:p w14:paraId="201C05A5" w14:textId="77777777" w:rsidR="00D3760F" w:rsidRDefault="00D3760F">
            <w:pPr>
              <w:widowControl/>
              <w:tabs>
                <w:tab w:val="center" w:pos="4680"/>
              </w:tabs>
              <w:suppressAutoHyphens/>
              <w:rPr>
                <w:spacing w:val="-2"/>
                <w:szCs w:val="22"/>
              </w:rPr>
            </w:pPr>
          </w:p>
          <w:p w14:paraId="62A954CF" w14:textId="77777777" w:rsidR="00965FCB" w:rsidRDefault="00965FCB" w:rsidP="00965FCB">
            <w:pPr>
              <w:widowControl/>
              <w:tabs>
                <w:tab w:val="center" w:pos="4680"/>
              </w:tabs>
              <w:suppressAutoHyphens/>
              <w:ind w:left="432"/>
              <w:rPr>
                <w:spacing w:val="-2"/>
                <w:szCs w:val="22"/>
              </w:rPr>
            </w:pPr>
          </w:p>
          <w:p w14:paraId="269FE007" w14:textId="77777777" w:rsidR="00D3760F" w:rsidRPr="00495FE8" w:rsidRDefault="00D3760F" w:rsidP="00965FCB">
            <w:pPr>
              <w:widowControl/>
              <w:tabs>
                <w:tab w:val="center" w:pos="4680"/>
              </w:tabs>
              <w:suppressAutoHyphens/>
              <w:ind w:left="432"/>
              <w:rPr>
                <w:spacing w:val="-2"/>
                <w:szCs w:val="22"/>
              </w:rPr>
            </w:pPr>
            <w:r w:rsidRPr="00495FE8">
              <w:rPr>
                <w:spacing w:val="-2"/>
                <w:szCs w:val="22"/>
              </w:rPr>
              <w:t xml:space="preserve">File No.:  </w:t>
            </w:r>
            <w:r w:rsidRPr="00495FE8">
              <w:rPr>
                <w:szCs w:val="22"/>
              </w:rPr>
              <w:t>EB-SED-14-</w:t>
            </w:r>
            <w:r w:rsidR="00641289">
              <w:rPr>
                <w:spacing w:val="-2"/>
                <w:szCs w:val="22"/>
              </w:rPr>
              <w:t>00016210</w:t>
            </w:r>
            <w:r w:rsidRPr="00495FE8">
              <w:rPr>
                <w:rStyle w:val="FootnoteReference"/>
                <w:spacing w:val="-2"/>
                <w:szCs w:val="22"/>
              </w:rPr>
              <w:footnoteReference w:id="2"/>
            </w:r>
          </w:p>
          <w:p w14:paraId="5E623599" w14:textId="77777777" w:rsidR="00D3760F" w:rsidRPr="00495FE8" w:rsidRDefault="00D3760F" w:rsidP="00495FE8">
            <w:pPr>
              <w:widowControl/>
              <w:tabs>
                <w:tab w:val="center" w:pos="4680"/>
              </w:tabs>
              <w:suppressAutoHyphens/>
              <w:ind w:firstLine="432"/>
              <w:rPr>
                <w:spacing w:val="-2"/>
                <w:szCs w:val="22"/>
              </w:rPr>
            </w:pPr>
          </w:p>
          <w:p w14:paraId="44C47C31" w14:textId="77777777" w:rsidR="00380FDC" w:rsidRPr="00965FCB" w:rsidRDefault="00D3760F" w:rsidP="00380FDC">
            <w:pPr>
              <w:widowControl/>
              <w:tabs>
                <w:tab w:val="center" w:pos="4680"/>
              </w:tabs>
              <w:suppressAutoHyphens/>
              <w:ind w:firstLine="432"/>
              <w:rPr>
                <w:spacing w:val="-2"/>
                <w:szCs w:val="22"/>
              </w:rPr>
            </w:pPr>
            <w:r w:rsidRPr="00495FE8">
              <w:rPr>
                <w:spacing w:val="-2"/>
                <w:szCs w:val="22"/>
              </w:rPr>
              <w:t xml:space="preserve">NAL/Acct. No.:  </w:t>
            </w:r>
            <w:r w:rsidR="00380FDC" w:rsidRPr="00965FCB">
              <w:rPr>
                <w:spacing w:val="-2"/>
                <w:szCs w:val="22"/>
              </w:rPr>
              <w:t>201432100027</w:t>
            </w:r>
          </w:p>
          <w:p w14:paraId="78AF0C3D" w14:textId="3212C491" w:rsidR="00D3760F" w:rsidRPr="00495FE8" w:rsidRDefault="00D3760F" w:rsidP="00495FE8">
            <w:pPr>
              <w:widowControl/>
              <w:tabs>
                <w:tab w:val="center" w:pos="4680"/>
              </w:tabs>
              <w:suppressAutoHyphens/>
              <w:ind w:firstLine="432"/>
              <w:rPr>
                <w:spacing w:val="-2"/>
                <w:szCs w:val="22"/>
              </w:rPr>
            </w:pPr>
          </w:p>
          <w:p w14:paraId="2D14FE2C" w14:textId="77777777" w:rsidR="00D3760F" w:rsidRDefault="00D3760F" w:rsidP="00F20957">
            <w:pPr>
              <w:widowControl/>
              <w:tabs>
                <w:tab w:val="center" w:pos="4680"/>
              </w:tabs>
              <w:suppressAutoHyphens/>
              <w:ind w:firstLine="432"/>
              <w:rPr>
                <w:spacing w:val="-2"/>
                <w:szCs w:val="22"/>
              </w:rPr>
            </w:pPr>
            <w:r w:rsidRPr="00495FE8">
              <w:rPr>
                <w:spacing w:val="-2"/>
                <w:szCs w:val="22"/>
              </w:rPr>
              <w:t xml:space="preserve">FRN:  </w:t>
            </w:r>
            <w:r>
              <w:rPr>
                <w:spacing w:val="-2"/>
                <w:szCs w:val="22"/>
              </w:rPr>
              <w:t xml:space="preserve">  </w:t>
            </w:r>
            <w:r w:rsidR="00B8280E" w:rsidRPr="00B8280E">
              <w:rPr>
                <w:spacing w:val="-2"/>
                <w:szCs w:val="22"/>
              </w:rPr>
              <w:t>0004365334</w:t>
            </w:r>
          </w:p>
        </w:tc>
      </w:tr>
    </w:tbl>
    <w:p w14:paraId="3771D473" w14:textId="77777777" w:rsidR="00D3760F" w:rsidRDefault="00D3760F">
      <w:pPr>
        <w:widowControl/>
        <w:rPr>
          <w:szCs w:val="22"/>
        </w:rPr>
      </w:pPr>
    </w:p>
    <w:p w14:paraId="24F01F50" w14:textId="77777777" w:rsidR="00D3760F" w:rsidRPr="00495FE8" w:rsidRDefault="00D3760F" w:rsidP="009112E0">
      <w:pPr>
        <w:pStyle w:val="StyleBoldCentered"/>
        <w:widowControl/>
        <w:rPr>
          <w:rFonts w:ascii="Times New Roman" w:hAnsi="Times New Roman"/>
        </w:rPr>
      </w:pPr>
      <w:r w:rsidRPr="00495FE8">
        <w:rPr>
          <w:rFonts w:ascii="Times New Roman" w:hAnsi="Times New Roman"/>
        </w:rPr>
        <w:t>Notice of Apparent Liability for Forfeiture</w:t>
      </w:r>
    </w:p>
    <w:p w14:paraId="2AEE0A3E" w14:textId="77777777" w:rsidR="00D3760F" w:rsidRPr="00495FE8" w:rsidRDefault="00D3760F">
      <w:pPr>
        <w:widowControl/>
        <w:tabs>
          <w:tab w:val="left" w:pos="-720"/>
        </w:tabs>
        <w:suppressAutoHyphens/>
        <w:spacing w:line="227" w:lineRule="auto"/>
        <w:jc w:val="center"/>
        <w:rPr>
          <w:spacing w:val="-2"/>
          <w:szCs w:val="22"/>
        </w:rPr>
      </w:pPr>
    </w:p>
    <w:p w14:paraId="090BBF9F" w14:textId="7F5D6A07" w:rsidR="00D3760F" w:rsidRPr="00495FE8" w:rsidRDefault="00D3760F">
      <w:pPr>
        <w:widowControl/>
        <w:tabs>
          <w:tab w:val="left" w:pos="720"/>
          <w:tab w:val="left" w:pos="5760"/>
        </w:tabs>
        <w:suppressAutoHyphens/>
        <w:spacing w:line="227" w:lineRule="auto"/>
        <w:rPr>
          <w:spacing w:val="-2"/>
          <w:szCs w:val="22"/>
        </w:rPr>
      </w:pPr>
      <w:r w:rsidRPr="00495FE8">
        <w:rPr>
          <w:b/>
          <w:spacing w:val="-2"/>
          <w:szCs w:val="22"/>
        </w:rPr>
        <w:t>Adopted</w:t>
      </w:r>
      <w:r w:rsidR="0096214F">
        <w:rPr>
          <w:b/>
          <w:spacing w:val="-2"/>
          <w:szCs w:val="22"/>
        </w:rPr>
        <w:t xml:space="preserve">:  </w:t>
      </w:r>
      <w:r w:rsidR="00111B93" w:rsidRPr="00965FCB">
        <w:rPr>
          <w:b/>
          <w:spacing w:val="-2"/>
          <w:szCs w:val="22"/>
        </w:rPr>
        <w:t>August 4</w:t>
      </w:r>
      <w:r w:rsidR="0096214F" w:rsidRPr="00965FCB">
        <w:rPr>
          <w:b/>
          <w:spacing w:val="-2"/>
          <w:szCs w:val="22"/>
        </w:rPr>
        <w:t>, 2014</w:t>
      </w:r>
      <w:r w:rsidRPr="00111B93">
        <w:rPr>
          <w:b/>
          <w:spacing w:val="-2"/>
          <w:szCs w:val="22"/>
        </w:rPr>
        <w:tab/>
        <w:t xml:space="preserve">                     Released</w:t>
      </w:r>
      <w:r w:rsidR="0096214F" w:rsidRPr="00111B93">
        <w:rPr>
          <w:b/>
          <w:spacing w:val="-2"/>
          <w:szCs w:val="22"/>
        </w:rPr>
        <w:t xml:space="preserve">:  </w:t>
      </w:r>
      <w:r w:rsidR="00111B93" w:rsidRPr="00965FCB">
        <w:rPr>
          <w:b/>
          <w:spacing w:val="-2"/>
          <w:szCs w:val="22"/>
        </w:rPr>
        <w:t>August 4</w:t>
      </w:r>
      <w:r w:rsidR="0096214F" w:rsidRPr="00965FCB">
        <w:rPr>
          <w:b/>
          <w:spacing w:val="-2"/>
          <w:szCs w:val="22"/>
        </w:rPr>
        <w:t>, 2014</w:t>
      </w:r>
    </w:p>
    <w:p w14:paraId="22C2FB19" w14:textId="77777777" w:rsidR="00D3760F" w:rsidRPr="00495FE8" w:rsidRDefault="00D3760F" w:rsidP="0002101E">
      <w:pPr>
        <w:widowControl/>
        <w:jc w:val="center"/>
        <w:rPr>
          <w:szCs w:val="22"/>
        </w:rPr>
      </w:pPr>
    </w:p>
    <w:p w14:paraId="2D27BABC" w14:textId="77777777" w:rsidR="00D3760F" w:rsidRPr="00495FE8" w:rsidRDefault="00D3760F" w:rsidP="00B218FF">
      <w:pPr>
        <w:widowControl/>
        <w:spacing w:after="120"/>
        <w:rPr>
          <w:spacing w:val="-2"/>
          <w:szCs w:val="22"/>
        </w:rPr>
      </w:pPr>
      <w:r w:rsidRPr="00495FE8">
        <w:rPr>
          <w:szCs w:val="22"/>
        </w:rPr>
        <w:t xml:space="preserve">By the </w:t>
      </w:r>
      <w:r w:rsidR="0012315C">
        <w:rPr>
          <w:szCs w:val="22"/>
        </w:rPr>
        <w:t xml:space="preserve">Acting </w:t>
      </w:r>
      <w:r w:rsidRPr="00495FE8">
        <w:rPr>
          <w:spacing w:val="-2"/>
          <w:szCs w:val="22"/>
        </w:rPr>
        <w:t xml:space="preserve">Chief, Enforcement Bureau: </w:t>
      </w:r>
    </w:p>
    <w:p w14:paraId="6833912A" w14:textId="77777777" w:rsidR="00D3760F" w:rsidRPr="00495FE8" w:rsidRDefault="00D3760F" w:rsidP="00EC1BD5">
      <w:pPr>
        <w:pStyle w:val="Heading1"/>
        <w:widowControl/>
        <w:tabs>
          <w:tab w:val="clear" w:pos="1170"/>
        </w:tabs>
        <w:ind w:left="720"/>
        <w:rPr>
          <w:rFonts w:ascii="Times New Roman" w:hAnsi="Times New Roman"/>
          <w:sz w:val="22"/>
          <w:szCs w:val="22"/>
        </w:rPr>
      </w:pPr>
      <w:r w:rsidRPr="00495FE8">
        <w:rPr>
          <w:rFonts w:ascii="Times New Roman" w:hAnsi="Times New Roman"/>
          <w:sz w:val="22"/>
          <w:szCs w:val="22"/>
        </w:rPr>
        <w:t>INTRODUCTION</w:t>
      </w:r>
    </w:p>
    <w:p w14:paraId="2F9D1985" w14:textId="392ABBEB" w:rsidR="00424DD5" w:rsidRDefault="00A458D2" w:rsidP="00965FCB">
      <w:pPr>
        <w:pStyle w:val="ParaNum"/>
        <w:tabs>
          <w:tab w:val="clear" w:pos="1080"/>
          <w:tab w:val="num" w:pos="1440"/>
        </w:tabs>
      </w:pPr>
      <w:r w:rsidRPr="00A458D2">
        <w:t xml:space="preserve">911 is the single most critical tool for citizen emergency communications. </w:t>
      </w:r>
      <w:r w:rsidR="000A0E43">
        <w:t xml:space="preserve"> </w:t>
      </w:r>
      <w:r w:rsidRPr="00A458D2">
        <w:t>The American public universally relies upon 911 in a time of crisis.  When there is an emergency, citizens can, should, and do trust that when they call 911, someone will answer the phone.  The Hinton Telephone Company of Hinton, Oklahoma, Inc.</w:t>
      </w:r>
      <w:r w:rsidR="000A0E43">
        <w:t xml:space="preserve"> (Hinton)</w:t>
      </w:r>
      <w:r w:rsidRPr="00A458D2">
        <w:t xml:space="preserve"> undermined that trust and betrayed its customers when for several months in 2013 it apparently routed 911 calls from Caddo County, Oklahoma</w:t>
      </w:r>
      <w:r w:rsidR="00011BB1">
        <w:t>,</w:t>
      </w:r>
      <w:r w:rsidRPr="00A458D2">
        <w:t xml:space="preserve"> to an automated AT&amp;T operator message which instructed callers to “hang up and dial 911” if their call is an emergency.  That trust was further betrayed when Hinton allegedly continued to allow 911 calls to be routed to the automated message for three months after the company discovered the problem.  The company returned the system to functionality only after being contacted by FCC investigators and directed to do so. </w:t>
      </w:r>
      <w:r w:rsidR="000A0E43">
        <w:t xml:space="preserve"> </w:t>
      </w:r>
      <w:r w:rsidRPr="00A458D2">
        <w:t xml:space="preserve">This is manifestly unacceptable.  This betrayal is particularly egregious and dangerous for a rural community like Caddo County, Oklahoma, whose residents may be far from help and most in need of reliable and efficient emergency communications.  The Commission’s 911 rules are intended to ensure that emergency calls are routed properly and always result in contact with public safety personnel.  Hinton apparently failed to use reasonable judgment in routing its Caddo County customers’ 911 calls, willfully and repeatedly violating our rules, and created a significant threat to the life and property of the residents of Caddo County, Oklahoma.  This is unconscionable and warrants a substantial penalty. </w:t>
      </w:r>
      <w:r w:rsidR="00965FCB">
        <w:t xml:space="preserve"> </w:t>
      </w:r>
      <w:r w:rsidRPr="00A458D2">
        <w:t>We propose to fine Hinton $100,000.</w:t>
      </w:r>
    </w:p>
    <w:p w14:paraId="5F315F85" w14:textId="3C3C6B5B" w:rsidR="00245B3F" w:rsidRDefault="00581E32" w:rsidP="006F7003">
      <w:pPr>
        <w:pStyle w:val="ParaNum"/>
        <w:widowControl/>
        <w:tabs>
          <w:tab w:val="clear" w:pos="1080"/>
          <w:tab w:val="num" w:pos="1440"/>
        </w:tabs>
      </w:pPr>
      <w:r>
        <w:t xml:space="preserve">As discussed below, Hinton, </w:t>
      </w:r>
      <w:r w:rsidR="00AF7B9B">
        <w:t>a</w:t>
      </w:r>
      <w:r>
        <w:t xml:space="preserve"> local exchange carrier </w:t>
      </w:r>
      <w:r w:rsidR="00B218FF">
        <w:t>serving</w:t>
      </w:r>
      <w:r>
        <w:t xml:space="preserve"> parts of </w:t>
      </w:r>
      <w:r w:rsidRPr="00581E32">
        <w:t>Caddo</w:t>
      </w:r>
      <w:r w:rsidR="00CC2CBD">
        <w:t xml:space="preserve"> and other</w:t>
      </w:r>
      <w:r w:rsidR="00CA605D">
        <w:t xml:space="preserve"> </w:t>
      </w:r>
      <w:r w:rsidR="00CC2CBD">
        <w:t>c</w:t>
      </w:r>
      <w:r w:rsidRPr="00581E32">
        <w:t>ounties in Oklahoma</w:t>
      </w:r>
      <w:r>
        <w:t>,</w:t>
      </w:r>
      <w:r w:rsidRPr="00495FE8">
        <w:rPr>
          <w:rStyle w:val="FootnoteReference"/>
          <w:szCs w:val="22"/>
        </w:rPr>
        <w:footnoteReference w:id="3"/>
      </w:r>
      <w:r>
        <w:t xml:space="preserve"> </w:t>
      </w:r>
      <w:r w:rsidR="00D3760F" w:rsidRPr="00495FE8">
        <w:t xml:space="preserve">apparently willfully and </w:t>
      </w:r>
      <w:r w:rsidR="00D3760F" w:rsidRPr="00087B46">
        <w:t>repeatedly</w:t>
      </w:r>
      <w:r w:rsidR="00D3760F" w:rsidRPr="00495FE8">
        <w:t xml:space="preserve"> violated </w:t>
      </w:r>
      <w:r w:rsidR="000D707C">
        <w:t>Section</w:t>
      </w:r>
      <w:r w:rsidR="00EC1BD5">
        <w:t>s</w:t>
      </w:r>
      <w:r w:rsidR="000D707C">
        <w:t xml:space="preserve"> 64.3001 and 64.3002(d)</w:t>
      </w:r>
      <w:r w:rsidR="00F20957">
        <w:t xml:space="preserve"> of </w:t>
      </w:r>
      <w:r w:rsidR="00D3760F" w:rsidRPr="00495FE8">
        <w:t>the Commission’s rules (Rules)</w:t>
      </w:r>
      <w:r w:rsidR="00EC1BD5">
        <w:t xml:space="preserve"> by </w:t>
      </w:r>
      <w:r w:rsidR="00C63BE6">
        <w:t xml:space="preserve">failing to use reasonable judgment </w:t>
      </w:r>
      <w:r w:rsidR="006856CD">
        <w:t>when it</w:t>
      </w:r>
      <w:r w:rsidR="00C63BE6">
        <w:t xml:space="preserve"> </w:t>
      </w:r>
      <w:r w:rsidR="00AC4C54">
        <w:t xml:space="preserve">knowingly </w:t>
      </w:r>
      <w:r w:rsidR="00EC1BD5">
        <w:t>rout</w:t>
      </w:r>
      <w:r w:rsidR="006856CD">
        <w:t>ed</w:t>
      </w:r>
      <w:r w:rsidR="00EC1BD5">
        <w:t xml:space="preserve"> 911 calls to an automated </w:t>
      </w:r>
      <w:r w:rsidR="00245B3F">
        <w:t>operator message</w:t>
      </w:r>
      <w:r w:rsidR="00D3760F" w:rsidRPr="00495FE8">
        <w:t>.</w:t>
      </w:r>
      <w:r w:rsidR="00D3760F" w:rsidRPr="00495FE8">
        <w:rPr>
          <w:rStyle w:val="FootnoteReference"/>
          <w:szCs w:val="22"/>
        </w:rPr>
        <w:footnoteReference w:id="4"/>
      </w:r>
    </w:p>
    <w:p w14:paraId="042A696E" w14:textId="77777777" w:rsidR="00245B3F" w:rsidRPr="00245B3F" w:rsidRDefault="00245B3F" w:rsidP="00245B3F">
      <w:pPr>
        <w:pStyle w:val="Heading1"/>
        <w:tabs>
          <w:tab w:val="clear" w:pos="720"/>
          <w:tab w:val="clear" w:pos="1170"/>
        </w:tabs>
        <w:ind w:left="720"/>
        <w:rPr>
          <w:rFonts w:ascii="Times New Roman" w:hAnsi="Times New Roman"/>
          <w:sz w:val="22"/>
          <w:szCs w:val="22"/>
        </w:rPr>
      </w:pPr>
      <w:r w:rsidRPr="00245B3F">
        <w:rPr>
          <w:rFonts w:ascii="Times New Roman" w:hAnsi="Times New Roman"/>
          <w:sz w:val="22"/>
          <w:szCs w:val="22"/>
        </w:rPr>
        <w:lastRenderedPageBreak/>
        <w:t>B</w:t>
      </w:r>
      <w:r>
        <w:rPr>
          <w:rFonts w:ascii="Times New Roman" w:hAnsi="Times New Roman"/>
          <w:sz w:val="22"/>
          <w:szCs w:val="22"/>
        </w:rPr>
        <w:t>ACKGROUND</w:t>
      </w:r>
    </w:p>
    <w:p w14:paraId="6A1B5AF4" w14:textId="77777777" w:rsidR="00CD5FC6" w:rsidRDefault="002C6D0A" w:rsidP="00245B3F">
      <w:pPr>
        <w:pStyle w:val="ParaNum"/>
        <w:tabs>
          <w:tab w:val="clear" w:pos="1080"/>
        </w:tabs>
      </w:pPr>
      <w:r>
        <w:t>Pu</w:t>
      </w:r>
      <w:r w:rsidR="00245B3F" w:rsidRPr="00245B3F">
        <w:t xml:space="preserve">rsuant to Section 64.3001 of the </w:t>
      </w:r>
      <w:r>
        <w:t>Rules, telecommunications carriers</w:t>
      </w:r>
      <w:r w:rsidR="00245B3F" w:rsidRPr="00245B3F">
        <w:t>, such as Hinton, are required to transmit all 911 calls to a Public Safety Answering Point</w:t>
      </w:r>
      <w:r>
        <w:t xml:space="preserve"> (PSAP)</w:t>
      </w:r>
      <w:r w:rsidR="00245B3F" w:rsidRPr="00245B3F">
        <w:t>,</w:t>
      </w:r>
      <w:r>
        <w:rPr>
          <w:rStyle w:val="FootnoteReference"/>
        </w:rPr>
        <w:footnoteReference w:id="5"/>
      </w:r>
      <w:r w:rsidR="00245B3F" w:rsidRPr="00245B3F">
        <w:t xml:space="preserve"> to a designated statewide default answering point,</w:t>
      </w:r>
      <w:r w:rsidR="00CE22E0">
        <w:rPr>
          <w:rStyle w:val="FootnoteReference"/>
        </w:rPr>
        <w:footnoteReference w:id="6"/>
      </w:r>
      <w:r w:rsidR="00245B3F" w:rsidRPr="00245B3F">
        <w:t xml:space="preserve"> or to an appropriate local emergency authority.</w:t>
      </w:r>
      <w:r w:rsidR="00CE22E0">
        <w:rPr>
          <w:rStyle w:val="FootnoteReference"/>
        </w:rPr>
        <w:footnoteReference w:id="7"/>
      </w:r>
      <w:r w:rsidR="001B510C">
        <w:t xml:space="preserve">  </w:t>
      </w:r>
      <w:r w:rsidR="00245B3F" w:rsidRPr="00245B3F">
        <w:t>Section 64.3002</w:t>
      </w:r>
      <w:r w:rsidR="00CD5FC6">
        <w:t xml:space="preserve">(d) of the Rules </w:t>
      </w:r>
      <w:r w:rsidR="00245B3F" w:rsidRPr="00245B3F">
        <w:t>provides that</w:t>
      </w:r>
      <w:r w:rsidR="00CD5FC6">
        <w:t>:</w:t>
      </w:r>
      <w:r w:rsidR="00245B3F" w:rsidRPr="00245B3F">
        <w:t xml:space="preserve"> </w:t>
      </w:r>
    </w:p>
    <w:p w14:paraId="367D331C" w14:textId="77777777" w:rsidR="00245B3F" w:rsidRDefault="00CD5FC6" w:rsidP="00C36CFF">
      <w:pPr>
        <w:pStyle w:val="ParaNum"/>
        <w:numPr>
          <w:ilvl w:val="0"/>
          <w:numId w:val="0"/>
        </w:numPr>
        <w:ind w:left="720" w:right="720"/>
      </w:pPr>
      <w:r>
        <w:t>W</w:t>
      </w:r>
      <w:r w:rsidR="00245B3F" w:rsidRPr="00245B3F">
        <w:t>here no PSAP nor statewide default answering point has been designated, and no appropriate local emergency authority has been selected by an authorized state or local entity, telecommunications carriers shall identify an appropriate local emergency authority, based on the exercise of reasonable judgment, and complete all translation and routing necessary to deliver 911 calls to such appropriate local emergency authority</w:t>
      </w:r>
      <w:r w:rsidR="00CE22E0">
        <w:t xml:space="preserve"> no later than September 11, 2002</w:t>
      </w:r>
      <w:r w:rsidR="00245B3F" w:rsidRPr="00245B3F">
        <w:t>.</w:t>
      </w:r>
      <w:r w:rsidR="00300039">
        <w:rPr>
          <w:rStyle w:val="FootnoteReference"/>
        </w:rPr>
        <w:footnoteReference w:id="8"/>
      </w:r>
      <w:r w:rsidR="00245B3F" w:rsidRPr="00245B3F">
        <w:t xml:space="preserve">   </w:t>
      </w:r>
    </w:p>
    <w:p w14:paraId="1FEA0563" w14:textId="77777777" w:rsidR="00CC2CBD" w:rsidRDefault="00B8280E" w:rsidP="00097657">
      <w:pPr>
        <w:pStyle w:val="ParaNum"/>
        <w:tabs>
          <w:tab w:val="clear" w:pos="1080"/>
        </w:tabs>
      </w:pPr>
      <w:r w:rsidRPr="00B8280E">
        <w:t xml:space="preserve">On </w:t>
      </w:r>
      <w:r w:rsidR="00087B46">
        <w:t>May 6, 2013</w:t>
      </w:r>
      <w:r w:rsidRPr="00B8280E">
        <w:t>, the Commission</w:t>
      </w:r>
      <w:r w:rsidR="006877FF">
        <w:t>’s Public Safety and Homeland Security Bureau (PSHSB)</w:t>
      </w:r>
      <w:r w:rsidRPr="00B8280E">
        <w:t xml:space="preserve"> received a </w:t>
      </w:r>
      <w:r w:rsidR="00087B46">
        <w:t xml:space="preserve">complaint </w:t>
      </w:r>
      <w:r w:rsidR="007A531C">
        <w:t xml:space="preserve">from </w:t>
      </w:r>
      <w:r w:rsidR="007A531C" w:rsidRPr="007A531C">
        <w:t xml:space="preserve">the Caddo County E911 Communications Center (Caddo County PSAP) </w:t>
      </w:r>
      <w:r w:rsidR="00087B46">
        <w:t>alleging that Hinton</w:t>
      </w:r>
      <w:r w:rsidR="009A0259">
        <w:t xml:space="preserve"> </w:t>
      </w:r>
      <w:r w:rsidR="00087B46">
        <w:t xml:space="preserve">was not providing basic </w:t>
      </w:r>
      <w:r w:rsidRPr="00B8280E">
        <w:t xml:space="preserve">911 </w:t>
      </w:r>
      <w:r w:rsidR="004B22DB">
        <w:t xml:space="preserve">service </w:t>
      </w:r>
      <w:r w:rsidR="00087B46">
        <w:t>to its customers in Caddo County, Oklahoma.</w:t>
      </w:r>
      <w:r w:rsidR="0075569F">
        <w:rPr>
          <w:rStyle w:val="FootnoteReference"/>
        </w:rPr>
        <w:footnoteReference w:id="9"/>
      </w:r>
      <w:r w:rsidR="0075569F">
        <w:t xml:space="preserve"> </w:t>
      </w:r>
      <w:r w:rsidR="00087B46">
        <w:t xml:space="preserve"> Specifically, the complaint alleged that Hinton was not properly routing basic 911 calls to the </w:t>
      </w:r>
      <w:r w:rsidR="004B22DB">
        <w:t xml:space="preserve">Caddo County </w:t>
      </w:r>
      <w:r w:rsidR="00C15B3D">
        <w:t>PSAP</w:t>
      </w:r>
      <w:r w:rsidR="00CD5FC6">
        <w:t>, but instead was routing 911 calls to an automated AT&amp;T operator service</w:t>
      </w:r>
      <w:r w:rsidR="00087B46">
        <w:t>.</w:t>
      </w:r>
      <w:r w:rsidR="0075569F">
        <w:t xml:space="preserve">  </w:t>
      </w:r>
      <w:r w:rsidR="00CC2CBD" w:rsidRPr="004B22DB">
        <w:t xml:space="preserve">The automated operator message instructed the caller, who had already dialed 911, to hang up and dial 911 if the call was an emergency or to dial </w:t>
      </w:r>
      <w:r w:rsidR="00CC2CBD">
        <w:t>zero</w:t>
      </w:r>
      <w:r w:rsidR="00CC2CBD" w:rsidRPr="004B22DB">
        <w:t xml:space="preserve"> </w:t>
      </w:r>
      <w:r w:rsidR="00CC2CBD">
        <w:t>or remain on the line for additional assistance</w:t>
      </w:r>
      <w:r w:rsidR="00CC2CBD" w:rsidRPr="004B22DB">
        <w:t>.</w:t>
      </w:r>
      <w:r w:rsidR="00CC2CBD">
        <w:rPr>
          <w:rStyle w:val="FootnoteReference"/>
        </w:rPr>
        <w:footnoteReference w:id="10"/>
      </w:r>
      <w:r w:rsidR="00CC2CBD" w:rsidRPr="004B22DB">
        <w:t xml:space="preserve">  </w:t>
      </w:r>
    </w:p>
    <w:p w14:paraId="7C1E854C" w14:textId="196840C4" w:rsidR="0008368E" w:rsidRPr="00245B3F" w:rsidRDefault="00EC1BD5" w:rsidP="00097657">
      <w:pPr>
        <w:pStyle w:val="ParaNum"/>
        <w:tabs>
          <w:tab w:val="clear" w:pos="1080"/>
        </w:tabs>
      </w:pPr>
      <w:r>
        <w:t>O</w:t>
      </w:r>
      <w:r w:rsidR="006877FF">
        <w:t xml:space="preserve">n August 1, 2013, </w:t>
      </w:r>
      <w:r w:rsidR="00CD5FC6">
        <w:t xml:space="preserve">after being advised by </w:t>
      </w:r>
      <w:r w:rsidR="006877FF">
        <w:t xml:space="preserve">PSHSB </w:t>
      </w:r>
      <w:r w:rsidR="00AE6BC1">
        <w:t xml:space="preserve">staff </w:t>
      </w:r>
      <w:r w:rsidR="00CD5FC6">
        <w:t xml:space="preserve">of the </w:t>
      </w:r>
      <w:r w:rsidR="007A531C">
        <w:t>Caddo County PSAP complaint</w:t>
      </w:r>
      <w:r w:rsidR="00CD5FC6">
        <w:t>,</w:t>
      </w:r>
      <w:r w:rsidR="007A531C">
        <w:t xml:space="preserve"> Hinton </w:t>
      </w:r>
      <w:r w:rsidR="00CD5FC6">
        <w:t xml:space="preserve">informed </w:t>
      </w:r>
      <w:r w:rsidR="007A531C">
        <w:t>PSHS</w:t>
      </w:r>
      <w:r w:rsidR="00D606F2">
        <w:t>B</w:t>
      </w:r>
      <w:r w:rsidR="007A531C">
        <w:t xml:space="preserve"> staff </w:t>
      </w:r>
      <w:r w:rsidR="006877FF">
        <w:t xml:space="preserve">that Hinton </w:t>
      </w:r>
      <w:r w:rsidR="00AE6BC1">
        <w:t xml:space="preserve">previously </w:t>
      </w:r>
      <w:r w:rsidR="006877FF">
        <w:t>had rout</w:t>
      </w:r>
      <w:r w:rsidR="00AE6BC1">
        <w:t>ed</w:t>
      </w:r>
      <w:r w:rsidR="006877FF">
        <w:t xml:space="preserve"> 911 </w:t>
      </w:r>
      <w:r w:rsidR="009A0259">
        <w:t xml:space="preserve">calls </w:t>
      </w:r>
      <w:r w:rsidR="00AE6BC1">
        <w:t xml:space="preserve">from its Caddo County customers </w:t>
      </w:r>
      <w:r w:rsidR="009A0259">
        <w:t>to a live</w:t>
      </w:r>
      <w:r w:rsidR="006877FF">
        <w:t xml:space="preserve"> </w:t>
      </w:r>
      <w:r w:rsidR="006877FF" w:rsidRPr="004B22DB">
        <w:t xml:space="preserve">AT&amp;T operator, who </w:t>
      </w:r>
      <w:r w:rsidR="00CD5FC6">
        <w:t xml:space="preserve">then </w:t>
      </w:r>
      <w:r w:rsidR="006877FF" w:rsidRPr="004B22DB">
        <w:t>route</w:t>
      </w:r>
      <w:r w:rsidR="007A531C">
        <w:t>d</w:t>
      </w:r>
      <w:r w:rsidR="006877FF" w:rsidRPr="004B22DB">
        <w:t xml:space="preserve"> the call</w:t>
      </w:r>
      <w:r w:rsidR="007A531C">
        <w:t>s</w:t>
      </w:r>
      <w:r w:rsidR="006877FF" w:rsidRPr="004B22DB">
        <w:t xml:space="preserve"> to the appropriate emergency authority.  According to Hinton, AT&amp;T </w:t>
      </w:r>
      <w:r w:rsidR="00AE6BC1">
        <w:t xml:space="preserve">subsequently </w:t>
      </w:r>
      <w:r w:rsidR="006877FF" w:rsidRPr="004B22DB">
        <w:t xml:space="preserve">discontinued its live operator service </w:t>
      </w:r>
      <w:r w:rsidR="003C656E" w:rsidRPr="004B22DB">
        <w:t xml:space="preserve">and substituted </w:t>
      </w:r>
      <w:r w:rsidR="006877FF" w:rsidRPr="004B22DB">
        <w:t>an automated operator</w:t>
      </w:r>
      <w:r w:rsidR="003C656E" w:rsidRPr="004B22DB">
        <w:t xml:space="preserve"> to handle operator assisted calls</w:t>
      </w:r>
      <w:r w:rsidR="006877FF" w:rsidRPr="004B22DB">
        <w:t xml:space="preserve">.  PSHSB staff </w:t>
      </w:r>
      <w:r w:rsidR="007A531C">
        <w:t>directed</w:t>
      </w:r>
      <w:r w:rsidR="006877FF" w:rsidRPr="004B22DB">
        <w:t xml:space="preserve"> Hinton </w:t>
      </w:r>
      <w:r w:rsidR="007A531C">
        <w:t>to immediately</w:t>
      </w:r>
      <w:r w:rsidR="00D606F2">
        <w:t xml:space="preserve"> </w:t>
      </w:r>
      <w:r w:rsidR="00D606F2" w:rsidRPr="004B22DB">
        <w:t>implement</w:t>
      </w:r>
      <w:r w:rsidR="007A531C">
        <w:t xml:space="preserve"> </w:t>
      </w:r>
      <w:r w:rsidR="006877FF" w:rsidRPr="004B22DB">
        <w:t xml:space="preserve">a basic 911 solution </w:t>
      </w:r>
      <w:r w:rsidR="00D962F9" w:rsidRPr="004B22DB">
        <w:t xml:space="preserve">for its </w:t>
      </w:r>
      <w:r w:rsidR="007A531C">
        <w:t xml:space="preserve">Caddo County </w:t>
      </w:r>
      <w:r w:rsidR="00D962F9" w:rsidRPr="004B22DB">
        <w:t xml:space="preserve">customers </w:t>
      </w:r>
      <w:r w:rsidR="007A531C">
        <w:t xml:space="preserve">by </w:t>
      </w:r>
      <w:r w:rsidR="00D962F9" w:rsidRPr="004B22DB">
        <w:t>rout</w:t>
      </w:r>
      <w:r w:rsidR="007A531C">
        <w:t>ing</w:t>
      </w:r>
      <w:r w:rsidR="00D962F9" w:rsidRPr="004B22DB">
        <w:t xml:space="preserve"> 911 calls to either the local sheriff’s office or </w:t>
      </w:r>
      <w:r w:rsidR="00CD5FC6">
        <w:t xml:space="preserve">to </w:t>
      </w:r>
      <w:r w:rsidR="00D962F9" w:rsidRPr="004B22DB">
        <w:t xml:space="preserve">the </w:t>
      </w:r>
      <w:r w:rsidR="00DD52FA">
        <w:t>Caddo County PSAP</w:t>
      </w:r>
      <w:r w:rsidR="00D962F9" w:rsidRPr="004B22DB">
        <w:t xml:space="preserve">.  Hinton </w:t>
      </w:r>
      <w:r w:rsidR="00AE6BC1">
        <w:t xml:space="preserve">subsequently </w:t>
      </w:r>
      <w:r w:rsidR="00D962F9" w:rsidRPr="004B22DB">
        <w:t>informed PSHSB</w:t>
      </w:r>
      <w:r w:rsidR="004F5F28" w:rsidRPr="004B22DB">
        <w:t xml:space="preserve"> staff that</w:t>
      </w:r>
      <w:r w:rsidR="00AB2DA6">
        <w:t>,</w:t>
      </w:r>
      <w:r w:rsidR="004F5F28" w:rsidRPr="004B22DB">
        <w:t xml:space="preserve"> </w:t>
      </w:r>
      <w:r w:rsidR="00F47101">
        <w:t xml:space="preserve">as of August 5, 2013, </w:t>
      </w:r>
      <w:r w:rsidR="004F5F28" w:rsidRPr="004B22DB">
        <w:t xml:space="preserve">911 calls </w:t>
      </w:r>
      <w:r w:rsidR="00F47101">
        <w:t xml:space="preserve">from its Caddo County customers </w:t>
      </w:r>
      <w:r w:rsidR="004F5F28" w:rsidRPr="004B22DB">
        <w:t xml:space="preserve">were being routed to the </w:t>
      </w:r>
      <w:r w:rsidR="00DD52FA">
        <w:t>Caddo County PSAP</w:t>
      </w:r>
      <w:r w:rsidR="004F5F28" w:rsidRPr="004B22DB">
        <w:t>.</w:t>
      </w:r>
      <w:r w:rsidR="001B510C">
        <w:rPr>
          <w:szCs w:val="22"/>
        </w:rPr>
        <w:t xml:space="preserve">  </w:t>
      </w:r>
      <w:r w:rsidR="0008368E" w:rsidRPr="00245B3F">
        <w:rPr>
          <w:szCs w:val="22"/>
        </w:rPr>
        <w:t xml:space="preserve">Thereafter, </w:t>
      </w:r>
      <w:r w:rsidR="0008368E">
        <w:t xml:space="preserve">PSHSB </w:t>
      </w:r>
      <w:r w:rsidR="0008368E" w:rsidRPr="004B22DB">
        <w:t xml:space="preserve">referred </w:t>
      </w:r>
      <w:r w:rsidR="0008368E">
        <w:t xml:space="preserve">this matter </w:t>
      </w:r>
      <w:r w:rsidR="0008368E" w:rsidRPr="004B22DB">
        <w:t>to the Enforcement Bureau</w:t>
      </w:r>
      <w:r w:rsidR="0008368E">
        <w:t xml:space="preserve"> (Bureau) for investigation.  </w:t>
      </w:r>
    </w:p>
    <w:p w14:paraId="39ECA36E" w14:textId="77777777" w:rsidR="00EF7922" w:rsidRPr="00EF7922" w:rsidRDefault="007A531C" w:rsidP="007A03BD">
      <w:pPr>
        <w:pStyle w:val="ParaNum"/>
        <w:widowControl/>
        <w:tabs>
          <w:tab w:val="clear" w:pos="1080"/>
          <w:tab w:val="num" w:pos="1440"/>
        </w:tabs>
      </w:pPr>
      <w:r>
        <w:lastRenderedPageBreak/>
        <w:t xml:space="preserve">The Bureau’s Spectrum </w:t>
      </w:r>
      <w:r w:rsidR="001B510C">
        <w:t xml:space="preserve">Enforcement Division </w:t>
      </w:r>
      <w:r>
        <w:t xml:space="preserve">subsequently </w:t>
      </w:r>
      <w:r w:rsidR="008B3A60">
        <w:t xml:space="preserve">commenced an investigation by directing Hinton to respond to </w:t>
      </w:r>
      <w:r w:rsidR="00AB2DA6">
        <w:t xml:space="preserve">a </w:t>
      </w:r>
      <w:r w:rsidR="008B3A60">
        <w:t>series of inquiries</w:t>
      </w:r>
      <w:r w:rsidR="0099698F" w:rsidRPr="0099698F">
        <w:t xml:space="preserve"> </w:t>
      </w:r>
      <w:r w:rsidR="0099698F">
        <w:t>into Hinton’s provision of basic 911 service</w:t>
      </w:r>
      <w:r w:rsidR="008B3A60">
        <w:t>.</w:t>
      </w:r>
      <w:r w:rsidR="0008368E">
        <w:rPr>
          <w:rStyle w:val="FootnoteReference"/>
        </w:rPr>
        <w:footnoteReference w:id="11"/>
      </w:r>
      <w:r w:rsidR="00B8280E" w:rsidRPr="007A03BD">
        <w:rPr>
          <w:szCs w:val="22"/>
        </w:rPr>
        <w:t xml:space="preserve"> </w:t>
      </w:r>
      <w:r w:rsidR="008B3A60">
        <w:rPr>
          <w:szCs w:val="22"/>
        </w:rPr>
        <w:t xml:space="preserve"> In its responses, </w:t>
      </w:r>
      <w:r w:rsidR="0075569F" w:rsidRPr="009F07E1">
        <w:t>Hinton</w:t>
      </w:r>
      <w:r w:rsidR="0075569F" w:rsidRPr="007A03BD">
        <w:rPr>
          <w:szCs w:val="22"/>
        </w:rPr>
        <w:t xml:space="preserve"> </w:t>
      </w:r>
      <w:r w:rsidR="00F47101" w:rsidRPr="007A03BD">
        <w:rPr>
          <w:szCs w:val="22"/>
        </w:rPr>
        <w:t>explain</w:t>
      </w:r>
      <w:r w:rsidR="00660D9A">
        <w:rPr>
          <w:szCs w:val="22"/>
        </w:rPr>
        <w:t>s</w:t>
      </w:r>
      <w:r w:rsidR="00F47101" w:rsidRPr="007A03BD">
        <w:rPr>
          <w:szCs w:val="22"/>
        </w:rPr>
        <w:t xml:space="preserve"> </w:t>
      </w:r>
      <w:r w:rsidR="008A744A" w:rsidRPr="007A03BD">
        <w:rPr>
          <w:szCs w:val="22"/>
        </w:rPr>
        <w:t xml:space="preserve">that </w:t>
      </w:r>
      <w:r w:rsidR="00A05CAF" w:rsidRPr="007A03BD">
        <w:rPr>
          <w:szCs w:val="22"/>
        </w:rPr>
        <w:t>Caddo County did not approve the Caddo County PSAP until December 2012, and that Hinton did not receive a request to direct trunks to the Caddo County PSAP until January 7, 2013.</w:t>
      </w:r>
      <w:r w:rsidR="00A05CAF">
        <w:rPr>
          <w:rStyle w:val="FootnoteReference"/>
          <w:szCs w:val="22"/>
        </w:rPr>
        <w:footnoteReference w:id="12"/>
      </w:r>
      <w:r w:rsidR="00A05CAF" w:rsidRPr="007A03BD">
        <w:rPr>
          <w:szCs w:val="22"/>
        </w:rPr>
        <w:t xml:space="preserve">  </w:t>
      </w:r>
      <w:r w:rsidR="00395695" w:rsidRPr="007A03BD">
        <w:rPr>
          <w:szCs w:val="22"/>
        </w:rPr>
        <w:t>In addition, Hinton asserts that</w:t>
      </w:r>
      <w:r w:rsidR="0079098B">
        <w:rPr>
          <w:szCs w:val="22"/>
        </w:rPr>
        <w:t>, prior to the designation of the Caddo County PSAP,</w:t>
      </w:r>
      <w:r w:rsidR="00395695" w:rsidRPr="007A03BD">
        <w:rPr>
          <w:szCs w:val="22"/>
        </w:rPr>
        <w:t xml:space="preserve"> </w:t>
      </w:r>
      <w:r w:rsidR="0075569F" w:rsidRPr="00D73E66">
        <w:rPr>
          <w:szCs w:val="22"/>
        </w:rPr>
        <w:t>the Stat</w:t>
      </w:r>
      <w:r w:rsidR="00400E84" w:rsidRPr="00D73E66">
        <w:rPr>
          <w:szCs w:val="22"/>
        </w:rPr>
        <w:t xml:space="preserve">e of Oklahoma </w:t>
      </w:r>
      <w:r w:rsidR="00395695" w:rsidRPr="00F63988">
        <w:rPr>
          <w:szCs w:val="22"/>
        </w:rPr>
        <w:t>ha</w:t>
      </w:r>
      <w:r w:rsidR="0079098B">
        <w:rPr>
          <w:szCs w:val="22"/>
        </w:rPr>
        <w:t>d</w:t>
      </w:r>
      <w:r w:rsidR="0075569F" w:rsidRPr="00F63988">
        <w:rPr>
          <w:szCs w:val="22"/>
        </w:rPr>
        <w:t xml:space="preserve"> not designate</w:t>
      </w:r>
      <w:r w:rsidR="008A744A" w:rsidRPr="00F63988">
        <w:rPr>
          <w:szCs w:val="22"/>
        </w:rPr>
        <w:t>d</w:t>
      </w:r>
      <w:r w:rsidR="0075569F" w:rsidRPr="00F63988">
        <w:rPr>
          <w:szCs w:val="22"/>
        </w:rPr>
        <w:t xml:space="preserve"> a statewide default emergency n</w:t>
      </w:r>
      <w:r w:rsidR="003C656E" w:rsidRPr="00F63988">
        <w:rPr>
          <w:szCs w:val="22"/>
        </w:rPr>
        <w:t>umber answering point</w:t>
      </w:r>
      <w:r w:rsidR="00736C13" w:rsidRPr="00F63988">
        <w:rPr>
          <w:szCs w:val="22"/>
        </w:rPr>
        <w:t xml:space="preserve"> for Caddo County residents</w:t>
      </w:r>
      <w:r w:rsidR="008D3329" w:rsidRPr="00BB031A">
        <w:rPr>
          <w:szCs w:val="22"/>
        </w:rPr>
        <w:t>,</w:t>
      </w:r>
      <w:r w:rsidR="003C656E" w:rsidRPr="00BB031A">
        <w:rPr>
          <w:szCs w:val="22"/>
        </w:rPr>
        <w:t xml:space="preserve"> and </w:t>
      </w:r>
      <w:r w:rsidR="00395695" w:rsidRPr="00BB031A">
        <w:rPr>
          <w:szCs w:val="22"/>
        </w:rPr>
        <w:t xml:space="preserve">that </w:t>
      </w:r>
      <w:r w:rsidR="0075569F" w:rsidRPr="00BB031A">
        <w:rPr>
          <w:szCs w:val="22"/>
        </w:rPr>
        <w:t xml:space="preserve">no county or </w:t>
      </w:r>
      <w:r w:rsidR="008D3329" w:rsidRPr="00BB031A">
        <w:rPr>
          <w:szCs w:val="22"/>
        </w:rPr>
        <w:t xml:space="preserve">other </w:t>
      </w:r>
      <w:r w:rsidR="0075569F" w:rsidRPr="00BB031A">
        <w:rPr>
          <w:szCs w:val="22"/>
        </w:rPr>
        <w:t xml:space="preserve">local entity </w:t>
      </w:r>
      <w:r w:rsidR="008A744A" w:rsidRPr="00BB031A">
        <w:rPr>
          <w:szCs w:val="22"/>
        </w:rPr>
        <w:t xml:space="preserve">had </w:t>
      </w:r>
      <w:r w:rsidR="0075569F" w:rsidRPr="00BB031A">
        <w:rPr>
          <w:szCs w:val="22"/>
        </w:rPr>
        <w:t xml:space="preserve">agreed to accept 911 calls in </w:t>
      </w:r>
      <w:r w:rsidR="008A744A" w:rsidRPr="00BB031A">
        <w:rPr>
          <w:szCs w:val="22"/>
        </w:rPr>
        <w:t>Caddo County</w:t>
      </w:r>
      <w:r w:rsidR="0075569F" w:rsidRPr="00BB031A">
        <w:rPr>
          <w:szCs w:val="22"/>
        </w:rPr>
        <w:t>.</w:t>
      </w:r>
      <w:r w:rsidR="00B8280E" w:rsidRPr="004B22DB">
        <w:rPr>
          <w:rStyle w:val="FootnoteReference"/>
          <w:szCs w:val="22"/>
        </w:rPr>
        <w:footnoteReference w:id="13"/>
      </w:r>
      <w:r w:rsidR="009409C6" w:rsidRPr="007A03BD">
        <w:rPr>
          <w:szCs w:val="22"/>
        </w:rPr>
        <w:t xml:space="preserve">  Hinton</w:t>
      </w:r>
      <w:r w:rsidR="008B3A60">
        <w:rPr>
          <w:szCs w:val="22"/>
        </w:rPr>
        <w:t xml:space="preserve"> also </w:t>
      </w:r>
      <w:r w:rsidR="009409C6" w:rsidRPr="007A03BD">
        <w:rPr>
          <w:szCs w:val="22"/>
        </w:rPr>
        <w:t>explain</w:t>
      </w:r>
      <w:r w:rsidR="00660D9A">
        <w:rPr>
          <w:szCs w:val="22"/>
        </w:rPr>
        <w:t>s</w:t>
      </w:r>
      <w:r w:rsidR="009409C6" w:rsidRPr="007A03BD">
        <w:rPr>
          <w:szCs w:val="22"/>
        </w:rPr>
        <w:t xml:space="preserve"> that</w:t>
      </w:r>
      <w:r w:rsidR="00AB2DA6">
        <w:rPr>
          <w:szCs w:val="22"/>
        </w:rPr>
        <w:t>,</w:t>
      </w:r>
      <w:r w:rsidR="00190165" w:rsidRPr="007A03BD">
        <w:rPr>
          <w:szCs w:val="22"/>
        </w:rPr>
        <w:t xml:space="preserve"> </w:t>
      </w:r>
      <w:r w:rsidR="00B218FF">
        <w:rPr>
          <w:szCs w:val="22"/>
        </w:rPr>
        <w:t xml:space="preserve">in August 2002, </w:t>
      </w:r>
      <w:r w:rsidR="009409C6" w:rsidRPr="007A03BD">
        <w:rPr>
          <w:szCs w:val="22"/>
        </w:rPr>
        <w:t xml:space="preserve">the Caddo County Sheriff’s Office specifically declined to accept </w:t>
      </w:r>
      <w:r w:rsidR="009409C6" w:rsidRPr="00D73E66">
        <w:rPr>
          <w:szCs w:val="22"/>
        </w:rPr>
        <w:t xml:space="preserve">911 </w:t>
      </w:r>
      <w:r w:rsidR="009409C6" w:rsidRPr="00F63988">
        <w:rPr>
          <w:szCs w:val="22"/>
        </w:rPr>
        <w:t xml:space="preserve">calls </w:t>
      </w:r>
      <w:r w:rsidR="00736C13" w:rsidRPr="00F63988">
        <w:rPr>
          <w:szCs w:val="22"/>
        </w:rPr>
        <w:t xml:space="preserve">from its Caddo County customers </w:t>
      </w:r>
      <w:r w:rsidR="008B3A60">
        <w:rPr>
          <w:szCs w:val="22"/>
        </w:rPr>
        <w:t xml:space="preserve">due to a lack of personnel and </w:t>
      </w:r>
      <w:r w:rsidR="009409C6" w:rsidRPr="00BB031A">
        <w:rPr>
          <w:szCs w:val="22"/>
        </w:rPr>
        <w:t>resources</w:t>
      </w:r>
      <w:r w:rsidR="008B3A60">
        <w:rPr>
          <w:szCs w:val="22"/>
        </w:rPr>
        <w:t>,</w:t>
      </w:r>
      <w:r w:rsidR="00190165" w:rsidRPr="004B22DB">
        <w:rPr>
          <w:rStyle w:val="FootnoteReference"/>
          <w:szCs w:val="22"/>
        </w:rPr>
        <w:footnoteReference w:id="14"/>
      </w:r>
      <w:r w:rsidR="0065638E" w:rsidRPr="007A03BD">
        <w:rPr>
          <w:szCs w:val="22"/>
        </w:rPr>
        <w:t xml:space="preserve"> </w:t>
      </w:r>
      <w:r w:rsidR="008B3A60">
        <w:rPr>
          <w:szCs w:val="22"/>
        </w:rPr>
        <w:t xml:space="preserve">and that </w:t>
      </w:r>
      <w:r w:rsidR="0065638E" w:rsidRPr="007A03BD">
        <w:rPr>
          <w:szCs w:val="22"/>
        </w:rPr>
        <w:t xml:space="preserve">the only feasible means of routing 911 calls was to </w:t>
      </w:r>
      <w:r w:rsidR="00204618" w:rsidRPr="007A03BD">
        <w:rPr>
          <w:szCs w:val="22"/>
        </w:rPr>
        <w:t>direct</w:t>
      </w:r>
      <w:r w:rsidR="0065638E" w:rsidRPr="007A03BD">
        <w:rPr>
          <w:szCs w:val="22"/>
        </w:rPr>
        <w:t xml:space="preserve"> </w:t>
      </w:r>
      <w:r w:rsidR="0079098B">
        <w:rPr>
          <w:szCs w:val="22"/>
        </w:rPr>
        <w:t xml:space="preserve">such calls </w:t>
      </w:r>
      <w:r w:rsidR="0065638E" w:rsidRPr="007A03BD">
        <w:rPr>
          <w:szCs w:val="22"/>
        </w:rPr>
        <w:t xml:space="preserve">to </w:t>
      </w:r>
      <w:r w:rsidR="004B22DB" w:rsidRPr="007A03BD">
        <w:rPr>
          <w:szCs w:val="22"/>
        </w:rPr>
        <w:t>a</w:t>
      </w:r>
      <w:r w:rsidR="0065638E" w:rsidRPr="007A03BD">
        <w:rPr>
          <w:szCs w:val="22"/>
        </w:rPr>
        <w:t xml:space="preserve"> </w:t>
      </w:r>
      <w:r w:rsidR="009A0259" w:rsidRPr="007A03BD">
        <w:rPr>
          <w:szCs w:val="22"/>
        </w:rPr>
        <w:t xml:space="preserve">live </w:t>
      </w:r>
      <w:r w:rsidR="003177FD" w:rsidRPr="007A03BD">
        <w:rPr>
          <w:szCs w:val="22"/>
        </w:rPr>
        <w:t xml:space="preserve">AT&amp;T </w:t>
      </w:r>
      <w:r w:rsidR="0065638E" w:rsidRPr="007A03BD">
        <w:rPr>
          <w:szCs w:val="22"/>
        </w:rPr>
        <w:t xml:space="preserve">operator for connection to a list of county emergency offices provided </w:t>
      </w:r>
      <w:r w:rsidR="003C656E" w:rsidRPr="007A03BD">
        <w:rPr>
          <w:szCs w:val="22"/>
        </w:rPr>
        <w:t xml:space="preserve">to the </w:t>
      </w:r>
      <w:r w:rsidR="004B22DB" w:rsidRPr="007A03BD">
        <w:rPr>
          <w:szCs w:val="22"/>
        </w:rPr>
        <w:t xml:space="preserve">live </w:t>
      </w:r>
      <w:r w:rsidR="003C656E" w:rsidRPr="007A03BD">
        <w:rPr>
          <w:szCs w:val="22"/>
        </w:rPr>
        <w:t xml:space="preserve">operator </w:t>
      </w:r>
      <w:r w:rsidR="0065638E" w:rsidRPr="007A03BD">
        <w:rPr>
          <w:szCs w:val="22"/>
        </w:rPr>
        <w:t>by Hinton.</w:t>
      </w:r>
      <w:r w:rsidR="0065638E" w:rsidRPr="004B22DB">
        <w:rPr>
          <w:rStyle w:val="FootnoteReference"/>
          <w:szCs w:val="22"/>
        </w:rPr>
        <w:footnoteReference w:id="15"/>
      </w:r>
      <w:r w:rsidR="00400E84" w:rsidRPr="007A03BD">
        <w:rPr>
          <w:szCs w:val="22"/>
        </w:rPr>
        <w:t xml:space="preserve">  </w:t>
      </w:r>
      <w:r w:rsidR="007A03BD">
        <w:rPr>
          <w:szCs w:val="22"/>
        </w:rPr>
        <w:t xml:space="preserve">According to </w:t>
      </w:r>
      <w:r w:rsidR="007A03BD" w:rsidRPr="007A03BD">
        <w:rPr>
          <w:szCs w:val="22"/>
        </w:rPr>
        <w:t>Hinton</w:t>
      </w:r>
      <w:r w:rsidR="007A03BD">
        <w:rPr>
          <w:szCs w:val="22"/>
        </w:rPr>
        <w:t>,</w:t>
      </w:r>
      <w:r w:rsidR="007A03BD" w:rsidRPr="007A03BD">
        <w:rPr>
          <w:szCs w:val="22"/>
        </w:rPr>
        <w:t xml:space="preserve"> </w:t>
      </w:r>
      <w:r w:rsidR="00D73E66">
        <w:rPr>
          <w:szCs w:val="22"/>
        </w:rPr>
        <w:t xml:space="preserve">the company </w:t>
      </w:r>
      <w:r w:rsidR="00AE27F9">
        <w:rPr>
          <w:szCs w:val="22"/>
        </w:rPr>
        <w:t xml:space="preserve">received no prior notice from AT&amp;T regarding the switch from </w:t>
      </w:r>
      <w:r w:rsidR="007A03BD" w:rsidRPr="00B22526">
        <w:rPr>
          <w:szCs w:val="22"/>
        </w:rPr>
        <w:t xml:space="preserve">a live operator to an automated operator message </w:t>
      </w:r>
      <w:r w:rsidR="00AE27F9">
        <w:rPr>
          <w:szCs w:val="22"/>
        </w:rPr>
        <w:t xml:space="preserve">and first learned of the switch </w:t>
      </w:r>
      <w:r w:rsidR="007777B2">
        <w:rPr>
          <w:szCs w:val="22"/>
        </w:rPr>
        <w:t>from</w:t>
      </w:r>
      <w:r w:rsidR="007A03BD" w:rsidRPr="00B22526">
        <w:rPr>
          <w:szCs w:val="22"/>
        </w:rPr>
        <w:t xml:space="preserve"> a 911 test call it performed on May 6, 2013</w:t>
      </w:r>
      <w:r w:rsidR="00AE27F9">
        <w:rPr>
          <w:szCs w:val="22"/>
        </w:rPr>
        <w:t>.</w:t>
      </w:r>
      <w:r w:rsidR="007A03BD">
        <w:rPr>
          <w:rStyle w:val="FootnoteReference"/>
          <w:szCs w:val="22"/>
        </w:rPr>
        <w:footnoteReference w:id="16"/>
      </w:r>
      <w:r w:rsidR="00D73E66">
        <w:rPr>
          <w:szCs w:val="22"/>
        </w:rPr>
        <w:t xml:space="preserve">  Hinton admit</w:t>
      </w:r>
      <w:r w:rsidR="00660D9A">
        <w:rPr>
          <w:szCs w:val="22"/>
        </w:rPr>
        <w:t>s</w:t>
      </w:r>
      <w:r w:rsidR="007777B2">
        <w:rPr>
          <w:szCs w:val="22"/>
        </w:rPr>
        <w:t>, however,</w:t>
      </w:r>
      <w:r w:rsidR="00D73E66">
        <w:rPr>
          <w:szCs w:val="22"/>
        </w:rPr>
        <w:t xml:space="preserve"> that</w:t>
      </w:r>
      <w:r w:rsidR="007777B2">
        <w:rPr>
          <w:szCs w:val="22"/>
        </w:rPr>
        <w:t xml:space="preserve"> for three months</w:t>
      </w:r>
      <w:r w:rsidR="00D73E66">
        <w:rPr>
          <w:szCs w:val="22"/>
        </w:rPr>
        <w:t xml:space="preserve"> it continued to route 911 calls to the automated operator message</w:t>
      </w:r>
      <w:r w:rsidR="007777B2">
        <w:rPr>
          <w:szCs w:val="22"/>
        </w:rPr>
        <w:t xml:space="preserve">—i.e., </w:t>
      </w:r>
      <w:r w:rsidR="00D73E66">
        <w:rPr>
          <w:szCs w:val="22"/>
        </w:rPr>
        <w:t>until August 5, 2013.</w:t>
      </w:r>
      <w:r w:rsidR="00D73E66">
        <w:rPr>
          <w:rStyle w:val="FootnoteReference"/>
          <w:szCs w:val="22"/>
        </w:rPr>
        <w:footnoteReference w:id="17"/>
      </w:r>
      <w:r w:rsidR="00D73E66">
        <w:rPr>
          <w:szCs w:val="22"/>
        </w:rPr>
        <w:t xml:space="preserve">  </w:t>
      </w:r>
    </w:p>
    <w:p w14:paraId="46467F50" w14:textId="037A2B70" w:rsidR="00B8280E" w:rsidRDefault="005247A9" w:rsidP="00097657">
      <w:pPr>
        <w:pStyle w:val="ParaNum"/>
        <w:tabs>
          <w:tab w:val="clear" w:pos="1080"/>
        </w:tabs>
      </w:pPr>
      <w:r w:rsidRPr="007A03BD">
        <w:t xml:space="preserve">Hinton </w:t>
      </w:r>
      <w:r w:rsidR="009E5647" w:rsidRPr="007A03BD">
        <w:t>argue</w:t>
      </w:r>
      <w:r w:rsidR="00660D9A">
        <w:t>s</w:t>
      </w:r>
      <w:r w:rsidRPr="007A03BD">
        <w:t xml:space="preserve"> that it was reasonable </w:t>
      </w:r>
      <w:r w:rsidR="00AA1775">
        <w:t xml:space="preserve">for it </w:t>
      </w:r>
      <w:r w:rsidRPr="007A03BD">
        <w:t>to c</w:t>
      </w:r>
      <w:r w:rsidR="007D57AE" w:rsidRPr="007A03BD">
        <w:t xml:space="preserve">ontinue to route </w:t>
      </w:r>
      <w:r w:rsidRPr="007A03BD">
        <w:t>91</w:t>
      </w:r>
      <w:r w:rsidR="009A0259" w:rsidRPr="007A03BD">
        <w:t xml:space="preserve">1 calls </w:t>
      </w:r>
      <w:r w:rsidR="007D57AE" w:rsidRPr="007A03BD">
        <w:t xml:space="preserve">on its network </w:t>
      </w:r>
      <w:r w:rsidR="009A0259" w:rsidRPr="007A03BD">
        <w:t xml:space="preserve">to the </w:t>
      </w:r>
      <w:r w:rsidR="00660D9A">
        <w:t xml:space="preserve">automated </w:t>
      </w:r>
      <w:r w:rsidRPr="007A03BD">
        <w:t>operator</w:t>
      </w:r>
      <w:r w:rsidR="00660D9A">
        <w:t xml:space="preserve"> service</w:t>
      </w:r>
      <w:r w:rsidR="00EF2255">
        <w:t xml:space="preserve">.  First, Hinton </w:t>
      </w:r>
      <w:r w:rsidR="00AA1775">
        <w:t>states</w:t>
      </w:r>
      <w:r w:rsidR="00EF2255">
        <w:t xml:space="preserve"> that it faced </w:t>
      </w:r>
      <w:r w:rsidRPr="007A03BD">
        <w:t xml:space="preserve">technical </w:t>
      </w:r>
      <w:r w:rsidR="00660D9A">
        <w:t xml:space="preserve">challenges that </w:t>
      </w:r>
      <w:r w:rsidRPr="007A03BD">
        <w:t>limit</w:t>
      </w:r>
      <w:r w:rsidR="00660D9A">
        <w:t>ed</w:t>
      </w:r>
      <w:r w:rsidR="009A0259" w:rsidRPr="007A03BD">
        <w:t xml:space="preserve"> its call routing options</w:t>
      </w:r>
      <w:r w:rsidR="00C77519">
        <w:t>.</w:t>
      </w:r>
      <w:r w:rsidR="003B588E">
        <w:rPr>
          <w:rStyle w:val="FootnoteReference"/>
          <w:szCs w:val="22"/>
        </w:rPr>
        <w:footnoteReference w:id="18"/>
      </w:r>
      <w:r w:rsidR="003B588E" w:rsidRPr="003B588E">
        <w:rPr>
          <w:szCs w:val="22"/>
        </w:rPr>
        <w:t xml:space="preserve"> </w:t>
      </w:r>
      <w:r w:rsidR="00EF2255">
        <w:rPr>
          <w:szCs w:val="22"/>
        </w:rPr>
        <w:t xml:space="preserve"> Second, </w:t>
      </w:r>
      <w:r w:rsidR="00C77519" w:rsidRPr="00C77519">
        <w:t xml:space="preserve">Hinton </w:t>
      </w:r>
      <w:r w:rsidR="00EF2255">
        <w:t xml:space="preserve">asserts </w:t>
      </w:r>
      <w:r w:rsidR="00C77519" w:rsidRPr="00C77519">
        <w:t>that</w:t>
      </w:r>
      <w:r w:rsidR="00AA1775">
        <w:t>,</w:t>
      </w:r>
      <w:r w:rsidR="00C77519" w:rsidRPr="00C77519">
        <w:t xml:space="preserve"> </w:t>
      </w:r>
      <w:r w:rsidR="00EF2255">
        <w:t xml:space="preserve">due to restrictions imposed </w:t>
      </w:r>
      <w:r w:rsidR="00C77519" w:rsidRPr="00C77519">
        <w:t>by the Oklahoma Corporation Commission</w:t>
      </w:r>
      <w:r w:rsidR="00EF2255">
        <w:t>, Hinton does not provide long distance service or operator service, but instead routes long distance and operator assistance calls to AT&amp;T’s tandem office in Oklahoma City, Oklahoma.</w:t>
      </w:r>
      <w:r w:rsidR="00AA1775">
        <w:rPr>
          <w:rStyle w:val="FootnoteReference"/>
        </w:rPr>
        <w:footnoteReference w:id="19"/>
      </w:r>
      <w:r w:rsidR="00EF2255">
        <w:t xml:space="preserve">  Third,</w:t>
      </w:r>
      <w:r w:rsidR="00F742D3">
        <w:t xml:space="preserve"> Hinton claims that Caddo County offices had not established direct trunking to Hinton’s</w:t>
      </w:r>
      <w:r w:rsidR="00EF2255">
        <w:t xml:space="preserve"> </w:t>
      </w:r>
      <w:r w:rsidR="00F742D3">
        <w:t xml:space="preserve">switch, which Hinton asserts was technically necessary </w:t>
      </w:r>
      <w:r w:rsidR="00AA1775">
        <w:t xml:space="preserve">for it </w:t>
      </w:r>
      <w:r w:rsidR="00F742D3">
        <w:t xml:space="preserve">to route </w:t>
      </w:r>
      <w:r w:rsidR="0079037D">
        <w:t xml:space="preserve">911 </w:t>
      </w:r>
      <w:r w:rsidR="00F742D3">
        <w:t>calls to such locations.</w:t>
      </w:r>
      <w:r w:rsidR="00AA1775">
        <w:rPr>
          <w:rStyle w:val="FootnoteReference"/>
        </w:rPr>
        <w:footnoteReference w:id="20"/>
      </w:r>
      <w:r w:rsidR="00F742D3">
        <w:t xml:space="preserve">  </w:t>
      </w:r>
      <w:r w:rsidR="0079037D">
        <w:t>Fourth, Hinton contends that the Oklahoma Corporation Commission advised Hinton that it could continue to route 911 calls to the AT&amp;T operator until such time that the Caddo County PSAP was operational.</w:t>
      </w:r>
      <w:r w:rsidR="00AA1775">
        <w:rPr>
          <w:rStyle w:val="FootnoteReference"/>
        </w:rPr>
        <w:footnoteReference w:id="21"/>
      </w:r>
      <w:r w:rsidR="0079037D">
        <w:t xml:space="preserve">  </w:t>
      </w:r>
      <w:r w:rsidR="004834BC">
        <w:t xml:space="preserve">In further justification of its actions, </w:t>
      </w:r>
      <w:r w:rsidR="00C77519">
        <w:t xml:space="preserve">Hinton </w:t>
      </w:r>
      <w:r w:rsidR="004834BC">
        <w:t>states</w:t>
      </w:r>
      <w:r w:rsidR="00C77519">
        <w:t xml:space="preserve"> that</w:t>
      </w:r>
      <w:r w:rsidR="00C77519" w:rsidRPr="007A03BD">
        <w:t xml:space="preserve"> it </w:t>
      </w:r>
      <w:r w:rsidR="004834BC">
        <w:t xml:space="preserve">notified its customers via </w:t>
      </w:r>
      <w:r w:rsidR="003B588E">
        <w:rPr>
          <w:szCs w:val="22"/>
        </w:rPr>
        <w:t xml:space="preserve">mail-outs and newspaper notices </w:t>
      </w:r>
      <w:r w:rsidR="004834BC">
        <w:rPr>
          <w:szCs w:val="22"/>
        </w:rPr>
        <w:t xml:space="preserve">of </w:t>
      </w:r>
      <w:r w:rsidR="003B588E">
        <w:rPr>
          <w:szCs w:val="22"/>
        </w:rPr>
        <w:t xml:space="preserve">the limitations of Hinton’s </w:t>
      </w:r>
      <w:r w:rsidR="003B588E" w:rsidRPr="007201C5">
        <w:rPr>
          <w:szCs w:val="22"/>
        </w:rPr>
        <w:t>911 service</w:t>
      </w:r>
      <w:r w:rsidR="004834BC">
        <w:rPr>
          <w:szCs w:val="22"/>
        </w:rPr>
        <w:t xml:space="preserve"> in Caddo County</w:t>
      </w:r>
      <w:r w:rsidR="00A065DD">
        <w:rPr>
          <w:szCs w:val="22"/>
        </w:rPr>
        <w:t xml:space="preserve">, </w:t>
      </w:r>
      <w:r w:rsidR="004B021A">
        <w:rPr>
          <w:szCs w:val="22"/>
        </w:rPr>
        <w:t xml:space="preserve">and </w:t>
      </w:r>
      <w:r w:rsidR="00A065DD">
        <w:rPr>
          <w:szCs w:val="22"/>
        </w:rPr>
        <w:t xml:space="preserve">instructed its customers </w:t>
      </w:r>
      <w:r w:rsidR="00297134">
        <w:rPr>
          <w:szCs w:val="22"/>
        </w:rPr>
        <w:t xml:space="preserve">who </w:t>
      </w:r>
      <w:r w:rsidR="0079037D">
        <w:rPr>
          <w:szCs w:val="22"/>
        </w:rPr>
        <w:t xml:space="preserve">needed emergency assistance </w:t>
      </w:r>
      <w:r w:rsidR="00A065DD">
        <w:rPr>
          <w:szCs w:val="22"/>
        </w:rPr>
        <w:t xml:space="preserve">to contact </w:t>
      </w:r>
      <w:r w:rsidR="0079037D">
        <w:rPr>
          <w:szCs w:val="22"/>
        </w:rPr>
        <w:t xml:space="preserve">the appropriate </w:t>
      </w:r>
      <w:r w:rsidR="00A065DD">
        <w:rPr>
          <w:szCs w:val="22"/>
        </w:rPr>
        <w:t>authorities directly</w:t>
      </w:r>
      <w:r w:rsidR="009A0259" w:rsidRPr="007A03BD">
        <w:t>.</w:t>
      </w:r>
      <w:r w:rsidR="00A065DD">
        <w:rPr>
          <w:rStyle w:val="FootnoteReference"/>
        </w:rPr>
        <w:footnoteReference w:id="22"/>
      </w:r>
      <w:r w:rsidR="007D57AE" w:rsidRPr="007A03BD">
        <w:t xml:space="preserve"> </w:t>
      </w:r>
      <w:r w:rsidR="008A744A" w:rsidRPr="007A03BD">
        <w:t xml:space="preserve"> </w:t>
      </w:r>
      <w:r w:rsidR="00280BDE" w:rsidRPr="007A03BD">
        <w:t>Finally, Hinton note</w:t>
      </w:r>
      <w:r w:rsidR="0079037D">
        <w:t>s</w:t>
      </w:r>
      <w:r w:rsidR="00280BDE" w:rsidRPr="007A03BD">
        <w:t xml:space="preserve"> that within </w:t>
      </w:r>
      <w:r w:rsidR="00572C7C" w:rsidRPr="007A03BD">
        <w:t xml:space="preserve">four </w:t>
      </w:r>
      <w:r w:rsidR="00280BDE" w:rsidRPr="007A03BD">
        <w:t xml:space="preserve">days of </w:t>
      </w:r>
      <w:r w:rsidR="00B45335" w:rsidRPr="007A03BD">
        <w:t>the August 1, 2013 call</w:t>
      </w:r>
      <w:r w:rsidR="00AE27F9">
        <w:t xml:space="preserve"> by </w:t>
      </w:r>
      <w:r w:rsidR="00280BDE" w:rsidRPr="007A03BD">
        <w:t xml:space="preserve">PSHSB </w:t>
      </w:r>
      <w:r w:rsidR="00572C7C" w:rsidRPr="007A03BD">
        <w:t>informing Hinton that</w:t>
      </w:r>
      <w:r w:rsidR="00280BDE" w:rsidRPr="007A03BD">
        <w:t xml:space="preserve"> its 911 solution was inadequate, it successfully began routing 911 dialed calls to the </w:t>
      </w:r>
      <w:r w:rsidR="00DD52FA" w:rsidRPr="007A03BD">
        <w:t>Caddo County PSAP</w:t>
      </w:r>
      <w:r w:rsidR="00280BDE" w:rsidRPr="007A03BD">
        <w:t>.</w:t>
      </w:r>
      <w:r w:rsidR="00280BDE">
        <w:rPr>
          <w:rStyle w:val="FootnoteReference"/>
          <w:szCs w:val="22"/>
        </w:rPr>
        <w:footnoteReference w:id="23"/>
      </w:r>
    </w:p>
    <w:p w14:paraId="198EFD6D" w14:textId="77777777" w:rsidR="00D3760F" w:rsidRPr="00374B5E" w:rsidRDefault="00D3760F" w:rsidP="00EC1BD5">
      <w:pPr>
        <w:pStyle w:val="Heading1"/>
        <w:widowControl/>
        <w:tabs>
          <w:tab w:val="clear" w:pos="1170"/>
        </w:tabs>
        <w:ind w:left="720"/>
        <w:rPr>
          <w:rFonts w:ascii="Times New Roman" w:hAnsi="Times New Roman"/>
          <w:sz w:val="22"/>
          <w:szCs w:val="22"/>
        </w:rPr>
      </w:pPr>
      <w:r w:rsidRPr="00495FE8">
        <w:rPr>
          <w:rFonts w:ascii="Times New Roman" w:hAnsi="Times New Roman"/>
          <w:sz w:val="22"/>
          <w:szCs w:val="22"/>
        </w:rPr>
        <w:t xml:space="preserve">DISCUSSION </w:t>
      </w:r>
    </w:p>
    <w:p w14:paraId="1D9CFE84" w14:textId="77777777" w:rsidR="00D3760F" w:rsidRPr="00374B5E" w:rsidRDefault="00D3760F" w:rsidP="00EC1BD5">
      <w:pPr>
        <w:pStyle w:val="Heading2"/>
        <w:spacing w:before="0" w:after="120"/>
        <w:rPr>
          <w:rFonts w:ascii="Times New Roman" w:hAnsi="Times New Roman"/>
          <w:i w:val="0"/>
          <w:sz w:val="22"/>
          <w:szCs w:val="22"/>
        </w:rPr>
      </w:pPr>
      <w:r w:rsidRPr="00374B5E">
        <w:rPr>
          <w:rFonts w:ascii="Times New Roman" w:hAnsi="Times New Roman"/>
          <w:i w:val="0"/>
          <w:sz w:val="22"/>
          <w:szCs w:val="22"/>
        </w:rPr>
        <w:t xml:space="preserve">Failure to </w:t>
      </w:r>
      <w:r w:rsidR="002C47EF">
        <w:rPr>
          <w:rFonts w:ascii="Times New Roman" w:hAnsi="Times New Roman"/>
          <w:i w:val="0"/>
          <w:sz w:val="22"/>
          <w:szCs w:val="22"/>
        </w:rPr>
        <w:t>Transmit 911 Calls</w:t>
      </w:r>
      <w:r w:rsidR="00297134" w:rsidRPr="00297134">
        <w:rPr>
          <w:rFonts w:ascii="Times New Roman" w:hAnsi="Times New Roman"/>
          <w:i w:val="0"/>
          <w:sz w:val="22"/>
          <w:szCs w:val="22"/>
        </w:rPr>
        <w:t xml:space="preserve"> </w:t>
      </w:r>
      <w:r w:rsidR="00297134">
        <w:rPr>
          <w:rFonts w:ascii="Times New Roman" w:hAnsi="Times New Roman"/>
          <w:i w:val="0"/>
          <w:sz w:val="22"/>
          <w:szCs w:val="22"/>
        </w:rPr>
        <w:t>Adequately</w:t>
      </w:r>
    </w:p>
    <w:p w14:paraId="2ADCBF1C" w14:textId="77777777" w:rsidR="008C2F8E" w:rsidRDefault="00AA1775" w:rsidP="00EC1BD5">
      <w:pPr>
        <w:pStyle w:val="ParaNum"/>
        <w:widowControl/>
        <w:tabs>
          <w:tab w:val="clear" w:pos="1080"/>
          <w:tab w:val="num" w:pos="1440"/>
        </w:tabs>
        <w:rPr>
          <w:szCs w:val="22"/>
        </w:rPr>
      </w:pPr>
      <w:r>
        <w:rPr>
          <w:szCs w:val="22"/>
        </w:rPr>
        <w:t>In t</w:t>
      </w:r>
      <w:r w:rsidR="00723F94" w:rsidRPr="00BB031A">
        <w:rPr>
          <w:szCs w:val="22"/>
        </w:rPr>
        <w:t>he 911 Act</w:t>
      </w:r>
      <w:r>
        <w:rPr>
          <w:szCs w:val="22"/>
        </w:rPr>
        <w:t>, Congress</w:t>
      </w:r>
      <w:r w:rsidR="00723F94" w:rsidRPr="00BB031A">
        <w:rPr>
          <w:szCs w:val="22"/>
        </w:rPr>
        <w:t xml:space="preserve"> direct</w:t>
      </w:r>
      <w:r w:rsidR="00F63988" w:rsidRPr="00BB031A">
        <w:rPr>
          <w:szCs w:val="22"/>
        </w:rPr>
        <w:t>ed</w:t>
      </w:r>
      <w:r w:rsidR="00723F94" w:rsidRPr="00BB031A">
        <w:rPr>
          <w:szCs w:val="22"/>
        </w:rPr>
        <w:t xml:space="preserve"> the </w:t>
      </w:r>
      <w:r w:rsidR="00F63988" w:rsidRPr="00BB031A">
        <w:rPr>
          <w:szCs w:val="22"/>
        </w:rPr>
        <w:t>Commission</w:t>
      </w:r>
      <w:r w:rsidR="00723F94" w:rsidRPr="00BB031A">
        <w:rPr>
          <w:szCs w:val="22"/>
        </w:rPr>
        <w:t xml:space="preserve"> to make 911 the universal emergency </w:t>
      </w:r>
      <w:r w:rsidR="000332CB">
        <w:rPr>
          <w:szCs w:val="22"/>
        </w:rPr>
        <w:t xml:space="preserve">telephone </w:t>
      </w:r>
      <w:r w:rsidR="00723F94" w:rsidRPr="00BB031A">
        <w:rPr>
          <w:szCs w:val="22"/>
        </w:rPr>
        <w:t xml:space="preserve">number </w:t>
      </w:r>
      <w:r w:rsidR="000332CB">
        <w:rPr>
          <w:szCs w:val="22"/>
        </w:rPr>
        <w:t xml:space="preserve">in the United States </w:t>
      </w:r>
      <w:r w:rsidR="00723F94" w:rsidRPr="00BB031A">
        <w:rPr>
          <w:szCs w:val="22"/>
        </w:rPr>
        <w:t xml:space="preserve">for </w:t>
      </w:r>
      <w:r w:rsidR="000332CB" w:rsidRPr="00BB031A">
        <w:rPr>
          <w:szCs w:val="22"/>
        </w:rPr>
        <w:t>wireline and wireless telephone service</w:t>
      </w:r>
      <w:r w:rsidR="000332CB">
        <w:rPr>
          <w:szCs w:val="22"/>
        </w:rPr>
        <w:t xml:space="preserve"> “for reporting an emergency to appropriate authorities and requesting assistance</w:t>
      </w:r>
      <w:r w:rsidR="00687C1D">
        <w:rPr>
          <w:szCs w:val="22"/>
        </w:rPr>
        <w:t>,</w:t>
      </w:r>
      <w:r w:rsidR="000332CB">
        <w:rPr>
          <w:szCs w:val="22"/>
        </w:rPr>
        <w:t xml:space="preserve">” </w:t>
      </w:r>
      <w:r w:rsidR="00723F94" w:rsidRPr="00BB031A">
        <w:rPr>
          <w:szCs w:val="22"/>
        </w:rPr>
        <w:t xml:space="preserve">and to encourage and support the </w:t>
      </w:r>
      <w:r w:rsidR="000332CB">
        <w:rPr>
          <w:szCs w:val="22"/>
        </w:rPr>
        <w:t>d</w:t>
      </w:r>
      <w:r w:rsidR="00723F94" w:rsidRPr="00BB031A">
        <w:rPr>
          <w:szCs w:val="22"/>
        </w:rPr>
        <w:t>evelop</w:t>
      </w:r>
      <w:r w:rsidR="000332CB">
        <w:rPr>
          <w:szCs w:val="22"/>
        </w:rPr>
        <w:t>ment</w:t>
      </w:r>
      <w:r w:rsidR="00723F94" w:rsidRPr="00BB031A">
        <w:rPr>
          <w:szCs w:val="22"/>
        </w:rPr>
        <w:t xml:space="preserve"> </w:t>
      </w:r>
      <w:r w:rsidR="000332CB">
        <w:rPr>
          <w:szCs w:val="22"/>
        </w:rPr>
        <w:t xml:space="preserve">of </w:t>
      </w:r>
      <w:r w:rsidR="00723F94" w:rsidRPr="00BB031A">
        <w:rPr>
          <w:szCs w:val="22"/>
        </w:rPr>
        <w:t>comprehensive emergency communications throughout the United States so that all jurisdictions offer seamless networks for prompt emergency service.</w:t>
      </w:r>
      <w:r w:rsidR="00F63988">
        <w:rPr>
          <w:rStyle w:val="FootnoteReference"/>
          <w:szCs w:val="22"/>
        </w:rPr>
        <w:footnoteReference w:id="24"/>
      </w:r>
      <w:r w:rsidR="00723F94" w:rsidRPr="00BB031A">
        <w:rPr>
          <w:szCs w:val="22"/>
        </w:rPr>
        <w:t xml:space="preserve">  </w:t>
      </w:r>
      <w:r w:rsidR="00BB031A">
        <w:rPr>
          <w:szCs w:val="22"/>
        </w:rPr>
        <w:t xml:space="preserve">In those areas where no PSAP or statewide default answering point has been designated, </w:t>
      </w:r>
      <w:r w:rsidR="00FB3483">
        <w:rPr>
          <w:szCs w:val="22"/>
        </w:rPr>
        <w:t xml:space="preserve">and where no appropriate local emergency authority has been selected by an authorized state or local entity to receive 911 calls, </w:t>
      </w:r>
      <w:r w:rsidR="00BB031A">
        <w:rPr>
          <w:szCs w:val="22"/>
        </w:rPr>
        <w:t>Section 64.3002(d) of the Rules</w:t>
      </w:r>
      <w:r w:rsidR="00FB3483">
        <w:rPr>
          <w:szCs w:val="22"/>
        </w:rPr>
        <w:t xml:space="preserve"> imposes on telecommunications carriers the obligation to </w:t>
      </w:r>
      <w:r w:rsidR="00C85F9E">
        <w:rPr>
          <w:szCs w:val="22"/>
        </w:rPr>
        <w:t>“identify an appropriate local emergency authority</w:t>
      </w:r>
      <w:r w:rsidR="008C2F8E">
        <w:rPr>
          <w:szCs w:val="22"/>
        </w:rPr>
        <w:t xml:space="preserve">, based on the </w:t>
      </w:r>
      <w:r w:rsidR="00FB3483">
        <w:rPr>
          <w:szCs w:val="22"/>
        </w:rPr>
        <w:t xml:space="preserve">exercise </w:t>
      </w:r>
      <w:r w:rsidR="008C2F8E">
        <w:rPr>
          <w:szCs w:val="22"/>
        </w:rPr>
        <w:t xml:space="preserve">of </w:t>
      </w:r>
      <w:r w:rsidR="00FB3483">
        <w:rPr>
          <w:szCs w:val="22"/>
        </w:rPr>
        <w:t>reasonable judgment</w:t>
      </w:r>
      <w:r w:rsidR="008C2F8E">
        <w:rPr>
          <w:szCs w:val="22"/>
        </w:rPr>
        <w:t>, and complete all translation and routing necessary to deliver 911 calls to such appropriate local emergency authority no later than September 11, 2002.</w:t>
      </w:r>
      <w:r w:rsidR="00FB3483">
        <w:rPr>
          <w:szCs w:val="22"/>
        </w:rPr>
        <w:t>”</w:t>
      </w:r>
      <w:r w:rsidR="00F4752A">
        <w:rPr>
          <w:rStyle w:val="FootnoteReference"/>
          <w:szCs w:val="22"/>
        </w:rPr>
        <w:footnoteReference w:id="25"/>
      </w:r>
      <w:r w:rsidR="00F4752A" w:rsidRPr="00BB031A">
        <w:rPr>
          <w:szCs w:val="22"/>
        </w:rPr>
        <w:t xml:space="preserve">  </w:t>
      </w:r>
    </w:p>
    <w:p w14:paraId="719C4EA4" w14:textId="19862957" w:rsidR="00097657" w:rsidRPr="00ED0CB0" w:rsidRDefault="008C2F8E" w:rsidP="009024F0">
      <w:pPr>
        <w:pStyle w:val="ParaNum"/>
        <w:widowControl/>
        <w:tabs>
          <w:tab w:val="clear" w:pos="1080"/>
          <w:tab w:val="num" w:pos="1440"/>
        </w:tabs>
        <w:rPr>
          <w:szCs w:val="22"/>
        </w:rPr>
      </w:pPr>
      <w:r>
        <w:rPr>
          <w:szCs w:val="22"/>
        </w:rPr>
        <w:t>Based on the record before us, it appears that</w:t>
      </w:r>
      <w:r w:rsidR="002E4B8E">
        <w:rPr>
          <w:szCs w:val="22"/>
        </w:rPr>
        <w:t>,</w:t>
      </w:r>
      <w:r>
        <w:rPr>
          <w:szCs w:val="22"/>
        </w:rPr>
        <w:t xml:space="preserve"> </w:t>
      </w:r>
      <w:r w:rsidR="0099700A" w:rsidRPr="00BB031A">
        <w:rPr>
          <w:szCs w:val="22"/>
        </w:rPr>
        <w:t xml:space="preserve">prior to the </w:t>
      </w:r>
      <w:r w:rsidR="00AA1775">
        <w:rPr>
          <w:szCs w:val="22"/>
        </w:rPr>
        <w:t>approval and designation</w:t>
      </w:r>
      <w:r>
        <w:rPr>
          <w:szCs w:val="22"/>
        </w:rPr>
        <w:t xml:space="preserve"> of the </w:t>
      </w:r>
      <w:r w:rsidR="00DD52FA" w:rsidRPr="00BB031A">
        <w:rPr>
          <w:szCs w:val="22"/>
        </w:rPr>
        <w:t>Caddo County PSAP</w:t>
      </w:r>
      <w:r w:rsidR="002E4B8E">
        <w:rPr>
          <w:szCs w:val="22"/>
        </w:rPr>
        <w:t>,</w:t>
      </w:r>
      <w:r w:rsidR="00DD52FA" w:rsidRPr="00BB031A">
        <w:rPr>
          <w:szCs w:val="22"/>
        </w:rPr>
        <w:t xml:space="preserve"> </w:t>
      </w:r>
      <w:r w:rsidR="0099700A" w:rsidRPr="00BB031A">
        <w:rPr>
          <w:szCs w:val="22"/>
        </w:rPr>
        <w:t xml:space="preserve">there was </w:t>
      </w:r>
      <w:r w:rsidR="002E4B8E">
        <w:rPr>
          <w:szCs w:val="22"/>
        </w:rPr>
        <w:t xml:space="preserve">no </w:t>
      </w:r>
      <w:r w:rsidR="0099700A" w:rsidRPr="00BB031A">
        <w:rPr>
          <w:szCs w:val="22"/>
        </w:rPr>
        <w:t>designated PSAP</w:t>
      </w:r>
      <w:r w:rsidR="00073ABE">
        <w:rPr>
          <w:szCs w:val="22"/>
        </w:rPr>
        <w:t xml:space="preserve"> in Caddo County, Oklahoma</w:t>
      </w:r>
      <w:r w:rsidR="00AB2DA6">
        <w:rPr>
          <w:szCs w:val="22"/>
        </w:rPr>
        <w:t>;</w:t>
      </w:r>
      <w:r w:rsidR="0099700A" w:rsidRPr="00BB031A">
        <w:rPr>
          <w:szCs w:val="22"/>
        </w:rPr>
        <w:t xml:space="preserve"> </w:t>
      </w:r>
      <w:r w:rsidR="00073ABE">
        <w:rPr>
          <w:szCs w:val="22"/>
        </w:rPr>
        <w:t xml:space="preserve">the State of Oklahoma had not designated a </w:t>
      </w:r>
      <w:r w:rsidR="0099700A" w:rsidRPr="00BB031A">
        <w:rPr>
          <w:szCs w:val="22"/>
        </w:rPr>
        <w:t>statewide default answering point</w:t>
      </w:r>
      <w:r w:rsidR="00AB2DA6">
        <w:rPr>
          <w:szCs w:val="22"/>
        </w:rPr>
        <w:t>;</w:t>
      </w:r>
      <w:r w:rsidR="00073ABE">
        <w:rPr>
          <w:szCs w:val="22"/>
        </w:rPr>
        <w:t xml:space="preserve"> and </w:t>
      </w:r>
      <w:r w:rsidR="00D05197">
        <w:rPr>
          <w:szCs w:val="22"/>
        </w:rPr>
        <w:t xml:space="preserve">neither </w:t>
      </w:r>
      <w:r w:rsidR="00073ABE">
        <w:rPr>
          <w:szCs w:val="22"/>
        </w:rPr>
        <w:t xml:space="preserve">the State of Oklahoma </w:t>
      </w:r>
      <w:r w:rsidR="00D05197">
        <w:rPr>
          <w:szCs w:val="22"/>
        </w:rPr>
        <w:t>n</w:t>
      </w:r>
      <w:r w:rsidR="00073ABE">
        <w:rPr>
          <w:szCs w:val="22"/>
        </w:rPr>
        <w:t>or any</w:t>
      </w:r>
      <w:r w:rsidR="00D05197">
        <w:rPr>
          <w:szCs w:val="22"/>
        </w:rPr>
        <w:t xml:space="preserve"> Caddo County governmental entity had requested that Hinton route 911 calls from its Caddo County customers to any specified</w:t>
      </w:r>
      <w:r w:rsidR="0099700A" w:rsidRPr="00BB031A">
        <w:rPr>
          <w:szCs w:val="22"/>
        </w:rPr>
        <w:t xml:space="preserve"> local emergency authority</w:t>
      </w:r>
      <w:r w:rsidR="00D05197">
        <w:rPr>
          <w:szCs w:val="22"/>
        </w:rPr>
        <w:t>.</w:t>
      </w:r>
      <w:r w:rsidR="000D707C">
        <w:rPr>
          <w:rStyle w:val="FootnoteReference"/>
          <w:szCs w:val="22"/>
        </w:rPr>
        <w:footnoteReference w:id="26"/>
      </w:r>
      <w:r w:rsidR="000D707C" w:rsidRPr="00BB031A">
        <w:rPr>
          <w:szCs w:val="22"/>
        </w:rPr>
        <w:t xml:space="preserve"> </w:t>
      </w:r>
      <w:r w:rsidR="00BA726E">
        <w:rPr>
          <w:szCs w:val="22"/>
        </w:rPr>
        <w:t xml:space="preserve"> </w:t>
      </w:r>
      <w:r w:rsidR="00CA550D">
        <w:rPr>
          <w:szCs w:val="22"/>
        </w:rPr>
        <w:t>While it may have been reasonable for Hinton to route 911 calls to AT&amp;T’s live operator under these circumstances,</w:t>
      </w:r>
      <w:r w:rsidR="00B873EC">
        <w:rPr>
          <w:rStyle w:val="FootnoteReference"/>
          <w:szCs w:val="22"/>
        </w:rPr>
        <w:footnoteReference w:id="27"/>
      </w:r>
      <w:r w:rsidR="00B52AB5">
        <w:rPr>
          <w:szCs w:val="22"/>
        </w:rPr>
        <w:t xml:space="preserve"> </w:t>
      </w:r>
      <w:r w:rsidR="00CA550D">
        <w:rPr>
          <w:szCs w:val="22"/>
        </w:rPr>
        <w:t>w</w:t>
      </w:r>
      <w:r w:rsidR="009F07E1" w:rsidRPr="00CA550D">
        <w:rPr>
          <w:szCs w:val="22"/>
        </w:rPr>
        <w:t xml:space="preserve">e </w:t>
      </w:r>
      <w:r w:rsidR="004834BC" w:rsidRPr="00CA550D">
        <w:rPr>
          <w:szCs w:val="22"/>
        </w:rPr>
        <w:t>reject</w:t>
      </w:r>
      <w:r w:rsidR="009F07E1" w:rsidRPr="00CA550D">
        <w:rPr>
          <w:szCs w:val="22"/>
        </w:rPr>
        <w:t xml:space="preserve"> </w:t>
      </w:r>
      <w:r w:rsidR="004834BC" w:rsidRPr="00CA550D">
        <w:rPr>
          <w:szCs w:val="22"/>
        </w:rPr>
        <w:t xml:space="preserve">Hinton’s contention that it </w:t>
      </w:r>
      <w:r w:rsidR="009F07E1" w:rsidRPr="00CA550D">
        <w:rPr>
          <w:szCs w:val="22"/>
        </w:rPr>
        <w:t>exercise</w:t>
      </w:r>
      <w:r w:rsidR="004834BC" w:rsidRPr="00CC265B">
        <w:rPr>
          <w:szCs w:val="22"/>
        </w:rPr>
        <w:t>d</w:t>
      </w:r>
      <w:r w:rsidR="009F07E1" w:rsidRPr="00CC265B">
        <w:rPr>
          <w:szCs w:val="22"/>
        </w:rPr>
        <w:t xml:space="preserve"> reasonable judgment</w:t>
      </w:r>
      <w:r w:rsidR="00901FCB" w:rsidRPr="00CC265B">
        <w:rPr>
          <w:szCs w:val="22"/>
        </w:rPr>
        <w:t xml:space="preserve"> </w:t>
      </w:r>
      <w:r w:rsidR="004834BC" w:rsidRPr="00CC265B">
        <w:rPr>
          <w:szCs w:val="22"/>
        </w:rPr>
        <w:t>by</w:t>
      </w:r>
      <w:r w:rsidR="00901FCB" w:rsidRPr="00CC265B">
        <w:rPr>
          <w:szCs w:val="22"/>
        </w:rPr>
        <w:t xml:space="preserve"> </w:t>
      </w:r>
      <w:r w:rsidR="00901FCB" w:rsidRPr="00ED0CB0">
        <w:rPr>
          <w:i/>
          <w:szCs w:val="22"/>
        </w:rPr>
        <w:t>continuing</w:t>
      </w:r>
      <w:r w:rsidR="00901FCB" w:rsidRPr="00ED0CB0">
        <w:rPr>
          <w:szCs w:val="22"/>
        </w:rPr>
        <w:t xml:space="preserve"> to route </w:t>
      </w:r>
      <w:r w:rsidR="00DA3383" w:rsidRPr="00ED0CB0">
        <w:rPr>
          <w:rFonts w:eastAsia="Batang"/>
        </w:rPr>
        <w:t xml:space="preserve">911 calls to </w:t>
      </w:r>
      <w:r w:rsidR="009F07E1" w:rsidRPr="00ED0CB0">
        <w:rPr>
          <w:rFonts w:eastAsia="Batang"/>
        </w:rPr>
        <w:t>AT&amp;T</w:t>
      </w:r>
      <w:r w:rsidR="009F07E1" w:rsidRPr="00ED0CB0">
        <w:rPr>
          <w:szCs w:val="22"/>
        </w:rPr>
        <w:t xml:space="preserve">’s </w:t>
      </w:r>
      <w:r w:rsidR="00C815C1" w:rsidRPr="00ED0CB0">
        <w:rPr>
          <w:rFonts w:eastAsia="Batang"/>
        </w:rPr>
        <w:t xml:space="preserve">operator </w:t>
      </w:r>
      <w:r w:rsidR="00DA3383" w:rsidRPr="00ED0CB0">
        <w:rPr>
          <w:rFonts w:eastAsia="Batang"/>
        </w:rPr>
        <w:t xml:space="preserve">service </w:t>
      </w:r>
      <w:r w:rsidR="0031090B">
        <w:rPr>
          <w:rFonts w:eastAsia="Batang"/>
        </w:rPr>
        <w:t>after</w:t>
      </w:r>
      <w:r w:rsidR="0031090B" w:rsidRPr="00ED0CB0">
        <w:rPr>
          <w:rFonts w:eastAsia="Batang"/>
        </w:rPr>
        <w:t xml:space="preserve"> </w:t>
      </w:r>
      <w:r w:rsidR="00901FCB" w:rsidRPr="00ED0CB0">
        <w:rPr>
          <w:rFonts w:eastAsia="Batang"/>
        </w:rPr>
        <w:t xml:space="preserve">May 6, 2013, when it </w:t>
      </w:r>
      <w:r w:rsidR="008F31D5" w:rsidRPr="00ED0CB0">
        <w:rPr>
          <w:rFonts w:eastAsia="Batang"/>
        </w:rPr>
        <w:t xml:space="preserve">learned that 911 calls </w:t>
      </w:r>
      <w:r w:rsidR="004F60A8" w:rsidRPr="00390A11">
        <w:rPr>
          <w:rFonts w:eastAsia="Batang"/>
        </w:rPr>
        <w:t xml:space="preserve">on </w:t>
      </w:r>
      <w:r w:rsidR="0031090B">
        <w:rPr>
          <w:rFonts w:eastAsia="Batang"/>
        </w:rPr>
        <w:t xml:space="preserve">its </w:t>
      </w:r>
      <w:r w:rsidR="004F60A8" w:rsidRPr="00390A11">
        <w:rPr>
          <w:rFonts w:eastAsia="Batang"/>
        </w:rPr>
        <w:t xml:space="preserve">network </w:t>
      </w:r>
      <w:r w:rsidR="008F31D5" w:rsidRPr="00390A11">
        <w:rPr>
          <w:rFonts w:eastAsia="Batang"/>
        </w:rPr>
        <w:t xml:space="preserve">were </w:t>
      </w:r>
      <w:r w:rsidR="00901FCB" w:rsidRPr="00390A11">
        <w:rPr>
          <w:rFonts w:eastAsia="Batang"/>
        </w:rPr>
        <w:t xml:space="preserve">being routed </w:t>
      </w:r>
      <w:r w:rsidR="009F07E1" w:rsidRPr="00390A11">
        <w:rPr>
          <w:rFonts w:eastAsia="Batang"/>
        </w:rPr>
        <w:t>to an automated operator</w:t>
      </w:r>
      <w:r w:rsidR="0031090B">
        <w:rPr>
          <w:rFonts w:eastAsia="Batang"/>
        </w:rPr>
        <w:t>.  Moreover</w:t>
      </w:r>
      <w:r w:rsidR="006F7003" w:rsidRPr="00390A11">
        <w:rPr>
          <w:rFonts w:eastAsia="Batang"/>
        </w:rPr>
        <w:t>,</w:t>
      </w:r>
      <w:r w:rsidR="0031090B">
        <w:rPr>
          <w:rFonts w:eastAsia="Batang"/>
        </w:rPr>
        <w:t xml:space="preserve"> Hinton allowed that unreasonable practice to continue</w:t>
      </w:r>
      <w:r w:rsidR="006F7003" w:rsidRPr="00390A11">
        <w:rPr>
          <w:rFonts w:eastAsia="Batang"/>
        </w:rPr>
        <w:t xml:space="preserve"> until August 5, 2013, when it </w:t>
      </w:r>
      <w:r w:rsidR="0031090B">
        <w:rPr>
          <w:rFonts w:eastAsia="Batang"/>
        </w:rPr>
        <w:t>began</w:t>
      </w:r>
      <w:r w:rsidR="0031090B" w:rsidRPr="00390A11">
        <w:rPr>
          <w:rFonts w:eastAsia="Batang"/>
        </w:rPr>
        <w:t xml:space="preserve"> </w:t>
      </w:r>
      <w:r w:rsidR="006F7003" w:rsidRPr="00390A11">
        <w:rPr>
          <w:rFonts w:eastAsia="Batang"/>
        </w:rPr>
        <w:t>routing calls to the Caddo County PSAP</w:t>
      </w:r>
      <w:r w:rsidR="00B25031" w:rsidRPr="00390A11">
        <w:rPr>
          <w:rFonts w:eastAsia="Batang"/>
        </w:rPr>
        <w:t xml:space="preserve"> in response </w:t>
      </w:r>
      <w:r w:rsidR="00B45620" w:rsidRPr="00390A11">
        <w:rPr>
          <w:rFonts w:eastAsia="Batang"/>
        </w:rPr>
        <w:t xml:space="preserve">to the </w:t>
      </w:r>
      <w:r w:rsidR="00CC2CBD">
        <w:rPr>
          <w:rFonts w:eastAsia="Batang"/>
        </w:rPr>
        <w:t>request</w:t>
      </w:r>
      <w:r w:rsidR="00B45620" w:rsidRPr="00390A11">
        <w:rPr>
          <w:rFonts w:eastAsia="Batang"/>
        </w:rPr>
        <w:t xml:space="preserve"> </w:t>
      </w:r>
      <w:r w:rsidR="00B25031" w:rsidRPr="00390A11">
        <w:rPr>
          <w:rFonts w:eastAsia="Batang"/>
        </w:rPr>
        <w:t>from PSHSB staff</w:t>
      </w:r>
      <w:r w:rsidR="009A7D8C" w:rsidRPr="00390A11">
        <w:rPr>
          <w:rFonts w:eastAsia="Batang"/>
        </w:rPr>
        <w:t>.</w:t>
      </w:r>
      <w:r w:rsidR="00814308">
        <w:rPr>
          <w:rStyle w:val="FootnoteReference"/>
          <w:rFonts w:eastAsia="Batang"/>
        </w:rPr>
        <w:footnoteReference w:id="28"/>
      </w:r>
      <w:r w:rsidR="009A7D8C" w:rsidRPr="00CA550D">
        <w:rPr>
          <w:rFonts w:eastAsia="Batang"/>
        </w:rPr>
        <w:t xml:space="preserve">  </w:t>
      </w:r>
      <w:r w:rsidR="005F3617" w:rsidRPr="00CA550D">
        <w:rPr>
          <w:rFonts w:eastAsia="Batang"/>
        </w:rPr>
        <w:t xml:space="preserve">As the Commission has </w:t>
      </w:r>
      <w:r w:rsidR="00CC2CBD">
        <w:rPr>
          <w:rFonts w:eastAsia="Batang"/>
        </w:rPr>
        <w:t>stated</w:t>
      </w:r>
      <w:r w:rsidR="005F3617" w:rsidRPr="00CA550D">
        <w:rPr>
          <w:rFonts w:eastAsia="Batang"/>
        </w:rPr>
        <w:t>, 911 service is intended to provide fast response to emergency situations by having a national three</w:t>
      </w:r>
      <w:r w:rsidR="009D4A7E" w:rsidRPr="00CC265B">
        <w:rPr>
          <w:rFonts w:eastAsia="Batang"/>
        </w:rPr>
        <w:t>-</w:t>
      </w:r>
      <w:r w:rsidR="005F3617" w:rsidRPr="00CC265B">
        <w:rPr>
          <w:rFonts w:eastAsia="Batang"/>
        </w:rPr>
        <w:t>digit number to dial and connecting 911 dialed calls to trained individuals who have ready access to police, fire, and health emergency service providers.</w:t>
      </w:r>
      <w:r w:rsidR="005F3617">
        <w:rPr>
          <w:rStyle w:val="FootnoteReference"/>
          <w:rFonts w:eastAsia="Batang"/>
        </w:rPr>
        <w:footnoteReference w:id="29"/>
      </w:r>
      <w:r w:rsidR="005F3617" w:rsidRPr="00CA550D">
        <w:rPr>
          <w:rFonts w:eastAsia="Batang"/>
        </w:rPr>
        <w:t xml:space="preserve">  </w:t>
      </w:r>
      <w:r w:rsidR="00B45620" w:rsidRPr="00CA550D">
        <w:rPr>
          <w:rFonts w:eastAsia="Batang"/>
        </w:rPr>
        <w:t>Caddo County residents who attempted to call 911 for emergency assistance were not connected</w:t>
      </w:r>
      <w:r w:rsidR="00FE50B0" w:rsidRPr="00CC265B">
        <w:rPr>
          <w:rFonts w:eastAsia="Batang"/>
        </w:rPr>
        <w:t xml:space="preserve"> to a live operator with the ability to immedi</w:t>
      </w:r>
      <w:r w:rsidR="00FE50B0" w:rsidRPr="00ED0CB0">
        <w:rPr>
          <w:rFonts w:eastAsia="Batang"/>
        </w:rPr>
        <w:t xml:space="preserve">ately route the call to appropriate emergency response personnel.  Instead, individuals with an immediate need for emergency assistance </w:t>
      </w:r>
      <w:r w:rsidR="007201C5" w:rsidRPr="00ED0CB0">
        <w:rPr>
          <w:rFonts w:eastAsia="Batang"/>
        </w:rPr>
        <w:t xml:space="preserve">and who had already called 911 </w:t>
      </w:r>
      <w:r w:rsidR="00FE50B0" w:rsidRPr="00ED0CB0">
        <w:rPr>
          <w:rFonts w:eastAsia="Batang"/>
        </w:rPr>
        <w:t xml:space="preserve">were directed to “hang up and dial 911,” </w:t>
      </w:r>
      <w:r w:rsidR="00422755" w:rsidRPr="00ED0CB0">
        <w:rPr>
          <w:rFonts w:eastAsia="Batang"/>
        </w:rPr>
        <w:t>an instruction that on its face was manifestly unreasonable.</w:t>
      </w:r>
      <w:r w:rsidR="00422755" w:rsidRPr="00CC265B">
        <w:rPr>
          <w:rFonts w:eastAsia="Batang"/>
        </w:rPr>
        <w:t xml:space="preserve">  In</w:t>
      </w:r>
      <w:r w:rsidR="004834BC" w:rsidRPr="00CC265B">
        <w:rPr>
          <w:rFonts w:eastAsia="Batang"/>
        </w:rPr>
        <w:t xml:space="preserve">deed, the only way a </w:t>
      </w:r>
      <w:r w:rsidR="00422755" w:rsidRPr="00CC265B">
        <w:rPr>
          <w:rFonts w:eastAsia="Batang"/>
        </w:rPr>
        <w:t xml:space="preserve">911 caller could </w:t>
      </w:r>
      <w:r w:rsidR="004834BC" w:rsidRPr="00ED0CB0">
        <w:rPr>
          <w:rFonts w:eastAsia="Batang"/>
        </w:rPr>
        <w:t>access a live operator to route its call to the appropriate emergency authority would be to ignore the message</w:t>
      </w:r>
      <w:r w:rsidR="009D4A7E" w:rsidRPr="00ED0CB0">
        <w:rPr>
          <w:rFonts w:eastAsia="Batang"/>
        </w:rPr>
        <w:t>’s</w:t>
      </w:r>
      <w:r w:rsidR="004834BC" w:rsidRPr="00ED0CB0">
        <w:rPr>
          <w:rFonts w:eastAsia="Batang"/>
        </w:rPr>
        <w:t xml:space="preserve"> instruction—to “hang up and dial 911”—and instead </w:t>
      </w:r>
      <w:r w:rsidR="00422755" w:rsidRPr="00ED0CB0">
        <w:rPr>
          <w:rFonts w:eastAsia="Batang"/>
        </w:rPr>
        <w:t xml:space="preserve">press zero </w:t>
      </w:r>
      <w:r w:rsidR="004834BC" w:rsidRPr="00ED0CB0">
        <w:rPr>
          <w:rFonts w:eastAsia="Batang"/>
        </w:rPr>
        <w:t xml:space="preserve">and wait for the live operator to answer, </w:t>
      </w:r>
      <w:r w:rsidR="00422755" w:rsidRPr="00ED0CB0">
        <w:rPr>
          <w:rFonts w:eastAsia="Batang"/>
        </w:rPr>
        <w:t xml:space="preserve">which unnecessarily and unreasonably delayed </w:t>
      </w:r>
      <w:r w:rsidR="00F169F4" w:rsidRPr="00ED0CB0">
        <w:rPr>
          <w:rFonts w:eastAsia="Batang"/>
        </w:rPr>
        <w:t xml:space="preserve">customers’ </w:t>
      </w:r>
      <w:r w:rsidR="00422755" w:rsidRPr="00ED0CB0">
        <w:rPr>
          <w:rFonts w:eastAsia="Batang"/>
        </w:rPr>
        <w:t>access to emergency personnel.</w:t>
      </w:r>
      <w:r w:rsidR="00ED0CB0" w:rsidRPr="00ED0CB0">
        <w:rPr>
          <w:rStyle w:val="FootnoteReference"/>
          <w:rFonts w:eastAsia="Batang"/>
        </w:rPr>
        <w:t xml:space="preserve"> </w:t>
      </w:r>
      <w:r w:rsidR="00ED0CB0">
        <w:rPr>
          <w:rStyle w:val="FootnoteReference"/>
          <w:rFonts w:eastAsia="Batang"/>
        </w:rPr>
        <w:footnoteReference w:id="30"/>
      </w:r>
      <w:r w:rsidR="00422755" w:rsidRPr="00ED0CB0">
        <w:rPr>
          <w:rFonts w:eastAsia="Batang"/>
        </w:rPr>
        <w:t xml:space="preserve">  </w:t>
      </w:r>
    </w:p>
    <w:p w14:paraId="1481CFA2" w14:textId="033A2F37" w:rsidR="005F3617" w:rsidRPr="009F07E1" w:rsidRDefault="00CC2CBD" w:rsidP="00097657">
      <w:pPr>
        <w:pStyle w:val="ParaNum"/>
        <w:tabs>
          <w:tab w:val="clear" w:pos="1080"/>
        </w:tabs>
        <w:rPr>
          <w:szCs w:val="22"/>
        </w:rPr>
      </w:pPr>
      <w:r>
        <w:rPr>
          <w:rFonts w:eastAsia="Batang"/>
        </w:rPr>
        <w:t xml:space="preserve">We find that, </w:t>
      </w:r>
      <w:r w:rsidR="00CA605D">
        <w:rPr>
          <w:rFonts w:eastAsia="Batang"/>
        </w:rPr>
        <w:t>o</w:t>
      </w:r>
      <w:r w:rsidR="00207895">
        <w:rPr>
          <w:rFonts w:eastAsia="Batang"/>
        </w:rPr>
        <w:t>nce Hinton learned that 911 calls from its Caddo County customers were being routed to an automated message</w:t>
      </w:r>
      <w:r w:rsidR="00CA605D">
        <w:rPr>
          <w:rFonts w:eastAsia="Batang"/>
        </w:rPr>
        <w:t>,</w:t>
      </w:r>
      <w:r w:rsidR="00152C61">
        <w:rPr>
          <w:rFonts w:eastAsia="Batang"/>
        </w:rPr>
        <w:t xml:space="preserve"> </w:t>
      </w:r>
      <w:r w:rsidR="00207895">
        <w:rPr>
          <w:rFonts w:eastAsia="Batang"/>
        </w:rPr>
        <w:t>Hinton was obligated</w:t>
      </w:r>
      <w:r w:rsidR="00CA605D">
        <w:rPr>
          <w:rFonts w:eastAsia="Batang"/>
        </w:rPr>
        <w:t>, consistent with the requirements of Section 64.3002(d) of the Rules,</w:t>
      </w:r>
      <w:r w:rsidR="00207895">
        <w:rPr>
          <w:rFonts w:eastAsia="Batang"/>
        </w:rPr>
        <w:t xml:space="preserve"> to reassess </w:t>
      </w:r>
      <w:r w:rsidR="00152C61">
        <w:rPr>
          <w:rFonts w:eastAsia="Batang"/>
        </w:rPr>
        <w:t>its call routing protocols and ascertain whether, based on the exercise of reasonable judgment, there was an alternative appropriate local emergency authority</w:t>
      </w:r>
      <w:r w:rsidR="00207895">
        <w:rPr>
          <w:rFonts w:eastAsia="Batang"/>
        </w:rPr>
        <w:t xml:space="preserve"> </w:t>
      </w:r>
      <w:r w:rsidR="00152C61">
        <w:rPr>
          <w:szCs w:val="22"/>
        </w:rPr>
        <w:t xml:space="preserve">to which it could route its 911 calls.  In this regard, Hinton </w:t>
      </w:r>
      <w:r w:rsidR="00770CC9">
        <w:rPr>
          <w:szCs w:val="22"/>
        </w:rPr>
        <w:t>admits</w:t>
      </w:r>
      <w:r w:rsidR="00152C61">
        <w:rPr>
          <w:szCs w:val="22"/>
        </w:rPr>
        <w:t xml:space="preserve"> that </w:t>
      </w:r>
      <w:r w:rsidR="00770CC9">
        <w:rPr>
          <w:szCs w:val="22"/>
        </w:rPr>
        <w:t xml:space="preserve">even after it learned that its Caddo County customers’ 911 calls were being routed to an automated message service, Hinton </w:t>
      </w:r>
      <w:r w:rsidR="00814308">
        <w:rPr>
          <w:szCs w:val="22"/>
        </w:rPr>
        <w:t xml:space="preserve">made </w:t>
      </w:r>
      <w:r w:rsidR="00FB20B8">
        <w:rPr>
          <w:szCs w:val="22"/>
        </w:rPr>
        <w:t>no</w:t>
      </w:r>
      <w:r w:rsidR="00814308">
        <w:rPr>
          <w:szCs w:val="22"/>
        </w:rPr>
        <w:t xml:space="preserve"> effort to identify</w:t>
      </w:r>
      <w:r w:rsidR="00814308" w:rsidRPr="00814308">
        <w:rPr>
          <w:rFonts w:eastAsia="Batang"/>
        </w:rPr>
        <w:t xml:space="preserve"> </w:t>
      </w:r>
      <w:r w:rsidR="00814308">
        <w:rPr>
          <w:rFonts w:eastAsia="Batang"/>
        </w:rPr>
        <w:t xml:space="preserve">such an alternative appropriate local emergency authority, or </w:t>
      </w:r>
      <w:r w:rsidR="007C4586">
        <w:rPr>
          <w:rFonts w:eastAsia="Batang"/>
        </w:rPr>
        <w:t xml:space="preserve">that it </w:t>
      </w:r>
      <w:r w:rsidR="00814308">
        <w:rPr>
          <w:rFonts w:eastAsia="Batang"/>
        </w:rPr>
        <w:t xml:space="preserve">even attempted contact </w:t>
      </w:r>
      <w:r w:rsidR="00B55230">
        <w:rPr>
          <w:rFonts w:eastAsia="Batang"/>
        </w:rPr>
        <w:t xml:space="preserve">with </w:t>
      </w:r>
      <w:r w:rsidR="00814308">
        <w:rPr>
          <w:rFonts w:eastAsia="Batang"/>
        </w:rPr>
        <w:t xml:space="preserve">any </w:t>
      </w:r>
      <w:r w:rsidR="00F43AC0">
        <w:rPr>
          <w:rFonts w:eastAsia="Batang"/>
        </w:rPr>
        <w:t xml:space="preserve">such </w:t>
      </w:r>
      <w:r w:rsidR="00814308">
        <w:rPr>
          <w:rFonts w:eastAsia="Batang"/>
        </w:rPr>
        <w:t>local authorities, such as the Caddo County Sheriff’s</w:t>
      </w:r>
      <w:r w:rsidR="00814308">
        <w:rPr>
          <w:szCs w:val="22"/>
        </w:rPr>
        <w:t xml:space="preserve"> Office, to determine whether they would </w:t>
      </w:r>
      <w:r w:rsidR="00FA06F5">
        <w:rPr>
          <w:szCs w:val="22"/>
        </w:rPr>
        <w:t xml:space="preserve">temporarily </w:t>
      </w:r>
      <w:r w:rsidR="00814308">
        <w:rPr>
          <w:szCs w:val="22"/>
        </w:rPr>
        <w:t>accept the routing of 911 calls.</w:t>
      </w:r>
      <w:r w:rsidR="007C4586">
        <w:rPr>
          <w:rStyle w:val="FootnoteReference"/>
          <w:szCs w:val="22"/>
        </w:rPr>
        <w:footnoteReference w:id="31"/>
      </w:r>
      <w:r w:rsidR="00814308">
        <w:rPr>
          <w:szCs w:val="22"/>
        </w:rPr>
        <w:t xml:space="preserve">  </w:t>
      </w:r>
      <w:r w:rsidR="00F43AC0">
        <w:rPr>
          <w:szCs w:val="22"/>
        </w:rPr>
        <w:t xml:space="preserve">Moreover, there is no evidence that Hinton even contacted </w:t>
      </w:r>
      <w:r w:rsidR="008F33F7">
        <w:rPr>
          <w:szCs w:val="22"/>
        </w:rPr>
        <w:t xml:space="preserve">AT&amp;T to </w:t>
      </w:r>
      <w:r w:rsidR="00F43AC0">
        <w:rPr>
          <w:szCs w:val="22"/>
        </w:rPr>
        <w:t xml:space="preserve">request that it </w:t>
      </w:r>
      <w:r w:rsidR="008F33F7">
        <w:rPr>
          <w:szCs w:val="22"/>
        </w:rPr>
        <w:t xml:space="preserve">either reactivate its live operator or, at a minimum, modify the automated message to </w:t>
      </w:r>
      <w:r w:rsidR="00F43AC0">
        <w:rPr>
          <w:szCs w:val="22"/>
        </w:rPr>
        <w:t>state</w:t>
      </w:r>
      <w:r w:rsidR="007C4586">
        <w:rPr>
          <w:szCs w:val="22"/>
        </w:rPr>
        <w:t xml:space="preserve">, for example, </w:t>
      </w:r>
      <w:r w:rsidR="00F43AC0">
        <w:rPr>
          <w:szCs w:val="22"/>
        </w:rPr>
        <w:t xml:space="preserve">that </w:t>
      </w:r>
      <w:r w:rsidR="007C4586">
        <w:rPr>
          <w:szCs w:val="22"/>
        </w:rPr>
        <w:t xml:space="preserve">a </w:t>
      </w:r>
      <w:r w:rsidR="00F43AC0">
        <w:rPr>
          <w:szCs w:val="22"/>
        </w:rPr>
        <w:t>911</w:t>
      </w:r>
      <w:r w:rsidR="007C4586">
        <w:rPr>
          <w:szCs w:val="22"/>
        </w:rPr>
        <w:t xml:space="preserve"> caller </w:t>
      </w:r>
      <w:r w:rsidR="00F43AC0">
        <w:rPr>
          <w:szCs w:val="22"/>
        </w:rPr>
        <w:t>should press zero to be connected immediately to a live operator.</w:t>
      </w:r>
      <w:r w:rsidR="004F60A8" w:rsidRPr="009F07E1">
        <w:rPr>
          <w:rFonts w:eastAsia="Batang"/>
        </w:rPr>
        <w:t xml:space="preserve">  </w:t>
      </w:r>
      <w:r>
        <w:rPr>
          <w:rFonts w:eastAsia="Batang"/>
        </w:rPr>
        <w:t xml:space="preserve">Finally, once requested by PSHSB staff to implement a basic 911 solution, Hinton proved able to do so within four days.  </w:t>
      </w:r>
      <w:r w:rsidR="00F74194">
        <w:rPr>
          <w:rFonts w:eastAsia="Batang"/>
        </w:rPr>
        <w:t xml:space="preserve">Accordingly, we find that Hinton apparently violated Sections </w:t>
      </w:r>
      <w:r w:rsidR="00F74194">
        <w:t>64.3001 and 64.3002</w:t>
      </w:r>
      <w:r w:rsidR="002A1F92">
        <w:t>(d)</w:t>
      </w:r>
      <w:r w:rsidR="00F74194">
        <w:t xml:space="preserve"> of the Rules by failing to exercise reasonable judgment</w:t>
      </w:r>
      <w:r w:rsidR="00844E4D">
        <w:t xml:space="preserve"> in the identification of an appropriate local emergency authority to</w:t>
      </w:r>
      <w:r w:rsidR="007E182F">
        <w:t xml:space="preserve"> which </w:t>
      </w:r>
      <w:r w:rsidR="00637337">
        <w:t>to</w:t>
      </w:r>
      <w:r w:rsidR="007E182F">
        <w:t xml:space="preserve"> route 911 calls</w:t>
      </w:r>
      <w:r w:rsidR="00F74194">
        <w:t xml:space="preserve"> </w:t>
      </w:r>
      <w:r w:rsidR="007E182F">
        <w:t>from its Caddo County customers.</w:t>
      </w:r>
    </w:p>
    <w:p w14:paraId="53073C9D" w14:textId="77777777" w:rsidR="00D3760F" w:rsidRPr="00495FE8" w:rsidRDefault="00D3760F" w:rsidP="00EC1BD5">
      <w:pPr>
        <w:keepNext/>
        <w:widowControl/>
        <w:numPr>
          <w:ilvl w:val="1"/>
          <w:numId w:val="3"/>
        </w:numPr>
        <w:spacing w:after="120"/>
        <w:outlineLvl w:val="1"/>
        <w:rPr>
          <w:b/>
          <w:szCs w:val="22"/>
        </w:rPr>
      </w:pPr>
      <w:r w:rsidRPr="00495FE8">
        <w:rPr>
          <w:b/>
          <w:szCs w:val="22"/>
        </w:rPr>
        <w:t>Proposed Forfeiture</w:t>
      </w:r>
    </w:p>
    <w:p w14:paraId="57AD26CE" w14:textId="77777777" w:rsidR="00D3760F" w:rsidRDefault="00D3760F" w:rsidP="00EC1BD5">
      <w:pPr>
        <w:widowControl/>
        <w:numPr>
          <w:ilvl w:val="0"/>
          <w:numId w:val="2"/>
        </w:numPr>
        <w:tabs>
          <w:tab w:val="clear" w:pos="1080"/>
          <w:tab w:val="num" w:pos="1440"/>
        </w:tabs>
        <w:spacing w:after="120"/>
        <w:rPr>
          <w:szCs w:val="22"/>
        </w:rPr>
      </w:pPr>
      <w:r w:rsidRPr="00495FE8">
        <w:rPr>
          <w:szCs w:val="22"/>
        </w:rPr>
        <w:t xml:space="preserve">Under Section 503(b)(1)(B) of the Communications Act of 1934, as amended (Act),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rsidRPr="00495FE8">
            <w:rPr>
              <w:szCs w:val="22"/>
            </w:rPr>
            <w:t>United States</w:t>
          </w:r>
        </w:smartTag>
      </w:smartTag>
      <w:r w:rsidRPr="00495FE8">
        <w:rPr>
          <w:szCs w:val="22"/>
        </w:rPr>
        <w:t xml:space="preserve"> for a forfeiture penalty.</w:t>
      </w:r>
      <w:r w:rsidRPr="00495FE8">
        <w:rPr>
          <w:szCs w:val="22"/>
          <w:vertAlign w:val="superscript"/>
        </w:rPr>
        <w:footnoteReference w:id="32"/>
      </w:r>
      <w:r w:rsidRPr="00495FE8">
        <w:rPr>
          <w:szCs w:val="22"/>
        </w:rPr>
        <w:t xml:space="preserve">  </w:t>
      </w:r>
      <w:r w:rsidR="009167FE" w:rsidRPr="009167FE">
        <w:rPr>
          <w:szCs w:val="22"/>
        </w:rPr>
        <w:t>Section 312(f)(1) of the Act defines “willful” as the “conscious and deliberate commission or omission of [any] act, irrespective of any intent to violate” the law.</w:t>
      </w:r>
      <w:r w:rsidR="009167FE" w:rsidRPr="009167FE">
        <w:rPr>
          <w:szCs w:val="22"/>
          <w:vertAlign w:val="superscript"/>
        </w:rPr>
        <w:footnoteReference w:id="33"/>
      </w:r>
      <w:r w:rsidR="009167FE" w:rsidRPr="009167FE">
        <w:rPr>
          <w:szCs w:val="22"/>
        </w:rPr>
        <w:t xml:space="preserve">  The legislative history to Section 312(f)(1) of the Act clarifies that this definition of willful applies to both Sections 312 and 503(b) of the Act,</w:t>
      </w:r>
      <w:r w:rsidR="009167FE" w:rsidRPr="009167FE">
        <w:rPr>
          <w:szCs w:val="22"/>
          <w:vertAlign w:val="superscript"/>
        </w:rPr>
        <w:footnoteReference w:id="34"/>
      </w:r>
      <w:r w:rsidR="009167FE" w:rsidRPr="009167FE">
        <w:rPr>
          <w:szCs w:val="22"/>
        </w:rPr>
        <w:t xml:space="preserve"> and the Commission has so interpreted the term in the Section 503(b) context.</w:t>
      </w:r>
      <w:r w:rsidR="009167FE" w:rsidRPr="009167FE">
        <w:rPr>
          <w:szCs w:val="22"/>
          <w:vertAlign w:val="superscript"/>
        </w:rPr>
        <w:footnoteReference w:id="35"/>
      </w:r>
      <w:r w:rsidR="009167FE" w:rsidRPr="009167FE">
        <w:rPr>
          <w:szCs w:val="22"/>
        </w:rPr>
        <w:t xml:space="preserve">  The Commission may also assess a forfeiture for violations that are merely repeated, and not willful.</w:t>
      </w:r>
      <w:r w:rsidR="009167FE" w:rsidRPr="009167FE">
        <w:rPr>
          <w:szCs w:val="22"/>
          <w:vertAlign w:val="superscript"/>
        </w:rPr>
        <w:footnoteReference w:id="36"/>
      </w:r>
      <w:r w:rsidR="009167FE" w:rsidRPr="009167FE">
        <w:rPr>
          <w:szCs w:val="22"/>
        </w:rPr>
        <w:t xml:space="preserve">  The term “repeated” means the commission or omission of an act more than once or for more than one day.</w:t>
      </w:r>
      <w:r w:rsidR="009167FE" w:rsidRPr="009167FE">
        <w:rPr>
          <w:szCs w:val="22"/>
          <w:vertAlign w:val="superscript"/>
        </w:rPr>
        <w:footnoteReference w:id="37"/>
      </w:r>
      <w:r w:rsidR="00CB0392">
        <w:rPr>
          <w:szCs w:val="22"/>
        </w:rPr>
        <w:t xml:space="preserve">  Based on the record before us, w</w:t>
      </w:r>
      <w:r w:rsidRPr="00495FE8">
        <w:rPr>
          <w:szCs w:val="22"/>
        </w:rPr>
        <w:t xml:space="preserve">e conclude that </w:t>
      </w:r>
      <w:r w:rsidR="00666061">
        <w:rPr>
          <w:szCs w:val="22"/>
        </w:rPr>
        <w:t>Hinton</w:t>
      </w:r>
      <w:r w:rsidRPr="00495FE8">
        <w:rPr>
          <w:szCs w:val="22"/>
        </w:rPr>
        <w:t xml:space="preserve"> is apparently liable for a forfeiture for its failure to </w:t>
      </w:r>
      <w:r w:rsidR="00666061">
        <w:rPr>
          <w:szCs w:val="22"/>
        </w:rPr>
        <w:t xml:space="preserve">adequately route 911 calls </w:t>
      </w:r>
      <w:r w:rsidRPr="00495FE8">
        <w:rPr>
          <w:szCs w:val="22"/>
        </w:rPr>
        <w:t>in apparent willful and repeated violation of Section</w:t>
      </w:r>
      <w:r w:rsidR="00666061">
        <w:rPr>
          <w:szCs w:val="22"/>
        </w:rPr>
        <w:t>s 64.3001 and 63.3002</w:t>
      </w:r>
      <w:r w:rsidR="000C31C7">
        <w:rPr>
          <w:szCs w:val="22"/>
        </w:rPr>
        <w:t>(d)</w:t>
      </w:r>
      <w:r w:rsidR="00666061">
        <w:rPr>
          <w:szCs w:val="22"/>
        </w:rPr>
        <w:t xml:space="preserve"> </w:t>
      </w:r>
      <w:r w:rsidRPr="00495FE8">
        <w:rPr>
          <w:szCs w:val="22"/>
        </w:rPr>
        <w:t>of the Rules.</w:t>
      </w:r>
      <w:r w:rsidR="00666061" w:rsidRPr="00495FE8">
        <w:rPr>
          <w:rStyle w:val="FootnoteReference"/>
          <w:szCs w:val="22"/>
        </w:rPr>
        <w:footnoteReference w:id="38"/>
      </w:r>
    </w:p>
    <w:p w14:paraId="28B68986" w14:textId="77777777" w:rsidR="00217480" w:rsidRPr="00495FE8" w:rsidRDefault="00217480" w:rsidP="00EC1BD5">
      <w:pPr>
        <w:widowControl/>
        <w:numPr>
          <w:ilvl w:val="0"/>
          <w:numId w:val="2"/>
        </w:numPr>
        <w:tabs>
          <w:tab w:val="clear" w:pos="1080"/>
          <w:tab w:val="num" w:pos="1440"/>
        </w:tabs>
        <w:spacing w:after="120"/>
        <w:rPr>
          <w:szCs w:val="22"/>
        </w:rPr>
      </w:pPr>
      <w:r w:rsidRPr="00217480">
        <w:rPr>
          <w:szCs w:val="22"/>
        </w:rPr>
        <w:t>Section 503(b)(2)(B) of the Act authorizes a forfeiture assessment against a common carrier up to $150,000 for each violation, or for each day of a continuing violation, up to a maximum of $1,500,000 for a single act or failure to act.</w:t>
      </w:r>
      <w:r w:rsidRPr="00217480">
        <w:rPr>
          <w:szCs w:val="22"/>
          <w:vertAlign w:val="superscript"/>
        </w:rPr>
        <w:footnoteReference w:id="39"/>
      </w:r>
      <w:r w:rsidRPr="00217480">
        <w:rPr>
          <w:szCs w:val="22"/>
        </w:rPr>
        <w:t xml:space="preserve">  In exercising such authority, we are required to take into account “the nature, circumstances, extent, and gravity of the violation and, with respect to the violator, the degree of culpability, any history of prior offenses, ability to pay, and such other matters as justice may require.”</w:t>
      </w:r>
      <w:r w:rsidRPr="00217480">
        <w:rPr>
          <w:szCs w:val="22"/>
          <w:vertAlign w:val="superscript"/>
        </w:rPr>
        <w:footnoteReference w:id="40"/>
      </w:r>
      <w:r w:rsidRPr="00217480">
        <w:rPr>
          <w:szCs w:val="22"/>
        </w:rPr>
        <w:t xml:space="preserve">  </w:t>
      </w:r>
    </w:p>
    <w:p w14:paraId="7DC6A79A" w14:textId="400FD1DA" w:rsidR="0078533C" w:rsidRDefault="0078533C" w:rsidP="00EC1BD5">
      <w:pPr>
        <w:widowControl/>
        <w:numPr>
          <w:ilvl w:val="0"/>
          <w:numId w:val="2"/>
        </w:numPr>
        <w:tabs>
          <w:tab w:val="clear" w:pos="1080"/>
          <w:tab w:val="num" w:pos="1440"/>
        </w:tabs>
        <w:spacing w:after="120"/>
        <w:rPr>
          <w:szCs w:val="22"/>
        </w:rPr>
      </w:pPr>
      <w:r w:rsidRPr="0078533C">
        <w:rPr>
          <w:szCs w:val="22"/>
        </w:rPr>
        <w:t>The</w:t>
      </w:r>
      <w:r w:rsidRPr="0078533C">
        <w:rPr>
          <w:i/>
          <w:szCs w:val="22"/>
        </w:rPr>
        <w:t xml:space="preserve"> </w:t>
      </w:r>
      <w:r w:rsidRPr="0078533C">
        <w:rPr>
          <w:szCs w:val="22"/>
        </w:rPr>
        <w:t xml:space="preserve">Commission’s </w:t>
      </w:r>
      <w:r w:rsidRPr="0078533C">
        <w:rPr>
          <w:i/>
          <w:szCs w:val="22"/>
        </w:rPr>
        <w:t>Forfeiture Policy Statement</w:t>
      </w:r>
      <w:r w:rsidRPr="0078533C">
        <w:rPr>
          <w:szCs w:val="22"/>
          <w:vertAlign w:val="superscript"/>
        </w:rPr>
        <w:footnoteReference w:id="41"/>
      </w:r>
      <w:r w:rsidRPr="0078533C">
        <w:rPr>
          <w:szCs w:val="22"/>
        </w:rPr>
        <w:t xml:space="preserve"> and Section 1.80 of the Rules</w:t>
      </w:r>
      <w:r w:rsidR="00D21D5A">
        <w:rPr>
          <w:rStyle w:val="FootnoteReference"/>
          <w:szCs w:val="22"/>
        </w:rPr>
        <w:footnoteReference w:id="42"/>
      </w:r>
      <w:r w:rsidRPr="0078533C">
        <w:rPr>
          <w:szCs w:val="22"/>
        </w:rPr>
        <w:t xml:space="preserve"> do not establish a base forfeiture for violation of Section</w:t>
      </w:r>
      <w:r>
        <w:rPr>
          <w:szCs w:val="22"/>
        </w:rPr>
        <w:t>s</w:t>
      </w:r>
      <w:r w:rsidRPr="0078533C">
        <w:rPr>
          <w:szCs w:val="22"/>
        </w:rPr>
        <w:t xml:space="preserve"> </w:t>
      </w:r>
      <w:r>
        <w:rPr>
          <w:szCs w:val="22"/>
        </w:rPr>
        <w:t>64.3001 and 64.3002</w:t>
      </w:r>
      <w:r w:rsidRPr="0078533C">
        <w:rPr>
          <w:szCs w:val="22"/>
        </w:rPr>
        <w:t xml:space="preserve"> of the Rules.  The Commission </w:t>
      </w:r>
      <w:r w:rsidR="00494130">
        <w:rPr>
          <w:szCs w:val="22"/>
        </w:rPr>
        <w:t xml:space="preserve"> </w:t>
      </w:r>
      <w:r w:rsidRPr="0078533C">
        <w:rPr>
          <w:szCs w:val="22"/>
        </w:rPr>
        <w:t>has, nevertheless, found that the “omission of a specific r</w:t>
      </w:r>
      <w:r w:rsidR="00D21D5A">
        <w:rPr>
          <w:szCs w:val="22"/>
        </w:rPr>
        <w:t xml:space="preserve">ule violation from the list . . . </w:t>
      </w:r>
      <w:r w:rsidRPr="0078533C">
        <w:rPr>
          <w:szCs w:val="22"/>
        </w:rPr>
        <w:t>[establishing base forfeiture amounts] should not signal that the Commission considers any unlisted violation as nonexistent or unimportant.  The Commission expects, and it is each licensee’s obligation to know and comply with all Commission’s rules.”</w:t>
      </w:r>
      <w:r w:rsidRPr="0078533C">
        <w:rPr>
          <w:szCs w:val="22"/>
          <w:vertAlign w:val="superscript"/>
        </w:rPr>
        <w:footnoteReference w:id="43"/>
      </w:r>
      <w:r w:rsidRPr="0078533C">
        <w:rPr>
          <w:szCs w:val="22"/>
        </w:rPr>
        <w:t xml:space="preserve">  Thus, the Commission retains its discretion to issue forfeitures on a case-by-case basis,</w:t>
      </w:r>
      <w:r w:rsidRPr="0078533C">
        <w:rPr>
          <w:szCs w:val="22"/>
          <w:vertAlign w:val="superscript"/>
        </w:rPr>
        <w:footnoteReference w:id="44"/>
      </w:r>
      <w:r w:rsidRPr="0078533C">
        <w:rPr>
          <w:szCs w:val="22"/>
        </w:rPr>
        <w:t xml:space="preserve"> and has assessed forfeiture liability for rule violations irrespective of whether corresponding base forfeiture amounts have been established.</w:t>
      </w:r>
      <w:r w:rsidR="00D21D5A" w:rsidRPr="0078533C">
        <w:rPr>
          <w:szCs w:val="22"/>
          <w:vertAlign w:val="superscript"/>
        </w:rPr>
        <w:footnoteReference w:id="45"/>
      </w:r>
      <w:r w:rsidRPr="0078533C">
        <w:rPr>
          <w:szCs w:val="22"/>
        </w:rPr>
        <w:t xml:space="preserve"> </w:t>
      </w:r>
    </w:p>
    <w:p w14:paraId="4918BB8D" w14:textId="731A94E1" w:rsidR="0078533C" w:rsidRDefault="0078533C" w:rsidP="00EC1BD5">
      <w:pPr>
        <w:pStyle w:val="ParaNum"/>
        <w:widowControl/>
        <w:tabs>
          <w:tab w:val="clear" w:pos="1080"/>
          <w:tab w:val="left" w:pos="1440"/>
        </w:tabs>
      </w:pPr>
      <w:r>
        <w:t>Having considered the statutory factors and precedent,</w:t>
      </w:r>
      <w:r>
        <w:rPr>
          <w:rStyle w:val="FootnoteReference"/>
        </w:rPr>
        <w:footnoteReference w:id="46"/>
      </w:r>
      <w:r>
        <w:t xml:space="preserve"> we find that </w:t>
      </w:r>
      <w:r w:rsidR="00457472">
        <w:t xml:space="preserve">the gravity and the extent of </w:t>
      </w:r>
      <w:r>
        <w:t>Hinton’s apparent willful and repeated failure to provide 911 service in compliance with Sections 64.3001 and 64.3002</w:t>
      </w:r>
      <w:r w:rsidR="002A1F92">
        <w:t>(d)</w:t>
      </w:r>
      <w:r>
        <w:t xml:space="preserve"> of the </w:t>
      </w:r>
      <w:r w:rsidR="00F74194">
        <w:t>R</w:t>
      </w:r>
      <w:r>
        <w:t xml:space="preserve">ules warrant a </w:t>
      </w:r>
      <w:r w:rsidR="00FA06F5">
        <w:t xml:space="preserve">significant forfeiture.  </w:t>
      </w:r>
      <w:r w:rsidR="00CB0392">
        <w:t>In this regard, w</w:t>
      </w:r>
      <w:r>
        <w:t xml:space="preserve">e note that the Commission has found that violations of the 911 requirements are </w:t>
      </w:r>
      <w:r w:rsidR="006473F8">
        <w:t xml:space="preserve">extremely </w:t>
      </w:r>
      <w:r>
        <w:t>serious given the critical function these requirements serve in promoting and safeguarding life and property.</w:t>
      </w:r>
      <w:r>
        <w:rPr>
          <w:rStyle w:val="FootnoteReference"/>
          <w:szCs w:val="22"/>
        </w:rPr>
        <w:footnoteReference w:id="47"/>
      </w:r>
      <w:r w:rsidR="00457472">
        <w:t xml:space="preserve">  We also </w:t>
      </w:r>
      <w:r w:rsidR="00FA06F5">
        <w:t xml:space="preserve">take into consideration that </w:t>
      </w:r>
      <w:r w:rsidR="009167FE">
        <w:t>Hinton continued to route 911 calls to the AT&amp;T automated operator service for approximately three months</w:t>
      </w:r>
      <w:r w:rsidR="00CB0392">
        <w:t>—</w:t>
      </w:r>
      <w:r w:rsidR="009167FE">
        <w:t>from May 6, 2013, when Hinton claims it discovered the change, to August 5, 2013, when Hinton commenced routing 911 calls to the Caddo County PSAP.</w:t>
      </w:r>
      <w:r w:rsidR="00CB0392">
        <w:rPr>
          <w:rStyle w:val="FootnoteReference"/>
        </w:rPr>
        <w:footnoteReference w:id="48"/>
      </w:r>
      <w:r w:rsidR="009167FE">
        <w:t xml:space="preserve">  </w:t>
      </w:r>
      <w:r w:rsidR="005112EE">
        <w:t>Based on the evidence in the record and our forfeiture adjustment factors</w:t>
      </w:r>
      <w:r w:rsidR="000F4334" w:rsidRPr="006E28F8">
        <w:t xml:space="preserve">, including the extended duration of the violation, we propose a forfeiture </w:t>
      </w:r>
      <w:r w:rsidR="001B510C">
        <w:t>of $</w:t>
      </w:r>
      <w:r w:rsidR="00144EE8">
        <w:t>10</w:t>
      </w:r>
      <w:r w:rsidR="001B510C">
        <w:t>0,000.</w:t>
      </w:r>
    </w:p>
    <w:p w14:paraId="54DFECC2" w14:textId="77777777" w:rsidR="00D3760F" w:rsidRPr="00495FE8" w:rsidRDefault="00D3760F" w:rsidP="00EC1BD5">
      <w:pPr>
        <w:keepNext/>
        <w:widowControl/>
        <w:numPr>
          <w:ilvl w:val="0"/>
          <w:numId w:val="3"/>
        </w:numPr>
        <w:tabs>
          <w:tab w:val="clear" w:pos="1170"/>
          <w:tab w:val="left" w:pos="720"/>
        </w:tabs>
        <w:suppressAutoHyphens/>
        <w:spacing w:after="120"/>
        <w:ind w:left="720"/>
        <w:outlineLvl w:val="0"/>
        <w:rPr>
          <w:b/>
          <w:caps/>
          <w:szCs w:val="22"/>
        </w:rPr>
      </w:pPr>
      <w:r w:rsidRPr="00495FE8">
        <w:rPr>
          <w:b/>
          <w:caps/>
          <w:szCs w:val="22"/>
        </w:rPr>
        <w:t>ORDERING CLAUSES</w:t>
      </w:r>
    </w:p>
    <w:p w14:paraId="2D8AB4D4" w14:textId="548708F5" w:rsidR="00D3760F" w:rsidRPr="00C36CFF" w:rsidRDefault="00D3760F" w:rsidP="00C36CFF">
      <w:pPr>
        <w:pStyle w:val="ParaNum"/>
        <w:tabs>
          <w:tab w:val="clear" w:pos="1080"/>
        </w:tabs>
        <w:rPr>
          <w:spacing w:val="-2"/>
        </w:rPr>
      </w:pPr>
      <w:r w:rsidRPr="00495FE8">
        <w:t xml:space="preserve">Accordingly, </w:t>
      </w:r>
      <w:r w:rsidRPr="00495FE8">
        <w:rPr>
          <w:b/>
        </w:rPr>
        <w:t>IT IS ORDERED</w:t>
      </w:r>
      <w:r w:rsidRPr="00495FE8">
        <w:t xml:space="preserve"> that, pursuant to Section 503(b) of the Communications Act of 1934, as amended, and </w:t>
      </w:r>
      <w:r w:rsidRPr="00495FE8">
        <w:rPr>
          <w:color w:val="000000"/>
        </w:rPr>
        <w:t>Sections 0.111, 0.311, and</w:t>
      </w:r>
      <w:r w:rsidRPr="00495FE8">
        <w:t xml:space="preserve"> 1.80 of the Commission’s rules,</w:t>
      </w:r>
      <w:r w:rsidRPr="00495FE8">
        <w:rPr>
          <w:color w:val="000000"/>
          <w:vertAlign w:val="superscript"/>
        </w:rPr>
        <w:footnoteReference w:id="49"/>
      </w:r>
      <w:r w:rsidRPr="00495FE8">
        <w:t xml:space="preserve"> </w:t>
      </w:r>
      <w:r w:rsidR="005112EE">
        <w:rPr>
          <w:rFonts w:eastAsia="MS Mincho"/>
          <w:szCs w:val="22"/>
        </w:rPr>
        <w:t xml:space="preserve">The </w:t>
      </w:r>
      <w:r w:rsidR="005112EE">
        <w:rPr>
          <w:spacing w:val="-2"/>
          <w:szCs w:val="22"/>
        </w:rPr>
        <w:t>Hinton</w:t>
      </w:r>
      <w:r w:rsidR="005112EE" w:rsidRPr="00495FE8">
        <w:rPr>
          <w:spacing w:val="-2"/>
          <w:szCs w:val="22"/>
        </w:rPr>
        <w:t xml:space="preserve"> </w:t>
      </w:r>
      <w:r w:rsidR="005112EE">
        <w:rPr>
          <w:spacing w:val="-2"/>
          <w:szCs w:val="22"/>
        </w:rPr>
        <w:t>Telephone Company</w:t>
      </w:r>
      <w:r w:rsidR="005112EE">
        <w:rPr>
          <w:rFonts w:eastAsia="MS Mincho"/>
          <w:szCs w:val="22"/>
        </w:rPr>
        <w:t xml:space="preserve"> </w:t>
      </w:r>
      <w:r w:rsidR="005112EE" w:rsidRPr="006C39A1">
        <w:rPr>
          <w:rFonts w:eastAsia="MS Mincho"/>
          <w:szCs w:val="22"/>
        </w:rPr>
        <w:t>of Hinton, Oklahoma</w:t>
      </w:r>
      <w:r w:rsidR="005112EE" w:rsidRPr="00C36CFF">
        <w:rPr>
          <w:rFonts w:eastAsia="MS Mincho"/>
        </w:rPr>
        <w:t>, Inc</w:t>
      </w:r>
      <w:r w:rsidR="005112EE" w:rsidRPr="006C39A1">
        <w:rPr>
          <w:rFonts w:eastAsia="MS Mincho"/>
          <w:szCs w:val="22"/>
        </w:rPr>
        <w:t xml:space="preserve">., </w:t>
      </w:r>
      <w:r w:rsidR="005112EE">
        <w:t>d/b/a Hinton Telephone Company</w:t>
      </w:r>
      <w:r w:rsidR="005112EE" w:rsidRPr="00C36CFF">
        <w:rPr>
          <w:rFonts w:eastAsia="MS Mincho"/>
        </w:rPr>
        <w:t xml:space="preserve"> </w:t>
      </w:r>
      <w:r w:rsidRPr="005112EE">
        <w:rPr>
          <w:spacing w:val="-2"/>
        </w:rPr>
        <w:t xml:space="preserve">is </w:t>
      </w:r>
      <w:r w:rsidRPr="005112EE">
        <w:rPr>
          <w:b/>
        </w:rPr>
        <w:t>NOTIFIED</w:t>
      </w:r>
      <w:r w:rsidRPr="005112EE">
        <w:t xml:space="preserve"> of its </w:t>
      </w:r>
      <w:r w:rsidRPr="005112EE">
        <w:rPr>
          <w:b/>
        </w:rPr>
        <w:t>APPARENT LIABILITY FOR A FORFEITURE</w:t>
      </w:r>
      <w:r w:rsidRPr="005112EE">
        <w:t xml:space="preserve"> in the am</w:t>
      </w:r>
      <w:r w:rsidR="007D57AE" w:rsidRPr="005112EE">
        <w:t xml:space="preserve">ount of </w:t>
      </w:r>
      <w:r w:rsidR="00144EE8">
        <w:t>one hundred</w:t>
      </w:r>
      <w:r w:rsidR="007D57AE" w:rsidRPr="005112EE">
        <w:t xml:space="preserve"> thousand dollars ($</w:t>
      </w:r>
      <w:r w:rsidR="00144EE8">
        <w:t>10</w:t>
      </w:r>
      <w:r w:rsidR="007D57AE" w:rsidRPr="005112EE">
        <w:t>0</w:t>
      </w:r>
      <w:r w:rsidRPr="005112EE">
        <w:t xml:space="preserve">,000) for willful and repeated </w:t>
      </w:r>
      <w:r w:rsidR="007D57AE" w:rsidRPr="005112EE">
        <w:t>violation of Sections 64.3001 and 64.3002</w:t>
      </w:r>
      <w:r w:rsidR="002A1F92" w:rsidRPr="005112EE">
        <w:t>(d)</w:t>
      </w:r>
      <w:r w:rsidRPr="005112EE">
        <w:t xml:space="preserve"> of the Commission’s rules.</w:t>
      </w:r>
      <w:r w:rsidRPr="00495FE8">
        <w:rPr>
          <w:vertAlign w:val="superscript"/>
        </w:rPr>
        <w:footnoteReference w:id="50"/>
      </w:r>
    </w:p>
    <w:p w14:paraId="3D480780" w14:textId="05F82A8A" w:rsidR="00D3760F" w:rsidRPr="00495FE8" w:rsidRDefault="00D3760F" w:rsidP="005112EE">
      <w:pPr>
        <w:widowControl/>
        <w:numPr>
          <w:ilvl w:val="0"/>
          <w:numId w:val="2"/>
        </w:numPr>
        <w:tabs>
          <w:tab w:val="clear" w:pos="1080"/>
          <w:tab w:val="num" w:pos="1440"/>
        </w:tabs>
        <w:spacing w:after="120"/>
        <w:rPr>
          <w:szCs w:val="22"/>
        </w:rPr>
      </w:pPr>
      <w:r w:rsidRPr="00495FE8">
        <w:rPr>
          <w:b/>
          <w:szCs w:val="22"/>
        </w:rPr>
        <w:t>IT IS FURTHER ORDERED</w:t>
      </w:r>
      <w:r w:rsidRPr="00495FE8">
        <w:rPr>
          <w:szCs w:val="22"/>
        </w:rPr>
        <w:t xml:space="preserve"> that, pursuant to Section 1.80 of the Commission’s rules,</w:t>
      </w:r>
      <w:r w:rsidR="005112EE">
        <w:rPr>
          <w:rStyle w:val="FootnoteReference"/>
          <w:szCs w:val="22"/>
        </w:rPr>
        <w:footnoteReference w:id="51"/>
      </w:r>
      <w:r w:rsidRPr="00495FE8">
        <w:rPr>
          <w:szCs w:val="22"/>
        </w:rPr>
        <w:t xml:space="preserve"> within thirty (30) calendar days after the release date of this Notice of Apparent Liability for Forfeiture, </w:t>
      </w:r>
      <w:r w:rsidR="005112EE">
        <w:rPr>
          <w:rFonts w:eastAsia="MS Mincho"/>
          <w:szCs w:val="22"/>
        </w:rPr>
        <w:t xml:space="preserve">The </w:t>
      </w:r>
      <w:r w:rsidR="005112EE">
        <w:rPr>
          <w:spacing w:val="-2"/>
          <w:szCs w:val="22"/>
        </w:rPr>
        <w:t>Hinton</w:t>
      </w:r>
      <w:r w:rsidR="005112EE" w:rsidRPr="00495FE8">
        <w:rPr>
          <w:spacing w:val="-2"/>
          <w:szCs w:val="22"/>
        </w:rPr>
        <w:t xml:space="preserve"> </w:t>
      </w:r>
      <w:r w:rsidR="005112EE">
        <w:rPr>
          <w:spacing w:val="-2"/>
          <w:szCs w:val="22"/>
        </w:rPr>
        <w:t>Telephone Company</w:t>
      </w:r>
      <w:r w:rsidR="005112EE">
        <w:rPr>
          <w:rFonts w:eastAsia="MS Mincho"/>
          <w:szCs w:val="22"/>
        </w:rPr>
        <w:t xml:space="preserve"> </w:t>
      </w:r>
      <w:r w:rsidR="005112EE" w:rsidRPr="006C39A1">
        <w:rPr>
          <w:rFonts w:eastAsia="MS Mincho"/>
          <w:szCs w:val="22"/>
        </w:rPr>
        <w:t>of Hinton, Oklahoma</w:t>
      </w:r>
      <w:r w:rsidR="005112EE" w:rsidRPr="00C36CFF">
        <w:rPr>
          <w:rFonts w:eastAsia="MS Mincho"/>
        </w:rPr>
        <w:t>, Inc</w:t>
      </w:r>
      <w:r w:rsidR="005112EE" w:rsidRPr="006C39A1">
        <w:rPr>
          <w:rFonts w:eastAsia="MS Mincho"/>
          <w:szCs w:val="22"/>
        </w:rPr>
        <w:t xml:space="preserve">., </w:t>
      </w:r>
      <w:r w:rsidR="005112EE">
        <w:t>d/b/a Hinton Telephone Company</w:t>
      </w:r>
      <w:r w:rsidR="005112EE" w:rsidRPr="00C36CFF">
        <w:rPr>
          <w:rFonts w:eastAsia="MS Mincho"/>
        </w:rPr>
        <w:t xml:space="preserve"> </w:t>
      </w:r>
      <w:r w:rsidRPr="00495FE8">
        <w:rPr>
          <w:b/>
          <w:szCs w:val="22"/>
        </w:rPr>
        <w:t>SHALL PAY</w:t>
      </w:r>
      <w:r w:rsidRPr="00495FE8">
        <w:rPr>
          <w:szCs w:val="22"/>
        </w:rPr>
        <w:t xml:space="preserve"> the full amount of the proposed forfeiture, or </w:t>
      </w:r>
      <w:r w:rsidRPr="00495FE8">
        <w:rPr>
          <w:b/>
          <w:szCs w:val="22"/>
        </w:rPr>
        <w:t>SHALL FILE</w:t>
      </w:r>
      <w:r w:rsidRPr="00495FE8">
        <w:rPr>
          <w:szCs w:val="22"/>
        </w:rPr>
        <w:t xml:space="preserve"> a written statement seeking reduction or cancellation of the proposed forfeit</w:t>
      </w:r>
      <w:r w:rsidR="0061240F">
        <w:rPr>
          <w:szCs w:val="22"/>
        </w:rPr>
        <w:t>ure consistent with paragraph </w:t>
      </w:r>
      <w:r w:rsidR="005112EE">
        <w:rPr>
          <w:szCs w:val="22"/>
        </w:rPr>
        <w:t>18</w:t>
      </w:r>
      <w:r w:rsidRPr="00495FE8">
        <w:rPr>
          <w:szCs w:val="22"/>
        </w:rPr>
        <w:t xml:space="preserve"> below.</w:t>
      </w:r>
    </w:p>
    <w:p w14:paraId="0F549537" w14:textId="77777777" w:rsidR="00D3760F" w:rsidRPr="006C39A1" w:rsidRDefault="00D3760F" w:rsidP="006C39A1">
      <w:pPr>
        <w:widowControl/>
        <w:numPr>
          <w:ilvl w:val="0"/>
          <w:numId w:val="2"/>
        </w:numPr>
        <w:tabs>
          <w:tab w:val="clear" w:pos="1080"/>
          <w:tab w:val="num" w:pos="1440"/>
        </w:tabs>
        <w:spacing w:after="120"/>
        <w:rPr>
          <w:rFonts w:eastAsia="MS Mincho"/>
          <w:szCs w:val="22"/>
        </w:rPr>
      </w:pPr>
      <w:r w:rsidRPr="00495FE8">
        <w:rPr>
          <w:szCs w:val="22"/>
        </w:rPr>
        <w:t>The payment</w:t>
      </w:r>
      <w:r w:rsidRPr="00495FE8">
        <w:rPr>
          <w:rFonts w:eastAsia="MS Mincho"/>
          <w:szCs w:val="22"/>
        </w:rPr>
        <w:t xml:space="preserve"> of the forfeiture must be made by check or similar instrument, wire transfer, or credit card, and must include the NAL/Account Number and FRN referenced above.  </w:t>
      </w:r>
      <w:r w:rsidR="005112EE">
        <w:rPr>
          <w:rFonts w:eastAsia="MS Mincho"/>
          <w:szCs w:val="22"/>
        </w:rPr>
        <w:t xml:space="preserve">The </w:t>
      </w:r>
      <w:r w:rsidR="005112EE">
        <w:rPr>
          <w:spacing w:val="-2"/>
          <w:szCs w:val="22"/>
        </w:rPr>
        <w:t>Hinton</w:t>
      </w:r>
      <w:r w:rsidR="005112EE" w:rsidRPr="00495FE8">
        <w:rPr>
          <w:spacing w:val="-2"/>
          <w:szCs w:val="22"/>
        </w:rPr>
        <w:t xml:space="preserve"> </w:t>
      </w:r>
      <w:r w:rsidR="005112EE">
        <w:rPr>
          <w:spacing w:val="-2"/>
          <w:szCs w:val="22"/>
        </w:rPr>
        <w:t>Telephone Company</w:t>
      </w:r>
      <w:r w:rsidR="005112EE">
        <w:rPr>
          <w:rFonts w:eastAsia="MS Mincho"/>
          <w:szCs w:val="22"/>
        </w:rPr>
        <w:t xml:space="preserve"> </w:t>
      </w:r>
      <w:r w:rsidR="005112EE" w:rsidRPr="006C39A1">
        <w:rPr>
          <w:rFonts w:eastAsia="MS Mincho"/>
          <w:szCs w:val="22"/>
        </w:rPr>
        <w:t xml:space="preserve">of Hinton, Oklahoma, Inc., </w:t>
      </w:r>
      <w:r w:rsidR="005112EE">
        <w:t>d/b/a Hinton Telephone Company</w:t>
      </w:r>
      <w:r w:rsidR="005112EE">
        <w:rPr>
          <w:rFonts w:eastAsia="MS Mincho"/>
          <w:szCs w:val="22"/>
        </w:rPr>
        <w:t xml:space="preserve"> </w:t>
      </w:r>
      <w:r w:rsidRPr="006C39A1">
        <w:rPr>
          <w:rFonts w:eastAsia="MS Mincho"/>
          <w:szCs w:val="22"/>
        </w:rPr>
        <w:t xml:space="preserve">shall send electronic notification of payment to </w:t>
      </w:r>
      <w:r w:rsidR="008B06D1" w:rsidRPr="006C39A1">
        <w:rPr>
          <w:szCs w:val="22"/>
        </w:rPr>
        <w:t>JoAnn Lucanik</w:t>
      </w:r>
      <w:r w:rsidRPr="006C39A1">
        <w:rPr>
          <w:szCs w:val="22"/>
        </w:rPr>
        <w:t xml:space="preserve"> at </w:t>
      </w:r>
      <w:r w:rsidR="008B06D1" w:rsidRPr="006C39A1">
        <w:rPr>
          <w:szCs w:val="22"/>
        </w:rPr>
        <w:t>JoAnn.Lucanik</w:t>
      </w:r>
      <w:r w:rsidRPr="006C39A1">
        <w:rPr>
          <w:szCs w:val="22"/>
        </w:rPr>
        <w:t xml:space="preserve">@fcc.gov, </w:t>
      </w:r>
      <w:r w:rsidR="008B06D1" w:rsidRPr="006C39A1">
        <w:rPr>
          <w:szCs w:val="22"/>
        </w:rPr>
        <w:t>Josh Zeldis at Josh.Zeldis</w:t>
      </w:r>
      <w:r w:rsidRPr="006C39A1">
        <w:rPr>
          <w:szCs w:val="22"/>
        </w:rPr>
        <w:t xml:space="preserve">@fcc.gov, and Samantha Peoples at Sam.Peoples@fcc.gov </w:t>
      </w:r>
      <w:r w:rsidRPr="006C39A1">
        <w:rPr>
          <w:rFonts w:eastAsia="MS Mincho"/>
          <w:szCs w:val="22"/>
        </w:rPr>
        <w:t>on the date said payment is made.  Regardless of the form of payment, a completed FCC Form 159 (Remittance Advice) must be submitted.</w:t>
      </w:r>
      <w:r w:rsidRPr="00495FE8">
        <w:rPr>
          <w:rFonts w:eastAsia="MS Mincho"/>
          <w:szCs w:val="22"/>
          <w:vertAlign w:val="superscript"/>
        </w:rPr>
        <w:footnoteReference w:id="52"/>
      </w:r>
      <w:r w:rsidRPr="006C39A1">
        <w:rPr>
          <w:rFonts w:eastAsia="MS Mincho"/>
          <w:szCs w:val="22"/>
        </w:rPr>
        <w:t xml:space="preserve">  When completing the FCC Form 159, enter the Account Number in block number 23A (call sign/other ID) and enter the letters “FORF” in block number 24A (payment type code).  </w:t>
      </w:r>
      <w:r w:rsidRPr="006C39A1">
        <w:rPr>
          <w:szCs w:val="22"/>
        </w:rPr>
        <w:t xml:space="preserve">Below are additional instructions </w:t>
      </w:r>
      <w:r w:rsidR="005112EE">
        <w:rPr>
          <w:rFonts w:eastAsia="MS Mincho"/>
          <w:szCs w:val="22"/>
        </w:rPr>
        <w:t xml:space="preserve">The </w:t>
      </w:r>
      <w:r w:rsidR="005112EE">
        <w:rPr>
          <w:spacing w:val="-2"/>
          <w:szCs w:val="22"/>
        </w:rPr>
        <w:t>Hinton</w:t>
      </w:r>
      <w:r w:rsidR="005112EE" w:rsidRPr="00495FE8">
        <w:rPr>
          <w:spacing w:val="-2"/>
          <w:szCs w:val="22"/>
        </w:rPr>
        <w:t xml:space="preserve"> </w:t>
      </w:r>
      <w:r w:rsidR="005112EE">
        <w:rPr>
          <w:spacing w:val="-2"/>
          <w:szCs w:val="22"/>
        </w:rPr>
        <w:t>Telephone Company</w:t>
      </w:r>
      <w:r w:rsidR="005112EE">
        <w:rPr>
          <w:rFonts w:eastAsia="MS Mincho"/>
          <w:szCs w:val="22"/>
        </w:rPr>
        <w:t xml:space="preserve"> </w:t>
      </w:r>
      <w:r w:rsidR="005112EE" w:rsidRPr="006C39A1">
        <w:rPr>
          <w:rFonts w:eastAsia="MS Mincho"/>
          <w:szCs w:val="22"/>
        </w:rPr>
        <w:t xml:space="preserve">of Hinton, Oklahoma, Inc., </w:t>
      </w:r>
      <w:r w:rsidR="005112EE">
        <w:t>d/b/a Hinton Telephone Company</w:t>
      </w:r>
      <w:r w:rsidR="005112EE">
        <w:rPr>
          <w:rFonts w:eastAsia="MS Mincho"/>
          <w:szCs w:val="22"/>
        </w:rPr>
        <w:t xml:space="preserve"> </w:t>
      </w:r>
      <w:r w:rsidRPr="006C39A1">
        <w:rPr>
          <w:szCs w:val="22"/>
        </w:rPr>
        <w:t>should follow based on the form of payment it selects:</w:t>
      </w:r>
    </w:p>
    <w:p w14:paraId="3AED1F0B" w14:textId="77777777" w:rsidR="00D3760F" w:rsidRPr="00495FE8" w:rsidRDefault="00D3760F" w:rsidP="00EC1BD5">
      <w:pPr>
        <w:widowControl/>
        <w:numPr>
          <w:ilvl w:val="0"/>
          <w:numId w:val="13"/>
        </w:numPr>
        <w:autoSpaceDE w:val="0"/>
        <w:autoSpaceDN w:val="0"/>
        <w:adjustRightInd w:val="0"/>
        <w:spacing w:after="120"/>
        <w:rPr>
          <w:rFonts w:eastAsia="MS Mincho"/>
          <w:szCs w:val="22"/>
        </w:rPr>
      </w:pPr>
      <w:r w:rsidRPr="00495FE8">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5CCCE73" w14:textId="77777777" w:rsidR="00D3760F" w:rsidRPr="00495FE8" w:rsidRDefault="00D3760F" w:rsidP="00EC1BD5">
      <w:pPr>
        <w:widowControl/>
        <w:numPr>
          <w:ilvl w:val="0"/>
          <w:numId w:val="13"/>
        </w:numPr>
        <w:autoSpaceDE w:val="0"/>
        <w:autoSpaceDN w:val="0"/>
        <w:adjustRightInd w:val="0"/>
        <w:spacing w:after="120"/>
        <w:rPr>
          <w:rFonts w:eastAsia="MS Mincho"/>
          <w:szCs w:val="22"/>
        </w:rPr>
      </w:pPr>
      <w:r w:rsidRPr="00495FE8">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D18E95F" w14:textId="77777777" w:rsidR="00D3760F" w:rsidRPr="00495FE8" w:rsidRDefault="00D3760F" w:rsidP="00EC1BD5">
      <w:pPr>
        <w:widowControl/>
        <w:numPr>
          <w:ilvl w:val="0"/>
          <w:numId w:val="13"/>
        </w:numPr>
        <w:autoSpaceDE w:val="0"/>
        <w:autoSpaceDN w:val="0"/>
        <w:adjustRightInd w:val="0"/>
        <w:spacing w:after="120"/>
        <w:rPr>
          <w:color w:val="000000"/>
          <w:kern w:val="0"/>
          <w:szCs w:val="22"/>
        </w:rPr>
      </w:pPr>
      <w:r w:rsidRPr="00495FE8">
        <w:rPr>
          <w:rFonts w:eastAsia="MS Mincho"/>
          <w:szCs w:val="22"/>
        </w:rPr>
        <w:t>Payment by credit card must be made by providing the required credit card information on FCC Form 159 and signing and dating the Form 159 to auth</w:t>
      </w:r>
      <w:r w:rsidR="001B510C">
        <w:rPr>
          <w:rFonts w:eastAsia="MS Mincho"/>
          <w:szCs w:val="22"/>
        </w:rPr>
        <w:t xml:space="preserve">orize the credit card payment. </w:t>
      </w:r>
      <w:r w:rsidRPr="00495FE8">
        <w:rPr>
          <w:rFonts w:eastAsia="MS Mincho"/>
          <w:szCs w:val="22"/>
        </w:rPr>
        <w:t xml:space="preserve"> The completed Form 159 must then be mailed to Federal Communications Commission, P.O. Box 979088, St. Louis, MO 63197-9000, or sent via overnight mail to U.S. Bank – Government Lockbox #979088, SL-MO-C2-GL, 1005 Convention Plaza, St. Louis, MO 63101.  </w:t>
      </w:r>
    </w:p>
    <w:p w14:paraId="0FBDA1F4" w14:textId="77777777" w:rsidR="00D3760F" w:rsidRPr="00495FE8" w:rsidRDefault="00D3760F" w:rsidP="00EC1BD5">
      <w:pPr>
        <w:widowControl/>
        <w:numPr>
          <w:ilvl w:val="0"/>
          <w:numId w:val="2"/>
        </w:numPr>
        <w:tabs>
          <w:tab w:val="clear" w:pos="1080"/>
          <w:tab w:val="num" w:pos="1440"/>
        </w:tabs>
        <w:spacing w:after="120"/>
        <w:rPr>
          <w:szCs w:val="22"/>
        </w:rPr>
      </w:pPr>
      <w:r w:rsidRPr="00495FE8">
        <w:rPr>
          <w:kern w:val="0"/>
          <w:szCs w:val="22"/>
        </w:rPr>
        <w:t xml:space="preserve">Any request for </w:t>
      </w:r>
      <w:r w:rsidRPr="00495FE8">
        <w:rPr>
          <w:szCs w:val="22"/>
        </w:rPr>
        <w:t xml:space="preserve">making </w:t>
      </w:r>
      <w:r w:rsidRPr="00495FE8">
        <w:rPr>
          <w:kern w:val="0"/>
          <w:szCs w:val="22"/>
        </w:rPr>
        <w:t>full payment</w:t>
      </w:r>
      <w:r w:rsidRPr="00495FE8">
        <w:rPr>
          <w:szCs w:val="22"/>
        </w:rPr>
        <w:t xml:space="preserve"> over time</w:t>
      </w:r>
      <w:r w:rsidRPr="00495FE8">
        <w:rPr>
          <w:kern w:val="0"/>
          <w:szCs w:val="22"/>
        </w:rPr>
        <w:t xml:space="preserve"> under an installment plan should be sent to:  Chief Financial Officer—Financial Operations, Federal Communications Commission, 445 12th Street, S.W., Room 1-A625, Washington, DC  20554.</w:t>
      </w:r>
      <w:r w:rsidR="007F5FE3">
        <w:rPr>
          <w:rStyle w:val="FootnoteReference"/>
          <w:kern w:val="0"/>
          <w:szCs w:val="22"/>
        </w:rPr>
        <w:footnoteReference w:id="53"/>
      </w:r>
      <w:r w:rsidRPr="00495FE8">
        <w:rPr>
          <w:kern w:val="0"/>
          <w:szCs w:val="22"/>
        </w:rPr>
        <w:t xml:space="preserve">  If </w:t>
      </w:r>
      <w:r w:rsidR="007F5FE3">
        <w:rPr>
          <w:rFonts w:eastAsia="MS Mincho"/>
          <w:szCs w:val="22"/>
        </w:rPr>
        <w:t xml:space="preserve">The </w:t>
      </w:r>
      <w:r w:rsidR="007F5FE3" w:rsidRPr="00C36CFF">
        <w:rPr>
          <w:spacing w:val="-2"/>
        </w:rPr>
        <w:t>Hinton Telephone Company</w:t>
      </w:r>
      <w:r w:rsidR="007F5FE3">
        <w:rPr>
          <w:rFonts w:eastAsia="MS Mincho"/>
          <w:szCs w:val="22"/>
        </w:rPr>
        <w:t xml:space="preserve"> </w:t>
      </w:r>
      <w:r w:rsidR="007F5FE3" w:rsidRPr="006C39A1">
        <w:rPr>
          <w:rFonts w:eastAsia="MS Mincho"/>
          <w:szCs w:val="22"/>
        </w:rPr>
        <w:t>of Hinton, Oklahoma</w:t>
      </w:r>
      <w:r w:rsidR="007F5FE3" w:rsidRPr="00C36CFF">
        <w:rPr>
          <w:rFonts w:eastAsia="MS Mincho"/>
        </w:rPr>
        <w:t>, Inc</w:t>
      </w:r>
      <w:r w:rsidR="007F5FE3" w:rsidRPr="006C39A1">
        <w:rPr>
          <w:rFonts w:eastAsia="MS Mincho"/>
          <w:szCs w:val="22"/>
        </w:rPr>
        <w:t xml:space="preserve">., </w:t>
      </w:r>
      <w:r w:rsidR="007F5FE3">
        <w:t>d/b/a Hinton Telephone Company</w:t>
      </w:r>
      <w:r w:rsidRPr="00495FE8">
        <w:rPr>
          <w:kern w:val="0"/>
          <w:szCs w:val="22"/>
        </w:rPr>
        <w:t xml:space="preserve"> has questions regarding payment procedures, it should contact the Financial Operations Group Help Desk by phone, 1-877-480-3201, or by e-mail, ARINQUIRIES@fcc.gov.   </w:t>
      </w:r>
    </w:p>
    <w:p w14:paraId="78FAC935" w14:textId="77777777" w:rsidR="007F5FE3" w:rsidRPr="007F5FE3" w:rsidRDefault="00D3760F" w:rsidP="00EC1BD5">
      <w:pPr>
        <w:widowControl/>
        <w:numPr>
          <w:ilvl w:val="0"/>
          <w:numId w:val="2"/>
        </w:numPr>
        <w:tabs>
          <w:tab w:val="clear" w:pos="1080"/>
          <w:tab w:val="num" w:pos="1440"/>
        </w:tabs>
        <w:spacing w:after="120"/>
        <w:rPr>
          <w:szCs w:val="22"/>
        </w:rPr>
      </w:pPr>
      <w:r w:rsidRPr="00495FE8">
        <w:rPr>
          <w:kern w:val="0"/>
          <w:szCs w:val="22"/>
        </w:rPr>
        <w:t xml:space="preserve">The written statement seeking reduction or cancellation of the proposed forfeiture, if any, must include a detailed factual statement supported by appropriate documentation and affidavits pursuant to Sections 1.16 </w:t>
      </w:r>
      <w:r w:rsidR="007F5FE3">
        <w:rPr>
          <w:kern w:val="0"/>
          <w:szCs w:val="22"/>
        </w:rPr>
        <w:t xml:space="preserve">and 1.80(f)(3) </w:t>
      </w:r>
      <w:r w:rsidRPr="00495FE8">
        <w:rPr>
          <w:kern w:val="0"/>
          <w:szCs w:val="22"/>
        </w:rPr>
        <w:t>of the Commission’s rules.</w:t>
      </w:r>
      <w:r w:rsidRPr="00495FE8">
        <w:rPr>
          <w:kern w:val="0"/>
          <w:szCs w:val="22"/>
          <w:vertAlign w:val="superscript"/>
        </w:rPr>
        <w:footnoteReference w:id="54"/>
      </w:r>
      <w:r w:rsidRPr="00495FE8">
        <w:rPr>
          <w:kern w:val="0"/>
          <w:szCs w:val="22"/>
        </w:rPr>
        <w:t xml:space="preserve">  The written statement must be mailed to the Office of the Secretary, Federal Communications Commission, 445 12th Street, S.W., Washington, DC 20554, ATTN:  Enforcement Bureau—Spectrum Enforcement Division, and must include the NAL/Account Number referenced in the caption.  The statement must also be e-mailed to </w:t>
      </w:r>
      <w:r w:rsidR="0061240F">
        <w:rPr>
          <w:kern w:val="0"/>
          <w:szCs w:val="22"/>
        </w:rPr>
        <w:t>JoAnn Lucanik at JoAnn.Lucanik@fcc.gov, Josh Zeldis at Josh.Zeldis</w:t>
      </w:r>
      <w:r w:rsidRPr="00495FE8">
        <w:rPr>
          <w:kern w:val="0"/>
          <w:szCs w:val="22"/>
        </w:rPr>
        <w:t xml:space="preserve">@fcc.gov, and Samantha Peoples at Sam.Peoples@fcc.gov.  </w:t>
      </w:r>
    </w:p>
    <w:p w14:paraId="4805DF9A" w14:textId="77777777" w:rsidR="00D3760F" w:rsidRPr="00495FE8" w:rsidRDefault="00D3760F" w:rsidP="00EC1BD5">
      <w:pPr>
        <w:widowControl/>
        <w:numPr>
          <w:ilvl w:val="0"/>
          <w:numId w:val="2"/>
        </w:numPr>
        <w:tabs>
          <w:tab w:val="clear" w:pos="1080"/>
          <w:tab w:val="num" w:pos="1440"/>
        </w:tabs>
        <w:spacing w:after="120"/>
        <w:rPr>
          <w:szCs w:val="22"/>
        </w:rPr>
      </w:pPr>
      <w:r w:rsidRPr="00495FE8">
        <w:rPr>
          <w:kern w:val="0"/>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14:paraId="245FFFC6" w14:textId="77777777" w:rsidR="00D3760F" w:rsidRPr="00495FE8" w:rsidRDefault="00D3760F" w:rsidP="00EC1BD5">
      <w:pPr>
        <w:keepNext/>
        <w:keepLines/>
        <w:widowControl/>
        <w:numPr>
          <w:ilvl w:val="0"/>
          <w:numId w:val="2"/>
        </w:numPr>
        <w:tabs>
          <w:tab w:val="clear" w:pos="1080"/>
        </w:tabs>
        <w:spacing w:after="120"/>
        <w:rPr>
          <w:szCs w:val="22"/>
        </w:rPr>
      </w:pPr>
      <w:r w:rsidRPr="00495FE8">
        <w:rPr>
          <w:b/>
          <w:szCs w:val="22"/>
        </w:rPr>
        <w:t>IT IS FURTHER ORDERED</w:t>
      </w:r>
      <w:r w:rsidRPr="00495FE8">
        <w:rPr>
          <w:szCs w:val="22"/>
        </w:rPr>
        <w:t xml:space="preserve"> that a copy of this Notice of Apparent Liability for Forfeiture</w:t>
      </w:r>
      <w:r w:rsidRPr="00495FE8">
        <w:rPr>
          <w:i/>
          <w:szCs w:val="22"/>
        </w:rPr>
        <w:t xml:space="preserve"> </w:t>
      </w:r>
      <w:r w:rsidRPr="00495FE8">
        <w:rPr>
          <w:szCs w:val="22"/>
        </w:rPr>
        <w:t xml:space="preserve">shall be sent by first class mail and certified mail, return receipt requested, to </w:t>
      </w:r>
      <w:r w:rsidR="0061240F">
        <w:rPr>
          <w:szCs w:val="22"/>
        </w:rPr>
        <w:t xml:space="preserve">Kenneth Doughty, Chief Executive Officer, </w:t>
      </w:r>
      <w:r w:rsidR="007F5FE3">
        <w:rPr>
          <w:rFonts w:eastAsia="MS Mincho"/>
          <w:szCs w:val="22"/>
        </w:rPr>
        <w:t xml:space="preserve">The </w:t>
      </w:r>
      <w:r w:rsidR="007F5FE3" w:rsidRPr="00C36CFF">
        <w:rPr>
          <w:spacing w:val="-2"/>
        </w:rPr>
        <w:t>Hinton Telephone Company</w:t>
      </w:r>
      <w:r w:rsidR="007F5FE3">
        <w:rPr>
          <w:rFonts w:eastAsia="MS Mincho"/>
          <w:szCs w:val="22"/>
        </w:rPr>
        <w:t xml:space="preserve"> </w:t>
      </w:r>
      <w:r w:rsidR="007F5FE3" w:rsidRPr="006C39A1">
        <w:rPr>
          <w:rFonts w:eastAsia="MS Mincho"/>
          <w:szCs w:val="22"/>
        </w:rPr>
        <w:t xml:space="preserve">of Hinton, Oklahoma, Inc., </w:t>
      </w:r>
      <w:r w:rsidR="007F5FE3">
        <w:t>d/b/a Hinton Telephone Company</w:t>
      </w:r>
      <w:r w:rsidR="009848DA">
        <w:rPr>
          <w:szCs w:val="22"/>
        </w:rPr>
        <w:t xml:space="preserve">, </w:t>
      </w:r>
      <w:r w:rsidR="0061240F">
        <w:rPr>
          <w:szCs w:val="22"/>
        </w:rPr>
        <w:t>200 West Main Street, Hinton, Oklahoma, 73047 and to Kendall Parrish</w:t>
      </w:r>
      <w:r w:rsidRPr="00495FE8">
        <w:rPr>
          <w:szCs w:val="22"/>
        </w:rPr>
        <w:t xml:space="preserve">, </w:t>
      </w:r>
      <w:r w:rsidR="0061240F">
        <w:rPr>
          <w:szCs w:val="22"/>
        </w:rPr>
        <w:t>Commingdeer &amp; Associates, 6011 North Robinson Avenue, Oklahoma City, Oklahoma 73118.</w:t>
      </w:r>
    </w:p>
    <w:p w14:paraId="11E406D4" w14:textId="77777777" w:rsidR="00D3760F" w:rsidRPr="00495FE8" w:rsidRDefault="00D3760F">
      <w:pPr>
        <w:keepNext/>
        <w:keepLines/>
        <w:widowControl/>
        <w:spacing w:after="120"/>
        <w:rPr>
          <w:szCs w:val="22"/>
        </w:rPr>
      </w:pPr>
    </w:p>
    <w:p w14:paraId="73E6B9D2" w14:textId="77777777" w:rsidR="00D3760F" w:rsidRPr="00495FE8" w:rsidRDefault="00D3760F">
      <w:pPr>
        <w:keepNext/>
        <w:keepLines/>
        <w:widowControl/>
        <w:spacing w:after="120"/>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t>FEDERAL COMMUNICATIONS COMMISSION</w:t>
      </w:r>
    </w:p>
    <w:p w14:paraId="7573A014" w14:textId="77777777" w:rsidR="00D3760F" w:rsidRPr="00495FE8" w:rsidRDefault="00D3760F">
      <w:pPr>
        <w:keepNext/>
        <w:keepLines/>
        <w:widowControl/>
        <w:tabs>
          <w:tab w:val="left" w:pos="0"/>
        </w:tabs>
        <w:suppressAutoHyphens/>
        <w:spacing w:line="240" w:lineRule="atLeast"/>
        <w:rPr>
          <w:bCs/>
          <w:szCs w:val="22"/>
        </w:rPr>
      </w:pPr>
    </w:p>
    <w:p w14:paraId="6FD10398" w14:textId="77777777" w:rsidR="00D3760F" w:rsidRPr="00495FE8" w:rsidRDefault="00D3760F">
      <w:pPr>
        <w:keepNext/>
        <w:keepLines/>
        <w:widowControl/>
        <w:tabs>
          <w:tab w:val="left" w:pos="0"/>
        </w:tabs>
        <w:suppressAutoHyphens/>
        <w:spacing w:line="240" w:lineRule="atLeast"/>
        <w:rPr>
          <w:b/>
          <w:szCs w:val="22"/>
        </w:rPr>
      </w:pPr>
    </w:p>
    <w:p w14:paraId="4083C073" w14:textId="77777777" w:rsidR="00D3760F" w:rsidRPr="00495FE8" w:rsidRDefault="00D3760F">
      <w:pPr>
        <w:keepNext/>
        <w:keepLines/>
        <w:widowControl/>
        <w:tabs>
          <w:tab w:val="left" w:pos="0"/>
        </w:tabs>
        <w:suppressAutoHyphens/>
        <w:spacing w:line="240" w:lineRule="atLeast"/>
        <w:rPr>
          <w:b/>
          <w:szCs w:val="22"/>
        </w:rPr>
      </w:pPr>
    </w:p>
    <w:p w14:paraId="197ADAB7" w14:textId="77777777" w:rsidR="007F5FE3" w:rsidRDefault="00D3760F">
      <w:pPr>
        <w:keepNext/>
        <w:keepLines/>
        <w:widowControl/>
        <w:tabs>
          <w:tab w:val="left" w:pos="0"/>
        </w:tabs>
        <w:suppressAutoHyphens/>
        <w:spacing w:line="240" w:lineRule="atLeast"/>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r>
    </w:p>
    <w:p w14:paraId="19255747" w14:textId="77777777" w:rsidR="00D3760F" w:rsidRPr="00495FE8" w:rsidRDefault="007F5FE3">
      <w:pPr>
        <w:keepNext/>
        <w:keepLines/>
        <w:widowControl/>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r w:rsidR="0012315C">
        <w:rPr>
          <w:szCs w:val="22"/>
        </w:rPr>
        <w:t>Travis LeBlanc</w:t>
      </w:r>
    </w:p>
    <w:p w14:paraId="48920C7E" w14:textId="77777777" w:rsidR="00D3760F" w:rsidRPr="00495FE8" w:rsidRDefault="00D3760F">
      <w:pPr>
        <w:keepNext/>
        <w:keepLines/>
        <w:widowControl/>
        <w:tabs>
          <w:tab w:val="left" w:pos="0"/>
        </w:tabs>
        <w:suppressAutoHyphens/>
        <w:spacing w:line="240" w:lineRule="atLeast"/>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r>
      <w:r w:rsidR="0012315C">
        <w:rPr>
          <w:szCs w:val="22"/>
        </w:rPr>
        <w:t>Acting Chief</w:t>
      </w:r>
    </w:p>
    <w:p w14:paraId="25F6257A" w14:textId="77777777" w:rsidR="00D3760F" w:rsidRPr="00495FE8" w:rsidRDefault="00D3760F">
      <w:pPr>
        <w:keepNext/>
        <w:keepLines/>
        <w:widowControl/>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t>Enforcement Bureau</w:t>
      </w:r>
    </w:p>
    <w:p w14:paraId="6F087BC7" w14:textId="77777777" w:rsidR="00D3760F" w:rsidRPr="00495FE8" w:rsidRDefault="00D3760F">
      <w:pPr>
        <w:keepNext/>
        <w:keepLines/>
        <w:widowControl/>
        <w:tabs>
          <w:tab w:val="left" w:pos="0"/>
        </w:tabs>
        <w:suppressAutoHyphens/>
        <w:spacing w:line="240" w:lineRule="atLeast"/>
        <w:rPr>
          <w:szCs w:val="22"/>
        </w:rPr>
      </w:pPr>
      <w:r w:rsidRPr="00495FE8">
        <w:rPr>
          <w:szCs w:val="22"/>
        </w:rPr>
        <w:tab/>
      </w:r>
      <w:r w:rsidRPr="00495FE8">
        <w:rPr>
          <w:szCs w:val="22"/>
        </w:rPr>
        <w:tab/>
      </w:r>
      <w:r w:rsidRPr="00495FE8">
        <w:rPr>
          <w:szCs w:val="22"/>
        </w:rPr>
        <w:tab/>
      </w:r>
    </w:p>
    <w:p w14:paraId="338185EB" w14:textId="77777777" w:rsidR="00D3760F" w:rsidRPr="00495FE8" w:rsidRDefault="00D3760F">
      <w:pPr>
        <w:keepNext/>
        <w:keepLines/>
        <w:widowControl/>
        <w:rPr>
          <w:kern w:val="0"/>
          <w:szCs w:val="22"/>
        </w:rPr>
      </w:pPr>
      <w:r w:rsidRPr="00495FE8">
        <w:rPr>
          <w:szCs w:val="22"/>
        </w:rPr>
        <w:tab/>
      </w:r>
      <w:r w:rsidRPr="00495FE8">
        <w:rPr>
          <w:szCs w:val="22"/>
        </w:rPr>
        <w:tab/>
      </w:r>
      <w:r w:rsidRPr="00495FE8">
        <w:rPr>
          <w:szCs w:val="22"/>
        </w:rPr>
        <w:tab/>
      </w:r>
      <w:r w:rsidRPr="00495FE8">
        <w:rPr>
          <w:szCs w:val="22"/>
        </w:rPr>
        <w:tab/>
      </w:r>
      <w:r w:rsidRPr="00495FE8">
        <w:rPr>
          <w:szCs w:val="22"/>
        </w:rPr>
        <w:tab/>
      </w:r>
    </w:p>
    <w:p w14:paraId="0AFB4F55" w14:textId="77777777" w:rsidR="00D3760F" w:rsidRPr="00495FE8" w:rsidRDefault="00D3760F">
      <w:pPr>
        <w:pStyle w:val="ParaNum"/>
        <w:keepNext/>
        <w:keepLines/>
        <w:widowControl/>
        <w:numPr>
          <w:ilvl w:val="0"/>
          <w:numId w:val="0"/>
        </w:numPr>
        <w:rPr>
          <w:szCs w:val="22"/>
        </w:rPr>
      </w:pPr>
      <w:r w:rsidRPr="00495FE8">
        <w:rPr>
          <w:szCs w:val="22"/>
        </w:rPr>
        <w:tab/>
      </w:r>
      <w:r w:rsidRPr="00495FE8">
        <w:rPr>
          <w:szCs w:val="22"/>
        </w:rPr>
        <w:tab/>
      </w:r>
      <w:r w:rsidRPr="00495FE8">
        <w:rPr>
          <w:szCs w:val="22"/>
        </w:rPr>
        <w:tab/>
      </w:r>
    </w:p>
    <w:sectPr w:rsidR="00D3760F" w:rsidRPr="00495FE8" w:rsidSect="009D2D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008"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CD47" w14:textId="77777777" w:rsidR="00A63760" w:rsidRDefault="00A63760">
      <w:pPr>
        <w:spacing w:line="20" w:lineRule="exact"/>
      </w:pPr>
    </w:p>
  </w:endnote>
  <w:endnote w:type="continuationSeparator" w:id="0">
    <w:p w14:paraId="121C7764" w14:textId="77777777" w:rsidR="00A63760" w:rsidRDefault="00A63760">
      <w:r>
        <w:t xml:space="preserve"> </w:t>
      </w:r>
    </w:p>
  </w:endnote>
  <w:endnote w:type="continuationNotice" w:id="1">
    <w:p w14:paraId="17FAF4E5" w14:textId="77777777" w:rsidR="00A63760" w:rsidRDefault="00A637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D963" w14:textId="77777777" w:rsidR="00217480" w:rsidRDefault="00217480">
    <w:pPr>
      <w:pStyle w:val="Footer"/>
      <w:framePr w:wrap="around" w:vAnchor="text" w:hAnchor="margin" w:xAlign="center" w:y="1"/>
    </w:pPr>
    <w:r>
      <w:fldChar w:fldCharType="begin"/>
    </w:r>
    <w:r>
      <w:instrText xml:space="preserve">PAGE  </w:instrText>
    </w:r>
    <w:r>
      <w:fldChar w:fldCharType="end"/>
    </w:r>
  </w:p>
  <w:p w14:paraId="3CAF9CEE" w14:textId="77777777" w:rsidR="00217480" w:rsidRDefault="00217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947" w14:textId="77777777" w:rsidR="00217480" w:rsidRDefault="00217480">
    <w:pPr>
      <w:pStyle w:val="Footer"/>
      <w:framePr w:wrap="around" w:vAnchor="text" w:hAnchor="margin" w:xAlign="center" w:y="1"/>
    </w:pPr>
    <w:r>
      <w:fldChar w:fldCharType="begin"/>
    </w:r>
    <w:r>
      <w:instrText xml:space="preserve">PAGE  </w:instrText>
    </w:r>
    <w:r>
      <w:fldChar w:fldCharType="separate"/>
    </w:r>
    <w:r w:rsidR="00EC68DE">
      <w:rPr>
        <w:noProof/>
      </w:rPr>
      <w:t>2</w:t>
    </w:r>
    <w:r>
      <w:rPr>
        <w:noProof/>
      </w:rPr>
      <w:fldChar w:fldCharType="end"/>
    </w:r>
  </w:p>
  <w:p w14:paraId="57690ECE" w14:textId="77777777" w:rsidR="00217480" w:rsidRDefault="00217480">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C592" w14:textId="77777777" w:rsidR="00217480" w:rsidRDefault="0021748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C8AE" w14:textId="77777777" w:rsidR="00A63760" w:rsidRDefault="00A63760">
      <w:r>
        <w:separator/>
      </w:r>
    </w:p>
  </w:footnote>
  <w:footnote w:type="continuationSeparator" w:id="0">
    <w:p w14:paraId="557F66E4" w14:textId="77777777" w:rsidR="00A63760" w:rsidRDefault="00A63760">
      <w:pPr>
        <w:rPr>
          <w:sz w:val="20"/>
        </w:rPr>
      </w:pPr>
      <w:r>
        <w:rPr>
          <w:sz w:val="20"/>
        </w:rPr>
        <w:t xml:space="preserve">(Continued from previous page)  </w:t>
      </w:r>
      <w:r>
        <w:rPr>
          <w:sz w:val="20"/>
        </w:rPr>
        <w:separator/>
      </w:r>
    </w:p>
  </w:footnote>
  <w:footnote w:type="continuationNotice" w:id="1">
    <w:p w14:paraId="3E112857" w14:textId="77777777" w:rsidR="00A63760" w:rsidRDefault="00A63760">
      <w:pPr>
        <w:rPr>
          <w:sz w:val="20"/>
        </w:rPr>
      </w:pPr>
      <w:r>
        <w:rPr>
          <w:sz w:val="20"/>
        </w:rPr>
        <w:t>(continued….)</w:t>
      </w:r>
    </w:p>
  </w:footnote>
  <w:footnote w:id="2">
    <w:p w14:paraId="661F23E1" w14:textId="77777777" w:rsidR="00217480" w:rsidRPr="00F567D1" w:rsidRDefault="00217480" w:rsidP="00F567D1">
      <w:pPr>
        <w:pStyle w:val="FootnoteText"/>
      </w:pPr>
      <w:r w:rsidRPr="00F567D1">
        <w:rPr>
          <w:rStyle w:val="FootnoteReference"/>
          <w:sz w:val="20"/>
        </w:rPr>
        <w:footnoteRef/>
      </w:r>
      <w:r w:rsidRPr="00F567D1">
        <w:t xml:space="preserve"> The investigation initiated under File No. EB-SED-13-00010169 was subsequently assigned File No. </w:t>
      </w:r>
      <w:r w:rsidRPr="00F567D1">
        <w:rPr>
          <w:bCs/>
        </w:rPr>
        <w:t>EB-SED-14-00016210</w:t>
      </w:r>
      <w:r w:rsidRPr="00F567D1">
        <w:t>.  Any future correspondence with the FCC concerning this matter should reflect the new case number.</w:t>
      </w:r>
    </w:p>
  </w:footnote>
  <w:footnote w:id="3">
    <w:p w14:paraId="53B04AD3" w14:textId="04295995" w:rsidR="00217480" w:rsidRPr="00F567D1" w:rsidRDefault="00217480" w:rsidP="00F567D1">
      <w:pPr>
        <w:pStyle w:val="FootnoteText"/>
      </w:pPr>
      <w:r w:rsidRPr="00F567D1">
        <w:rPr>
          <w:rStyle w:val="FootnoteReference"/>
          <w:sz w:val="20"/>
        </w:rPr>
        <w:footnoteRef/>
      </w:r>
      <w:r w:rsidRPr="00F567D1">
        <w:t xml:space="preserve"> Hinton provides local, long distance</w:t>
      </w:r>
      <w:r w:rsidR="00CC2CBD">
        <w:t xml:space="preserve"> (through AT&amp;T)</w:t>
      </w:r>
      <w:r w:rsidRPr="00F567D1">
        <w:t>, television</w:t>
      </w:r>
      <w:r>
        <w:t>,</w:t>
      </w:r>
      <w:r w:rsidRPr="00F567D1">
        <w:t xml:space="preserve"> and Internet service for approximately </w:t>
      </w:r>
      <w:r w:rsidR="00CC2CBD">
        <w:t xml:space="preserve">1400 subscribers in Caddo County, the affected area, and approximately </w:t>
      </w:r>
      <w:r w:rsidRPr="00F567D1">
        <w:t xml:space="preserve">2,700 customers </w:t>
      </w:r>
      <w:r w:rsidR="00CC2CBD">
        <w:t xml:space="preserve">overall </w:t>
      </w:r>
      <w:r w:rsidRPr="00F567D1">
        <w:t xml:space="preserve">in </w:t>
      </w:r>
      <w:r w:rsidR="00CC2CBD">
        <w:t xml:space="preserve">parts of Caddo, Canadian, Custer, and Washita Counties in </w:t>
      </w:r>
      <w:r w:rsidRPr="00F567D1">
        <w:t>Oklahoma.  Hinton is designated as an Eligible T</w:t>
      </w:r>
      <w:r>
        <w:t xml:space="preserve">elecommunications Carrier </w:t>
      </w:r>
      <w:r w:rsidRPr="00F567D1">
        <w:t xml:space="preserve">by the Oklahoma Corporation Commission.  </w:t>
      </w:r>
      <w:r w:rsidRPr="00F567D1">
        <w:rPr>
          <w:i/>
        </w:rPr>
        <w:t xml:space="preserve">See </w:t>
      </w:r>
      <w:r w:rsidRPr="00F567D1">
        <w:t>Oklahoma Corporation Commission website, available at</w:t>
      </w:r>
      <w:r w:rsidRPr="00F567D1">
        <w:rPr>
          <w:i/>
        </w:rPr>
        <w:t xml:space="preserve"> </w:t>
      </w:r>
      <w:r w:rsidRPr="00F567D1">
        <w:t xml:space="preserve">http://www.occeweb.com/pu/ETC%20Designation/2014-06-12ETCInformationreport.pdf (last visited </w:t>
      </w:r>
      <w:r>
        <w:t>July</w:t>
      </w:r>
      <w:r w:rsidRPr="00F567D1">
        <w:t xml:space="preserve"> </w:t>
      </w:r>
      <w:r>
        <w:t>23</w:t>
      </w:r>
      <w:r w:rsidRPr="00F567D1">
        <w:t>, 2014).</w:t>
      </w:r>
    </w:p>
  </w:footnote>
  <w:footnote w:id="4">
    <w:p w14:paraId="2D33638F" w14:textId="77777777" w:rsidR="00217480" w:rsidRPr="00F567D1" w:rsidRDefault="00217480" w:rsidP="00F567D1">
      <w:pPr>
        <w:pStyle w:val="FootnoteText"/>
      </w:pPr>
      <w:r w:rsidRPr="00F567D1">
        <w:rPr>
          <w:rStyle w:val="FootnoteReference"/>
          <w:sz w:val="20"/>
        </w:rPr>
        <w:footnoteRef/>
      </w:r>
      <w:r w:rsidRPr="00F567D1">
        <w:t xml:space="preserve"> 47 C.F.R. §§ 64.3001, 64.3002(d).</w:t>
      </w:r>
    </w:p>
  </w:footnote>
  <w:footnote w:id="5">
    <w:p w14:paraId="277F35CC" w14:textId="77777777" w:rsidR="00217480" w:rsidRPr="00F567D1" w:rsidRDefault="00217480" w:rsidP="00F567D1">
      <w:pPr>
        <w:pStyle w:val="FootnoteText"/>
      </w:pPr>
      <w:r w:rsidRPr="00737EC5">
        <w:rPr>
          <w:rStyle w:val="FootnoteReference"/>
          <w:sz w:val="20"/>
        </w:rPr>
        <w:footnoteRef/>
      </w:r>
      <w:r w:rsidRPr="00F567D1">
        <w:t xml:space="preserve"> A PSAP is “</w:t>
      </w:r>
      <w:r>
        <w:t>[</w:t>
      </w:r>
      <w:r w:rsidRPr="00F567D1">
        <w:t>a</w:t>
      </w:r>
      <w:r>
        <w:t>]</w:t>
      </w:r>
      <w:r w:rsidRPr="00F567D1">
        <w:t xml:space="preserve"> facility that has been designated to receive 911 calls and route them to emergency services personnel.”  </w:t>
      </w:r>
      <w:r w:rsidRPr="00F567D1">
        <w:rPr>
          <w:i/>
        </w:rPr>
        <w:t xml:space="preserve">Id. </w:t>
      </w:r>
      <w:r w:rsidRPr="00F567D1">
        <w:t>§ 64.3000(c).</w:t>
      </w:r>
    </w:p>
  </w:footnote>
  <w:footnote w:id="6">
    <w:p w14:paraId="563FAC93" w14:textId="77777777" w:rsidR="00217480" w:rsidRPr="00F567D1" w:rsidRDefault="00217480" w:rsidP="00F567D1">
      <w:pPr>
        <w:pStyle w:val="FootnoteText"/>
      </w:pPr>
      <w:r w:rsidRPr="00737EC5">
        <w:rPr>
          <w:rStyle w:val="FootnoteReference"/>
          <w:sz w:val="20"/>
        </w:rPr>
        <w:footnoteRef/>
      </w:r>
      <w:r w:rsidRPr="00F567D1">
        <w:t xml:space="preserve"> A statewide default answering point is “</w:t>
      </w:r>
      <w:r>
        <w:t>[</w:t>
      </w:r>
      <w:r w:rsidRPr="00F567D1">
        <w:t>a</w:t>
      </w:r>
      <w:r>
        <w:t>]</w:t>
      </w:r>
      <w:r w:rsidRPr="00F567D1">
        <w:t>n emergency answering point designated by the State to receive 911 calls for either the entire State or those portions of the State not othe</w:t>
      </w:r>
      <w:r>
        <w:t>rwise serviced by a local PSAP.”</w:t>
      </w:r>
      <w:r w:rsidRPr="00F567D1">
        <w:t xml:space="preserve">  </w:t>
      </w:r>
      <w:r w:rsidRPr="00F567D1">
        <w:rPr>
          <w:i/>
        </w:rPr>
        <w:t>Id.</w:t>
      </w:r>
      <w:r w:rsidRPr="00F567D1">
        <w:t xml:space="preserve"> § 64.3000(d).</w:t>
      </w:r>
    </w:p>
  </w:footnote>
  <w:footnote w:id="7">
    <w:p w14:paraId="63CC5898" w14:textId="77777777" w:rsidR="00217480" w:rsidRPr="00F567D1" w:rsidRDefault="00217480" w:rsidP="00F567D1">
      <w:pPr>
        <w:pStyle w:val="FootnoteText"/>
      </w:pPr>
      <w:r w:rsidRPr="00737EC5">
        <w:rPr>
          <w:rStyle w:val="FootnoteReference"/>
          <w:sz w:val="20"/>
        </w:rPr>
        <w:footnoteRef/>
      </w:r>
      <w:r w:rsidRPr="00F567D1">
        <w:t xml:space="preserve"> An appropriate local emergency authority is “</w:t>
      </w:r>
      <w:r>
        <w:t>[</w:t>
      </w:r>
      <w:r w:rsidRPr="00F567D1">
        <w:t>a</w:t>
      </w:r>
      <w:r>
        <w:t>]</w:t>
      </w:r>
      <w:r w:rsidRPr="00F567D1">
        <w:t>n emergency answering point that has not been officially designated as a</w:t>
      </w:r>
      <w:r>
        <w:t xml:space="preserve"> [PSAP]</w:t>
      </w:r>
      <w:r w:rsidRPr="00F567D1">
        <w:t xml:space="preserve">, but has the capability of receiving 911 calls and either dispatching emergency services personnel or, if necessary, relaying the call to another emergency service provider.  An appropriate local emergency authority may include, but is not limited to, an existing local law enforcement authority, such as the police, county sheriff, local emergency medical services provider, or fire department.”  </w:t>
      </w:r>
      <w:r w:rsidRPr="00F567D1">
        <w:rPr>
          <w:i/>
        </w:rPr>
        <w:t>Id.</w:t>
      </w:r>
      <w:r w:rsidRPr="00F567D1">
        <w:t xml:space="preserve"> § 64.3000(b).</w:t>
      </w:r>
    </w:p>
  </w:footnote>
  <w:footnote w:id="8">
    <w:p w14:paraId="316FAD37"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Id.</w:t>
      </w:r>
      <w:r w:rsidRPr="00F567D1">
        <w:t xml:space="preserve"> § 64.3002(d).</w:t>
      </w:r>
    </w:p>
  </w:footnote>
  <w:footnote w:id="9">
    <w:p w14:paraId="2454E356" w14:textId="77777777" w:rsidR="00217480" w:rsidRPr="00F567D1" w:rsidRDefault="00217480" w:rsidP="00F567D1">
      <w:pPr>
        <w:pStyle w:val="FootnoteText"/>
      </w:pPr>
      <w:r w:rsidRPr="00737EC5">
        <w:rPr>
          <w:rStyle w:val="FootnoteReference"/>
          <w:sz w:val="20"/>
        </w:rPr>
        <w:footnoteRef/>
      </w:r>
      <w:r w:rsidRPr="00F567D1">
        <w:t xml:space="preserve"> Basic 911 networks, in contrast to E911 networks, are not capable of taking into account the caller’s location, but simply forward all 911 calls from a particular public switch telephone network to the appropriate public safety authority.  </w:t>
      </w:r>
      <w:r w:rsidRPr="00F567D1">
        <w:rPr>
          <w:i/>
        </w:rPr>
        <w:t>See Framework for</w:t>
      </w:r>
      <w:r>
        <w:rPr>
          <w:i/>
        </w:rPr>
        <w:t xml:space="preserve"> Next Generation 911 Deployment</w:t>
      </w:r>
      <w:r w:rsidRPr="00C36CFF">
        <w:t>,</w:t>
      </w:r>
      <w:r w:rsidRPr="00F567D1">
        <w:rPr>
          <w:i/>
        </w:rPr>
        <w:t xml:space="preserve"> </w:t>
      </w:r>
      <w:r w:rsidRPr="00F567D1">
        <w:t>Notice of Inquiry, 25 FCC Rcd 17869, 178</w:t>
      </w:r>
      <w:r>
        <w:t>74–</w:t>
      </w:r>
      <w:r w:rsidRPr="00F567D1">
        <w:t>75, para. 13 (2010).</w:t>
      </w:r>
    </w:p>
  </w:footnote>
  <w:footnote w:id="10">
    <w:p w14:paraId="6C554FF9" w14:textId="77777777" w:rsidR="00CC2CBD" w:rsidRPr="00F567D1" w:rsidRDefault="00CC2CBD" w:rsidP="00CC2CBD">
      <w:pPr>
        <w:pStyle w:val="FootnoteText"/>
      </w:pPr>
      <w:r w:rsidRPr="00737EC5">
        <w:rPr>
          <w:rStyle w:val="FootnoteReference"/>
          <w:sz w:val="20"/>
        </w:rPr>
        <w:footnoteRef/>
      </w:r>
      <w:r w:rsidRPr="00F567D1">
        <w:t xml:space="preserve"> The complainant submitted a recording purported to be the message heard by a caller dialing 911 on Hinton’s network, which stated: “Hinton Telephone Company.  The local time is. . . </w:t>
      </w:r>
      <w:r>
        <w:t xml:space="preserve">. </w:t>
      </w:r>
      <w:r w:rsidRPr="00F567D1">
        <w:t xml:space="preserve">If this call is an emergency, hang up and dial 911.  To place a call, press one.  If you need additional assistance, press zero for the operator or remain on the line.  To hear your options again, press star.”  </w:t>
      </w:r>
    </w:p>
  </w:footnote>
  <w:footnote w:id="11">
    <w:p w14:paraId="4F7C3770"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iCs/>
        </w:rPr>
        <w:t>See</w:t>
      </w:r>
      <w:r w:rsidRPr="00F567D1">
        <w:t xml:space="preserve"> Letter from John D. Poutasse, Chief, Spectrum Enforcement Division, FCC Enforcement Bureau, to Kenneth Doughty, CEO, Hinton Telephone Company (Jan. 27, 2014) (on file in EB-SED-14-00016210); Letter from John D. Poutasse, Chief, Spectrum Enforcement Division, FCC Enforcement Bureau, to Kenneth Doughty, CEO, Hinton Telephone Company (July 10, 2014) (on file in EB-SED-14-</w:t>
      </w:r>
      <w:r w:rsidRPr="00F567D1">
        <w:rPr>
          <w:spacing w:val="-2"/>
        </w:rPr>
        <w:t>00016210</w:t>
      </w:r>
      <w:r w:rsidRPr="00F567D1">
        <w:t>); E-mail from Josh Zeldis, Attorney Advisor, Spectrum Enforcement Division, FCC Enforcement Bureau, to Kendall Parish, Ron Comingdeer &amp; Associates, Counsel for Hinton Telephone Company (May 30, 2014, 12:48 EDT) (on file in EB-SED-14-00016210</w:t>
      </w:r>
      <w:r>
        <w:t>);</w:t>
      </w:r>
      <w:r w:rsidRPr="00F567D1">
        <w:t xml:space="preserve"> E-mail from Josh Zeldis, Attorney Advisor, Spectrum Enforcement Division, FCC Enforcement Bureau, to Kendall Parish, Ron Comingdeer &amp; Associates, Counsel for Hinton Telephone Company (Jun. 12, 2014, 15:57 EDT) (on file in EB-SED-14-00016210); E-mail from Josh Zeldis, Attorney Advisor, Spectrum Enforcement Division, FCC Enforcement Bureau, to Kendall Parish, Ron Comingdeer &amp; Associates, Counsel for Hinton Telephone Company (July 15, 2014, 12:33 EDT) (on file in EB-SED-14-00016210).</w:t>
      </w:r>
    </w:p>
  </w:footnote>
  <w:footnote w:id="12">
    <w:p w14:paraId="6B679B34"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 xml:space="preserve">See </w:t>
      </w:r>
      <w:r w:rsidRPr="00F567D1">
        <w:t xml:space="preserve">Letter from Kendall Parish, Ron Comingdeer &amp; Associates, Counsel for Hinton Telephone Company, to John D. Poutasse, Chief, Spectrum Enforcement Division, FCC Enforcement Bureau (June 18, 2014) (on file in EB-SED-14-00016210) (Fourth LOI Response), Attachment at 4.  Pursuant to Section 64.3002(e) of the Rules, once a PSAP has been designated for an area where none had existed as of December 2001, telecommunications carriers must complete the translation and routing necessary to deliver 911calls to that PSAP within nine months of such designation.  47 C.F.R. § 64.3002(e).  </w:t>
      </w:r>
    </w:p>
  </w:footnote>
  <w:footnote w:id="13">
    <w:p w14:paraId="00B9F9BA"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sidRPr="00F567D1">
        <w:t xml:space="preserve"> Letter from Kendall Parish, Ron Comingdeer &amp; Associates, Counsel for Hinton Telephone Company, to John D. Poutasse, Chief, Spectrum Enforcement Division, FCC Enforcement Bureau (March 10, 2014) (on file in EB-SED-14-00016210) (First LOI Response), Attachment at 1; </w:t>
      </w:r>
      <w:r>
        <w:rPr>
          <w:i/>
        </w:rPr>
        <w:t>s</w:t>
      </w:r>
      <w:r w:rsidRPr="00F567D1">
        <w:rPr>
          <w:i/>
        </w:rPr>
        <w:t>ee also</w:t>
      </w:r>
      <w:r w:rsidRPr="00F567D1">
        <w:t xml:space="preserve"> Fourth LOI Response, Attachment at 4.</w:t>
      </w:r>
    </w:p>
  </w:footnote>
  <w:footnote w:id="14">
    <w:p w14:paraId="79AE1455"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sidRPr="00F567D1">
        <w:t xml:space="preserve"> Letter from Kendall Parish, Ron Comingdeer &amp; Associates, Counsel for Hinton Telephone Company, to John D. Poutasse, Chief, Spectrum Enforcement Division, FCC Enforcement Bureau (June 10, 2014) (on file in EB-SED-13-00016210) (Third LOI Response), Attachment at 2.</w:t>
      </w:r>
    </w:p>
  </w:footnote>
  <w:footnote w:id="15">
    <w:p w14:paraId="264EF0D3"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sidRPr="00F567D1">
        <w:t xml:space="preserve"> Letter from Kendall Parish, Ron Comingdeer &amp; Associates, Counsel for Hinton Telephone Company, to John D. Poutasse, Chief, Spectrum Enforcement Division, FCC Enforcement Bureau (May 27, 2014) (on file in EB-SED-14-00016210) (Second LOI Response), Attachment at 1.</w:t>
      </w:r>
    </w:p>
  </w:footnote>
  <w:footnote w:id="16">
    <w:p w14:paraId="3D799BE7" w14:textId="77777777" w:rsidR="00217480" w:rsidRPr="00F567D1" w:rsidRDefault="00217480" w:rsidP="00F567D1">
      <w:pPr>
        <w:pStyle w:val="FootnoteText"/>
      </w:pPr>
      <w:r w:rsidRPr="00737EC5">
        <w:rPr>
          <w:rStyle w:val="FootnoteReference"/>
          <w:sz w:val="20"/>
        </w:rPr>
        <w:footnoteRef/>
      </w:r>
      <w:r w:rsidRPr="00F567D1">
        <w:t xml:space="preserve"> Third LOI Response, Attachment at 1.</w:t>
      </w:r>
    </w:p>
  </w:footnote>
  <w:footnote w:id="17">
    <w:p w14:paraId="7D5ED12B" w14:textId="77777777" w:rsidR="00217480" w:rsidRPr="00F567D1" w:rsidRDefault="00217480" w:rsidP="00F567D1">
      <w:pPr>
        <w:pStyle w:val="FootnoteText"/>
      </w:pPr>
      <w:r w:rsidRPr="00737EC5">
        <w:rPr>
          <w:rStyle w:val="FootnoteReference"/>
          <w:sz w:val="20"/>
        </w:rPr>
        <w:footnoteRef/>
      </w:r>
      <w:r w:rsidRPr="00F567D1">
        <w:t xml:space="preserve"> Fourth LOI Response, Attachment at 1.</w:t>
      </w:r>
    </w:p>
  </w:footnote>
  <w:footnote w:id="18">
    <w:p w14:paraId="398B602C" w14:textId="77777777" w:rsidR="00217480" w:rsidRPr="00F567D1" w:rsidRDefault="00217480" w:rsidP="00F567D1">
      <w:pPr>
        <w:pStyle w:val="FootnoteText"/>
        <w:rPr>
          <w:i/>
        </w:rPr>
      </w:pPr>
      <w:r w:rsidRPr="00737EC5">
        <w:rPr>
          <w:rStyle w:val="FootnoteReference"/>
          <w:sz w:val="20"/>
        </w:rPr>
        <w:footnoteRef/>
      </w:r>
      <w:r w:rsidRPr="00F567D1">
        <w:t xml:space="preserve"> According to Hinton, it was technically infeasible for Hinton’s switch to selectively route 911 calls in Caddo County to multi</w:t>
      </w:r>
      <w:r>
        <w:t>ple telephone numbers</w:t>
      </w:r>
      <w:r w:rsidRPr="00F567D1">
        <w:t xml:space="preserve">.  </w:t>
      </w:r>
      <w:r w:rsidRPr="00F567D1">
        <w:rPr>
          <w:i/>
        </w:rPr>
        <w:t>See</w:t>
      </w:r>
      <w:r w:rsidRPr="00C36CFF">
        <w:t xml:space="preserve"> </w:t>
      </w:r>
      <w:r>
        <w:rPr>
          <w:i/>
        </w:rPr>
        <w:t>id.</w:t>
      </w:r>
      <w:r>
        <w:t>, Attachment at 1–</w:t>
      </w:r>
      <w:r w:rsidRPr="00F567D1">
        <w:t xml:space="preserve">4.  </w:t>
      </w:r>
    </w:p>
  </w:footnote>
  <w:footnote w:id="19">
    <w:p w14:paraId="32F55413" w14:textId="77777777" w:rsidR="00217480" w:rsidRPr="00F567D1" w:rsidRDefault="00217480" w:rsidP="00F567D1">
      <w:pPr>
        <w:pStyle w:val="FootnoteText"/>
      </w:pPr>
      <w:r w:rsidRPr="00737EC5">
        <w:rPr>
          <w:rStyle w:val="FootnoteReference"/>
          <w:sz w:val="20"/>
        </w:rPr>
        <w:footnoteRef/>
      </w:r>
      <w:r w:rsidRPr="00F567D1">
        <w:t xml:space="preserve"> Fourth LOI Response, Attachment at 2; Second LOI Response, Attachment at 1.</w:t>
      </w:r>
    </w:p>
  </w:footnote>
  <w:footnote w:id="20">
    <w:p w14:paraId="08A71973" w14:textId="77777777" w:rsidR="00217480" w:rsidRPr="00F567D1" w:rsidRDefault="00217480" w:rsidP="00F567D1">
      <w:pPr>
        <w:pStyle w:val="FootnoteText"/>
      </w:pPr>
      <w:r w:rsidRPr="00737EC5">
        <w:rPr>
          <w:rStyle w:val="FootnoteReference"/>
          <w:sz w:val="20"/>
        </w:rPr>
        <w:footnoteRef/>
      </w:r>
      <w:r w:rsidRPr="00F567D1">
        <w:t xml:space="preserve"> Fourth LOI Response, Attachment at 2;</w:t>
      </w:r>
    </w:p>
  </w:footnote>
  <w:footnote w:id="21">
    <w:p w14:paraId="0D87FB44" w14:textId="5105FFA0" w:rsidR="00217480" w:rsidRPr="00F567D1" w:rsidRDefault="00217480" w:rsidP="00F567D1">
      <w:pPr>
        <w:pStyle w:val="FootnoteText"/>
      </w:pPr>
      <w:r w:rsidRPr="00737EC5">
        <w:rPr>
          <w:rStyle w:val="FootnoteReference"/>
          <w:sz w:val="20"/>
        </w:rPr>
        <w:footnoteRef/>
      </w:r>
      <w:r w:rsidR="00965FCB">
        <w:t xml:space="preserve"> </w:t>
      </w:r>
      <w:r w:rsidR="00965FCB">
        <w:rPr>
          <w:i/>
        </w:rPr>
        <w:t>Id.</w:t>
      </w:r>
      <w:r>
        <w:t>, Attachment at 1–</w:t>
      </w:r>
      <w:r w:rsidRPr="00F567D1">
        <w:t>2.</w:t>
      </w:r>
    </w:p>
  </w:footnote>
  <w:footnote w:id="22">
    <w:p w14:paraId="34BF12CE"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sidRPr="00C36CFF">
        <w:t xml:space="preserve"> </w:t>
      </w:r>
      <w:r>
        <w:rPr>
          <w:i/>
        </w:rPr>
        <w:t>id.</w:t>
      </w:r>
      <w:r w:rsidRPr="00F567D1">
        <w:t>, Attachment at 1.</w:t>
      </w:r>
    </w:p>
  </w:footnote>
  <w:footnote w:id="23">
    <w:p w14:paraId="21413E08"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sidRPr="00F567D1">
        <w:t xml:space="preserve"> Third LOI Response, Attachment at 1.</w:t>
      </w:r>
    </w:p>
  </w:footnote>
  <w:footnote w:id="24">
    <w:p w14:paraId="5EF58089" w14:textId="77777777" w:rsidR="00217480" w:rsidRPr="00F567D1" w:rsidRDefault="00217480" w:rsidP="00F567D1">
      <w:pPr>
        <w:pStyle w:val="FootnoteText"/>
      </w:pPr>
      <w:r w:rsidRPr="00737EC5">
        <w:rPr>
          <w:rStyle w:val="FootnoteReference"/>
          <w:sz w:val="20"/>
        </w:rPr>
        <w:footnoteRef/>
      </w:r>
      <w:r w:rsidRPr="00F567D1">
        <w:t xml:space="preserve"> Wireless Communications and Public Safety Act of 1999, Pub. L. No. 106-81, 113 Stat. 1286</w:t>
      </w:r>
      <w:r>
        <w:t xml:space="preserve"> (codified at 47 U.S.C. §§</w:t>
      </w:r>
      <w:r w:rsidRPr="00F567D1">
        <w:t xml:space="preserve"> 251</w:t>
      </w:r>
      <w:r>
        <w:t>, 615</w:t>
      </w:r>
      <w:r w:rsidRPr="00F567D1">
        <w:t xml:space="preserve">) (911 Act).  </w:t>
      </w:r>
    </w:p>
  </w:footnote>
  <w:footnote w:id="25">
    <w:p w14:paraId="0B50FA7D" w14:textId="77777777" w:rsidR="00217480" w:rsidRPr="00F567D1" w:rsidRDefault="00217480" w:rsidP="00F567D1">
      <w:pPr>
        <w:pStyle w:val="FootnoteText"/>
      </w:pPr>
      <w:r w:rsidRPr="00737EC5">
        <w:rPr>
          <w:rStyle w:val="FootnoteReference"/>
          <w:sz w:val="20"/>
        </w:rPr>
        <w:footnoteRef/>
      </w:r>
      <w:r w:rsidRPr="00F567D1">
        <w:t xml:space="preserve"> 47 C.F.R. § 64.3002(d).  </w:t>
      </w:r>
    </w:p>
  </w:footnote>
  <w:footnote w:id="26">
    <w:p w14:paraId="3CA64468"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 xml:space="preserve">See </w:t>
      </w:r>
      <w:r w:rsidRPr="00F567D1">
        <w:t>First LOI Response at 1</w:t>
      </w:r>
      <w:r>
        <w:t>–</w:t>
      </w:r>
      <w:r w:rsidRPr="00F567D1">
        <w:t>2.</w:t>
      </w:r>
    </w:p>
  </w:footnote>
  <w:footnote w:id="27">
    <w:p w14:paraId="519B300F" w14:textId="77777777" w:rsidR="00217480" w:rsidRPr="00F567D1" w:rsidDel="000947AC" w:rsidRDefault="00217480" w:rsidP="00F567D1">
      <w:pPr>
        <w:pStyle w:val="FootnoteText"/>
      </w:pPr>
      <w:r w:rsidRPr="00737EC5">
        <w:rPr>
          <w:rStyle w:val="FootnoteReference"/>
          <w:sz w:val="20"/>
        </w:rPr>
        <w:footnoteRef/>
      </w:r>
      <w:r w:rsidRPr="00F567D1">
        <w:t xml:space="preserve"> Because the 911 Act does not explicitly define the term “appropriate authorities,” the Commission defined the term, for purposes of the 911 Act, “to include emergency answering points such as county sheriff offices (i.e., governmental entities), volunteer fire departments (i.e., non-governmental entities), or other similar points that are effectively functioning as PSAPs for purposes of receiving emergency calls, and, if necessary, relaying the calls to other emergency service providers, for the purpose of responding to emergencies.”  </w:t>
      </w:r>
      <w:r>
        <w:rPr>
          <w:i/>
        </w:rPr>
        <w:t xml:space="preserve">Implementation of </w:t>
      </w:r>
      <w:r w:rsidRPr="00F567D1">
        <w:rPr>
          <w:i/>
        </w:rPr>
        <w:t>911 Act</w:t>
      </w:r>
      <w:r w:rsidRPr="00F567D1">
        <w:t xml:space="preserve">, Fifth Report and Order, Memorandum Opinion and Order on Reconsideration, 16 FCC Rcd 22264, 22271, para. 14 (2001).  </w:t>
      </w:r>
      <w:r w:rsidRPr="00F567D1">
        <w:rPr>
          <w:i/>
        </w:rPr>
        <w:t>See also</w:t>
      </w:r>
      <w:r w:rsidRPr="00F567D1">
        <w:t xml:space="preserve"> 47 C.F.R. § 64.3000(b) (defining “appropriate local emergency authority” as “[a]n emergency answering point that has not been officially designated as a </w:t>
      </w:r>
      <w:r>
        <w:t>[PSAP]</w:t>
      </w:r>
      <w:r w:rsidRPr="00F567D1">
        <w:t>, but has the capability of receiving 911 calls and either dispatching  emergency services personnel or, if necessary, relaying the call to another emergency service provider.  An appropriate local emergency authority may include, but is not limited to, an existing local law enforcement authority, such as the police, county sheriff, local emergency medical services provider, or fire department.”).</w:t>
      </w:r>
    </w:p>
  </w:footnote>
  <w:footnote w:id="28">
    <w:p w14:paraId="498F86F7" w14:textId="77777777" w:rsidR="00217480" w:rsidRPr="00F567D1" w:rsidRDefault="00217480" w:rsidP="00F567D1">
      <w:pPr>
        <w:pStyle w:val="FootnoteText"/>
      </w:pPr>
      <w:r w:rsidRPr="00737EC5">
        <w:rPr>
          <w:rStyle w:val="FootnoteReference"/>
          <w:sz w:val="20"/>
        </w:rPr>
        <w:footnoteRef/>
      </w:r>
      <w:r w:rsidRPr="00F567D1">
        <w:t xml:space="preserve"> Although it appears that Hinton faced certain technical and other impediments to routing 911 calls from its Caddo County customers directly to an appropriate local emergency authority, </w:t>
      </w:r>
      <w:r>
        <w:rPr>
          <w:i/>
        </w:rPr>
        <w:t xml:space="preserve">see supra </w:t>
      </w:r>
      <w:r>
        <w:t xml:space="preserve">para. 6, </w:t>
      </w:r>
      <w:r w:rsidRPr="00F567D1">
        <w:t>w</w:t>
      </w:r>
      <w:r w:rsidRPr="00F567D1">
        <w:rPr>
          <w:rFonts w:eastAsia="Batang"/>
        </w:rPr>
        <w:t>e note that many of the technical limitations identified by Hinton related to its deployment of an enhanced 911 solution, and not the provision of basic 911</w:t>
      </w:r>
      <w:r>
        <w:rPr>
          <w:rFonts w:eastAsia="Batang"/>
        </w:rPr>
        <w:t xml:space="preserve"> service</w:t>
      </w:r>
      <w:r w:rsidRPr="00F567D1">
        <w:rPr>
          <w:rFonts w:eastAsia="Batang"/>
        </w:rPr>
        <w:t xml:space="preserve">.    </w:t>
      </w:r>
    </w:p>
  </w:footnote>
  <w:footnote w:id="29">
    <w:p w14:paraId="22399191"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 Revision of the Commission’s Rules to Ensure Compatibility with Enhanced 911 Emergency Call Systems</w:t>
      </w:r>
      <w:r w:rsidRPr="00F567D1">
        <w:t>, Report and Order and Further Notice of Proposed Rulemaking, 11 FCC Rcd 18676, 18678, para. 3 (1996).</w:t>
      </w:r>
    </w:p>
  </w:footnote>
  <w:footnote w:id="30">
    <w:p w14:paraId="1592275E" w14:textId="28E699CC" w:rsidR="00ED0CB0" w:rsidRDefault="00ED0CB0" w:rsidP="00ED0CB0">
      <w:pPr>
        <w:pStyle w:val="FootnoteText"/>
      </w:pPr>
      <w:r>
        <w:rPr>
          <w:rStyle w:val="FootnoteReference"/>
        </w:rPr>
        <w:footnoteRef/>
      </w:r>
      <w:r>
        <w:t xml:space="preserve"> Hinton</w:t>
      </w:r>
      <w:r w:rsidR="00F80020">
        <w:t xml:space="preserve">’s assertion </w:t>
      </w:r>
      <w:r>
        <w:t xml:space="preserve">that a representative of the Oklahoma Corporation Commission advised Hinton in early May 2013 that it could continue to route 911 calls to the AT&amp;T operator </w:t>
      </w:r>
      <w:r w:rsidR="00F80020">
        <w:t>(</w:t>
      </w:r>
      <w:r>
        <w:t>Fourth LOI Response, Attachment at 2</w:t>
      </w:r>
      <w:r w:rsidR="00F80020">
        <w:t>) does not alter our conclusion.  Indeed, Hinton’s response</w:t>
      </w:r>
      <w:r w:rsidR="0031090B">
        <w:t xml:space="preserve"> does not clearly explain</w:t>
      </w:r>
      <w:r w:rsidR="00F80020">
        <w:t xml:space="preserve"> which 911 routing arrangement the Oklahoma Corporation Commission </w:t>
      </w:r>
      <w:r w:rsidR="0042029D">
        <w:t xml:space="preserve">allegedly approved, and </w:t>
      </w:r>
      <w:r w:rsidR="00F80020">
        <w:t xml:space="preserve">Hinton has provided no documentary evidence to support </w:t>
      </w:r>
      <w:r w:rsidR="0031090B">
        <w:t>its assertion</w:t>
      </w:r>
      <w:r w:rsidR="0042029D">
        <w:t>.</w:t>
      </w:r>
      <w:r>
        <w:t xml:space="preserve">       </w:t>
      </w:r>
    </w:p>
  </w:footnote>
  <w:footnote w:id="31">
    <w:p w14:paraId="22FD03C3" w14:textId="249BF311"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sidRPr="00F567D1">
        <w:t xml:space="preserve"> Fifth LOI Response, Attachment at 1.  On January 7, 2013, approximately four months prior to the date that Hinton claims it discovered that AT&amp;T had switched from a live operator to an autom</w:t>
      </w:r>
      <w:r>
        <w:t>ated message service</w:t>
      </w:r>
      <w:r w:rsidRPr="00F567D1">
        <w:t xml:space="preserve">, Hinton received a request to direct trunks to the Caddo County PSAP.  </w:t>
      </w:r>
      <w:r w:rsidRPr="00F567D1">
        <w:rPr>
          <w:i/>
        </w:rPr>
        <w:t xml:space="preserve">See </w:t>
      </w:r>
      <w:r w:rsidRPr="00F567D1">
        <w:t>Fourth LOI Response, Attachment at 1</w:t>
      </w:r>
      <w:r>
        <w:t>–</w:t>
      </w:r>
      <w:r w:rsidRPr="00F567D1">
        <w:t xml:space="preserve">2.  Although Section 64.3002(e) of the Rules provides that once a PSAP has been designated for an area where none had existed as of December 2001, telecommunications carriers have nine months to complete the translation and routing necessary to deliver 911calls to that PSAP (47 C.F.R. § 64.3002(e)), the fact that Hinton was able to route calls to the Caddo County PSAP within only four days of being directed to do by PSHSB suggests that Hinton, with the exercise of reasonable diligence, could have commenced the routing of 911 calls to the Caddo County PSAP prior to August 5, 2013.  </w:t>
      </w:r>
    </w:p>
  </w:footnote>
  <w:footnote w:id="32">
    <w:p w14:paraId="5F8615AC" w14:textId="77777777" w:rsidR="00217480" w:rsidRPr="00F567D1" w:rsidRDefault="00217480" w:rsidP="00F567D1">
      <w:pPr>
        <w:pStyle w:val="FootnoteText"/>
      </w:pPr>
      <w:r w:rsidRPr="00F567D1">
        <w:rPr>
          <w:rStyle w:val="FootnoteReference"/>
          <w:sz w:val="20"/>
        </w:rPr>
        <w:footnoteRef/>
      </w:r>
      <w:r w:rsidRPr="00F567D1">
        <w:t xml:space="preserve"> 47 U.S.C. § 503(b)(1)(B); </w:t>
      </w:r>
      <w:r w:rsidRPr="00F567D1">
        <w:rPr>
          <w:i/>
        </w:rPr>
        <w:t xml:space="preserve">see also </w:t>
      </w:r>
      <w:r w:rsidRPr="00F567D1">
        <w:t xml:space="preserve">47 C.F.R. § 1.80(a).  </w:t>
      </w:r>
    </w:p>
  </w:footnote>
  <w:footnote w:id="33">
    <w:p w14:paraId="35FA4C6A" w14:textId="77777777" w:rsidR="00217480" w:rsidRPr="00F567D1" w:rsidRDefault="00217480" w:rsidP="00F567D1">
      <w:pPr>
        <w:pStyle w:val="FootnoteText"/>
      </w:pPr>
      <w:r w:rsidRPr="00F567D1">
        <w:rPr>
          <w:rStyle w:val="FootnoteReference"/>
          <w:sz w:val="20"/>
        </w:rPr>
        <w:footnoteRef/>
      </w:r>
      <w:r w:rsidRPr="00F567D1">
        <w:t xml:space="preserve"> </w:t>
      </w:r>
      <w:r w:rsidRPr="00F567D1">
        <w:rPr>
          <w:i/>
        </w:rPr>
        <w:t xml:space="preserve">Id. </w:t>
      </w:r>
      <w:r w:rsidRPr="00F567D1">
        <w:t>47 § 312(f)(1).</w:t>
      </w:r>
    </w:p>
  </w:footnote>
  <w:footnote w:id="34">
    <w:p w14:paraId="5E524BAF" w14:textId="77777777" w:rsidR="00217480" w:rsidRPr="00F567D1" w:rsidRDefault="00217480" w:rsidP="00F567D1">
      <w:pPr>
        <w:pStyle w:val="FootnoteText"/>
      </w:pPr>
      <w:r w:rsidRPr="00F567D1">
        <w:rPr>
          <w:rStyle w:val="FootnoteReference"/>
          <w:sz w:val="20"/>
        </w:rPr>
        <w:footnoteRef/>
      </w:r>
      <w:r w:rsidRPr="00F567D1">
        <w:t xml:space="preserve"> H.R. Rep. No. 97-765, 97</w:t>
      </w:r>
      <w:r w:rsidRPr="00F567D1">
        <w:rPr>
          <w:vertAlign w:val="superscript"/>
        </w:rPr>
        <w:t>th</w:t>
      </w:r>
      <w:r w:rsidRPr="00F567D1">
        <w:t xml:space="preserve"> Cong. 2d Sess. 51 (1982) (“</w:t>
      </w:r>
      <w:r w:rsidRPr="00F567D1">
        <w:rPr>
          <w:rStyle w:val="PageNumber"/>
        </w:rPr>
        <w:t xml:space="preserve">This provision [inserted in Section 312] defines the terms ‘willful’ and ‘repeated’ for purposes of section </w:t>
      </w:r>
      <w:r w:rsidRPr="00F567D1">
        <w:t>312</w:t>
      </w:r>
      <w:r w:rsidRPr="00F567D1">
        <w:rPr>
          <w:rStyle w:val="PageNumber"/>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F567D1">
        <w:t>312</w:t>
      </w:r>
      <w:r w:rsidRPr="00F567D1">
        <w:rPr>
          <w:rStyle w:val="PageNumber"/>
        </w:rPr>
        <w:t xml:space="preserve"> and 503, and are consistent with the Commission’s application of those terms . . . .”).</w:t>
      </w:r>
    </w:p>
  </w:footnote>
  <w:footnote w:id="35">
    <w:p w14:paraId="162E55DD" w14:textId="77777777" w:rsidR="00217480" w:rsidRPr="00F567D1" w:rsidRDefault="00217480" w:rsidP="00F567D1">
      <w:pPr>
        <w:pStyle w:val="FootnoteText"/>
      </w:pPr>
      <w:r w:rsidRPr="00F567D1">
        <w:rPr>
          <w:rStyle w:val="FootnoteReference"/>
          <w:sz w:val="20"/>
        </w:rPr>
        <w:footnoteRef/>
      </w:r>
      <w:r w:rsidRPr="00F567D1">
        <w:t xml:space="preserve"> </w:t>
      </w:r>
      <w:r w:rsidRPr="00F567D1">
        <w:rPr>
          <w:i/>
        </w:rPr>
        <w:t>See, e.g.</w:t>
      </w:r>
      <w:r w:rsidRPr="00F567D1">
        <w:t>,</w:t>
      </w:r>
      <w:r w:rsidRPr="00F567D1">
        <w:rPr>
          <w:i/>
        </w:rPr>
        <w:t xml:space="preserve"> Southern California Broadcasting Co.</w:t>
      </w:r>
      <w:r w:rsidRPr="00F567D1">
        <w:t xml:space="preserve">, Memorandum Opinion and Order, 6 FCC </w:t>
      </w:r>
      <w:r>
        <w:t>Rcd 4387, 4388, para. 5 (1991)</w:t>
      </w:r>
      <w:r w:rsidRPr="00F567D1">
        <w:t xml:space="preserve">, </w:t>
      </w:r>
      <w:r w:rsidRPr="00F567D1">
        <w:rPr>
          <w:i/>
        </w:rPr>
        <w:t>recon. denied</w:t>
      </w:r>
      <w:r w:rsidRPr="00F567D1">
        <w:t>,</w:t>
      </w:r>
      <w:r w:rsidRPr="00F567D1">
        <w:rPr>
          <w:i/>
        </w:rPr>
        <w:t xml:space="preserve"> </w:t>
      </w:r>
      <w:r w:rsidRPr="00F567D1">
        <w:t>7 FCC Rcd 3454 (1992).</w:t>
      </w:r>
    </w:p>
  </w:footnote>
  <w:footnote w:id="36">
    <w:p w14:paraId="0AA0B83C" w14:textId="77777777" w:rsidR="00217480" w:rsidRPr="00F567D1" w:rsidRDefault="00217480" w:rsidP="00F567D1">
      <w:pPr>
        <w:pStyle w:val="FootnoteText"/>
      </w:pPr>
      <w:r w:rsidRPr="00F567D1">
        <w:rPr>
          <w:rStyle w:val="FootnoteReference"/>
          <w:sz w:val="20"/>
        </w:rPr>
        <w:footnoteRef/>
      </w:r>
      <w:r w:rsidRPr="00F567D1">
        <w:t xml:space="preserve"> </w:t>
      </w:r>
      <w:r w:rsidRPr="00F567D1">
        <w:rPr>
          <w:i/>
        </w:rPr>
        <w:t>See, e.g.</w:t>
      </w:r>
      <w:r w:rsidRPr="00F567D1">
        <w:t xml:space="preserve">, </w:t>
      </w:r>
      <w:r w:rsidRPr="00F567D1">
        <w:rPr>
          <w:i/>
        </w:rPr>
        <w:t>Callais Cablevision, Inc.</w:t>
      </w:r>
      <w:r w:rsidRPr="00F567D1">
        <w:t>, Notice of Apparent Liability for Monetary Forfeiture, 16 FCC Rcd 1359, 1362, para. 10 (2001) (</w:t>
      </w:r>
      <w:r w:rsidRPr="00F567D1">
        <w:rPr>
          <w:i/>
        </w:rPr>
        <w:t>Callais Cablevision, Inc.</w:t>
      </w:r>
      <w:r w:rsidRPr="00F567D1">
        <w:t xml:space="preserve">) (proposing a forfeiture for, </w:t>
      </w:r>
      <w:r w:rsidRPr="00F567D1">
        <w:rPr>
          <w:i/>
        </w:rPr>
        <w:t>inter alia</w:t>
      </w:r>
      <w:r w:rsidRPr="00F567D1">
        <w:t xml:space="preserve">, a cable television operator’s repeated signal leakage). </w:t>
      </w:r>
    </w:p>
  </w:footnote>
  <w:footnote w:id="37">
    <w:p w14:paraId="52C88B12" w14:textId="77777777" w:rsidR="00217480" w:rsidRPr="00F567D1" w:rsidRDefault="00217480" w:rsidP="00F567D1">
      <w:pPr>
        <w:pStyle w:val="FootnoteText"/>
      </w:pPr>
      <w:r w:rsidRPr="00F567D1">
        <w:rPr>
          <w:rStyle w:val="FootnoteReference"/>
          <w:sz w:val="20"/>
        </w:rPr>
        <w:footnoteRef/>
      </w:r>
      <w:r w:rsidRPr="00F567D1">
        <w:t xml:space="preserve"> Section 312(f)(2) of the Act, 47 U.S.C. § 312(f)(2), provides that “[t]he term ‘repeated,’ when used with reference to the commission or omission of any act, means the commission or omission of such act more than once or, if such commission or omission is continuous, for more than one day.”  </w:t>
      </w:r>
      <w:r w:rsidRPr="00F567D1">
        <w:rPr>
          <w:i/>
        </w:rPr>
        <w:t>See Callais Cablevision, Inc.</w:t>
      </w:r>
      <w:r w:rsidRPr="00F567D1">
        <w:t>, 16 FCC Rcd</w:t>
      </w:r>
      <w:r w:rsidRPr="00F567D1">
        <w:rPr>
          <w:i/>
        </w:rPr>
        <w:t xml:space="preserve"> </w:t>
      </w:r>
      <w:r w:rsidRPr="00F567D1">
        <w:t xml:space="preserve">at 1362, para. 9. </w:t>
      </w:r>
    </w:p>
  </w:footnote>
  <w:footnote w:id="38">
    <w:p w14:paraId="728C10FF" w14:textId="77777777" w:rsidR="00217480" w:rsidRPr="00F567D1" w:rsidRDefault="00217480" w:rsidP="00F567D1">
      <w:pPr>
        <w:pStyle w:val="FootnoteText"/>
      </w:pPr>
      <w:r w:rsidRPr="00F567D1">
        <w:rPr>
          <w:rStyle w:val="FootnoteReference"/>
          <w:sz w:val="20"/>
        </w:rPr>
        <w:footnoteRef/>
      </w:r>
      <w:r w:rsidRPr="00F567D1">
        <w:t xml:space="preserve"> 47 C.F.R. §§ 64.3001, 64.3002(d).</w:t>
      </w:r>
    </w:p>
  </w:footnote>
  <w:footnote w:id="39">
    <w:p w14:paraId="0274F037" w14:textId="15F623A8" w:rsidR="00217480" w:rsidRDefault="00217480" w:rsidP="00217480">
      <w:pPr>
        <w:pStyle w:val="FootnoteText"/>
      </w:pPr>
      <w:r>
        <w:rPr>
          <w:rStyle w:val="FootnoteReference"/>
        </w:rPr>
        <w:footnoteRef/>
      </w:r>
      <w:r>
        <w:t xml:space="preserve"> </w:t>
      </w:r>
      <w:hyperlink r:id="rId1" w:tgtFrame="_top" w:history="1">
        <w:r w:rsidR="0010184C" w:rsidRPr="008E4D9E">
          <w:rPr>
            <w:rStyle w:val="Hyperlink"/>
            <w:color w:val="000000"/>
            <w:u w:val="none"/>
          </w:rPr>
          <w:t>47 U.S.C. § 503(b)(2)(B)</w:t>
        </w:r>
      </w:hyperlink>
      <w:r w:rsidR="0010184C" w:rsidRPr="0082337E">
        <w:rPr>
          <w:color w:val="000000"/>
        </w:rPr>
        <w:t xml:space="preserve">; </w:t>
      </w:r>
      <w:r w:rsidR="0010184C" w:rsidRPr="0082337E">
        <w:rPr>
          <w:i/>
          <w:color w:val="000000"/>
        </w:rPr>
        <w:t>see also</w:t>
      </w:r>
      <w:r w:rsidR="0010184C" w:rsidRPr="0082337E">
        <w:rPr>
          <w:color w:val="000000"/>
        </w:rPr>
        <w:t xml:space="preserve"> </w:t>
      </w:r>
      <w:hyperlink r:id="rId2" w:tgtFrame="_top" w:history="1">
        <w:r w:rsidR="0010184C" w:rsidRPr="008E4D9E">
          <w:rPr>
            <w:rStyle w:val="Hyperlink"/>
            <w:color w:val="000000"/>
            <w:u w:val="none"/>
          </w:rPr>
          <w:t>47 C.F.R. § 1.80(b)(2)</w:t>
        </w:r>
      </w:hyperlink>
      <w:r w:rsidR="0010184C" w:rsidRPr="0082337E">
        <w:rPr>
          <w:color w:val="000000"/>
        </w:rPr>
        <w:t xml:space="preserve">.  </w:t>
      </w:r>
      <w:r w:rsidR="0010184C">
        <w:rPr>
          <w:color w:val="000000"/>
        </w:rPr>
        <w:t xml:space="preserve">These amounts reflect inflation adjustments to the forfeitures specified in Section 503(b)(2)(B) of the Act ($100,000 per violation or per day of a continuing violation and $1,000,000 per any single act or failure to act).  </w:t>
      </w:r>
      <w:r w:rsidR="0010184C" w:rsidRPr="0082337E">
        <w:rPr>
          <w:color w:val="000000"/>
        </w:rPr>
        <w:t xml:space="preserve">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10184C" w:rsidRPr="0082337E">
        <w:rPr>
          <w:i/>
          <w:color w:val="000000"/>
        </w:rPr>
        <w:t>See</w:t>
      </w:r>
      <w:r w:rsidR="0010184C" w:rsidRPr="0082337E">
        <w:rPr>
          <w:color w:val="000000"/>
        </w:rPr>
        <w:t xml:space="preserve"> 28 U.S.C. § 2461 note (4).  The</w:t>
      </w:r>
      <w:r w:rsidR="0010184C" w:rsidRPr="00DD057E">
        <w:rPr>
          <w:color w:val="000000"/>
        </w:rPr>
        <w:t xml:space="preserve"> </w:t>
      </w:r>
      <w:r w:rsidR="0010184C" w:rsidRPr="0082337E">
        <w:rPr>
          <w:color w:val="000000"/>
        </w:rPr>
        <w:t xml:space="preserve">Commission most recently adjusted its penalties to account for inflation in 2013.  </w:t>
      </w:r>
      <w:r w:rsidR="0010184C" w:rsidRPr="0082337E">
        <w:rPr>
          <w:i/>
          <w:color w:val="000000"/>
        </w:rPr>
        <w:t>See Amendment of Section 1.80(b) of the Commission’s Rules, Adjustment of Civil Monetary Penalties to Reflect Inflation</w:t>
      </w:r>
      <w:r w:rsidR="0010184C">
        <w:rPr>
          <w:color w:val="000000"/>
        </w:rPr>
        <w:t>, 28 FCC Rcd 10785</w:t>
      </w:r>
      <w:r w:rsidR="0010184C" w:rsidRPr="0082337E">
        <w:rPr>
          <w:color w:val="000000"/>
        </w:rPr>
        <w:t xml:space="preserve"> (Enf. Bur. 2013); </w:t>
      </w:r>
      <w:r w:rsidR="0010184C" w:rsidRPr="0082337E">
        <w:rPr>
          <w:i/>
          <w:color w:val="000000"/>
        </w:rPr>
        <w:t>see also</w:t>
      </w:r>
      <w:r w:rsidR="0010184C" w:rsidRPr="0082337E">
        <w:rPr>
          <w:color w:val="000000"/>
        </w:rPr>
        <w:t xml:space="preserve"> </w:t>
      </w:r>
      <w:r w:rsidR="0010184C" w:rsidRPr="006F4A27">
        <w:rPr>
          <w:i/>
          <w:color w:val="000000"/>
        </w:rPr>
        <w:t>Inflation Adjustment of Monetary Penalties</w:t>
      </w:r>
      <w:r w:rsidR="0010184C" w:rsidRPr="0082337E">
        <w:rPr>
          <w:color w:val="000000"/>
        </w:rPr>
        <w:t>, 78 Fed. Reg. 49370–01 (2013) (setting Sept. 13, 2013, as the effective date for the increases).</w:t>
      </w:r>
      <w:r w:rsidR="0010184C">
        <w:rPr>
          <w:color w:val="000000"/>
        </w:rPr>
        <w:t xml:space="preserve">  </w:t>
      </w:r>
      <w:r w:rsidR="0010184C">
        <w:t>B</w:t>
      </w:r>
      <w:r w:rsidR="0010184C" w:rsidRPr="001F0DAD">
        <w:t xml:space="preserve">ecause the DCIA specifies that </w:t>
      </w:r>
      <w:r w:rsidR="0010184C" w:rsidRPr="001F0DAD">
        <w:rPr>
          <w:color w:val="000000"/>
        </w:rPr>
        <w:t>any inflationary adjustment “shall apply only to violations which occur after the date the increase takes effect,”</w:t>
      </w:r>
      <w:r w:rsidR="0010184C" w:rsidRPr="001F0DAD">
        <w:t xml:space="preserve"> </w:t>
      </w:r>
      <w:r w:rsidR="0010184C">
        <w:t xml:space="preserve">however, </w:t>
      </w:r>
      <w:r w:rsidR="0010184C" w:rsidRPr="001F0DAD">
        <w:t>we apply the forfeiture penalties in effect at the time the violation took place.  28 U.S.C. § 2</w:t>
      </w:r>
      <w:r w:rsidR="0010184C">
        <w:t>461 note (6).</w:t>
      </w:r>
    </w:p>
  </w:footnote>
  <w:footnote w:id="40">
    <w:p w14:paraId="5B301EE8" w14:textId="77777777" w:rsidR="00217480" w:rsidRDefault="00217480" w:rsidP="00217480">
      <w:pPr>
        <w:pStyle w:val="FootnoteText"/>
      </w:pPr>
      <w:r>
        <w:rPr>
          <w:rStyle w:val="FootnoteReference"/>
        </w:rPr>
        <w:footnoteRef/>
      </w:r>
      <w:r>
        <w:t xml:space="preserve"> 47 U.S.C. § 503(b)(2)(E).  </w:t>
      </w:r>
      <w:r>
        <w:rPr>
          <w:rFonts w:eastAsia="Batang"/>
          <w:i/>
        </w:rPr>
        <w:t xml:space="preserve">See also </w:t>
      </w:r>
      <w:r>
        <w:t xml:space="preserve">47 C.F.R. § 1.80(b)(5), </w:t>
      </w:r>
      <w:r>
        <w:rPr>
          <w:rFonts w:eastAsia="Batang"/>
        </w:rPr>
        <w:t>Note to paragraph (b)(5): Section II. Adjustment Criteria for Section 503 Forfeitures.</w:t>
      </w:r>
    </w:p>
  </w:footnote>
  <w:footnote w:id="41">
    <w:p w14:paraId="601E9B93"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 xml:space="preserve">The Commission’s Forfeiture Policy Statement and Amendment of Section 1.80 of the Rules to Incorporate the Forfeiture Guidelines, </w:t>
      </w:r>
      <w:r w:rsidRPr="00F567D1">
        <w:t>Report and Order, 1</w:t>
      </w:r>
      <w:r>
        <w:t>2 FCC Rcd 17087 (1997) (</w:t>
      </w:r>
      <w:r w:rsidRPr="00F567D1">
        <w:rPr>
          <w:i/>
        </w:rPr>
        <w:t>Forfeiture Policy Statement</w:t>
      </w:r>
      <w:r w:rsidRPr="00F567D1">
        <w:t xml:space="preserve">), </w:t>
      </w:r>
      <w:r w:rsidRPr="00F567D1">
        <w:rPr>
          <w:i/>
        </w:rPr>
        <w:t>recon</w:t>
      </w:r>
      <w:r>
        <w:rPr>
          <w:i/>
        </w:rPr>
        <w:t>s</w:t>
      </w:r>
      <w:r w:rsidRPr="00F567D1">
        <w:rPr>
          <w:i/>
        </w:rPr>
        <w:t xml:space="preserve">. </w:t>
      </w:r>
      <w:r>
        <w:rPr>
          <w:i/>
        </w:rPr>
        <w:t>d</w:t>
      </w:r>
      <w:r w:rsidRPr="00F567D1">
        <w:rPr>
          <w:i/>
        </w:rPr>
        <w:t>enied</w:t>
      </w:r>
      <w:r w:rsidRPr="00C36CFF">
        <w:t>,</w:t>
      </w:r>
      <w:r w:rsidRPr="00F567D1">
        <w:t xml:space="preserve"> 15 FCC Rcd 303 (1999).</w:t>
      </w:r>
    </w:p>
  </w:footnote>
  <w:footnote w:id="42">
    <w:p w14:paraId="11433976" w14:textId="77777777" w:rsidR="00217480" w:rsidRDefault="00217480">
      <w:pPr>
        <w:pStyle w:val="FootnoteText"/>
      </w:pPr>
      <w:r>
        <w:rPr>
          <w:rStyle w:val="FootnoteReference"/>
        </w:rPr>
        <w:footnoteRef/>
      </w:r>
      <w:r>
        <w:t xml:space="preserve"> 47 C.F.R. § 1.80.</w:t>
      </w:r>
    </w:p>
  </w:footnote>
  <w:footnote w:id="43">
    <w:p w14:paraId="5B001C49" w14:textId="77777777" w:rsidR="00217480" w:rsidRPr="00F567D1" w:rsidRDefault="00217480" w:rsidP="00F567D1">
      <w:pPr>
        <w:pStyle w:val="FootnoteText"/>
      </w:pPr>
      <w:r w:rsidRPr="00737EC5">
        <w:rPr>
          <w:rStyle w:val="FootnoteReference"/>
          <w:sz w:val="20"/>
        </w:rPr>
        <w:footnoteRef/>
      </w:r>
      <w:r w:rsidRPr="00F567D1">
        <w:rPr>
          <w:i/>
        </w:rPr>
        <w:t xml:space="preserve"> Forfeiture Policy Statement</w:t>
      </w:r>
      <w:r w:rsidRPr="00F567D1">
        <w:rPr>
          <w:iCs/>
        </w:rPr>
        <w:t>,</w:t>
      </w:r>
      <w:r w:rsidRPr="00F567D1">
        <w:t xml:space="preserve"> 12 FCC Rcd at 17099, para. 22.  </w:t>
      </w:r>
    </w:p>
  </w:footnote>
  <w:footnote w:id="44">
    <w:p w14:paraId="2E4A141B" w14:textId="77777777" w:rsidR="00217480" w:rsidRPr="00F567D1" w:rsidRDefault="00217480" w:rsidP="00F567D1">
      <w:pPr>
        <w:pStyle w:val="FootnoteText"/>
        <w:rPr>
          <w:i/>
        </w:rPr>
      </w:pPr>
      <w:r w:rsidRPr="00737EC5">
        <w:rPr>
          <w:rStyle w:val="FootnoteReference"/>
          <w:sz w:val="20"/>
        </w:rPr>
        <w:footnoteRef/>
      </w:r>
      <w:r w:rsidRPr="00F567D1">
        <w:rPr>
          <w:i/>
        </w:rPr>
        <w:t xml:space="preserve"> Id.</w:t>
      </w:r>
    </w:p>
  </w:footnote>
  <w:footnote w:id="45">
    <w:p w14:paraId="6AF225C0" w14:textId="69032837" w:rsidR="00217480" w:rsidRPr="00F567D1" w:rsidRDefault="00217480" w:rsidP="00D21D5A">
      <w:pPr>
        <w:pStyle w:val="FootnoteText"/>
      </w:pPr>
      <w:r w:rsidRPr="00F567D1">
        <w:rPr>
          <w:rStyle w:val="FootnoteReference"/>
          <w:sz w:val="20"/>
        </w:rPr>
        <w:footnoteRef/>
      </w:r>
      <w:r w:rsidRPr="00F567D1">
        <w:rPr>
          <w:i/>
        </w:rPr>
        <w:t xml:space="preserve"> See,</w:t>
      </w:r>
      <w:r w:rsidR="00965FCB">
        <w:rPr>
          <w:i/>
        </w:rPr>
        <w:t xml:space="preserve"> e.g.</w:t>
      </w:r>
      <w:r w:rsidR="00965FCB">
        <w:t>,</w:t>
      </w:r>
      <w:r>
        <w:rPr>
          <w:i/>
        </w:rPr>
        <w:t xml:space="preserve"> Sprint Nextel Corp.</w:t>
      </w:r>
      <w:r>
        <w:t>,</w:t>
      </w:r>
      <w:r w:rsidRPr="00F567D1">
        <w:rPr>
          <w:i/>
        </w:rPr>
        <w:t xml:space="preserve"> </w:t>
      </w:r>
      <w:r w:rsidRPr="00F567D1">
        <w:t>Notice of Apparent Liability for Forfeiture, 22 FCC Rcd 16414, 16417</w:t>
      </w:r>
      <w:r>
        <w:t>–18</w:t>
      </w:r>
      <w:r w:rsidRPr="00F567D1">
        <w:t>, para</w:t>
      </w:r>
      <w:r>
        <w:t>s</w:t>
      </w:r>
      <w:r w:rsidRPr="00F567D1">
        <w:t>. 9</w:t>
      </w:r>
      <w:r>
        <w:t>–10</w:t>
      </w:r>
      <w:r w:rsidRPr="00F567D1">
        <w:t xml:space="preserve"> (2007) (proposing a $1,325,000 forfeiture irrespective of the absence of an established base forfeiture for failure to comply with deadline for 95% </w:t>
      </w:r>
      <w:r>
        <w:t xml:space="preserve">E911 </w:t>
      </w:r>
      <w:r w:rsidRPr="00F567D1">
        <w:t>location</w:t>
      </w:r>
      <w:r>
        <w:t xml:space="preserve">-capable handset penetration) </w:t>
      </w:r>
      <w:r w:rsidRPr="00F567D1">
        <w:t>(forfeiture paid)</w:t>
      </w:r>
      <w:r>
        <w:t xml:space="preserve"> (</w:t>
      </w:r>
      <w:r w:rsidRPr="00F567D1">
        <w:rPr>
          <w:i/>
        </w:rPr>
        <w:t>Sprint Nextel</w:t>
      </w:r>
      <w:r w:rsidRPr="00F567D1">
        <w:t xml:space="preserve">); </w:t>
      </w:r>
      <w:r>
        <w:rPr>
          <w:i/>
        </w:rPr>
        <w:t>A-O Broad. Corp.</w:t>
      </w:r>
      <w:r>
        <w:t>,</w:t>
      </w:r>
      <w:r w:rsidRPr="00F567D1">
        <w:rPr>
          <w:i/>
        </w:rPr>
        <w:t xml:space="preserve"> </w:t>
      </w:r>
      <w:r w:rsidRPr="00F567D1">
        <w:t xml:space="preserve">Forfeiture Order, </w:t>
      </w:r>
      <w:r>
        <w:t>18 FCC Rcd 27069,</w:t>
      </w:r>
      <w:r w:rsidRPr="00F567D1">
        <w:t xml:space="preserve"> para.  22 (2003), </w:t>
      </w:r>
      <w:r>
        <w:rPr>
          <w:i/>
        </w:rPr>
        <w:t>aff’d</w:t>
      </w:r>
      <w:r w:rsidRPr="00F567D1">
        <w:rPr>
          <w:i/>
        </w:rPr>
        <w:t xml:space="preserve">, </w:t>
      </w:r>
      <w:r w:rsidRPr="00F567D1">
        <w:t>Memorandum Opinion and Order, 20 FCC Rcd 756 (2005) (assessing</w:t>
      </w:r>
      <w:r>
        <w:t xml:space="preserve"> a $25,000 forfeiture </w:t>
      </w:r>
      <w:r w:rsidRPr="00F567D1">
        <w:t xml:space="preserve">irrespective of the absence of an established base forfeiture for violations of radio frequency exposure limits); </w:t>
      </w:r>
      <w:r>
        <w:rPr>
          <w:i/>
        </w:rPr>
        <w:t>Callais Cablevision, Inc.</w:t>
      </w:r>
      <w:r>
        <w:t>,</w:t>
      </w:r>
      <w:r w:rsidRPr="00F567D1">
        <w:rPr>
          <w:i/>
        </w:rPr>
        <w:t xml:space="preserve"> </w:t>
      </w:r>
      <w:r w:rsidRPr="00F567D1">
        <w:t>Forfeiture Order, 17 FCC Rcd 22626, 22630, paras. 19</w:t>
      </w:r>
      <w:r>
        <w:t>–</w:t>
      </w:r>
      <w:r w:rsidRPr="00F567D1">
        <w:t xml:space="preserve">20 (2002) (assessing an aggregate $133,000 forfeiture irrespective of the absence of an established base forfeiture for violations of the cable signal leakage standards); </w:t>
      </w:r>
      <w:r w:rsidRPr="00F567D1">
        <w:rPr>
          <w:i/>
        </w:rPr>
        <w:t>Midwest Television, Inc.</w:t>
      </w:r>
      <w:r w:rsidRPr="00F567D1">
        <w:t>, Notice of Apparent Liability</w:t>
      </w:r>
      <w:r>
        <w:t xml:space="preserve"> for Forfeiture</w:t>
      </w:r>
      <w:r w:rsidRPr="00F567D1">
        <w:t>, 20 FCC Rcd 3959</w:t>
      </w:r>
      <w:r>
        <w:t>, 3965, para. 15</w:t>
      </w:r>
      <w:r w:rsidRPr="00F567D1">
        <w:t xml:space="preserve"> (Enf. Bur. 2005) (proposing a $20,000 forfeiture irrespective of the absence of an established base forfeiture for failure to broadcast emergency information accessible to hearing impaired viewers).  </w:t>
      </w:r>
    </w:p>
  </w:footnote>
  <w:footnote w:id="46">
    <w:p w14:paraId="669F1DB3" w14:textId="77777777" w:rsidR="00217480" w:rsidRPr="00F567D1" w:rsidRDefault="00217480" w:rsidP="00F567D1">
      <w:pPr>
        <w:pStyle w:val="FootnoteText"/>
      </w:pPr>
      <w:r w:rsidRPr="00737EC5">
        <w:rPr>
          <w:rStyle w:val="FootnoteReference"/>
          <w:sz w:val="20"/>
        </w:rPr>
        <w:footnoteRef/>
      </w:r>
      <w:r w:rsidRPr="00F567D1">
        <w:t xml:space="preserve"> </w:t>
      </w:r>
      <w:r w:rsidRPr="00F567D1">
        <w:rPr>
          <w:i/>
        </w:rPr>
        <w:t>See</w:t>
      </w:r>
      <w:r>
        <w:rPr>
          <w:i/>
        </w:rPr>
        <w:t>,</w:t>
      </w:r>
      <w:r w:rsidRPr="00F567D1">
        <w:rPr>
          <w:i/>
        </w:rPr>
        <w:t xml:space="preserve"> e.g.</w:t>
      </w:r>
      <w:r>
        <w:t>,</w:t>
      </w:r>
      <w:r w:rsidRPr="00F567D1">
        <w:t xml:space="preserve"> </w:t>
      </w:r>
      <w:r w:rsidRPr="00F567D1">
        <w:rPr>
          <w:i/>
        </w:rPr>
        <w:t>Cardinal Broadband, LLC</w:t>
      </w:r>
      <w:r w:rsidRPr="00C36CFF">
        <w:t>, Notice of Apparent Liability for Forfeiture and Order,</w:t>
      </w:r>
      <w:r w:rsidRPr="00F567D1">
        <w:rPr>
          <w:i/>
        </w:rPr>
        <w:t xml:space="preserve"> </w:t>
      </w:r>
      <w:r w:rsidRPr="00F567D1">
        <w:t>23 FCC Rcd 12224,</w:t>
      </w:r>
      <w:r w:rsidRPr="00F567D1">
        <w:rPr>
          <w:i/>
        </w:rPr>
        <w:t xml:space="preserve"> </w:t>
      </w:r>
      <w:r w:rsidRPr="00F567D1">
        <w:t>12231, para. 19 (Enf. Bur. 2008</w:t>
      </w:r>
      <w:r w:rsidRPr="00C36CFF">
        <w:t>)</w:t>
      </w:r>
      <w:r w:rsidRPr="00F567D1">
        <w:rPr>
          <w:i/>
        </w:rPr>
        <w:t xml:space="preserve"> </w:t>
      </w:r>
      <w:r w:rsidRPr="00F567D1">
        <w:t>(proposing a $25,000 forfeiture against a VoIP carrier for failing to provide 911 service) (forfeiture paid)</w:t>
      </w:r>
      <w:r>
        <w:t xml:space="preserve"> (</w:t>
      </w:r>
      <w:r>
        <w:rPr>
          <w:i/>
        </w:rPr>
        <w:t>Cardinal Broadband</w:t>
      </w:r>
      <w:r>
        <w:t>)</w:t>
      </w:r>
      <w:r w:rsidRPr="00F567D1">
        <w:t xml:space="preserve">; </w:t>
      </w:r>
      <w:r>
        <w:rPr>
          <w:i/>
        </w:rPr>
        <w:t>Dobson Cellular Sys., Inc. &amp; Am.</w:t>
      </w:r>
      <w:r w:rsidRPr="00F567D1">
        <w:rPr>
          <w:i/>
        </w:rPr>
        <w:t xml:space="preserve"> Cellular Corp</w:t>
      </w:r>
      <w:r>
        <w:rPr>
          <w:i/>
        </w:rPr>
        <w:t>.</w:t>
      </w:r>
      <w:r w:rsidRPr="00F567D1">
        <w:rPr>
          <w:iCs/>
        </w:rPr>
        <w:t xml:space="preserve">, Notice of Apparent Liability for Forfeiture, </w:t>
      </w:r>
      <w:r w:rsidRPr="00F567D1">
        <w:t>21 FCC Rcd 4684, 4707, para. 61 (2006) (proposing a total $750,000 forfeiture against two commonly-owned wireless carriers for failure to provide E911 Phase I service in response to valid</w:t>
      </w:r>
      <w:r>
        <w:t xml:space="preserve"> PSAP</w:t>
      </w:r>
      <w:r w:rsidRPr="00F567D1">
        <w:t xml:space="preserve"> requests in nine instances and failure to provide E911 Phase II service in response to valid PSAP requests in 41 instances) (subsequent history omitted); </w:t>
      </w:r>
      <w:r>
        <w:rPr>
          <w:i/>
        </w:rPr>
        <w:t>Lamar Cnty.</w:t>
      </w:r>
      <w:r w:rsidRPr="00F567D1">
        <w:rPr>
          <w:i/>
        </w:rPr>
        <w:t xml:space="preserve"> Cellular, Inc., </w:t>
      </w:r>
      <w:r w:rsidRPr="00F567D1">
        <w:t>Notice of Apparent Liability for Forfeiture, 21 FCC Rcd 4375, 4378</w:t>
      </w:r>
      <w:r>
        <w:t>–</w:t>
      </w:r>
      <w:r w:rsidRPr="00F567D1">
        <w:t>80, paras. 14</w:t>
      </w:r>
      <w:r>
        <w:t>–</w:t>
      </w:r>
      <w:r w:rsidRPr="00F567D1">
        <w:t>18 (Enf. Bur. 2006) (proposing a $12,000 forfeiture against a wireless carrier for failure to provide E911 Phase I service in response to valid PSAP request) (forfeiture paid).</w:t>
      </w:r>
    </w:p>
  </w:footnote>
  <w:footnote w:id="47">
    <w:p w14:paraId="01434C0D" w14:textId="77777777" w:rsidR="00217480" w:rsidRPr="00F567D1" w:rsidRDefault="00217480" w:rsidP="00F567D1">
      <w:pPr>
        <w:pStyle w:val="FootnoteText"/>
      </w:pPr>
      <w:r w:rsidRPr="00737EC5">
        <w:rPr>
          <w:rStyle w:val="FootnoteReference"/>
          <w:sz w:val="20"/>
        </w:rPr>
        <w:footnoteRef/>
      </w:r>
      <w:r w:rsidRPr="00F567D1">
        <w:rPr>
          <w:i/>
        </w:rPr>
        <w:t xml:space="preserve"> See Revision of the Commission’s Rules to Ensure Compatibility with Enhanced 911 Emergency Calling Systems,</w:t>
      </w:r>
      <w:r w:rsidRPr="00F567D1">
        <w:rPr>
          <w:iCs/>
        </w:rPr>
        <w:t xml:space="preserve"> Second Memorandum Opinion and Order,</w:t>
      </w:r>
      <w:r w:rsidRPr="00F567D1">
        <w:rPr>
          <w:i/>
        </w:rPr>
        <w:t xml:space="preserve"> </w:t>
      </w:r>
      <w:r>
        <w:t xml:space="preserve">14 FCC Rcd 20850 </w:t>
      </w:r>
      <w:r w:rsidRPr="00F567D1">
        <w:t xml:space="preserve">(1999), </w:t>
      </w:r>
      <w:r>
        <w:rPr>
          <w:i/>
        </w:rPr>
        <w:t>clarified</w:t>
      </w:r>
      <w:r>
        <w:t>,</w:t>
      </w:r>
      <w:r w:rsidRPr="00F567D1">
        <w:rPr>
          <w:i/>
        </w:rPr>
        <w:t xml:space="preserve"> </w:t>
      </w:r>
      <w:r>
        <w:t>Order</w:t>
      </w:r>
      <w:r w:rsidRPr="00C36CFF">
        <w:t xml:space="preserve">, </w:t>
      </w:r>
      <w:r w:rsidRPr="00F567D1">
        <w:t xml:space="preserve">16 FCC Rcd 18982 (2001); </w:t>
      </w:r>
      <w:r w:rsidRPr="00F567D1">
        <w:rPr>
          <w:i/>
        </w:rPr>
        <w:t xml:space="preserve">see also Cardinal Broadband, </w:t>
      </w:r>
      <w:r w:rsidRPr="00F567D1">
        <w:t xml:space="preserve">23 FCC Rcd at 12231, para. 19; </w:t>
      </w:r>
      <w:r>
        <w:rPr>
          <w:i/>
        </w:rPr>
        <w:t>Sprint Nextel</w:t>
      </w:r>
      <w:r w:rsidRPr="00C36CFF">
        <w:t>,</w:t>
      </w:r>
      <w:r w:rsidRPr="00F567D1">
        <w:rPr>
          <w:i/>
        </w:rPr>
        <w:t xml:space="preserve"> </w:t>
      </w:r>
      <w:r w:rsidRPr="00F567D1">
        <w:t xml:space="preserve">22 FCC Rcd at 16418, para. 10; </w:t>
      </w:r>
      <w:r w:rsidRPr="00F567D1">
        <w:rPr>
          <w:i/>
        </w:rPr>
        <w:t>T</w:t>
      </w:r>
      <w:r w:rsidRPr="00F567D1">
        <w:rPr>
          <w:i/>
          <w:iCs/>
        </w:rPr>
        <w:t>-</w:t>
      </w:r>
      <w:r w:rsidRPr="00F567D1">
        <w:rPr>
          <w:i/>
        </w:rPr>
        <w:t>Mobile USA, Inc.</w:t>
      </w:r>
      <w:r w:rsidRPr="00C36CFF">
        <w:t>,</w:t>
      </w:r>
      <w:r w:rsidRPr="00F567D1">
        <w:rPr>
          <w:iCs/>
        </w:rPr>
        <w:t xml:space="preserve"> Notice of Apparent Liability for Forfeiture,</w:t>
      </w:r>
      <w:r w:rsidRPr="00F567D1">
        <w:rPr>
          <w:i/>
        </w:rPr>
        <w:t xml:space="preserve"> </w:t>
      </w:r>
      <w:r w:rsidRPr="00F567D1">
        <w:t>18 FCC Rcd 3501, 3504, para. 7 (2003) (forfeiture paid).</w:t>
      </w:r>
    </w:p>
  </w:footnote>
  <w:footnote w:id="48">
    <w:p w14:paraId="0DC9310B" w14:textId="77777777" w:rsidR="00217480" w:rsidRPr="00F567D1" w:rsidRDefault="00217480" w:rsidP="00F567D1">
      <w:pPr>
        <w:pStyle w:val="FootnoteText"/>
      </w:pPr>
      <w:r w:rsidRPr="00737EC5">
        <w:rPr>
          <w:rStyle w:val="FootnoteReference"/>
          <w:sz w:val="20"/>
        </w:rPr>
        <w:footnoteRef/>
      </w:r>
      <w:r w:rsidRPr="00F567D1">
        <w:t xml:space="preserve"> We also find that that Hinton’s asserted efforts to inform its customers of the limitations of its 911 service do not mitigate the severity of Hinton’s apparent violation.  These efforts, while laudable, did not excuse Hinton from complying with its obligation </w:t>
      </w:r>
      <w:r w:rsidRPr="00F567D1">
        <w:rPr>
          <w:rFonts w:eastAsia="Batang"/>
        </w:rPr>
        <w:t xml:space="preserve">to transmit and route 911 dialed calls to an appropriate emergency authority.  </w:t>
      </w:r>
    </w:p>
  </w:footnote>
  <w:footnote w:id="49">
    <w:p w14:paraId="7A6B2DD0" w14:textId="77777777" w:rsidR="00217480" w:rsidRPr="00F567D1" w:rsidRDefault="00217480" w:rsidP="00F567D1">
      <w:pPr>
        <w:pStyle w:val="FootnoteText"/>
      </w:pPr>
      <w:r w:rsidRPr="00F567D1">
        <w:rPr>
          <w:rStyle w:val="FootnoteReference"/>
          <w:sz w:val="20"/>
        </w:rPr>
        <w:footnoteRef/>
      </w:r>
      <w:r w:rsidRPr="00F567D1">
        <w:t xml:space="preserve"> 47 U.S.C. § 503(b); 47 C.F.R. §§ 0.111, 0.311, 1.80.</w:t>
      </w:r>
    </w:p>
  </w:footnote>
  <w:footnote w:id="50">
    <w:p w14:paraId="7CC98074" w14:textId="77777777" w:rsidR="00217480" w:rsidRPr="00F567D1" w:rsidRDefault="00217480" w:rsidP="00F567D1">
      <w:pPr>
        <w:pStyle w:val="FootnoteText"/>
      </w:pPr>
      <w:r w:rsidRPr="00F567D1">
        <w:rPr>
          <w:rStyle w:val="FootnoteReference"/>
          <w:sz w:val="20"/>
        </w:rPr>
        <w:footnoteRef/>
      </w:r>
      <w:r w:rsidRPr="00F567D1">
        <w:t xml:space="preserve"> 47 C.F.R. §§ 64.3001, 64.3002(d).</w:t>
      </w:r>
    </w:p>
  </w:footnote>
  <w:footnote w:id="51">
    <w:p w14:paraId="5951DC59" w14:textId="77777777" w:rsidR="00217480" w:rsidRDefault="00217480">
      <w:pPr>
        <w:pStyle w:val="FootnoteText"/>
      </w:pPr>
      <w:r>
        <w:rPr>
          <w:rStyle w:val="FootnoteReference"/>
        </w:rPr>
        <w:footnoteRef/>
      </w:r>
      <w:r>
        <w:t xml:space="preserve"> 47 C.F.R. § 1.80.</w:t>
      </w:r>
    </w:p>
  </w:footnote>
  <w:footnote w:id="52">
    <w:p w14:paraId="347F2610" w14:textId="77777777" w:rsidR="00217480" w:rsidRPr="00F567D1" w:rsidRDefault="00217480" w:rsidP="00F567D1">
      <w:pPr>
        <w:pStyle w:val="FootnoteText"/>
      </w:pPr>
      <w:r w:rsidRPr="00F567D1">
        <w:rPr>
          <w:rStyle w:val="FootnoteReference"/>
          <w:sz w:val="20"/>
        </w:rPr>
        <w:footnoteRef/>
      </w:r>
      <w:r w:rsidRPr="00F567D1">
        <w:t xml:space="preserve"> </w:t>
      </w:r>
      <w:r w:rsidRPr="00F567D1">
        <w:rPr>
          <w:rFonts w:eastAsia="MS Mincho" w:cs="Arial"/>
        </w:rPr>
        <w:t>An FCC Form 159 and detailed instructions for completing the form may be obtained at http://www.fcc.gov/Forms/Form159/159.pdf.</w:t>
      </w:r>
    </w:p>
  </w:footnote>
  <w:footnote w:id="53">
    <w:p w14:paraId="0CE40497" w14:textId="77777777" w:rsidR="00217480" w:rsidRPr="007F5FE3" w:rsidRDefault="00217480">
      <w:pPr>
        <w:pStyle w:val="FootnoteText"/>
      </w:pPr>
      <w:r>
        <w:rPr>
          <w:rStyle w:val="FootnoteReference"/>
        </w:rPr>
        <w:footnoteRef/>
      </w:r>
      <w:r>
        <w:t xml:space="preserve"> </w:t>
      </w:r>
      <w:r>
        <w:rPr>
          <w:i/>
        </w:rPr>
        <w:t xml:space="preserve">See </w:t>
      </w:r>
      <w:r>
        <w:t>47 C.F.R. § 1.1914.</w:t>
      </w:r>
    </w:p>
  </w:footnote>
  <w:footnote w:id="54">
    <w:p w14:paraId="2290C0FE" w14:textId="77777777" w:rsidR="00217480" w:rsidRPr="00F567D1" w:rsidRDefault="00217480" w:rsidP="00F567D1">
      <w:pPr>
        <w:pStyle w:val="FootnoteText"/>
      </w:pPr>
      <w:r w:rsidRPr="00F567D1">
        <w:rPr>
          <w:rStyle w:val="FootnoteReference"/>
          <w:sz w:val="20"/>
        </w:rPr>
        <w:footnoteRef/>
      </w:r>
      <w:r w:rsidRPr="00F567D1">
        <w:t xml:space="preserve"> 47 C.F.R. §§ 1.16</w:t>
      </w:r>
      <w:r>
        <w:t>, 1.80(f)(3)</w:t>
      </w:r>
      <w:r w:rsidRPr="00F567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6F28" w14:textId="77777777" w:rsidR="00530AD6" w:rsidRDefault="0053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B018" w14:textId="7537D044" w:rsidR="00937F53" w:rsidRDefault="00937F53" w:rsidP="007F2D82">
    <w:pPr>
      <w:pStyle w:val="Header"/>
      <w:pBdr>
        <w:bottom w:val="none" w:sz="0" w:space="0" w:color="auto"/>
      </w:pBdr>
      <w:tabs>
        <w:tab w:val="left" w:pos="2535"/>
      </w:tabs>
      <w:rPr>
        <w:b w:val="0"/>
      </w:rPr>
    </w:pPr>
    <w:r>
      <w:rPr>
        <w:noProof/>
      </w:rPr>
      <mc:AlternateContent>
        <mc:Choice Requires="wps">
          <w:drawing>
            <wp:anchor distT="0" distB="0" distL="114300" distR="114300" simplePos="0" relativeHeight="251661312" behindDoc="1" locked="0" layoutInCell="0" allowOverlap="1" wp14:anchorId="04F26B07" wp14:editId="6300AB0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007F2D82">
      <w:tab/>
    </w:r>
    <w:r>
      <w:t>Federal Communications Commission</w:t>
    </w:r>
    <w:r>
      <w:tab/>
    </w:r>
    <w:r w:rsidRPr="00937F53">
      <w:rPr>
        <w:spacing w:val="-2"/>
      </w:rPr>
      <w:t>DA 14-1070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1AEB" w14:textId="47A783EC" w:rsidR="00937F53" w:rsidRDefault="00937F53" w:rsidP="007F2D82">
    <w:pPr>
      <w:pStyle w:val="Header"/>
      <w:pBdr>
        <w:bottom w:val="none" w:sz="0" w:space="0" w:color="auto"/>
      </w:pBdr>
      <w:rPr>
        <w:b w:val="0"/>
      </w:rPr>
    </w:pPr>
    <w:r>
      <w:rPr>
        <w:noProof/>
      </w:rPr>
      <mc:AlternateContent>
        <mc:Choice Requires="wps">
          <w:drawing>
            <wp:anchor distT="0" distB="0" distL="114300" distR="114300" simplePos="0" relativeHeight="251659264" behindDoc="1" locked="0" layoutInCell="0" allowOverlap="1" wp14:anchorId="5CDB6862" wp14:editId="68406E9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937F53">
      <w:rPr>
        <w:spacing w:val="-2"/>
      </w:rPr>
      <w:t>DA 14-1070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6">
    <w:nsid w:val="27E06CBB"/>
    <w:multiLevelType w:val="multilevel"/>
    <w:tmpl w:val="C44A07F4"/>
    <w:lvl w:ilvl="0">
      <w:start w:val="1"/>
      <w:numFmt w:val="upperRoman"/>
      <w:pStyle w:val="Heading1"/>
      <w:lvlText w:val="%1."/>
      <w:lvlJc w:val="left"/>
      <w:pPr>
        <w:tabs>
          <w:tab w:val="num" w:pos="1170"/>
        </w:tabs>
        <w:ind w:left="117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9">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61182925"/>
    <w:multiLevelType w:val="singleLevel"/>
    <w:tmpl w:val="1D78FB5E"/>
    <w:lvl w:ilvl="0">
      <w:start w:val="1"/>
      <w:numFmt w:val="decimal"/>
      <w:pStyle w:val="ParaNum"/>
      <w:lvlText w:val="%1."/>
      <w:lvlJc w:val="left"/>
      <w:pPr>
        <w:tabs>
          <w:tab w:val="num" w:pos="1080"/>
        </w:tabs>
        <w:ind w:left="0" w:firstLine="720"/>
      </w:pPr>
      <w:rPr>
        <w:rFonts w:cs="Times New Roman" w:hint="default"/>
      </w:rPr>
    </w:lvl>
  </w:abstractNum>
  <w:num w:numId="1">
    <w:abstractNumId w:val="4"/>
  </w:num>
  <w:num w:numId="2">
    <w:abstractNumId w:val="11"/>
  </w:num>
  <w:num w:numId="3">
    <w:abstractNumId w:val="6"/>
  </w:num>
  <w:num w:numId="4">
    <w:abstractNumId w:val="10"/>
  </w:num>
  <w:num w:numId="5">
    <w:abstractNumId w:val="5"/>
  </w:num>
  <w:num w:numId="6">
    <w:abstractNumId w:val="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8"/>
  </w:num>
  <w:num w:numId="14">
    <w:abstractNumId w:val="0"/>
  </w:num>
  <w:num w:numId="15">
    <w:abstractNumId w:val="7"/>
  </w:num>
  <w:num w:numId="16">
    <w:abstractNumId w:val="3"/>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lvlOverride w:ilvl="0">
      <w:startOverride w:val="1"/>
    </w:lvlOverride>
  </w:num>
  <w:num w:numId="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11BB1"/>
    <w:rsid w:val="00013186"/>
    <w:rsid w:val="00020C65"/>
    <w:rsid w:val="0002101E"/>
    <w:rsid w:val="000215D6"/>
    <w:rsid w:val="00021656"/>
    <w:rsid w:val="000259A5"/>
    <w:rsid w:val="000332CB"/>
    <w:rsid w:val="00050044"/>
    <w:rsid w:val="00053398"/>
    <w:rsid w:val="00055084"/>
    <w:rsid w:val="00065EA6"/>
    <w:rsid w:val="00073ABE"/>
    <w:rsid w:val="0008368E"/>
    <w:rsid w:val="00086EB3"/>
    <w:rsid w:val="00087B46"/>
    <w:rsid w:val="000908EC"/>
    <w:rsid w:val="00090B6C"/>
    <w:rsid w:val="0009421C"/>
    <w:rsid w:val="000947AC"/>
    <w:rsid w:val="00097657"/>
    <w:rsid w:val="000A0E43"/>
    <w:rsid w:val="000A2C67"/>
    <w:rsid w:val="000B32FA"/>
    <w:rsid w:val="000B3584"/>
    <w:rsid w:val="000B3A00"/>
    <w:rsid w:val="000B451D"/>
    <w:rsid w:val="000B45F3"/>
    <w:rsid w:val="000C31C7"/>
    <w:rsid w:val="000C577B"/>
    <w:rsid w:val="000C7E0A"/>
    <w:rsid w:val="000D1C33"/>
    <w:rsid w:val="000D661B"/>
    <w:rsid w:val="000D707C"/>
    <w:rsid w:val="000F4334"/>
    <w:rsid w:val="000F6ACD"/>
    <w:rsid w:val="000F6F8D"/>
    <w:rsid w:val="0010184C"/>
    <w:rsid w:val="00111B93"/>
    <w:rsid w:val="00114B94"/>
    <w:rsid w:val="00115943"/>
    <w:rsid w:val="0012315C"/>
    <w:rsid w:val="001243E6"/>
    <w:rsid w:val="00134FA2"/>
    <w:rsid w:val="001351A5"/>
    <w:rsid w:val="00144319"/>
    <w:rsid w:val="0014445F"/>
    <w:rsid w:val="00144EE8"/>
    <w:rsid w:val="001455F1"/>
    <w:rsid w:val="0015011B"/>
    <w:rsid w:val="00152C61"/>
    <w:rsid w:val="00155768"/>
    <w:rsid w:val="00163E67"/>
    <w:rsid w:val="00190165"/>
    <w:rsid w:val="001922CC"/>
    <w:rsid w:val="001A26D0"/>
    <w:rsid w:val="001B48F3"/>
    <w:rsid w:val="001B510C"/>
    <w:rsid w:val="001C0BD6"/>
    <w:rsid w:val="001C25C3"/>
    <w:rsid w:val="001C42B3"/>
    <w:rsid w:val="001D0C2B"/>
    <w:rsid w:val="001D1A87"/>
    <w:rsid w:val="001D2F54"/>
    <w:rsid w:val="001D4F07"/>
    <w:rsid w:val="001E0B6C"/>
    <w:rsid w:val="001E7118"/>
    <w:rsid w:val="001F0284"/>
    <w:rsid w:val="001F352B"/>
    <w:rsid w:val="001F7974"/>
    <w:rsid w:val="00204618"/>
    <w:rsid w:val="00205477"/>
    <w:rsid w:val="00207895"/>
    <w:rsid w:val="002114A7"/>
    <w:rsid w:val="00217480"/>
    <w:rsid w:val="0022758E"/>
    <w:rsid w:val="002314D6"/>
    <w:rsid w:val="002364D1"/>
    <w:rsid w:val="00245B3F"/>
    <w:rsid w:val="00256304"/>
    <w:rsid w:val="00265835"/>
    <w:rsid w:val="00271E1D"/>
    <w:rsid w:val="00280BDE"/>
    <w:rsid w:val="00293AFA"/>
    <w:rsid w:val="00297134"/>
    <w:rsid w:val="002A1F92"/>
    <w:rsid w:val="002B1039"/>
    <w:rsid w:val="002B37EC"/>
    <w:rsid w:val="002C2645"/>
    <w:rsid w:val="002C47EF"/>
    <w:rsid w:val="002C6D0A"/>
    <w:rsid w:val="002D1D6F"/>
    <w:rsid w:val="002D68C8"/>
    <w:rsid w:val="002D6BE6"/>
    <w:rsid w:val="002E4B8E"/>
    <w:rsid w:val="002F36A5"/>
    <w:rsid w:val="00300039"/>
    <w:rsid w:val="00300476"/>
    <w:rsid w:val="00302CEA"/>
    <w:rsid w:val="003105B2"/>
    <w:rsid w:val="0031090B"/>
    <w:rsid w:val="00313091"/>
    <w:rsid w:val="003177FD"/>
    <w:rsid w:val="00326D80"/>
    <w:rsid w:val="0033740A"/>
    <w:rsid w:val="003405A9"/>
    <w:rsid w:val="00344FE6"/>
    <w:rsid w:val="00347D7A"/>
    <w:rsid w:val="0035001B"/>
    <w:rsid w:val="00352C1E"/>
    <w:rsid w:val="0035396C"/>
    <w:rsid w:val="00357D4B"/>
    <w:rsid w:val="00367C39"/>
    <w:rsid w:val="00372820"/>
    <w:rsid w:val="00374B5E"/>
    <w:rsid w:val="00380FDC"/>
    <w:rsid w:val="003879B8"/>
    <w:rsid w:val="00390A11"/>
    <w:rsid w:val="00391F9A"/>
    <w:rsid w:val="00395695"/>
    <w:rsid w:val="003A4D2C"/>
    <w:rsid w:val="003B1018"/>
    <w:rsid w:val="003B48BE"/>
    <w:rsid w:val="003B588E"/>
    <w:rsid w:val="003C656E"/>
    <w:rsid w:val="003D32CC"/>
    <w:rsid w:val="00400E84"/>
    <w:rsid w:val="0040386D"/>
    <w:rsid w:val="00404DF2"/>
    <w:rsid w:val="00406A60"/>
    <w:rsid w:val="00407A30"/>
    <w:rsid w:val="00413288"/>
    <w:rsid w:val="004147CE"/>
    <w:rsid w:val="0041497D"/>
    <w:rsid w:val="004172B4"/>
    <w:rsid w:val="0042029D"/>
    <w:rsid w:val="00420D95"/>
    <w:rsid w:val="00422755"/>
    <w:rsid w:val="00423466"/>
    <w:rsid w:val="00424DD5"/>
    <w:rsid w:val="00426BBD"/>
    <w:rsid w:val="004300AD"/>
    <w:rsid w:val="00441383"/>
    <w:rsid w:val="00445310"/>
    <w:rsid w:val="0045278F"/>
    <w:rsid w:val="00453EEF"/>
    <w:rsid w:val="00456136"/>
    <w:rsid w:val="00457472"/>
    <w:rsid w:val="004834BC"/>
    <w:rsid w:val="004918C2"/>
    <w:rsid w:val="00494130"/>
    <w:rsid w:val="00495FE8"/>
    <w:rsid w:val="004A6DEC"/>
    <w:rsid w:val="004B021A"/>
    <w:rsid w:val="004B22DB"/>
    <w:rsid w:val="004B3719"/>
    <w:rsid w:val="004B49A4"/>
    <w:rsid w:val="004C1181"/>
    <w:rsid w:val="004C1D60"/>
    <w:rsid w:val="004C33EC"/>
    <w:rsid w:val="004D1009"/>
    <w:rsid w:val="004D478D"/>
    <w:rsid w:val="004D50F4"/>
    <w:rsid w:val="004E2738"/>
    <w:rsid w:val="004E54D5"/>
    <w:rsid w:val="004E701D"/>
    <w:rsid w:val="004F46B8"/>
    <w:rsid w:val="004F5F28"/>
    <w:rsid w:val="004F60A8"/>
    <w:rsid w:val="004F7518"/>
    <w:rsid w:val="004F7E13"/>
    <w:rsid w:val="00503758"/>
    <w:rsid w:val="00506F9E"/>
    <w:rsid w:val="005112EE"/>
    <w:rsid w:val="005247A9"/>
    <w:rsid w:val="00525619"/>
    <w:rsid w:val="005300ED"/>
    <w:rsid w:val="00530AD6"/>
    <w:rsid w:val="00533745"/>
    <w:rsid w:val="00541001"/>
    <w:rsid w:val="00556FFF"/>
    <w:rsid w:val="00566709"/>
    <w:rsid w:val="00570F3C"/>
    <w:rsid w:val="005723A7"/>
    <w:rsid w:val="00572C7C"/>
    <w:rsid w:val="00573BA7"/>
    <w:rsid w:val="00575B3A"/>
    <w:rsid w:val="00580608"/>
    <w:rsid w:val="00581E32"/>
    <w:rsid w:val="00584088"/>
    <w:rsid w:val="00586733"/>
    <w:rsid w:val="00595225"/>
    <w:rsid w:val="00596126"/>
    <w:rsid w:val="00596E11"/>
    <w:rsid w:val="005A057C"/>
    <w:rsid w:val="005A0C50"/>
    <w:rsid w:val="005A2C2D"/>
    <w:rsid w:val="005B54D6"/>
    <w:rsid w:val="005C6109"/>
    <w:rsid w:val="005D11E5"/>
    <w:rsid w:val="005D6161"/>
    <w:rsid w:val="005E266E"/>
    <w:rsid w:val="005E4E7A"/>
    <w:rsid w:val="005E7AFA"/>
    <w:rsid w:val="005F3617"/>
    <w:rsid w:val="005F553C"/>
    <w:rsid w:val="005F66F2"/>
    <w:rsid w:val="00601769"/>
    <w:rsid w:val="006057B0"/>
    <w:rsid w:val="00606758"/>
    <w:rsid w:val="0061240F"/>
    <w:rsid w:val="0061580E"/>
    <w:rsid w:val="0062014B"/>
    <w:rsid w:val="00621F3D"/>
    <w:rsid w:val="006253CE"/>
    <w:rsid w:val="00630E8D"/>
    <w:rsid w:val="00631E86"/>
    <w:rsid w:val="00637337"/>
    <w:rsid w:val="00640CB5"/>
    <w:rsid w:val="00641289"/>
    <w:rsid w:val="0064233F"/>
    <w:rsid w:val="00643A6A"/>
    <w:rsid w:val="0064730E"/>
    <w:rsid w:val="006473F8"/>
    <w:rsid w:val="0065638E"/>
    <w:rsid w:val="00660D9A"/>
    <w:rsid w:val="00666061"/>
    <w:rsid w:val="00675ABA"/>
    <w:rsid w:val="00682992"/>
    <w:rsid w:val="00683A50"/>
    <w:rsid w:val="006856CD"/>
    <w:rsid w:val="006869A3"/>
    <w:rsid w:val="006877FF"/>
    <w:rsid w:val="00687C1D"/>
    <w:rsid w:val="00696116"/>
    <w:rsid w:val="006B06A6"/>
    <w:rsid w:val="006B1466"/>
    <w:rsid w:val="006C2D01"/>
    <w:rsid w:val="006C39A1"/>
    <w:rsid w:val="006C7D82"/>
    <w:rsid w:val="006D30FD"/>
    <w:rsid w:val="006E3360"/>
    <w:rsid w:val="006E60DE"/>
    <w:rsid w:val="006F7003"/>
    <w:rsid w:val="007035B0"/>
    <w:rsid w:val="00703DD5"/>
    <w:rsid w:val="00713FA5"/>
    <w:rsid w:val="00716727"/>
    <w:rsid w:val="007201C5"/>
    <w:rsid w:val="00723D9F"/>
    <w:rsid w:val="00723F94"/>
    <w:rsid w:val="00724859"/>
    <w:rsid w:val="007257A2"/>
    <w:rsid w:val="00726111"/>
    <w:rsid w:val="00734DDA"/>
    <w:rsid w:val="00735B4A"/>
    <w:rsid w:val="00736C13"/>
    <w:rsid w:val="00737EC5"/>
    <w:rsid w:val="00740BAB"/>
    <w:rsid w:val="007439E7"/>
    <w:rsid w:val="007474CD"/>
    <w:rsid w:val="0075569F"/>
    <w:rsid w:val="00755E39"/>
    <w:rsid w:val="007565A7"/>
    <w:rsid w:val="00761432"/>
    <w:rsid w:val="00770CC9"/>
    <w:rsid w:val="007777B2"/>
    <w:rsid w:val="007838D3"/>
    <w:rsid w:val="0078533C"/>
    <w:rsid w:val="0079037D"/>
    <w:rsid w:val="0079098B"/>
    <w:rsid w:val="00792883"/>
    <w:rsid w:val="00792AC7"/>
    <w:rsid w:val="007961BB"/>
    <w:rsid w:val="00797481"/>
    <w:rsid w:val="007977E5"/>
    <w:rsid w:val="007A03BD"/>
    <w:rsid w:val="007A531C"/>
    <w:rsid w:val="007A795D"/>
    <w:rsid w:val="007B6765"/>
    <w:rsid w:val="007B6AFE"/>
    <w:rsid w:val="007C085A"/>
    <w:rsid w:val="007C0A74"/>
    <w:rsid w:val="007C4586"/>
    <w:rsid w:val="007C5ABF"/>
    <w:rsid w:val="007C5E69"/>
    <w:rsid w:val="007D0F41"/>
    <w:rsid w:val="007D57AE"/>
    <w:rsid w:val="007E182F"/>
    <w:rsid w:val="007E524A"/>
    <w:rsid w:val="007F2D82"/>
    <w:rsid w:val="007F325D"/>
    <w:rsid w:val="007F5FE3"/>
    <w:rsid w:val="007F67DB"/>
    <w:rsid w:val="007F792D"/>
    <w:rsid w:val="008016C8"/>
    <w:rsid w:val="0081406A"/>
    <w:rsid w:val="008142D6"/>
    <w:rsid w:val="00814308"/>
    <w:rsid w:val="00814E86"/>
    <w:rsid w:val="00821F5E"/>
    <w:rsid w:val="0082356E"/>
    <w:rsid w:val="00830DDA"/>
    <w:rsid w:val="0083256F"/>
    <w:rsid w:val="00833DDF"/>
    <w:rsid w:val="00844370"/>
    <w:rsid w:val="00844E4D"/>
    <w:rsid w:val="00861522"/>
    <w:rsid w:val="0086208B"/>
    <w:rsid w:val="008629ED"/>
    <w:rsid w:val="00874CFC"/>
    <w:rsid w:val="008754AA"/>
    <w:rsid w:val="00875D63"/>
    <w:rsid w:val="008769E5"/>
    <w:rsid w:val="00876D17"/>
    <w:rsid w:val="00877FCC"/>
    <w:rsid w:val="008825D0"/>
    <w:rsid w:val="00882EF6"/>
    <w:rsid w:val="008832AF"/>
    <w:rsid w:val="00885C35"/>
    <w:rsid w:val="008A2EBD"/>
    <w:rsid w:val="008A3068"/>
    <w:rsid w:val="008A744A"/>
    <w:rsid w:val="008B06D1"/>
    <w:rsid w:val="008B098B"/>
    <w:rsid w:val="008B3A60"/>
    <w:rsid w:val="008C2F8E"/>
    <w:rsid w:val="008C51C4"/>
    <w:rsid w:val="008C770D"/>
    <w:rsid w:val="008D3329"/>
    <w:rsid w:val="008D49CD"/>
    <w:rsid w:val="008E4D9E"/>
    <w:rsid w:val="008F2C30"/>
    <w:rsid w:val="008F31D5"/>
    <w:rsid w:val="008F33F7"/>
    <w:rsid w:val="008F47EA"/>
    <w:rsid w:val="00900F1A"/>
    <w:rsid w:val="00901467"/>
    <w:rsid w:val="00901AC8"/>
    <w:rsid w:val="00901FCB"/>
    <w:rsid w:val="009024F0"/>
    <w:rsid w:val="00903078"/>
    <w:rsid w:val="009072A6"/>
    <w:rsid w:val="00907E6B"/>
    <w:rsid w:val="009112E0"/>
    <w:rsid w:val="0091402B"/>
    <w:rsid w:val="009167FE"/>
    <w:rsid w:val="00927625"/>
    <w:rsid w:val="00937F53"/>
    <w:rsid w:val="009409C6"/>
    <w:rsid w:val="009435AB"/>
    <w:rsid w:val="00953FD5"/>
    <w:rsid w:val="009540E2"/>
    <w:rsid w:val="0096214F"/>
    <w:rsid w:val="00963A39"/>
    <w:rsid w:val="00965FCB"/>
    <w:rsid w:val="00966F14"/>
    <w:rsid w:val="00974D20"/>
    <w:rsid w:val="00982337"/>
    <w:rsid w:val="00983442"/>
    <w:rsid w:val="009848DA"/>
    <w:rsid w:val="00987C98"/>
    <w:rsid w:val="0099146C"/>
    <w:rsid w:val="009963B6"/>
    <w:rsid w:val="0099698F"/>
    <w:rsid w:val="0099700A"/>
    <w:rsid w:val="009A0259"/>
    <w:rsid w:val="009A0331"/>
    <w:rsid w:val="009A7D8C"/>
    <w:rsid w:val="009B3E75"/>
    <w:rsid w:val="009C6E79"/>
    <w:rsid w:val="009D0FD7"/>
    <w:rsid w:val="009D1B0B"/>
    <w:rsid w:val="009D24B4"/>
    <w:rsid w:val="009D2D85"/>
    <w:rsid w:val="009D3652"/>
    <w:rsid w:val="009D4A7E"/>
    <w:rsid w:val="009E5647"/>
    <w:rsid w:val="009F07E1"/>
    <w:rsid w:val="009F2F6C"/>
    <w:rsid w:val="009F5915"/>
    <w:rsid w:val="00A011BF"/>
    <w:rsid w:val="00A05CAF"/>
    <w:rsid w:val="00A05CE4"/>
    <w:rsid w:val="00A065DD"/>
    <w:rsid w:val="00A10204"/>
    <w:rsid w:val="00A3775D"/>
    <w:rsid w:val="00A458D2"/>
    <w:rsid w:val="00A5739D"/>
    <w:rsid w:val="00A6036D"/>
    <w:rsid w:val="00A63760"/>
    <w:rsid w:val="00A769F0"/>
    <w:rsid w:val="00A77F89"/>
    <w:rsid w:val="00A81965"/>
    <w:rsid w:val="00A81AEE"/>
    <w:rsid w:val="00A81F0E"/>
    <w:rsid w:val="00A87F24"/>
    <w:rsid w:val="00A90786"/>
    <w:rsid w:val="00A91F20"/>
    <w:rsid w:val="00A94A67"/>
    <w:rsid w:val="00AA1775"/>
    <w:rsid w:val="00AA2313"/>
    <w:rsid w:val="00AA58DB"/>
    <w:rsid w:val="00AB0863"/>
    <w:rsid w:val="00AB2DA6"/>
    <w:rsid w:val="00AC4C54"/>
    <w:rsid w:val="00AC78C9"/>
    <w:rsid w:val="00AD3942"/>
    <w:rsid w:val="00AE27F9"/>
    <w:rsid w:val="00AE6BC1"/>
    <w:rsid w:val="00AE6BEF"/>
    <w:rsid w:val="00AF08E4"/>
    <w:rsid w:val="00AF1526"/>
    <w:rsid w:val="00AF3775"/>
    <w:rsid w:val="00AF7B9B"/>
    <w:rsid w:val="00B13BEA"/>
    <w:rsid w:val="00B16EAF"/>
    <w:rsid w:val="00B174F5"/>
    <w:rsid w:val="00B206C9"/>
    <w:rsid w:val="00B218FF"/>
    <w:rsid w:val="00B21CA3"/>
    <w:rsid w:val="00B25031"/>
    <w:rsid w:val="00B45335"/>
    <w:rsid w:val="00B45620"/>
    <w:rsid w:val="00B476A3"/>
    <w:rsid w:val="00B52AB5"/>
    <w:rsid w:val="00B54F6D"/>
    <w:rsid w:val="00B55230"/>
    <w:rsid w:val="00B60734"/>
    <w:rsid w:val="00B62D3A"/>
    <w:rsid w:val="00B66A50"/>
    <w:rsid w:val="00B66A73"/>
    <w:rsid w:val="00B7749B"/>
    <w:rsid w:val="00B8280E"/>
    <w:rsid w:val="00B84D25"/>
    <w:rsid w:val="00B84F93"/>
    <w:rsid w:val="00B873EC"/>
    <w:rsid w:val="00B87EA3"/>
    <w:rsid w:val="00B904DA"/>
    <w:rsid w:val="00B96FB3"/>
    <w:rsid w:val="00B974A2"/>
    <w:rsid w:val="00BA726E"/>
    <w:rsid w:val="00BB031A"/>
    <w:rsid w:val="00BC6C2C"/>
    <w:rsid w:val="00BD04A4"/>
    <w:rsid w:val="00BD32EA"/>
    <w:rsid w:val="00BD6AFA"/>
    <w:rsid w:val="00BE00B7"/>
    <w:rsid w:val="00BE04CC"/>
    <w:rsid w:val="00BF5B46"/>
    <w:rsid w:val="00BF6B2B"/>
    <w:rsid w:val="00BF7FFA"/>
    <w:rsid w:val="00C033EA"/>
    <w:rsid w:val="00C11811"/>
    <w:rsid w:val="00C15B3D"/>
    <w:rsid w:val="00C21F80"/>
    <w:rsid w:val="00C232FF"/>
    <w:rsid w:val="00C267B7"/>
    <w:rsid w:val="00C36CFF"/>
    <w:rsid w:val="00C432E1"/>
    <w:rsid w:val="00C447F0"/>
    <w:rsid w:val="00C521EC"/>
    <w:rsid w:val="00C53141"/>
    <w:rsid w:val="00C60D40"/>
    <w:rsid w:val="00C63831"/>
    <w:rsid w:val="00C63BE6"/>
    <w:rsid w:val="00C6470B"/>
    <w:rsid w:val="00C72CC6"/>
    <w:rsid w:val="00C747DE"/>
    <w:rsid w:val="00C76138"/>
    <w:rsid w:val="00C76495"/>
    <w:rsid w:val="00C77519"/>
    <w:rsid w:val="00C80CC5"/>
    <w:rsid w:val="00C815C1"/>
    <w:rsid w:val="00C85F9E"/>
    <w:rsid w:val="00C96019"/>
    <w:rsid w:val="00C97255"/>
    <w:rsid w:val="00CA33B0"/>
    <w:rsid w:val="00CA49C3"/>
    <w:rsid w:val="00CA550D"/>
    <w:rsid w:val="00CA605D"/>
    <w:rsid w:val="00CB0392"/>
    <w:rsid w:val="00CC10D9"/>
    <w:rsid w:val="00CC265B"/>
    <w:rsid w:val="00CC2CBD"/>
    <w:rsid w:val="00CC35DB"/>
    <w:rsid w:val="00CC49E6"/>
    <w:rsid w:val="00CD4E90"/>
    <w:rsid w:val="00CD4FB9"/>
    <w:rsid w:val="00CD5FC6"/>
    <w:rsid w:val="00CE1BCC"/>
    <w:rsid w:val="00CE22E0"/>
    <w:rsid w:val="00CE58EE"/>
    <w:rsid w:val="00CE61B8"/>
    <w:rsid w:val="00CE7790"/>
    <w:rsid w:val="00CF0D18"/>
    <w:rsid w:val="00D05197"/>
    <w:rsid w:val="00D21D5A"/>
    <w:rsid w:val="00D3760F"/>
    <w:rsid w:val="00D378B3"/>
    <w:rsid w:val="00D4377B"/>
    <w:rsid w:val="00D606F2"/>
    <w:rsid w:val="00D739AD"/>
    <w:rsid w:val="00D73E66"/>
    <w:rsid w:val="00D81B68"/>
    <w:rsid w:val="00D87B3F"/>
    <w:rsid w:val="00D949C3"/>
    <w:rsid w:val="00D962F9"/>
    <w:rsid w:val="00DA3383"/>
    <w:rsid w:val="00DA5B81"/>
    <w:rsid w:val="00DA629B"/>
    <w:rsid w:val="00DB1F6D"/>
    <w:rsid w:val="00DB3EB0"/>
    <w:rsid w:val="00DC39B8"/>
    <w:rsid w:val="00DD37DF"/>
    <w:rsid w:val="00DD410B"/>
    <w:rsid w:val="00DD52FA"/>
    <w:rsid w:val="00DD72D1"/>
    <w:rsid w:val="00DF6932"/>
    <w:rsid w:val="00E11485"/>
    <w:rsid w:val="00E1265A"/>
    <w:rsid w:val="00E15E03"/>
    <w:rsid w:val="00E20AC2"/>
    <w:rsid w:val="00E26528"/>
    <w:rsid w:val="00E54F02"/>
    <w:rsid w:val="00E81AC8"/>
    <w:rsid w:val="00E8324B"/>
    <w:rsid w:val="00E91A1F"/>
    <w:rsid w:val="00EA471F"/>
    <w:rsid w:val="00EA6F7B"/>
    <w:rsid w:val="00EB40BF"/>
    <w:rsid w:val="00EC1BD5"/>
    <w:rsid w:val="00EC4A67"/>
    <w:rsid w:val="00EC68DE"/>
    <w:rsid w:val="00EC7846"/>
    <w:rsid w:val="00EC7CE0"/>
    <w:rsid w:val="00ED00F4"/>
    <w:rsid w:val="00ED0CB0"/>
    <w:rsid w:val="00ED1FBB"/>
    <w:rsid w:val="00ED37A1"/>
    <w:rsid w:val="00ED4B01"/>
    <w:rsid w:val="00EE40ED"/>
    <w:rsid w:val="00EF2255"/>
    <w:rsid w:val="00EF525C"/>
    <w:rsid w:val="00EF5982"/>
    <w:rsid w:val="00EF5C98"/>
    <w:rsid w:val="00EF6256"/>
    <w:rsid w:val="00EF70C9"/>
    <w:rsid w:val="00EF735E"/>
    <w:rsid w:val="00EF7922"/>
    <w:rsid w:val="00F05E57"/>
    <w:rsid w:val="00F130CC"/>
    <w:rsid w:val="00F169F4"/>
    <w:rsid w:val="00F20957"/>
    <w:rsid w:val="00F21BB8"/>
    <w:rsid w:val="00F37378"/>
    <w:rsid w:val="00F3769B"/>
    <w:rsid w:val="00F43AC0"/>
    <w:rsid w:val="00F4464F"/>
    <w:rsid w:val="00F47101"/>
    <w:rsid w:val="00F4752A"/>
    <w:rsid w:val="00F567D1"/>
    <w:rsid w:val="00F5728D"/>
    <w:rsid w:val="00F63988"/>
    <w:rsid w:val="00F6750F"/>
    <w:rsid w:val="00F6764D"/>
    <w:rsid w:val="00F74194"/>
    <w:rsid w:val="00F742D3"/>
    <w:rsid w:val="00F80020"/>
    <w:rsid w:val="00F803AD"/>
    <w:rsid w:val="00F86636"/>
    <w:rsid w:val="00F901E4"/>
    <w:rsid w:val="00F94105"/>
    <w:rsid w:val="00FA06F5"/>
    <w:rsid w:val="00FA2F3A"/>
    <w:rsid w:val="00FA55FC"/>
    <w:rsid w:val="00FA74CC"/>
    <w:rsid w:val="00FB20B8"/>
    <w:rsid w:val="00FB258B"/>
    <w:rsid w:val="00FB3483"/>
    <w:rsid w:val="00FC4721"/>
    <w:rsid w:val="00FC7FBE"/>
    <w:rsid w:val="00FD1D8F"/>
    <w:rsid w:val="00FD2F50"/>
    <w:rsid w:val="00FE1DC9"/>
    <w:rsid w:val="00FE50B0"/>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4F02"/>
    <w:pPr>
      <w:widowControl w:val="0"/>
    </w:pPr>
    <w:rPr>
      <w:kern w:val="28"/>
      <w:szCs w:val="20"/>
    </w:rPr>
  </w:style>
  <w:style w:type="paragraph" w:styleId="Heading1">
    <w:name w:val="heading 1"/>
    <w:basedOn w:val="Normal"/>
    <w:next w:val="ParaNum"/>
    <w:link w:val="Heading1Char"/>
    <w:uiPriority w:val="99"/>
    <w:qFormat/>
    <w:rsid w:val="009D2D85"/>
    <w:pPr>
      <w:keepNext/>
      <w:numPr>
        <w:numId w:val="3"/>
      </w:numPr>
      <w:tabs>
        <w:tab w:val="left" w:pos="720"/>
      </w:tabs>
      <w:suppressAutoHyphens/>
      <w:spacing w:after="120"/>
      <w:outlineLvl w:val="0"/>
    </w:pPr>
    <w:rPr>
      <w:rFonts w:ascii="Cambria" w:hAnsi="Cambria"/>
      <w:b/>
      <w:bCs/>
      <w:kern w:val="32"/>
      <w:sz w:val="32"/>
      <w:szCs w:val="32"/>
    </w:rPr>
  </w:style>
  <w:style w:type="paragraph" w:styleId="Heading2">
    <w:name w:val="heading 2"/>
    <w:basedOn w:val="Normal"/>
    <w:next w:val="ParaNum"/>
    <w:link w:val="Heading2Char"/>
    <w:autoRedefine/>
    <w:uiPriority w:val="99"/>
    <w:qFormat/>
    <w:rsid w:val="009D2D85"/>
    <w:pPr>
      <w:keepNext/>
      <w:widowControl/>
      <w:numPr>
        <w:ilvl w:val="1"/>
        <w:numId w:val="3"/>
      </w:numPr>
      <w:spacing w:before="220" w:after="220"/>
      <w:outlineLvl w:val="1"/>
    </w:pPr>
    <w:rPr>
      <w:rFonts w:ascii="Cambria" w:hAnsi="Cambria"/>
      <w:b/>
      <w:bCs/>
      <w:i/>
      <w:iCs/>
      <w:sz w:val="28"/>
      <w:szCs w:val="28"/>
    </w:rPr>
  </w:style>
  <w:style w:type="paragraph" w:styleId="Heading3">
    <w:name w:val="heading 3"/>
    <w:basedOn w:val="Normal"/>
    <w:next w:val="ParaNum"/>
    <w:link w:val="Heading3Char"/>
    <w:uiPriority w:val="99"/>
    <w:qFormat/>
    <w:rsid w:val="009D2D85"/>
    <w:pPr>
      <w:keepNext/>
      <w:numPr>
        <w:ilvl w:val="2"/>
        <w:numId w:val="3"/>
      </w:numPr>
      <w:tabs>
        <w:tab w:val="left" w:pos="2160"/>
      </w:tabs>
      <w:spacing w:after="120"/>
      <w:outlineLvl w:val="2"/>
    </w:pPr>
    <w:rPr>
      <w:rFonts w:ascii="Cambria" w:hAnsi="Cambria"/>
      <w:b/>
      <w:bCs/>
      <w:sz w:val="26"/>
      <w:szCs w:val="26"/>
    </w:rPr>
  </w:style>
  <w:style w:type="paragraph" w:styleId="Heading4">
    <w:name w:val="heading 4"/>
    <w:basedOn w:val="Normal"/>
    <w:next w:val="ParaNum"/>
    <w:link w:val="Heading4Char"/>
    <w:uiPriority w:val="99"/>
    <w:qFormat/>
    <w:rsid w:val="009D2D85"/>
    <w:pPr>
      <w:keepNext/>
      <w:numPr>
        <w:ilvl w:val="3"/>
        <w:numId w:val="3"/>
      </w:numPr>
      <w:tabs>
        <w:tab w:val="left" w:pos="2880"/>
      </w:tabs>
      <w:spacing w:after="120"/>
      <w:outlineLvl w:val="3"/>
    </w:pPr>
    <w:rPr>
      <w:rFonts w:ascii="Calibri" w:hAnsi="Calibri"/>
      <w:b/>
      <w:bCs/>
      <w:sz w:val="28"/>
      <w:szCs w:val="28"/>
    </w:rPr>
  </w:style>
  <w:style w:type="paragraph" w:styleId="Heading5">
    <w:name w:val="heading 5"/>
    <w:basedOn w:val="Normal"/>
    <w:next w:val="ParaNum"/>
    <w:link w:val="Heading5Char"/>
    <w:uiPriority w:val="99"/>
    <w:qFormat/>
    <w:rsid w:val="009D2D85"/>
    <w:pPr>
      <w:keepNext/>
      <w:numPr>
        <w:ilvl w:val="4"/>
        <w:numId w:val="3"/>
      </w:numPr>
      <w:tabs>
        <w:tab w:val="left" w:pos="3600"/>
      </w:tabs>
      <w:suppressAutoHyphens/>
      <w:spacing w:after="120"/>
      <w:outlineLvl w:val="4"/>
    </w:pPr>
    <w:rPr>
      <w:rFonts w:ascii="Calibri" w:hAnsi="Calibri"/>
      <w:b/>
      <w:bCs/>
      <w:i/>
      <w:iCs/>
      <w:sz w:val="26"/>
      <w:szCs w:val="26"/>
    </w:rPr>
  </w:style>
  <w:style w:type="paragraph" w:styleId="Heading6">
    <w:name w:val="heading 6"/>
    <w:basedOn w:val="Normal"/>
    <w:next w:val="ParaNum"/>
    <w:link w:val="Heading6Char"/>
    <w:uiPriority w:val="99"/>
    <w:qFormat/>
    <w:rsid w:val="009D2D85"/>
    <w:pPr>
      <w:numPr>
        <w:ilvl w:val="5"/>
        <w:numId w:val="3"/>
      </w:numPr>
      <w:tabs>
        <w:tab w:val="left" w:pos="4320"/>
      </w:tabs>
      <w:spacing w:after="120"/>
      <w:outlineLvl w:val="5"/>
    </w:pPr>
    <w:rPr>
      <w:rFonts w:ascii="Calibri" w:hAnsi="Calibri"/>
      <w:b/>
      <w:bCs/>
      <w:sz w:val="20"/>
    </w:rPr>
  </w:style>
  <w:style w:type="paragraph" w:styleId="Heading7">
    <w:name w:val="heading 7"/>
    <w:basedOn w:val="Normal"/>
    <w:next w:val="ParaNum"/>
    <w:link w:val="Heading7Char"/>
    <w:uiPriority w:val="99"/>
    <w:qFormat/>
    <w:rsid w:val="009D2D85"/>
    <w:pPr>
      <w:numPr>
        <w:ilvl w:val="6"/>
        <w:numId w:val="3"/>
      </w:numPr>
      <w:tabs>
        <w:tab w:val="left" w:pos="5040"/>
      </w:tabs>
      <w:spacing w:after="120"/>
      <w:ind w:left="5040" w:hanging="720"/>
      <w:outlineLvl w:val="6"/>
    </w:pPr>
    <w:rPr>
      <w:rFonts w:ascii="Calibri" w:hAnsi="Calibri"/>
      <w:sz w:val="24"/>
      <w:szCs w:val="24"/>
    </w:rPr>
  </w:style>
  <w:style w:type="paragraph" w:styleId="Heading8">
    <w:name w:val="heading 8"/>
    <w:basedOn w:val="Normal"/>
    <w:next w:val="ParaNum"/>
    <w:link w:val="Heading8Char"/>
    <w:uiPriority w:val="99"/>
    <w:qFormat/>
    <w:rsid w:val="009D2D85"/>
    <w:pPr>
      <w:numPr>
        <w:ilvl w:val="7"/>
        <w:numId w:val="3"/>
      </w:numPr>
      <w:tabs>
        <w:tab w:val="clear" w:pos="5400"/>
        <w:tab w:val="left" w:pos="5760"/>
      </w:tabs>
      <w:spacing w:after="120"/>
      <w:ind w:left="5760" w:hanging="720"/>
      <w:outlineLvl w:val="7"/>
    </w:pPr>
    <w:rPr>
      <w:rFonts w:ascii="Calibri" w:hAnsi="Calibri"/>
      <w:i/>
      <w:iCs/>
      <w:sz w:val="24"/>
      <w:szCs w:val="24"/>
    </w:rPr>
  </w:style>
  <w:style w:type="paragraph" w:styleId="Heading9">
    <w:name w:val="heading 9"/>
    <w:basedOn w:val="Normal"/>
    <w:next w:val="ParaNum"/>
    <w:link w:val="Heading9Char"/>
    <w:uiPriority w:val="99"/>
    <w:qFormat/>
    <w:rsid w:val="009D2D85"/>
    <w:pPr>
      <w:numPr>
        <w:ilvl w:val="8"/>
        <w:numId w:val="3"/>
      </w:numPr>
      <w:tabs>
        <w:tab w:val="clear" w:pos="6120"/>
        <w:tab w:val="left" w:pos="6480"/>
      </w:tabs>
      <w:spacing w:after="120"/>
      <w:ind w:left="6480" w:hanging="7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E6B"/>
    <w:rPr>
      <w:rFonts w:ascii="Cambria" w:hAnsi="Cambria"/>
      <w:b/>
      <w:kern w:val="32"/>
      <w:sz w:val="32"/>
    </w:rPr>
  </w:style>
  <w:style w:type="character" w:customStyle="1" w:styleId="Heading2Char">
    <w:name w:val="Heading 2 Char"/>
    <w:basedOn w:val="DefaultParagraphFont"/>
    <w:link w:val="Heading2"/>
    <w:uiPriority w:val="99"/>
    <w:semiHidden/>
    <w:locked/>
    <w:rsid w:val="00907E6B"/>
    <w:rPr>
      <w:rFonts w:ascii="Cambria" w:hAnsi="Cambria"/>
      <w:b/>
      <w:i/>
      <w:kern w:val="28"/>
      <w:sz w:val="28"/>
    </w:rPr>
  </w:style>
  <w:style w:type="character" w:customStyle="1" w:styleId="Heading3Char">
    <w:name w:val="Heading 3 Char"/>
    <w:basedOn w:val="DefaultParagraphFont"/>
    <w:link w:val="Heading3"/>
    <w:uiPriority w:val="99"/>
    <w:semiHidden/>
    <w:locked/>
    <w:rsid w:val="00907E6B"/>
    <w:rPr>
      <w:rFonts w:ascii="Cambria" w:hAnsi="Cambria"/>
      <w:b/>
      <w:kern w:val="28"/>
      <w:sz w:val="26"/>
    </w:rPr>
  </w:style>
  <w:style w:type="character" w:customStyle="1" w:styleId="Heading4Char">
    <w:name w:val="Heading 4 Char"/>
    <w:basedOn w:val="DefaultParagraphFont"/>
    <w:link w:val="Heading4"/>
    <w:uiPriority w:val="99"/>
    <w:semiHidden/>
    <w:locked/>
    <w:rsid w:val="00907E6B"/>
    <w:rPr>
      <w:rFonts w:ascii="Calibri" w:hAnsi="Calibri"/>
      <w:b/>
      <w:kern w:val="28"/>
      <w:sz w:val="28"/>
    </w:rPr>
  </w:style>
  <w:style w:type="character" w:customStyle="1" w:styleId="Heading5Char">
    <w:name w:val="Heading 5 Char"/>
    <w:basedOn w:val="DefaultParagraphFont"/>
    <w:link w:val="Heading5"/>
    <w:uiPriority w:val="99"/>
    <w:semiHidden/>
    <w:locked/>
    <w:rsid w:val="00907E6B"/>
    <w:rPr>
      <w:rFonts w:ascii="Calibri" w:hAnsi="Calibri"/>
      <w:b/>
      <w:i/>
      <w:kern w:val="28"/>
      <w:sz w:val="26"/>
    </w:rPr>
  </w:style>
  <w:style w:type="character" w:customStyle="1" w:styleId="Heading6Char">
    <w:name w:val="Heading 6 Char"/>
    <w:basedOn w:val="DefaultParagraphFont"/>
    <w:link w:val="Heading6"/>
    <w:uiPriority w:val="99"/>
    <w:semiHidden/>
    <w:locked/>
    <w:rsid w:val="00907E6B"/>
    <w:rPr>
      <w:rFonts w:ascii="Calibri" w:hAnsi="Calibri"/>
      <w:b/>
      <w:kern w:val="28"/>
    </w:rPr>
  </w:style>
  <w:style w:type="character" w:customStyle="1" w:styleId="Heading7Char">
    <w:name w:val="Heading 7 Char"/>
    <w:basedOn w:val="DefaultParagraphFont"/>
    <w:link w:val="Heading7"/>
    <w:uiPriority w:val="99"/>
    <w:semiHidden/>
    <w:locked/>
    <w:rsid w:val="00907E6B"/>
    <w:rPr>
      <w:rFonts w:ascii="Calibri" w:hAnsi="Calibri"/>
      <w:kern w:val="28"/>
      <w:sz w:val="24"/>
    </w:rPr>
  </w:style>
  <w:style w:type="character" w:customStyle="1" w:styleId="Heading8Char">
    <w:name w:val="Heading 8 Char"/>
    <w:basedOn w:val="DefaultParagraphFont"/>
    <w:link w:val="Heading8"/>
    <w:uiPriority w:val="99"/>
    <w:semiHidden/>
    <w:locked/>
    <w:rsid w:val="00907E6B"/>
    <w:rPr>
      <w:rFonts w:ascii="Calibri" w:hAnsi="Calibri"/>
      <w:i/>
      <w:kern w:val="28"/>
      <w:sz w:val="24"/>
    </w:rPr>
  </w:style>
  <w:style w:type="character" w:customStyle="1" w:styleId="Heading9Char">
    <w:name w:val="Heading 9 Char"/>
    <w:basedOn w:val="DefaultParagraphFont"/>
    <w:link w:val="Heading9"/>
    <w:uiPriority w:val="99"/>
    <w:semiHidden/>
    <w:locked/>
    <w:rsid w:val="00907E6B"/>
    <w:rPr>
      <w:rFonts w:ascii="Cambria" w:hAnsi="Cambria"/>
      <w:kern w:val="28"/>
    </w:rPr>
  </w:style>
  <w:style w:type="paragraph" w:styleId="BalloonText">
    <w:name w:val="Balloon Text"/>
    <w:basedOn w:val="Normal"/>
    <w:link w:val="BalloonTextChar"/>
    <w:uiPriority w:val="99"/>
    <w:semiHidden/>
    <w:rsid w:val="00E54F02"/>
    <w:rPr>
      <w:sz w:val="20"/>
    </w:rPr>
  </w:style>
  <w:style w:type="character" w:customStyle="1" w:styleId="BalloonTextChar">
    <w:name w:val="Balloon Text Char"/>
    <w:basedOn w:val="DefaultParagraphFont"/>
    <w:link w:val="BalloonText"/>
    <w:uiPriority w:val="99"/>
    <w:semiHidden/>
    <w:locked/>
    <w:rsid w:val="00E54F02"/>
    <w:rPr>
      <w:kern w:val="28"/>
      <w:sz w:val="20"/>
      <w:szCs w:val="20"/>
    </w:rPr>
  </w:style>
  <w:style w:type="paragraph" w:customStyle="1" w:styleId="ParaNum">
    <w:name w:val="ParaNum"/>
    <w:basedOn w:val="Normal"/>
    <w:link w:val="ParaNumChar"/>
    <w:rsid w:val="009D2D85"/>
    <w:pPr>
      <w:numPr>
        <w:numId w:val="2"/>
      </w:numPr>
      <w:spacing w:after="120"/>
    </w:pPr>
  </w:style>
  <w:style w:type="paragraph" w:styleId="EndnoteText">
    <w:name w:val="endnote text"/>
    <w:basedOn w:val="Normal"/>
    <w:link w:val="EndnoteTextChar"/>
    <w:uiPriority w:val="99"/>
    <w:semiHidden/>
    <w:rsid w:val="009D2D85"/>
    <w:rPr>
      <w:sz w:val="20"/>
    </w:rPr>
  </w:style>
  <w:style w:type="character" w:customStyle="1" w:styleId="EndnoteTextChar">
    <w:name w:val="Endnote Text Char"/>
    <w:basedOn w:val="DefaultParagraphFont"/>
    <w:link w:val="EndnoteText"/>
    <w:uiPriority w:val="99"/>
    <w:semiHidden/>
    <w:locked/>
    <w:rsid w:val="00907E6B"/>
    <w:rPr>
      <w:kern w:val="28"/>
      <w:sz w:val="20"/>
    </w:rPr>
  </w:style>
  <w:style w:type="character" w:styleId="EndnoteReference">
    <w:name w:val="endnote reference"/>
    <w:basedOn w:val="DefaultParagraphFont"/>
    <w:uiPriority w:val="99"/>
    <w:semiHidden/>
    <w:rsid w:val="009D2D85"/>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rsid w:val="009D2D85"/>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lang w:val="en-US" w:eastAsia="en-US"/>
    </w:rPr>
  </w:style>
  <w:style w:type="character" w:styleId="FootnoteReference">
    <w:name w:val="footnote reference"/>
    <w:aliases w:val="Style 4,Appel note de bas de p,Style 12,(NECG) Footnote Reference,Style 124,Style 13,o,fr,Style 3"/>
    <w:basedOn w:val="DefaultParagraphFont"/>
    <w:rsid w:val="009D2D85"/>
    <w:rPr>
      <w:rFonts w:ascii="Times New Roman" w:hAnsi="Times New Roman" w:cs="Times New Roman"/>
      <w:color w:val="auto"/>
      <w:sz w:val="22"/>
      <w:vertAlign w:val="superscript"/>
    </w:rPr>
  </w:style>
  <w:style w:type="paragraph" w:styleId="TOC1">
    <w:name w:val="toc 1"/>
    <w:basedOn w:val="Normal"/>
    <w:next w:val="Normal"/>
    <w:uiPriority w:val="99"/>
    <w:semiHidden/>
    <w:rsid w:val="009D2D85"/>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9D2D85"/>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9D2D85"/>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9D2D85"/>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9D2D85"/>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9D2D85"/>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9D2D85"/>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9D2D85"/>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9D2D85"/>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9D2D85"/>
    <w:pPr>
      <w:tabs>
        <w:tab w:val="right" w:pos="9360"/>
      </w:tabs>
      <w:suppressAutoHyphens/>
    </w:pPr>
  </w:style>
  <w:style w:type="character" w:customStyle="1" w:styleId="EquationCaption">
    <w:name w:val="_Equation Caption"/>
    <w:uiPriority w:val="99"/>
    <w:rsid w:val="009D2D85"/>
  </w:style>
  <w:style w:type="paragraph" w:styleId="Header">
    <w:name w:val="header"/>
    <w:basedOn w:val="Normal"/>
    <w:link w:val="HeaderChar"/>
    <w:autoRedefine/>
    <w:rsid w:val="00495FE8"/>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locked/>
    <w:rsid w:val="00495FE8"/>
    <w:rPr>
      <w:b/>
      <w:kern w:val="28"/>
      <w:sz w:val="22"/>
      <w:lang w:val="en-US" w:eastAsia="en-US"/>
    </w:rPr>
  </w:style>
  <w:style w:type="paragraph" w:styleId="Footer">
    <w:name w:val="footer"/>
    <w:basedOn w:val="Normal"/>
    <w:link w:val="FooterChar"/>
    <w:uiPriority w:val="99"/>
    <w:rsid w:val="009D2D85"/>
    <w:pPr>
      <w:tabs>
        <w:tab w:val="center" w:pos="4320"/>
        <w:tab w:val="right" w:pos="8640"/>
      </w:tabs>
    </w:pPr>
    <w:rPr>
      <w:sz w:val="20"/>
    </w:rPr>
  </w:style>
  <w:style w:type="character" w:customStyle="1" w:styleId="FooterChar">
    <w:name w:val="Footer Char"/>
    <w:basedOn w:val="DefaultParagraphFont"/>
    <w:link w:val="Footer"/>
    <w:uiPriority w:val="99"/>
    <w:semiHidden/>
    <w:locked/>
    <w:rsid w:val="00907E6B"/>
    <w:rPr>
      <w:kern w:val="28"/>
      <w:sz w:val="20"/>
    </w:rPr>
  </w:style>
  <w:style w:type="character" w:styleId="PageNumber">
    <w:name w:val="page number"/>
    <w:basedOn w:val="DefaultParagraphFont"/>
    <w:uiPriority w:val="99"/>
    <w:rsid w:val="009D2D85"/>
    <w:rPr>
      <w:rFonts w:cs="Times New Roman"/>
    </w:rPr>
  </w:style>
  <w:style w:type="paragraph" w:styleId="BlockText">
    <w:name w:val="Block Text"/>
    <w:basedOn w:val="Normal"/>
    <w:uiPriority w:val="99"/>
    <w:rsid w:val="009D2D85"/>
    <w:pPr>
      <w:spacing w:after="240"/>
      <w:ind w:left="1440" w:right="1440"/>
    </w:pPr>
  </w:style>
  <w:style w:type="paragraph" w:customStyle="1" w:styleId="Paratitle">
    <w:name w:val="Para title"/>
    <w:basedOn w:val="Normal"/>
    <w:uiPriority w:val="99"/>
    <w:rsid w:val="009D2D85"/>
    <w:pPr>
      <w:tabs>
        <w:tab w:val="center" w:pos="9270"/>
      </w:tabs>
      <w:spacing w:after="240"/>
    </w:pPr>
    <w:rPr>
      <w:spacing w:val="-2"/>
    </w:rPr>
  </w:style>
  <w:style w:type="paragraph" w:customStyle="1" w:styleId="Bullet">
    <w:name w:val="Bullet"/>
    <w:basedOn w:val="Normal"/>
    <w:uiPriority w:val="99"/>
    <w:rsid w:val="009D2D85"/>
    <w:pPr>
      <w:numPr>
        <w:numId w:val="1"/>
      </w:numPr>
      <w:tabs>
        <w:tab w:val="clear" w:pos="360"/>
        <w:tab w:val="left" w:pos="2160"/>
      </w:tabs>
      <w:spacing w:after="220"/>
      <w:ind w:left="2160" w:hanging="720"/>
    </w:pPr>
  </w:style>
  <w:style w:type="paragraph" w:customStyle="1" w:styleId="TableFormat">
    <w:name w:val="TableFormat"/>
    <w:basedOn w:val="Bullet"/>
    <w:uiPriority w:val="99"/>
    <w:rsid w:val="009D2D85"/>
    <w:pPr>
      <w:numPr>
        <w:numId w:val="0"/>
      </w:numPr>
      <w:tabs>
        <w:tab w:val="clear" w:pos="2160"/>
        <w:tab w:val="left" w:pos="5040"/>
      </w:tabs>
      <w:ind w:left="5040" w:hanging="3600"/>
    </w:pPr>
  </w:style>
  <w:style w:type="paragraph" w:customStyle="1" w:styleId="TOCTitle">
    <w:name w:val="TOC Title"/>
    <w:basedOn w:val="Normal"/>
    <w:uiPriority w:val="99"/>
    <w:rsid w:val="009D2D8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9D2D85"/>
    <w:pPr>
      <w:jc w:val="center"/>
    </w:pPr>
    <w:rPr>
      <w:rFonts w:ascii="Times New Roman Bold" w:hAnsi="Times New Roman Bold"/>
      <w:b/>
      <w:bCs/>
      <w:caps/>
      <w:szCs w:val="22"/>
    </w:rPr>
  </w:style>
  <w:style w:type="character" w:styleId="Hyperlink">
    <w:name w:val="Hyperlink"/>
    <w:basedOn w:val="DefaultParagraphFont"/>
    <w:rsid w:val="009D2D85"/>
    <w:rPr>
      <w:rFonts w:cs="Times New Roman"/>
      <w:color w:val="0000FF"/>
      <w:u w:val="single"/>
    </w:rPr>
  </w:style>
  <w:style w:type="character" w:customStyle="1" w:styleId="ParaNumChar">
    <w:name w:val="ParaNum Char"/>
    <w:link w:val="ParaNum"/>
    <w:locked/>
    <w:rsid w:val="009D2D85"/>
    <w:rPr>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9D2D85"/>
    <w:rPr>
      <w:sz w:val="20"/>
    </w:rPr>
  </w:style>
  <w:style w:type="character" w:customStyle="1" w:styleId="CommentTextChar">
    <w:name w:val="Comment Text Char"/>
    <w:basedOn w:val="DefaultParagraphFont"/>
    <w:link w:val="CommentText"/>
    <w:uiPriority w:val="99"/>
    <w:semiHidden/>
    <w:locked/>
    <w:rsid w:val="00907E6B"/>
    <w:rPr>
      <w:kern w:val="28"/>
      <w:sz w:val="20"/>
    </w:rPr>
  </w:style>
  <w:style w:type="paragraph" w:styleId="CommentSubject">
    <w:name w:val="annotation subject"/>
    <w:basedOn w:val="CommentText"/>
    <w:next w:val="CommentText"/>
    <w:link w:val="CommentSubjectChar"/>
    <w:uiPriority w:val="99"/>
    <w:semiHidden/>
    <w:rsid w:val="009D2D85"/>
    <w:rPr>
      <w:b/>
      <w:bCs/>
    </w:rPr>
  </w:style>
  <w:style w:type="character" w:customStyle="1" w:styleId="CommentSubjectChar">
    <w:name w:val="Comment Subject Char"/>
    <w:basedOn w:val="CommentTextChar"/>
    <w:link w:val="CommentSubject"/>
    <w:uiPriority w:val="99"/>
    <w:semiHidden/>
    <w:locked/>
    <w:rsid w:val="00907E6B"/>
    <w:rPr>
      <w:b/>
      <w:kern w:val="28"/>
      <w:sz w:val="20"/>
    </w:rPr>
  </w:style>
  <w:style w:type="paragraph" w:styleId="PlainText">
    <w:name w:val="Plain Text"/>
    <w:basedOn w:val="Normal"/>
    <w:link w:val="PlainTextChar"/>
    <w:uiPriority w:val="99"/>
    <w:rsid w:val="009D2D85"/>
    <w:pPr>
      <w:widowControl/>
    </w:pPr>
    <w:rPr>
      <w:rFonts w:ascii="Calibri" w:hAnsi="Calibri"/>
      <w:kern w:val="0"/>
      <w:sz w:val="21"/>
    </w:rPr>
  </w:style>
  <w:style w:type="character" w:customStyle="1" w:styleId="PlainTextChar">
    <w:name w:val="Plain Text Char"/>
    <w:basedOn w:val="DefaultParagraphFont"/>
    <w:link w:val="PlainText"/>
    <w:uiPriority w:val="99"/>
    <w:locked/>
    <w:rsid w:val="009D2D85"/>
    <w:rPr>
      <w:rFonts w:ascii="Calibri" w:hAnsi="Calibri"/>
      <w:sz w:val="21"/>
    </w:rPr>
  </w:style>
  <w:style w:type="paragraph" w:styleId="Revision">
    <w:name w:val="Revision"/>
    <w:hidden/>
    <w:uiPriority w:val="99"/>
    <w:semiHidden/>
    <w:rsid w:val="009D2D85"/>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4F02"/>
    <w:pPr>
      <w:widowControl w:val="0"/>
    </w:pPr>
    <w:rPr>
      <w:kern w:val="28"/>
      <w:szCs w:val="20"/>
    </w:rPr>
  </w:style>
  <w:style w:type="paragraph" w:styleId="Heading1">
    <w:name w:val="heading 1"/>
    <w:basedOn w:val="Normal"/>
    <w:next w:val="ParaNum"/>
    <w:link w:val="Heading1Char"/>
    <w:uiPriority w:val="99"/>
    <w:qFormat/>
    <w:rsid w:val="009D2D85"/>
    <w:pPr>
      <w:keepNext/>
      <w:numPr>
        <w:numId w:val="3"/>
      </w:numPr>
      <w:tabs>
        <w:tab w:val="left" w:pos="720"/>
      </w:tabs>
      <w:suppressAutoHyphens/>
      <w:spacing w:after="120"/>
      <w:outlineLvl w:val="0"/>
    </w:pPr>
    <w:rPr>
      <w:rFonts w:ascii="Cambria" w:hAnsi="Cambria"/>
      <w:b/>
      <w:bCs/>
      <w:kern w:val="32"/>
      <w:sz w:val="32"/>
      <w:szCs w:val="32"/>
    </w:rPr>
  </w:style>
  <w:style w:type="paragraph" w:styleId="Heading2">
    <w:name w:val="heading 2"/>
    <w:basedOn w:val="Normal"/>
    <w:next w:val="ParaNum"/>
    <w:link w:val="Heading2Char"/>
    <w:autoRedefine/>
    <w:uiPriority w:val="99"/>
    <w:qFormat/>
    <w:rsid w:val="009D2D85"/>
    <w:pPr>
      <w:keepNext/>
      <w:widowControl/>
      <w:numPr>
        <w:ilvl w:val="1"/>
        <w:numId w:val="3"/>
      </w:numPr>
      <w:spacing w:before="220" w:after="220"/>
      <w:outlineLvl w:val="1"/>
    </w:pPr>
    <w:rPr>
      <w:rFonts w:ascii="Cambria" w:hAnsi="Cambria"/>
      <w:b/>
      <w:bCs/>
      <w:i/>
      <w:iCs/>
      <w:sz w:val="28"/>
      <w:szCs w:val="28"/>
    </w:rPr>
  </w:style>
  <w:style w:type="paragraph" w:styleId="Heading3">
    <w:name w:val="heading 3"/>
    <w:basedOn w:val="Normal"/>
    <w:next w:val="ParaNum"/>
    <w:link w:val="Heading3Char"/>
    <w:uiPriority w:val="99"/>
    <w:qFormat/>
    <w:rsid w:val="009D2D85"/>
    <w:pPr>
      <w:keepNext/>
      <w:numPr>
        <w:ilvl w:val="2"/>
        <w:numId w:val="3"/>
      </w:numPr>
      <w:tabs>
        <w:tab w:val="left" w:pos="2160"/>
      </w:tabs>
      <w:spacing w:after="120"/>
      <w:outlineLvl w:val="2"/>
    </w:pPr>
    <w:rPr>
      <w:rFonts w:ascii="Cambria" w:hAnsi="Cambria"/>
      <w:b/>
      <w:bCs/>
      <w:sz w:val="26"/>
      <w:szCs w:val="26"/>
    </w:rPr>
  </w:style>
  <w:style w:type="paragraph" w:styleId="Heading4">
    <w:name w:val="heading 4"/>
    <w:basedOn w:val="Normal"/>
    <w:next w:val="ParaNum"/>
    <w:link w:val="Heading4Char"/>
    <w:uiPriority w:val="99"/>
    <w:qFormat/>
    <w:rsid w:val="009D2D85"/>
    <w:pPr>
      <w:keepNext/>
      <w:numPr>
        <w:ilvl w:val="3"/>
        <w:numId w:val="3"/>
      </w:numPr>
      <w:tabs>
        <w:tab w:val="left" w:pos="2880"/>
      </w:tabs>
      <w:spacing w:after="120"/>
      <w:outlineLvl w:val="3"/>
    </w:pPr>
    <w:rPr>
      <w:rFonts w:ascii="Calibri" w:hAnsi="Calibri"/>
      <w:b/>
      <w:bCs/>
      <w:sz w:val="28"/>
      <w:szCs w:val="28"/>
    </w:rPr>
  </w:style>
  <w:style w:type="paragraph" w:styleId="Heading5">
    <w:name w:val="heading 5"/>
    <w:basedOn w:val="Normal"/>
    <w:next w:val="ParaNum"/>
    <w:link w:val="Heading5Char"/>
    <w:uiPriority w:val="99"/>
    <w:qFormat/>
    <w:rsid w:val="009D2D85"/>
    <w:pPr>
      <w:keepNext/>
      <w:numPr>
        <w:ilvl w:val="4"/>
        <w:numId w:val="3"/>
      </w:numPr>
      <w:tabs>
        <w:tab w:val="left" w:pos="3600"/>
      </w:tabs>
      <w:suppressAutoHyphens/>
      <w:spacing w:after="120"/>
      <w:outlineLvl w:val="4"/>
    </w:pPr>
    <w:rPr>
      <w:rFonts w:ascii="Calibri" w:hAnsi="Calibri"/>
      <w:b/>
      <w:bCs/>
      <w:i/>
      <w:iCs/>
      <w:sz w:val="26"/>
      <w:szCs w:val="26"/>
    </w:rPr>
  </w:style>
  <w:style w:type="paragraph" w:styleId="Heading6">
    <w:name w:val="heading 6"/>
    <w:basedOn w:val="Normal"/>
    <w:next w:val="ParaNum"/>
    <w:link w:val="Heading6Char"/>
    <w:uiPriority w:val="99"/>
    <w:qFormat/>
    <w:rsid w:val="009D2D85"/>
    <w:pPr>
      <w:numPr>
        <w:ilvl w:val="5"/>
        <w:numId w:val="3"/>
      </w:numPr>
      <w:tabs>
        <w:tab w:val="left" w:pos="4320"/>
      </w:tabs>
      <w:spacing w:after="120"/>
      <w:outlineLvl w:val="5"/>
    </w:pPr>
    <w:rPr>
      <w:rFonts w:ascii="Calibri" w:hAnsi="Calibri"/>
      <w:b/>
      <w:bCs/>
      <w:sz w:val="20"/>
    </w:rPr>
  </w:style>
  <w:style w:type="paragraph" w:styleId="Heading7">
    <w:name w:val="heading 7"/>
    <w:basedOn w:val="Normal"/>
    <w:next w:val="ParaNum"/>
    <w:link w:val="Heading7Char"/>
    <w:uiPriority w:val="99"/>
    <w:qFormat/>
    <w:rsid w:val="009D2D85"/>
    <w:pPr>
      <w:numPr>
        <w:ilvl w:val="6"/>
        <w:numId w:val="3"/>
      </w:numPr>
      <w:tabs>
        <w:tab w:val="left" w:pos="5040"/>
      </w:tabs>
      <w:spacing w:after="120"/>
      <w:ind w:left="5040" w:hanging="720"/>
      <w:outlineLvl w:val="6"/>
    </w:pPr>
    <w:rPr>
      <w:rFonts w:ascii="Calibri" w:hAnsi="Calibri"/>
      <w:sz w:val="24"/>
      <w:szCs w:val="24"/>
    </w:rPr>
  </w:style>
  <w:style w:type="paragraph" w:styleId="Heading8">
    <w:name w:val="heading 8"/>
    <w:basedOn w:val="Normal"/>
    <w:next w:val="ParaNum"/>
    <w:link w:val="Heading8Char"/>
    <w:uiPriority w:val="99"/>
    <w:qFormat/>
    <w:rsid w:val="009D2D85"/>
    <w:pPr>
      <w:numPr>
        <w:ilvl w:val="7"/>
        <w:numId w:val="3"/>
      </w:numPr>
      <w:tabs>
        <w:tab w:val="clear" w:pos="5400"/>
        <w:tab w:val="left" w:pos="5760"/>
      </w:tabs>
      <w:spacing w:after="120"/>
      <w:ind w:left="5760" w:hanging="720"/>
      <w:outlineLvl w:val="7"/>
    </w:pPr>
    <w:rPr>
      <w:rFonts w:ascii="Calibri" w:hAnsi="Calibri"/>
      <w:i/>
      <w:iCs/>
      <w:sz w:val="24"/>
      <w:szCs w:val="24"/>
    </w:rPr>
  </w:style>
  <w:style w:type="paragraph" w:styleId="Heading9">
    <w:name w:val="heading 9"/>
    <w:basedOn w:val="Normal"/>
    <w:next w:val="ParaNum"/>
    <w:link w:val="Heading9Char"/>
    <w:uiPriority w:val="99"/>
    <w:qFormat/>
    <w:rsid w:val="009D2D85"/>
    <w:pPr>
      <w:numPr>
        <w:ilvl w:val="8"/>
        <w:numId w:val="3"/>
      </w:numPr>
      <w:tabs>
        <w:tab w:val="clear" w:pos="6120"/>
        <w:tab w:val="left" w:pos="6480"/>
      </w:tabs>
      <w:spacing w:after="120"/>
      <w:ind w:left="6480" w:hanging="7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E6B"/>
    <w:rPr>
      <w:rFonts w:ascii="Cambria" w:hAnsi="Cambria"/>
      <w:b/>
      <w:kern w:val="32"/>
      <w:sz w:val="32"/>
    </w:rPr>
  </w:style>
  <w:style w:type="character" w:customStyle="1" w:styleId="Heading2Char">
    <w:name w:val="Heading 2 Char"/>
    <w:basedOn w:val="DefaultParagraphFont"/>
    <w:link w:val="Heading2"/>
    <w:uiPriority w:val="99"/>
    <w:semiHidden/>
    <w:locked/>
    <w:rsid w:val="00907E6B"/>
    <w:rPr>
      <w:rFonts w:ascii="Cambria" w:hAnsi="Cambria"/>
      <w:b/>
      <w:i/>
      <w:kern w:val="28"/>
      <w:sz w:val="28"/>
    </w:rPr>
  </w:style>
  <w:style w:type="character" w:customStyle="1" w:styleId="Heading3Char">
    <w:name w:val="Heading 3 Char"/>
    <w:basedOn w:val="DefaultParagraphFont"/>
    <w:link w:val="Heading3"/>
    <w:uiPriority w:val="99"/>
    <w:semiHidden/>
    <w:locked/>
    <w:rsid w:val="00907E6B"/>
    <w:rPr>
      <w:rFonts w:ascii="Cambria" w:hAnsi="Cambria"/>
      <w:b/>
      <w:kern w:val="28"/>
      <w:sz w:val="26"/>
    </w:rPr>
  </w:style>
  <w:style w:type="character" w:customStyle="1" w:styleId="Heading4Char">
    <w:name w:val="Heading 4 Char"/>
    <w:basedOn w:val="DefaultParagraphFont"/>
    <w:link w:val="Heading4"/>
    <w:uiPriority w:val="99"/>
    <w:semiHidden/>
    <w:locked/>
    <w:rsid w:val="00907E6B"/>
    <w:rPr>
      <w:rFonts w:ascii="Calibri" w:hAnsi="Calibri"/>
      <w:b/>
      <w:kern w:val="28"/>
      <w:sz w:val="28"/>
    </w:rPr>
  </w:style>
  <w:style w:type="character" w:customStyle="1" w:styleId="Heading5Char">
    <w:name w:val="Heading 5 Char"/>
    <w:basedOn w:val="DefaultParagraphFont"/>
    <w:link w:val="Heading5"/>
    <w:uiPriority w:val="99"/>
    <w:semiHidden/>
    <w:locked/>
    <w:rsid w:val="00907E6B"/>
    <w:rPr>
      <w:rFonts w:ascii="Calibri" w:hAnsi="Calibri"/>
      <w:b/>
      <w:i/>
      <w:kern w:val="28"/>
      <w:sz w:val="26"/>
    </w:rPr>
  </w:style>
  <w:style w:type="character" w:customStyle="1" w:styleId="Heading6Char">
    <w:name w:val="Heading 6 Char"/>
    <w:basedOn w:val="DefaultParagraphFont"/>
    <w:link w:val="Heading6"/>
    <w:uiPriority w:val="99"/>
    <w:semiHidden/>
    <w:locked/>
    <w:rsid w:val="00907E6B"/>
    <w:rPr>
      <w:rFonts w:ascii="Calibri" w:hAnsi="Calibri"/>
      <w:b/>
      <w:kern w:val="28"/>
    </w:rPr>
  </w:style>
  <w:style w:type="character" w:customStyle="1" w:styleId="Heading7Char">
    <w:name w:val="Heading 7 Char"/>
    <w:basedOn w:val="DefaultParagraphFont"/>
    <w:link w:val="Heading7"/>
    <w:uiPriority w:val="99"/>
    <w:semiHidden/>
    <w:locked/>
    <w:rsid w:val="00907E6B"/>
    <w:rPr>
      <w:rFonts w:ascii="Calibri" w:hAnsi="Calibri"/>
      <w:kern w:val="28"/>
      <w:sz w:val="24"/>
    </w:rPr>
  </w:style>
  <w:style w:type="character" w:customStyle="1" w:styleId="Heading8Char">
    <w:name w:val="Heading 8 Char"/>
    <w:basedOn w:val="DefaultParagraphFont"/>
    <w:link w:val="Heading8"/>
    <w:uiPriority w:val="99"/>
    <w:semiHidden/>
    <w:locked/>
    <w:rsid w:val="00907E6B"/>
    <w:rPr>
      <w:rFonts w:ascii="Calibri" w:hAnsi="Calibri"/>
      <w:i/>
      <w:kern w:val="28"/>
      <w:sz w:val="24"/>
    </w:rPr>
  </w:style>
  <w:style w:type="character" w:customStyle="1" w:styleId="Heading9Char">
    <w:name w:val="Heading 9 Char"/>
    <w:basedOn w:val="DefaultParagraphFont"/>
    <w:link w:val="Heading9"/>
    <w:uiPriority w:val="99"/>
    <w:semiHidden/>
    <w:locked/>
    <w:rsid w:val="00907E6B"/>
    <w:rPr>
      <w:rFonts w:ascii="Cambria" w:hAnsi="Cambria"/>
      <w:kern w:val="28"/>
    </w:rPr>
  </w:style>
  <w:style w:type="paragraph" w:styleId="BalloonText">
    <w:name w:val="Balloon Text"/>
    <w:basedOn w:val="Normal"/>
    <w:link w:val="BalloonTextChar"/>
    <w:uiPriority w:val="99"/>
    <w:semiHidden/>
    <w:rsid w:val="00E54F02"/>
    <w:rPr>
      <w:sz w:val="20"/>
    </w:rPr>
  </w:style>
  <w:style w:type="character" w:customStyle="1" w:styleId="BalloonTextChar">
    <w:name w:val="Balloon Text Char"/>
    <w:basedOn w:val="DefaultParagraphFont"/>
    <w:link w:val="BalloonText"/>
    <w:uiPriority w:val="99"/>
    <w:semiHidden/>
    <w:locked/>
    <w:rsid w:val="00E54F02"/>
    <w:rPr>
      <w:kern w:val="28"/>
      <w:sz w:val="20"/>
      <w:szCs w:val="20"/>
    </w:rPr>
  </w:style>
  <w:style w:type="paragraph" w:customStyle="1" w:styleId="ParaNum">
    <w:name w:val="ParaNum"/>
    <w:basedOn w:val="Normal"/>
    <w:link w:val="ParaNumChar"/>
    <w:rsid w:val="009D2D85"/>
    <w:pPr>
      <w:numPr>
        <w:numId w:val="2"/>
      </w:numPr>
      <w:spacing w:after="120"/>
    </w:pPr>
  </w:style>
  <w:style w:type="paragraph" w:styleId="EndnoteText">
    <w:name w:val="endnote text"/>
    <w:basedOn w:val="Normal"/>
    <w:link w:val="EndnoteTextChar"/>
    <w:uiPriority w:val="99"/>
    <w:semiHidden/>
    <w:rsid w:val="009D2D85"/>
    <w:rPr>
      <w:sz w:val="20"/>
    </w:rPr>
  </w:style>
  <w:style w:type="character" w:customStyle="1" w:styleId="EndnoteTextChar">
    <w:name w:val="Endnote Text Char"/>
    <w:basedOn w:val="DefaultParagraphFont"/>
    <w:link w:val="EndnoteText"/>
    <w:uiPriority w:val="99"/>
    <w:semiHidden/>
    <w:locked/>
    <w:rsid w:val="00907E6B"/>
    <w:rPr>
      <w:kern w:val="28"/>
      <w:sz w:val="20"/>
    </w:rPr>
  </w:style>
  <w:style w:type="character" w:styleId="EndnoteReference">
    <w:name w:val="endnote reference"/>
    <w:basedOn w:val="DefaultParagraphFont"/>
    <w:uiPriority w:val="99"/>
    <w:semiHidden/>
    <w:rsid w:val="009D2D85"/>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rsid w:val="009D2D85"/>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lang w:val="en-US" w:eastAsia="en-US"/>
    </w:rPr>
  </w:style>
  <w:style w:type="character" w:styleId="FootnoteReference">
    <w:name w:val="footnote reference"/>
    <w:aliases w:val="Style 4,Appel note de bas de p,Style 12,(NECG) Footnote Reference,Style 124,Style 13,o,fr,Style 3"/>
    <w:basedOn w:val="DefaultParagraphFont"/>
    <w:rsid w:val="009D2D85"/>
    <w:rPr>
      <w:rFonts w:ascii="Times New Roman" w:hAnsi="Times New Roman" w:cs="Times New Roman"/>
      <w:color w:val="auto"/>
      <w:sz w:val="22"/>
      <w:vertAlign w:val="superscript"/>
    </w:rPr>
  </w:style>
  <w:style w:type="paragraph" w:styleId="TOC1">
    <w:name w:val="toc 1"/>
    <w:basedOn w:val="Normal"/>
    <w:next w:val="Normal"/>
    <w:uiPriority w:val="99"/>
    <w:semiHidden/>
    <w:rsid w:val="009D2D85"/>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9D2D85"/>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9D2D85"/>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9D2D85"/>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9D2D85"/>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9D2D85"/>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9D2D85"/>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9D2D85"/>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9D2D85"/>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9D2D85"/>
    <w:pPr>
      <w:tabs>
        <w:tab w:val="right" w:pos="9360"/>
      </w:tabs>
      <w:suppressAutoHyphens/>
    </w:pPr>
  </w:style>
  <w:style w:type="character" w:customStyle="1" w:styleId="EquationCaption">
    <w:name w:val="_Equation Caption"/>
    <w:uiPriority w:val="99"/>
    <w:rsid w:val="009D2D85"/>
  </w:style>
  <w:style w:type="paragraph" w:styleId="Header">
    <w:name w:val="header"/>
    <w:basedOn w:val="Normal"/>
    <w:link w:val="HeaderChar"/>
    <w:autoRedefine/>
    <w:rsid w:val="00495FE8"/>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locked/>
    <w:rsid w:val="00495FE8"/>
    <w:rPr>
      <w:b/>
      <w:kern w:val="28"/>
      <w:sz w:val="22"/>
      <w:lang w:val="en-US" w:eastAsia="en-US"/>
    </w:rPr>
  </w:style>
  <w:style w:type="paragraph" w:styleId="Footer">
    <w:name w:val="footer"/>
    <w:basedOn w:val="Normal"/>
    <w:link w:val="FooterChar"/>
    <w:uiPriority w:val="99"/>
    <w:rsid w:val="009D2D85"/>
    <w:pPr>
      <w:tabs>
        <w:tab w:val="center" w:pos="4320"/>
        <w:tab w:val="right" w:pos="8640"/>
      </w:tabs>
    </w:pPr>
    <w:rPr>
      <w:sz w:val="20"/>
    </w:rPr>
  </w:style>
  <w:style w:type="character" w:customStyle="1" w:styleId="FooterChar">
    <w:name w:val="Footer Char"/>
    <w:basedOn w:val="DefaultParagraphFont"/>
    <w:link w:val="Footer"/>
    <w:uiPriority w:val="99"/>
    <w:semiHidden/>
    <w:locked/>
    <w:rsid w:val="00907E6B"/>
    <w:rPr>
      <w:kern w:val="28"/>
      <w:sz w:val="20"/>
    </w:rPr>
  </w:style>
  <w:style w:type="character" w:styleId="PageNumber">
    <w:name w:val="page number"/>
    <w:basedOn w:val="DefaultParagraphFont"/>
    <w:uiPriority w:val="99"/>
    <w:rsid w:val="009D2D85"/>
    <w:rPr>
      <w:rFonts w:cs="Times New Roman"/>
    </w:rPr>
  </w:style>
  <w:style w:type="paragraph" w:styleId="BlockText">
    <w:name w:val="Block Text"/>
    <w:basedOn w:val="Normal"/>
    <w:uiPriority w:val="99"/>
    <w:rsid w:val="009D2D85"/>
    <w:pPr>
      <w:spacing w:after="240"/>
      <w:ind w:left="1440" w:right="1440"/>
    </w:pPr>
  </w:style>
  <w:style w:type="paragraph" w:customStyle="1" w:styleId="Paratitle">
    <w:name w:val="Para title"/>
    <w:basedOn w:val="Normal"/>
    <w:uiPriority w:val="99"/>
    <w:rsid w:val="009D2D85"/>
    <w:pPr>
      <w:tabs>
        <w:tab w:val="center" w:pos="9270"/>
      </w:tabs>
      <w:spacing w:after="240"/>
    </w:pPr>
    <w:rPr>
      <w:spacing w:val="-2"/>
    </w:rPr>
  </w:style>
  <w:style w:type="paragraph" w:customStyle="1" w:styleId="Bullet">
    <w:name w:val="Bullet"/>
    <w:basedOn w:val="Normal"/>
    <w:uiPriority w:val="99"/>
    <w:rsid w:val="009D2D85"/>
    <w:pPr>
      <w:numPr>
        <w:numId w:val="1"/>
      </w:numPr>
      <w:tabs>
        <w:tab w:val="clear" w:pos="360"/>
        <w:tab w:val="left" w:pos="2160"/>
      </w:tabs>
      <w:spacing w:after="220"/>
      <w:ind w:left="2160" w:hanging="720"/>
    </w:pPr>
  </w:style>
  <w:style w:type="paragraph" w:customStyle="1" w:styleId="TableFormat">
    <w:name w:val="TableFormat"/>
    <w:basedOn w:val="Bullet"/>
    <w:uiPriority w:val="99"/>
    <w:rsid w:val="009D2D85"/>
    <w:pPr>
      <w:numPr>
        <w:numId w:val="0"/>
      </w:numPr>
      <w:tabs>
        <w:tab w:val="clear" w:pos="2160"/>
        <w:tab w:val="left" w:pos="5040"/>
      </w:tabs>
      <w:ind w:left="5040" w:hanging="3600"/>
    </w:pPr>
  </w:style>
  <w:style w:type="paragraph" w:customStyle="1" w:styleId="TOCTitle">
    <w:name w:val="TOC Title"/>
    <w:basedOn w:val="Normal"/>
    <w:uiPriority w:val="99"/>
    <w:rsid w:val="009D2D8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9D2D85"/>
    <w:pPr>
      <w:jc w:val="center"/>
    </w:pPr>
    <w:rPr>
      <w:rFonts w:ascii="Times New Roman Bold" w:hAnsi="Times New Roman Bold"/>
      <w:b/>
      <w:bCs/>
      <w:caps/>
      <w:szCs w:val="22"/>
    </w:rPr>
  </w:style>
  <w:style w:type="character" w:styleId="Hyperlink">
    <w:name w:val="Hyperlink"/>
    <w:basedOn w:val="DefaultParagraphFont"/>
    <w:rsid w:val="009D2D85"/>
    <w:rPr>
      <w:rFonts w:cs="Times New Roman"/>
      <w:color w:val="0000FF"/>
      <w:u w:val="single"/>
    </w:rPr>
  </w:style>
  <w:style w:type="character" w:customStyle="1" w:styleId="ParaNumChar">
    <w:name w:val="ParaNum Char"/>
    <w:link w:val="ParaNum"/>
    <w:locked/>
    <w:rsid w:val="009D2D85"/>
    <w:rPr>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9D2D85"/>
    <w:rPr>
      <w:sz w:val="20"/>
    </w:rPr>
  </w:style>
  <w:style w:type="character" w:customStyle="1" w:styleId="CommentTextChar">
    <w:name w:val="Comment Text Char"/>
    <w:basedOn w:val="DefaultParagraphFont"/>
    <w:link w:val="CommentText"/>
    <w:uiPriority w:val="99"/>
    <w:semiHidden/>
    <w:locked/>
    <w:rsid w:val="00907E6B"/>
    <w:rPr>
      <w:kern w:val="28"/>
      <w:sz w:val="20"/>
    </w:rPr>
  </w:style>
  <w:style w:type="paragraph" w:styleId="CommentSubject">
    <w:name w:val="annotation subject"/>
    <w:basedOn w:val="CommentText"/>
    <w:next w:val="CommentText"/>
    <w:link w:val="CommentSubjectChar"/>
    <w:uiPriority w:val="99"/>
    <w:semiHidden/>
    <w:rsid w:val="009D2D85"/>
    <w:rPr>
      <w:b/>
      <w:bCs/>
    </w:rPr>
  </w:style>
  <w:style w:type="character" w:customStyle="1" w:styleId="CommentSubjectChar">
    <w:name w:val="Comment Subject Char"/>
    <w:basedOn w:val="CommentTextChar"/>
    <w:link w:val="CommentSubject"/>
    <w:uiPriority w:val="99"/>
    <w:semiHidden/>
    <w:locked/>
    <w:rsid w:val="00907E6B"/>
    <w:rPr>
      <w:b/>
      <w:kern w:val="28"/>
      <w:sz w:val="20"/>
    </w:rPr>
  </w:style>
  <w:style w:type="paragraph" w:styleId="PlainText">
    <w:name w:val="Plain Text"/>
    <w:basedOn w:val="Normal"/>
    <w:link w:val="PlainTextChar"/>
    <w:uiPriority w:val="99"/>
    <w:rsid w:val="009D2D85"/>
    <w:pPr>
      <w:widowControl/>
    </w:pPr>
    <w:rPr>
      <w:rFonts w:ascii="Calibri" w:hAnsi="Calibri"/>
      <w:kern w:val="0"/>
      <w:sz w:val="21"/>
    </w:rPr>
  </w:style>
  <w:style w:type="character" w:customStyle="1" w:styleId="PlainTextChar">
    <w:name w:val="Plain Text Char"/>
    <w:basedOn w:val="DefaultParagraphFont"/>
    <w:link w:val="PlainText"/>
    <w:uiPriority w:val="99"/>
    <w:locked/>
    <w:rsid w:val="009D2D85"/>
    <w:rPr>
      <w:rFonts w:ascii="Calibri" w:hAnsi="Calibri"/>
      <w:sz w:val="21"/>
    </w:rPr>
  </w:style>
  <w:style w:type="paragraph" w:styleId="Revision">
    <w:name w:val="Revision"/>
    <w:hidden/>
    <w:uiPriority w:val="99"/>
    <w:semiHidden/>
    <w:rsid w:val="009D2D85"/>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0743">
      <w:bodyDiv w:val="1"/>
      <w:marLeft w:val="0"/>
      <w:marRight w:val="0"/>
      <w:marTop w:val="0"/>
      <w:marBottom w:val="0"/>
      <w:divBdr>
        <w:top w:val="none" w:sz="0" w:space="0" w:color="auto"/>
        <w:left w:val="none" w:sz="0" w:space="0" w:color="auto"/>
        <w:bottom w:val="none" w:sz="0" w:space="0" w:color="auto"/>
        <w:right w:val="none" w:sz="0" w:space="0" w:color="auto"/>
      </w:divBdr>
    </w:div>
    <w:div w:id="1736859321">
      <w:marLeft w:val="0"/>
      <w:marRight w:val="0"/>
      <w:marTop w:val="0"/>
      <w:marBottom w:val="0"/>
      <w:divBdr>
        <w:top w:val="none" w:sz="0" w:space="0" w:color="auto"/>
        <w:left w:val="none" w:sz="0" w:space="0" w:color="auto"/>
        <w:bottom w:val="none" w:sz="0" w:space="0" w:color="auto"/>
        <w:right w:val="none" w:sz="0" w:space="0" w:color="auto"/>
      </w:divBdr>
    </w:div>
    <w:div w:id="1736859322">
      <w:marLeft w:val="0"/>
      <w:marRight w:val="0"/>
      <w:marTop w:val="0"/>
      <w:marBottom w:val="0"/>
      <w:divBdr>
        <w:top w:val="none" w:sz="0" w:space="0" w:color="auto"/>
        <w:left w:val="none" w:sz="0" w:space="0" w:color="auto"/>
        <w:bottom w:val="none" w:sz="0" w:space="0" w:color="auto"/>
        <w:right w:val="none" w:sz="0" w:space="0" w:color="auto"/>
      </w:divBdr>
    </w:div>
    <w:div w:id="1736859323">
      <w:marLeft w:val="0"/>
      <w:marRight w:val="0"/>
      <w:marTop w:val="0"/>
      <w:marBottom w:val="0"/>
      <w:divBdr>
        <w:top w:val="none" w:sz="0" w:space="0" w:color="auto"/>
        <w:left w:val="none" w:sz="0" w:space="0" w:color="auto"/>
        <w:bottom w:val="none" w:sz="0" w:space="0" w:color="auto"/>
        <w:right w:val="none" w:sz="0" w:space="0" w:color="auto"/>
      </w:divBdr>
    </w:div>
    <w:div w:id="19947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1"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3244</Words>
  <Characters>17664</Characters>
  <Application>Microsoft Office Word</Application>
  <DocSecurity>0</DocSecurity>
  <Lines>267</Lines>
  <Paragraphs>55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21014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2014-08-04T14:38:00Z</dcterms:created>
  <dcterms:modified xsi:type="dcterms:W3CDTF">2014-08-04T14:38:00Z</dcterms:modified>
  <cp:category> </cp:category>
  <cp:contentStatus> </cp:contentStatus>
</cp:coreProperties>
</file>