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966781" w:rsidRDefault="00602577">
      <w:pPr>
        <w:pStyle w:val="Header"/>
        <w:tabs>
          <w:tab w:val="clear" w:pos="4320"/>
          <w:tab w:val="clear" w:pos="8640"/>
        </w:tabs>
        <w:rPr>
          <w:szCs w:val="22"/>
        </w:rPr>
        <w:sectPr w:rsidR="00602577" w:rsidRPr="0096678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66781" w:rsidRDefault="005E790F" w:rsidP="003841E8">
      <w:pPr>
        <w:spacing w:after="120"/>
        <w:jc w:val="right"/>
        <w:rPr>
          <w:szCs w:val="22"/>
        </w:rPr>
      </w:pPr>
      <w:r w:rsidRPr="00966781">
        <w:rPr>
          <w:b/>
          <w:szCs w:val="22"/>
        </w:rPr>
        <w:lastRenderedPageBreak/>
        <w:t>DA</w:t>
      </w:r>
      <w:r w:rsidR="00DB4A21">
        <w:rPr>
          <w:b/>
          <w:szCs w:val="22"/>
        </w:rPr>
        <w:t xml:space="preserve"> </w:t>
      </w:r>
      <w:r w:rsidR="00393381">
        <w:rPr>
          <w:b/>
          <w:szCs w:val="22"/>
        </w:rPr>
        <w:t>14-1072</w:t>
      </w:r>
      <w:r w:rsidRPr="00966781">
        <w:rPr>
          <w:b/>
          <w:szCs w:val="22"/>
        </w:rPr>
        <w:t xml:space="preserve"> </w:t>
      </w:r>
    </w:p>
    <w:p w:rsidR="00602577" w:rsidRPr="00966781" w:rsidRDefault="005E790F" w:rsidP="003841E8">
      <w:pPr>
        <w:spacing w:after="240"/>
        <w:jc w:val="right"/>
        <w:rPr>
          <w:b/>
          <w:szCs w:val="22"/>
        </w:rPr>
      </w:pPr>
      <w:r w:rsidRPr="00966781">
        <w:rPr>
          <w:b/>
          <w:szCs w:val="22"/>
        </w:rPr>
        <w:t xml:space="preserve">Released: </w:t>
      </w:r>
      <w:r w:rsidR="003B4168">
        <w:rPr>
          <w:b/>
          <w:szCs w:val="22"/>
        </w:rPr>
        <w:t>July 2</w:t>
      </w:r>
      <w:r w:rsidR="00DB4A21">
        <w:rPr>
          <w:b/>
          <w:szCs w:val="22"/>
        </w:rPr>
        <w:t>8</w:t>
      </w:r>
      <w:r w:rsidR="003B4168">
        <w:rPr>
          <w:b/>
          <w:szCs w:val="22"/>
        </w:rPr>
        <w:t>, 2014</w:t>
      </w:r>
    </w:p>
    <w:p w:rsidR="00602577" w:rsidRPr="00966781" w:rsidRDefault="00602577">
      <w:pPr>
        <w:jc w:val="right"/>
        <w:rPr>
          <w:szCs w:val="22"/>
        </w:rPr>
      </w:pPr>
    </w:p>
    <w:p w:rsidR="003B4168" w:rsidRDefault="005E790F" w:rsidP="005E790F">
      <w:pPr>
        <w:tabs>
          <w:tab w:val="left" w:pos="-720"/>
        </w:tabs>
        <w:suppressAutoHyphens/>
        <w:jc w:val="center"/>
        <w:outlineLvl w:val="0"/>
        <w:rPr>
          <w:b/>
          <w:szCs w:val="22"/>
        </w:rPr>
      </w:pPr>
      <w:r w:rsidRPr="00966781">
        <w:rPr>
          <w:b/>
          <w:szCs w:val="22"/>
        </w:rPr>
        <w:t xml:space="preserve">PLEADING CYCLE ESTABLISHED FOR COMMENTS ON </w:t>
      </w:r>
      <w:r w:rsidR="003B4168">
        <w:rPr>
          <w:b/>
          <w:szCs w:val="22"/>
        </w:rPr>
        <w:t>ELECTRIC POWER BOARD</w:t>
      </w:r>
      <w:r w:rsidR="00DB4A21">
        <w:rPr>
          <w:b/>
          <w:szCs w:val="22"/>
        </w:rPr>
        <w:t xml:space="preserve"> </w:t>
      </w:r>
      <w:r w:rsidR="003B4168">
        <w:rPr>
          <w:b/>
          <w:szCs w:val="22"/>
        </w:rPr>
        <w:t>AND CITY OF WILSON</w:t>
      </w:r>
      <w:r w:rsidR="00DB4A21">
        <w:rPr>
          <w:b/>
          <w:szCs w:val="22"/>
        </w:rPr>
        <w:t xml:space="preserve"> </w:t>
      </w:r>
      <w:r w:rsidR="002B640E">
        <w:rPr>
          <w:b/>
          <w:szCs w:val="22"/>
        </w:rPr>
        <w:t>PETITIONS</w:t>
      </w:r>
      <w:r w:rsidR="004D20BC">
        <w:rPr>
          <w:b/>
          <w:szCs w:val="22"/>
        </w:rPr>
        <w:t>,</w:t>
      </w:r>
      <w:r w:rsidR="002B640E">
        <w:rPr>
          <w:b/>
          <w:szCs w:val="22"/>
        </w:rPr>
        <w:t xml:space="preserve"> </w:t>
      </w:r>
      <w:r w:rsidR="003B4168">
        <w:rPr>
          <w:b/>
          <w:szCs w:val="22"/>
        </w:rPr>
        <w:t>PURSUANT TO SECTION 706 OF THE TELECOMMUNICATIONS ACT OF 1996</w:t>
      </w:r>
      <w:r w:rsidR="004D20BC">
        <w:rPr>
          <w:b/>
          <w:szCs w:val="22"/>
        </w:rPr>
        <w:t>,</w:t>
      </w:r>
      <w:r w:rsidR="003B4168">
        <w:rPr>
          <w:b/>
          <w:szCs w:val="22"/>
        </w:rPr>
        <w:t xml:space="preserve"> </w:t>
      </w:r>
      <w:r w:rsidR="004D20BC" w:rsidRPr="004D20BC">
        <w:rPr>
          <w:rFonts w:ascii="Times New Roman Bold" w:hAnsi="Times New Roman Bold"/>
          <w:b/>
          <w:caps/>
          <w:szCs w:val="22"/>
        </w:rPr>
        <w:t>seeking preemption of state laws restricting the deployment of certain broadband networks</w:t>
      </w:r>
    </w:p>
    <w:p w:rsidR="00602577" w:rsidRPr="00966781" w:rsidRDefault="005E790F" w:rsidP="005E790F">
      <w:pPr>
        <w:tabs>
          <w:tab w:val="left" w:pos="-720"/>
        </w:tabs>
        <w:suppressAutoHyphens/>
        <w:jc w:val="center"/>
        <w:outlineLvl w:val="0"/>
        <w:rPr>
          <w:b/>
          <w:szCs w:val="22"/>
        </w:rPr>
      </w:pPr>
      <w:r w:rsidRPr="00966781">
        <w:rPr>
          <w:b/>
          <w:szCs w:val="22"/>
        </w:rPr>
        <w:t xml:space="preserve"> </w:t>
      </w:r>
    </w:p>
    <w:p w:rsidR="00602577" w:rsidRPr="00966781" w:rsidRDefault="00DB4A21" w:rsidP="00352D47">
      <w:pPr>
        <w:tabs>
          <w:tab w:val="left" w:pos="-720"/>
        </w:tabs>
        <w:suppressAutoHyphens/>
        <w:jc w:val="center"/>
        <w:rPr>
          <w:b/>
          <w:szCs w:val="22"/>
        </w:rPr>
      </w:pPr>
      <w:r>
        <w:rPr>
          <w:b/>
          <w:szCs w:val="22"/>
        </w:rPr>
        <w:t>WCB</w:t>
      </w:r>
      <w:r w:rsidR="00352D47">
        <w:rPr>
          <w:b/>
          <w:szCs w:val="22"/>
        </w:rPr>
        <w:t xml:space="preserve"> Docket No</w:t>
      </w:r>
      <w:r>
        <w:rPr>
          <w:b/>
          <w:szCs w:val="22"/>
        </w:rPr>
        <w:t>s</w:t>
      </w:r>
      <w:r w:rsidR="00352D47">
        <w:rPr>
          <w:b/>
          <w:szCs w:val="22"/>
        </w:rPr>
        <w:t>. 14-</w:t>
      </w:r>
      <w:r>
        <w:rPr>
          <w:b/>
          <w:szCs w:val="22"/>
        </w:rPr>
        <w:t>115 and 14-116</w:t>
      </w:r>
    </w:p>
    <w:p w:rsidR="00602577" w:rsidRPr="00966781" w:rsidRDefault="00602577">
      <w:pPr>
        <w:jc w:val="center"/>
        <w:rPr>
          <w:szCs w:val="22"/>
        </w:rPr>
      </w:pPr>
    </w:p>
    <w:p w:rsidR="00DB4A21" w:rsidRDefault="0033317B" w:rsidP="005E790F">
      <w:pPr>
        <w:tabs>
          <w:tab w:val="left" w:pos="-720"/>
        </w:tabs>
        <w:suppressAutoHyphens/>
        <w:rPr>
          <w:b/>
          <w:szCs w:val="22"/>
        </w:rPr>
      </w:pPr>
      <w:r>
        <w:rPr>
          <w:b/>
          <w:szCs w:val="22"/>
        </w:rPr>
        <w:t>Comment Date</w:t>
      </w:r>
      <w:r w:rsidR="005E790F" w:rsidRPr="00966781">
        <w:rPr>
          <w:b/>
          <w:szCs w:val="22"/>
        </w:rPr>
        <w:t>:</w:t>
      </w:r>
      <w:r w:rsidR="000A0AE9">
        <w:rPr>
          <w:b/>
          <w:szCs w:val="22"/>
        </w:rPr>
        <w:t xml:space="preserve">  August 29</w:t>
      </w:r>
      <w:r w:rsidR="00DB4A21">
        <w:rPr>
          <w:b/>
          <w:szCs w:val="22"/>
        </w:rPr>
        <w:t>, 2014</w:t>
      </w:r>
      <w:r w:rsidR="005E790F" w:rsidRPr="00966781">
        <w:rPr>
          <w:b/>
          <w:szCs w:val="22"/>
        </w:rPr>
        <w:t xml:space="preserve">  </w:t>
      </w:r>
    </w:p>
    <w:p w:rsidR="005E790F" w:rsidRPr="00966781" w:rsidRDefault="005E790F" w:rsidP="005E790F">
      <w:pPr>
        <w:tabs>
          <w:tab w:val="left" w:pos="-720"/>
        </w:tabs>
        <w:suppressAutoHyphens/>
        <w:rPr>
          <w:b/>
          <w:szCs w:val="22"/>
        </w:rPr>
      </w:pPr>
      <w:r w:rsidRPr="00966781">
        <w:rPr>
          <w:b/>
          <w:szCs w:val="22"/>
        </w:rPr>
        <w:t>Reply Comment</w:t>
      </w:r>
      <w:r w:rsidR="0033317B">
        <w:rPr>
          <w:b/>
          <w:szCs w:val="22"/>
        </w:rPr>
        <w:t xml:space="preserve"> Date</w:t>
      </w:r>
      <w:r w:rsidRPr="00966781">
        <w:rPr>
          <w:b/>
          <w:szCs w:val="22"/>
        </w:rPr>
        <w:t xml:space="preserve">:  </w:t>
      </w:r>
      <w:r w:rsidR="00DB4A21">
        <w:rPr>
          <w:b/>
          <w:szCs w:val="22"/>
        </w:rPr>
        <w:t xml:space="preserve">September </w:t>
      </w:r>
      <w:r w:rsidR="000A0AE9">
        <w:rPr>
          <w:b/>
          <w:szCs w:val="22"/>
        </w:rPr>
        <w:t>29</w:t>
      </w:r>
      <w:r w:rsidR="00DB4A21">
        <w:rPr>
          <w:b/>
          <w:szCs w:val="22"/>
        </w:rPr>
        <w:t>,</w:t>
      </w:r>
      <w:r w:rsidR="00954BBC">
        <w:rPr>
          <w:b/>
          <w:szCs w:val="22"/>
        </w:rPr>
        <w:t xml:space="preserve"> </w:t>
      </w:r>
      <w:r w:rsidR="00DB4A21">
        <w:rPr>
          <w:b/>
          <w:szCs w:val="22"/>
        </w:rPr>
        <w:t>2014</w:t>
      </w:r>
    </w:p>
    <w:p w:rsidR="005E790F" w:rsidRPr="00966781" w:rsidRDefault="005E790F" w:rsidP="005E790F">
      <w:pPr>
        <w:tabs>
          <w:tab w:val="left" w:pos="-720"/>
        </w:tabs>
        <w:suppressAutoHyphens/>
        <w:rPr>
          <w:b/>
          <w:szCs w:val="22"/>
        </w:rPr>
      </w:pPr>
    </w:p>
    <w:p w:rsidR="00954BBC" w:rsidRDefault="005E790F" w:rsidP="005E790F">
      <w:pPr>
        <w:autoSpaceDE w:val="0"/>
        <w:autoSpaceDN w:val="0"/>
        <w:adjustRightInd w:val="0"/>
        <w:spacing w:after="240"/>
        <w:ind w:firstLine="720"/>
        <w:rPr>
          <w:szCs w:val="22"/>
        </w:rPr>
      </w:pPr>
      <w:r w:rsidRPr="00966781">
        <w:rPr>
          <w:szCs w:val="22"/>
        </w:rPr>
        <w:t xml:space="preserve">On </w:t>
      </w:r>
      <w:r w:rsidR="000C118F">
        <w:rPr>
          <w:szCs w:val="22"/>
        </w:rPr>
        <w:t>July 24, 2014</w:t>
      </w:r>
      <w:r w:rsidRPr="00966781">
        <w:rPr>
          <w:szCs w:val="22"/>
        </w:rPr>
        <w:t xml:space="preserve">, </w:t>
      </w:r>
      <w:r w:rsidR="000C118F">
        <w:rPr>
          <w:szCs w:val="22"/>
        </w:rPr>
        <w:t>the Electric Power Board of Chattanooga, Tennessee, and the City of Wilson, North Carolina</w:t>
      </w:r>
      <w:r w:rsidR="00365D25">
        <w:rPr>
          <w:szCs w:val="22"/>
        </w:rPr>
        <w:t xml:space="preserve"> </w:t>
      </w:r>
      <w:r w:rsidR="00547127">
        <w:rPr>
          <w:szCs w:val="22"/>
        </w:rPr>
        <w:t>(</w:t>
      </w:r>
      <w:r w:rsidR="00365D25">
        <w:rPr>
          <w:szCs w:val="22"/>
        </w:rPr>
        <w:t xml:space="preserve">collectively, </w:t>
      </w:r>
      <w:r w:rsidR="00547127">
        <w:rPr>
          <w:szCs w:val="22"/>
        </w:rPr>
        <w:t>Petitioners)</w:t>
      </w:r>
      <w:r w:rsidR="000C118F">
        <w:rPr>
          <w:szCs w:val="22"/>
        </w:rPr>
        <w:t>, filed separate petitions asking</w:t>
      </w:r>
      <w:r w:rsidR="00A84137">
        <w:rPr>
          <w:szCs w:val="22"/>
        </w:rPr>
        <w:t xml:space="preserve"> </w:t>
      </w:r>
      <w:r w:rsidRPr="00966781">
        <w:rPr>
          <w:szCs w:val="22"/>
        </w:rPr>
        <w:t xml:space="preserve">that the Commission </w:t>
      </w:r>
      <w:r w:rsidR="00954BBC">
        <w:rPr>
          <w:szCs w:val="22"/>
        </w:rPr>
        <w:t xml:space="preserve">act </w:t>
      </w:r>
      <w:r w:rsidR="00954BBC" w:rsidRPr="00966781">
        <w:rPr>
          <w:szCs w:val="22"/>
        </w:rPr>
        <w:t xml:space="preserve">pursuant to section </w:t>
      </w:r>
      <w:r w:rsidR="00954BBC">
        <w:rPr>
          <w:szCs w:val="22"/>
        </w:rPr>
        <w:t>706</w:t>
      </w:r>
      <w:r w:rsidR="00954BBC" w:rsidRPr="00966781">
        <w:rPr>
          <w:szCs w:val="22"/>
        </w:rPr>
        <w:t xml:space="preserve"> of the </w:t>
      </w:r>
      <w:r w:rsidR="00954BBC">
        <w:rPr>
          <w:szCs w:val="22"/>
        </w:rPr>
        <w:t>Telecommunications Act of 1996</w:t>
      </w:r>
      <w:r w:rsidR="00954BBC" w:rsidRPr="00966781">
        <w:rPr>
          <w:rStyle w:val="FootnoteReference"/>
          <w:szCs w:val="22"/>
        </w:rPr>
        <w:footnoteReference w:id="1"/>
      </w:r>
      <w:r w:rsidR="00954BBC">
        <w:rPr>
          <w:szCs w:val="22"/>
        </w:rPr>
        <w:t xml:space="preserve"> to </w:t>
      </w:r>
      <w:r w:rsidR="00365D25">
        <w:rPr>
          <w:szCs w:val="22"/>
        </w:rPr>
        <w:t xml:space="preserve">preempt portions of </w:t>
      </w:r>
      <w:r w:rsidR="00954BBC">
        <w:rPr>
          <w:szCs w:val="22"/>
        </w:rPr>
        <w:t xml:space="preserve">Tennessee and North Carolina </w:t>
      </w:r>
      <w:r w:rsidR="00365D25">
        <w:rPr>
          <w:szCs w:val="22"/>
        </w:rPr>
        <w:t>state statutes that restrict the</w:t>
      </w:r>
      <w:r w:rsidR="00954BBC">
        <w:rPr>
          <w:szCs w:val="22"/>
        </w:rPr>
        <w:t>ir ability to</w:t>
      </w:r>
      <w:r w:rsidR="00365D25">
        <w:rPr>
          <w:szCs w:val="22"/>
        </w:rPr>
        <w:t xml:space="preserve"> </w:t>
      </w:r>
      <w:r w:rsidR="00954BBC">
        <w:rPr>
          <w:szCs w:val="22"/>
        </w:rPr>
        <w:t xml:space="preserve">provide </w:t>
      </w:r>
      <w:r w:rsidR="00365D25">
        <w:rPr>
          <w:szCs w:val="22"/>
        </w:rPr>
        <w:t>broadband services</w:t>
      </w:r>
      <w:r w:rsidR="00954BBC">
        <w:rPr>
          <w:szCs w:val="22"/>
        </w:rPr>
        <w:t>.</w:t>
      </w:r>
      <w:r w:rsidR="00A84137" w:rsidRPr="00A84137">
        <w:rPr>
          <w:rStyle w:val="FootnoteReference"/>
          <w:szCs w:val="22"/>
        </w:rPr>
        <w:t xml:space="preserve"> </w:t>
      </w:r>
      <w:r w:rsidR="00A84137">
        <w:rPr>
          <w:rStyle w:val="FootnoteReference"/>
          <w:szCs w:val="22"/>
        </w:rPr>
        <w:footnoteReference w:id="2"/>
      </w:r>
      <w:r w:rsidR="00A84137" w:rsidRPr="00966781">
        <w:rPr>
          <w:szCs w:val="22"/>
        </w:rPr>
        <w:t xml:space="preserve">  </w:t>
      </w:r>
      <w:r w:rsidR="00954BBC">
        <w:rPr>
          <w:szCs w:val="22"/>
        </w:rPr>
        <w:t xml:space="preserve"> </w:t>
      </w:r>
    </w:p>
    <w:p w:rsidR="005E790F" w:rsidRPr="00966781" w:rsidRDefault="00365D25" w:rsidP="0093446D">
      <w:pPr>
        <w:autoSpaceDE w:val="0"/>
        <w:autoSpaceDN w:val="0"/>
        <w:adjustRightInd w:val="0"/>
        <w:spacing w:after="240"/>
        <w:ind w:firstLine="720"/>
        <w:rPr>
          <w:szCs w:val="22"/>
        </w:rPr>
      </w:pPr>
      <w:r>
        <w:rPr>
          <w:szCs w:val="22"/>
        </w:rPr>
        <w:t>The Electric Power Board</w:t>
      </w:r>
      <w:r w:rsidR="00954BBC">
        <w:rPr>
          <w:szCs w:val="22"/>
        </w:rPr>
        <w:t xml:space="preserve"> </w:t>
      </w:r>
      <w:r>
        <w:rPr>
          <w:szCs w:val="22"/>
        </w:rPr>
        <w:t>is an independent board of the City of Chattanooga</w:t>
      </w:r>
      <w:r w:rsidR="00954BBC">
        <w:rPr>
          <w:szCs w:val="22"/>
        </w:rPr>
        <w:t xml:space="preserve"> that provides </w:t>
      </w:r>
      <w:r w:rsidR="00C44254">
        <w:rPr>
          <w:szCs w:val="22"/>
        </w:rPr>
        <w:t xml:space="preserve">electric </w:t>
      </w:r>
      <w:r w:rsidR="002B640E">
        <w:rPr>
          <w:szCs w:val="22"/>
        </w:rPr>
        <w:t xml:space="preserve">and broadband </w:t>
      </w:r>
      <w:r w:rsidR="00954BBC">
        <w:rPr>
          <w:szCs w:val="22"/>
        </w:rPr>
        <w:t xml:space="preserve">service </w:t>
      </w:r>
      <w:r w:rsidR="00D272FA">
        <w:rPr>
          <w:szCs w:val="22"/>
        </w:rPr>
        <w:t>in the Chattanooga area</w:t>
      </w:r>
      <w:r w:rsidR="00954BBC">
        <w:rPr>
          <w:szCs w:val="22"/>
        </w:rPr>
        <w:t>.</w:t>
      </w:r>
      <w:r w:rsidR="00A33A6D">
        <w:rPr>
          <w:rStyle w:val="FootnoteReference"/>
          <w:szCs w:val="22"/>
        </w:rPr>
        <w:footnoteReference w:id="3"/>
      </w:r>
      <w:r w:rsidR="00954BBC">
        <w:rPr>
          <w:szCs w:val="22"/>
        </w:rPr>
        <w:t xml:space="preserve"> </w:t>
      </w:r>
      <w:r w:rsidR="00352D47">
        <w:rPr>
          <w:szCs w:val="22"/>
        </w:rPr>
        <w:t xml:space="preserve"> </w:t>
      </w:r>
      <w:r w:rsidR="00133211">
        <w:rPr>
          <w:szCs w:val="22"/>
        </w:rPr>
        <w:t>The City of Wilson provides electric service in six counties in eastern North Carolina</w:t>
      </w:r>
      <w:r w:rsidR="002B640E">
        <w:rPr>
          <w:szCs w:val="22"/>
        </w:rPr>
        <w:t xml:space="preserve"> and broadband service </w:t>
      </w:r>
      <w:r w:rsidR="00133211">
        <w:rPr>
          <w:szCs w:val="22"/>
        </w:rPr>
        <w:t xml:space="preserve">in Wilson County. </w:t>
      </w:r>
      <w:r w:rsidR="0038790C">
        <w:rPr>
          <w:rStyle w:val="FootnoteReference"/>
          <w:szCs w:val="22"/>
        </w:rPr>
        <w:footnoteReference w:id="4"/>
      </w:r>
      <w:r w:rsidR="00A84137">
        <w:rPr>
          <w:szCs w:val="22"/>
        </w:rPr>
        <w:t xml:space="preserve"> </w:t>
      </w:r>
      <w:r w:rsidR="003A74FB">
        <w:rPr>
          <w:szCs w:val="22"/>
        </w:rPr>
        <w:t xml:space="preserve"> </w:t>
      </w:r>
      <w:r w:rsidR="00A84137">
        <w:rPr>
          <w:szCs w:val="22"/>
        </w:rPr>
        <w:t>Both Petitioners allege that state</w:t>
      </w:r>
      <w:r w:rsidR="003A74FB">
        <w:rPr>
          <w:szCs w:val="22"/>
        </w:rPr>
        <w:t xml:space="preserve"> </w:t>
      </w:r>
      <w:r w:rsidR="00A84137">
        <w:rPr>
          <w:szCs w:val="22"/>
        </w:rPr>
        <w:t xml:space="preserve">laws restrict their ability to expand their </w:t>
      </w:r>
      <w:r w:rsidR="002B640E">
        <w:rPr>
          <w:szCs w:val="22"/>
        </w:rPr>
        <w:t xml:space="preserve">broadband </w:t>
      </w:r>
      <w:r w:rsidR="00A84137">
        <w:rPr>
          <w:szCs w:val="22"/>
        </w:rPr>
        <w:t>service offerings to surrounding areas where customers have expressed interest in these services</w:t>
      </w:r>
      <w:r w:rsidR="007A1C25">
        <w:rPr>
          <w:szCs w:val="22"/>
        </w:rPr>
        <w:t>,</w:t>
      </w:r>
      <w:r w:rsidR="008B765E">
        <w:rPr>
          <w:szCs w:val="22"/>
        </w:rPr>
        <w:t xml:space="preserve"> and </w:t>
      </w:r>
      <w:r w:rsidR="008A4CDA">
        <w:rPr>
          <w:szCs w:val="22"/>
        </w:rPr>
        <w:t xml:space="preserve">they </w:t>
      </w:r>
      <w:r w:rsidR="008B765E">
        <w:rPr>
          <w:szCs w:val="22"/>
        </w:rPr>
        <w:t>request that the Commission preempt such laws</w:t>
      </w:r>
      <w:r w:rsidR="00A84137">
        <w:rPr>
          <w:szCs w:val="22"/>
        </w:rPr>
        <w:t>.</w:t>
      </w:r>
      <w:r w:rsidR="00A84137" w:rsidRPr="00A84137">
        <w:rPr>
          <w:rStyle w:val="FootnoteReference"/>
          <w:szCs w:val="22"/>
        </w:rPr>
        <w:t xml:space="preserve"> </w:t>
      </w:r>
      <w:r w:rsidR="00A84137">
        <w:rPr>
          <w:rStyle w:val="FootnoteReference"/>
          <w:szCs w:val="22"/>
        </w:rPr>
        <w:footnoteReference w:id="5"/>
      </w:r>
      <w:r w:rsidR="00A84137">
        <w:rPr>
          <w:szCs w:val="22"/>
        </w:rPr>
        <w:t xml:space="preserve">     </w:t>
      </w:r>
    </w:p>
    <w:p w:rsidR="00EF2570" w:rsidRDefault="00EF2570" w:rsidP="00EF2570">
      <w:pPr>
        <w:ind w:firstLine="720"/>
      </w:pPr>
      <w:r>
        <w:t>Pursuant to sections 1.415 and 1.419 of the Commission’s rules, 47 C</w:t>
      </w:r>
      <w:r w:rsidR="007A1C25">
        <w:t>.</w:t>
      </w:r>
      <w:r>
        <w:t>F</w:t>
      </w:r>
      <w:r w:rsidR="007A1C25">
        <w:t>.</w:t>
      </w:r>
      <w:r>
        <w:t>R</w:t>
      </w:r>
      <w:r w:rsidR="007A1C25">
        <w:t>.</w:t>
      </w:r>
      <w:r>
        <w:t xml:space="preserve"> §§ 1.415, 1.419, interested parties may file comments </w:t>
      </w:r>
      <w:r w:rsidR="00A37400">
        <w:t xml:space="preserve">on or before </w:t>
      </w:r>
      <w:r w:rsidR="00A37400" w:rsidRPr="00A37400">
        <w:rPr>
          <w:b/>
        </w:rPr>
        <w:t>August 2</w:t>
      </w:r>
      <w:r w:rsidR="003841E8">
        <w:rPr>
          <w:b/>
        </w:rPr>
        <w:t>9</w:t>
      </w:r>
      <w:r w:rsidR="00A37400" w:rsidRPr="00A37400">
        <w:rPr>
          <w:b/>
        </w:rPr>
        <w:t xml:space="preserve">, 2014 </w:t>
      </w:r>
      <w:r>
        <w:t xml:space="preserve">and reply comments on or before </w:t>
      </w:r>
      <w:r w:rsidR="00A37400" w:rsidRPr="00A37400">
        <w:rPr>
          <w:b/>
        </w:rPr>
        <w:lastRenderedPageBreak/>
        <w:t xml:space="preserve">September </w:t>
      </w:r>
      <w:r w:rsidR="0086028A">
        <w:rPr>
          <w:b/>
        </w:rPr>
        <w:t>2</w:t>
      </w:r>
      <w:r w:rsidR="003841E8">
        <w:rPr>
          <w:b/>
        </w:rPr>
        <w:t>9</w:t>
      </w:r>
      <w:r w:rsidR="00A37400" w:rsidRPr="00A37400">
        <w:rPr>
          <w:b/>
        </w:rPr>
        <w:t>, 2014</w:t>
      </w:r>
      <w:r w:rsidR="00A37400">
        <w:t xml:space="preserve">, as </w:t>
      </w:r>
      <w:r>
        <w:t xml:space="preserve">indicated </w:t>
      </w:r>
      <w:r w:rsidR="00A37400">
        <w:t xml:space="preserve">above.  </w:t>
      </w:r>
      <w:r>
        <w:t xml:space="preserve">Comments may be filed using the Commission’s Electronic Comment Filing System (ECFS).  </w:t>
      </w:r>
      <w:r>
        <w:rPr>
          <w:i/>
        </w:rPr>
        <w:t>See Electronic Filing of Documents in Rulemaking Proceedings</w:t>
      </w:r>
      <w:r>
        <w:t>, 63 FR 24121 (1998).</w:t>
      </w:r>
    </w:p>
    <w:p w:rsidR="00EF2570" w:rsidRDefault="00EF2570" w:rsidP="00EF2570">
      <w:pPr>
        <w:ind w:firstLine="720"/>
      </w:pPr>
    </w:p>
    <w:p w:rsidR="00A92C3E" w:rsidRDefault="00A92C3E" w:rsidP="00A92C3E">
      <w:pPr>
        <w:numPr>
          <w:ilvl w:val="0"/>
          <w:numId w:val="17"/>
        </w:numPr>
      </w:pPr>
      <w:r>
        <w:t xml:space="preserve">Electronic Filers:  Comments may be filed electronically using the Internet by accessing the ECFS:  </w:t>
      </w:r>
      <w:r w:rsidR="007D12AE" w:rsidRPr="00586224">
        <w:t>http://fjallfoss.fcc.gov/ecfs2/</w:t>
      </w:r>
      <w:r w:rsidR="007D12AE">
        <w:t>.</w:t>
      </w:r>
      <w:r>
        <w:t xml:space="preserve">  </w:t>
      </w:r>
    </w:p>
    <w:p w:rsidR="005E790F" w:rsidRPr="00966781" w:rsidRDefault="005E790F" w:rsidP="005E790F">
      <w:pPr>
        <w:rPr>
          <w:szCs w:val="22"/>
        </w:rPr>
      </w:pPr>
    </w:p>
    <w:p w:rsidR="005E790F" w:rsidRPr="00966781" w:rsidRDefault="005E790F" w:rsidP="005E790F">
      <w:pPr>
        <w:numPr>
          <w:ilvl w:val="0"/>
          <w:numId w:val="15"/>
        </w:numPr>
        <w:rPr>
          <w:szCs w:val="22"/>
        </w:rPr>
      </w:pPr>
      <w:r w:rsidRPr="00966781">
        <w:rPr>
          <w:szCs w:val="22"/>
        </w:rPr>
        <w:t xml:space="preserve">Paper Filers:  Parties who choose to file by paper must file an original and one copy of each filing.  </w:t>
      </w:r>
      <w:r w:rsidR="003841E8">
        <w:rPr>
          <w:szCs w:val="22"/>
        </w:rPr>
        <w:t>Because</w:t>
      </w:r>
      <w:r w:rsidRPr="00966781">
        <w:rPr>
          <w:szCs w:val="22"/>
        </w:rPr>
        <w:t xml:space="preserve"> more than one docket number appears in the caption of this proceeding, filers must submit two additional copies for </w:t>
      </w:r>
      <w:r w:rsidR="003841E8">
        <w:rPr>
          <w:szCs w:val="22"/>
        </w:rPr>
        <w:t>the</w:t>
      </w:r>
      <w:r w:rsidRPr="00966781">
        <w:rPr>
          <w:szCs w:val="22"/>
        </w:rPr>
        <w:t xml:space="preserve"> additional docket number.  </w:t>
      </w:r>
      <w:r w:rsidRPr="00966781">
        <w:rPr>
          <w:b/>
          <w:szCs w:val="22"/>
        </w:rPr>
        <w:t>Parties are strongly encouraged to file comments electronically using the Commission’s ECFS.</w:t>
      </w:r>
    </w:p>
    <w:p w:rsidR="005E790F" w:rsidRPr="00966781" w:rsidRDefault="005E790F" w:rsidP="005E790F">
      <w:pPr>
        <w:rPr>
          <w:szCs w:val="22"/>
        </w:rPr>
      </w:pPr>
    </w:p>
    <w:p w:rsidR="005E790F" w:rsidRPr="00966781" w:rsidRDefault="005E790F" w:rsidP="005E790F">
      <w:pPr>
        <w:ind w:firstLine="720"/>
        <w:rPr>
          <w:szCs w:val="22"/>
        </w:rPr>
      </w:pPr>
      <w:r w:rsidRPr="0096678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E790F" w:rsidRPr="00966781" w:rsidRDefault="005E790F" w:rsidP="005E790F">
      <w:pPr>
        <w:rPr>
          <w:szCs w:val="22"/>
        </w:rPr>
      </w:pPr>
    </w:p>
    <w:p w:rsidR="005E790F" w:rsidRPr="00966781" w:rsidRDefault="005E790F" w:rsidP="005E790F">
      <w:pPr>
        <w:numPr>
          <w:ilvl w:val="0"/>
          <w:numId w:val="14"/>
        </w:numPr>
        <w:rPr>
          <w:szCs w:val="22"/>
        </w:rPr>
      </w:pPr>
      <w:r w:rsidRPr="00966781">
        <w:rPr>
          <w:szCs w:val="22"/>
        </w:rPr>
        <w:t>All hand-delivered or messenger-delivered paper filings for the Commission’s Secretary must be delivered to FCC Headquarters at 445 12</w:t>
      </w:r>
      <w:r w:rsidRPr="00966781">
        <w:rPr>
          <w:szCs w:val="22"/>
          <w:vertAlign w:val="superscript"/>
        </w:rPr>
        <w:t>th</w:t>
      </w:r>
      <w:r w:rsidRPr="00966781">
        <w:rPr>
          <w:szCs w:val="22"/>
        </w:rPr>
        <w:t xml:space="preserve"> St., SW, Room TW-A325, Washington, DC 20554.  The filing hours are 8:00 a.m. to 7:00 p.m.   All hand deliveries must be held together with rubber bands or fasteners.  Any envelopes and boxes must be disposed of </w:t>
      </w:r>
      <w:r w:rsidRPr="00966781">
        <w:rPr>
          <w:szCs w:val="22"/>
          <w:u w:val="single"/>
        </w:rPr>
        <w:t>before</w:t>
      </w:r>
      <w:r w:rsidRPr="00966781">
        <w:rPr>
          <w:szCs w:val="22"/>
        </w:rPr>
        <w:t xml:space="preserve"> entering the building.  </w:t>
      </w:r>
    </w:p>
    <w:p w:rsidR="005E790F" w:rsidRPr="00966781" w:rsidRDefault="005E790F" w:rsidP="005E790F">
      <w:pPr>
        <w:ind w:left="1080"/>
        <w:rPr>
          <w:szCs w:val="22"/>
        </w:rPr>
      </w:pPr>
    </w:p>
    <w:p w:rsidR="005E790F" w:rsidRPr="00966781" w:rsidRDefault="005E790F" w:rsidP="005E790F">
      <w:pPr>
        <w:numPr>
          <w:ilvl w:val="0"/>
          <w:numId w:val="14"/>
        </w:numPr>
        <w:rPr>
          <w:szCs w:val="22"/>
        </w:rPr>
      </w:pPr>
      <w:r w:rsidRPr="00966781">
        <w:rPr>
          <w:szCs w:val="22"/>
        </w:rPr>
        <w:t>Commercial overnight mail (other than U.S. Postal Service Express Mail and Priority Mail) must be sent to 9300 East Hampton Drive, Capitol Heights, MD  20743.</w:t>
      </w:r>
    </w:p>
    <w:p w:rsidR="005E790F" w:rsidRPr="00966781" w:rsidRDefault="005E790F" w:rsidP="005E790F">
      <w:pPr>
        <w:rPr>
          <w:szCs w:val="22"/>
        </w:rPr>
      </w:pPr>
    </w:p>
    <w:p w:rsidR="005E790F" w:rsidRPr="00966781" w:rsidRDefault="005E790F" w:rsidP="005E790F">
      <w:pPr>
        <w:numPr>
          <w:ilvl w:val="0"/>
          <w:numId w:val="14"/>
        </w:numPr>
        <w:rPr>
          <w:szCs w:val="22"/>
        </w:rPr>
      </w:pPr>
      <w:r w:rsidRPr="00966781">
        <w:rPr>
          <w:szCs w:val="22"/>
        </w:rPr>
        <w:t>U.S. Postal Service first-class, Express, and Priority mail must be addressed to 445 12</w:t>
      </w:r>
      <w:r w:rsidRPr="00966781">
        <w:rPr>
          <w:szCs w:val="22"/>
          <w:vertAlign w:val="superscript"/>
        </w:rPr>
        <w:t>th</w:t>
      </w:r>
      <w:r w:rsidRPr="00966781">
        <w:rPr>
          <w:szCs w:val="22"/>
        </w:rPr>
        <w:t xml:space="preserve"> Street, SW, Washington DC  20554.</w:t>
      </w:r>
    </w:p>
    <w:p w:rsidR="005E790F" w:rsidRPr="00966781" w:rsidRDefault="005E790F" w:rsidP="005E790F">
      <w:pPr>
        <w:rPr>
          <w:szCs w:val="22"/>
        </w:rPr>
      </w:pPr>
    </w:p>
    <w:p w:rsidR="005E790F" w:rsidRPr="00966781" w:rsidRDefault="005E790F" w:rsidP="005E790F">
      <w:pPr>
        <w:ind w:firstLine="720"/>
        <w:rPr>
          <w:szCs w:val="22"/>
        </w:rPr>
      </w:pPr>
      <w:r w:rsidRPr="00966781">
        <w:rPr>
          <w:szCs w:val="22"/>
        </w:rPr>
        <w:t xml:space="preserve">People with Disabilities:  To request materials in accessible formats for people with disabilities (braille, large print, electronic files, audio format), send an e-mail to </w:t>
      </w:r>
      <w:r w:rsidR="007D12AE" w:rsidRPr="00586224">
        <w:rPr>
          <w:szCs w:val="22"/>
        </w:rPr>
        <w:t>fcc504@fcc.gov</w:t>
      </w:r>
      <w:r w:rsidR="00805015">
        <w:rPr>
          <w:szCs w:val="22"/>
        </w:rPr>
        <w:t xml:space="preserve"> </w:t>
      </w:r>
      <w:r w:rsidRPr="00966781">
        <w:rPr>
          <w:szCs w:val="22"/>
        </w:rPr>
        <w:t>or call the Consumer and Governmental Affairs Bureau at 202-418-0530 (voice), 202-418-0432 (tty).</w:t>
      </w:r>
    </w:p>
    <w:p w:rsidR="00805015" w:rsidRDefault="00805015" w:rsidP="00176FCC">
      <w:pPr>
        <w:pStyle w:val="ParaNum"/>
        <w:numPr>
          <w:ilvl w:val="0"/>
          <w:numId w:val="0"/>
        </w:numPr>
        <w:spacing w:after="0"/>
        <w:jc w:val="left"/>
        <w:rPr>
          <w:snapToGrid/>
          <w:spacing w:val="-2"/>
          <w:kern w:val="0"/>
          <w:szCs w:val="22"/>
        </w:rPr>
      </w:pPr>
    </w:p>
    <w:p w:rsidR="00805015" w:rsidRDefault="00805015" w:rsidP="00176FCC">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AA0556">
        <w:rPr>
          <w:iCs/>
        </w:rPr>
        <w:t>e.g.</w:t>
      </w:r>
      <w:r>
        <w:t xml:space="preserve">, .doc, .xml, .ppt, searchable .pdf).  Participants in this proceeding should familiarize themselves with the Commission’s </w:t>
      </w:r>
      <w:r>
        <w:rPr>
          <w:i/>
          <w:iCs/>
        </w:rPr>
        <w:t xml:space="preserve">ex parte </w:t>
      </w:r>
      <w:r>
        <w:t>rules.</w:t>
      </w:r>
    </w:p>
    <w:p w:rsidR="00805015" w:rsidRPr="00805015" w:rsidRDefault="00805015" w:rsidP="00805015">
      <w:pPr>
        <w:ind w:firstLine="720"/>
      </w:pPr>
    </w:p>
    <w:p w:rsidR="005E790F" w:rsidRPr="00966781" w:rsidRDefault="005E790F" w:rsidP="005E790F">
      <w:pPr>
        <w:spacing w:after="240"/>
        <w:ind w:firstLine="720"/>
        <w:rPr>
          <w:szCs w:val="22"/>
        </w:rPr>
      </w:pPr>
      <w:r w:rsidRPr="00966781">
        <w:rPr>
          <w:szCs w:val="22"/>
        </w:rPr>
        <w:t xml:space="preserve">For further information regarding this proceeding, contact </w:t>
      </w:r>
      <w:r w:rsidR="00A37400">
        <w:rPr>
          <w:szCs w:val="22"/>
        </w:rPr>
        <w:t>Claudia Pabo</w:t>
      </w:r>
      <w:r w:rsidR="00866A4E">
        <w:rPr>
          <w:szCs w:val="22"/>
        </w:rPr>
        <w:t xml:space="preserve"> or Matt Warner of</w:t>
      </w:r>
      <w:r w:rsidRPr="00966781">
        <w:rPr>
          <w:szCs w:val="22"/>
        </w:rPr>
        <w:t xml:space="preserve"> </w:t>
      </w:r>
      <w:r w:rsidR="00866A4E">
        <w:rPr>
          <w:szCs w:val="22"/>
        </w:rPr>
        <w:t xml:space="preserve">the </w:t>
      </w:r>
      <w:r w:rsidRPr="00966781">
        <w:rPr>
          <w:szCs w:val="22"/>
        </w:rPr>
        <w:t xml:space="preserve">Competition Policy Division, Wireline Competition Bureau, </w:t>
      </w:r>
      <w:r w:rsidR="00866A4E">
        <w:rPr>
          <w:szCs w:val="22"/>
        </w:rPr>
        <w:t>at (202) 418-1595 or (202) 418-</w:t>
      </w:r>
      <w:r w:rsidRPr="00966781">
        <w:rPr>
          <w:szCs w:val="22"/>
        </w:rPr>
        <w:t xml:space="preserve">2419.  </w:t>
      </w:r>
    </w:p>
    <w:p w:rsidR="005E790F" w:rsidRPr="00756DB9" w:rsidRDefault="005E790F" w:rsidP="005E790F">
      <w:pPr>
        <w:spacing w:after="240"/>
        <w:jc w:val="center"/>
        <w:rPr>
          <w:b/>
          <w:szCs w:val="22"/>
        </w:rPr>
      </w:pPr>
      <w:r w:rsidRPr="00756DB9">
        <w:rPr>
          <w:b/>
          <w:szCs w:val="22"/>
        </w:rPr>
        <w:t>- FCC -</w:t>
      </w:r>
    </w:p>
    <w:sectPr w:rsidR="005E790F" w:rsidRPr="00756DB9" w:rsidSect="001A38E8">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32" w:rsidRDefault="009E0232">
      <w:r>
        <w:separator/>
      </w:r>
    </w:p>
  </w:endnote>
  <w:endnote w:type="continuationSeparator" w:id="0">
    <w:p w:rsidR="009E0232" w:rsidRDefault="009E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F0" w:rsidRDefault="00484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37" w:rsidRDefault="00A84137">
    <w:pPr>
      <w:pStyle w:val="Footer"/>
      <w:jc w:val="center"/>
    </w:pPr>
    <w:r>
      <w:fldChar w:fldCharType="begin"/>
    </w:r>
    <w:r>
      <w:instrText xml:space="preserve"> PAGE   \* MERGEFORMAT </w:instrText>
    </w:r>
    <w:r>
      <w:fldChar w:fldCharType="separate"/>
    </w:r>
    <w:r w:rsidR="00AA0556">
      <w:rPr>
        <w:noProof/>
      </w:rPr>
      <w:t>2</w:t>
    </w:r>
    <w:r>
      <w:rPr>
        <w:noProof/>
      </w:rPr>
      <w:fldChar w:fldCharType="end"/>
    </w:r>
  </w:p>
  <w:p w:rsidR="00A84137" w:rsidRDefault="00A84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F0" w:rsidRDefault="0048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32" w:rsidRDefault="009E0232">
      <w:r>
        <w:separator/>
      </w:r>
    </w:p>
  </w:footnote>
  <w:footnote w:type="continuationSeparator" w:id="0">
    <w:p w:rsidR="009E0232" w:rsidRDefault="009E0232">
      <w:r>
        <w:continuationSeparator/>
      </w:r>
    </w:p>
  </w:footnote>
  <w:footnote w:id="1">
    <w:p w:rsidR="00A84137" w:rsidRPr="00393381" w:rsidRDefault="00A84137" w:rsidP="003841E8">
      <w:pPr>
        <w:pStyle w:val="FootnoteText"/>
        <w:tabs>
          <w:tab w:val="clear" w:pos="720"/>
          <w:tab w:val="left" w:pos="360"/>
        </w:tabs>
        <w:spacing w:after="120"/>
        <w:rPr>
          <w:sz w:val="20"/>
        </w:rPr>
      </w:pPr>
      <w:r w:rsidRPr="00393381">
        <w:rPr>
          <w:rStyle w:val="FootnoteReference"/>
          <w:sz w:val="20"/>
        </w:rPr>
        <w:footnoteRef/>
      </w:r>
      <w:r w:rsidRPr="00393381">
        <w:rPr>
          <w:sz w:val="20"/>
        </w:rPr>
        <w:t xml:space="preserve"> </w:t>
      </w:r>
      <w:r w:rsidR="007D12AE" w:rsidRPr="00E4206E">
        <w:rPr>
          <w:snapToGrid w:val="0"/>
          <w:sz w:val="20"/>
        </w:rPr>
        <w:t>Section 706 of the</w:t>
      </w:r>
      <w:r w:rsidR="007D12AE" w:rsidRPr="00586224">
        <w:rPr>
          <w:sz w:val="20"/>
        </w:rPr>
        <w:t xml:space="preserve"> </w:t>
      </w:r>
      <w:r w:rsidR="007D12AE" w:rsidRPr="00E4206E">
        <w:rPr>
          <w:snapToGrid w:val="0"/>
          <w:sz w:val="20"/>
        </w:rPr>
        <w:t>Telecommunications Act of 1996, Pub. L. No. 104-104, § 706, 110 Stat. 56, 153 (1996), as amended by the Broadband Data Improvement Act, Pub. L. No. 110-385, 122 Stat. 4096 (2008), is now codified in Title 47, Chapter 12 of the United States Code</w:t>
      </w:r>
      <w:r w:rsidR="007D12AE">
        <w:rPr>
          <w:snapToGrid w:val="0"/>
          <w:sz w:val="20"/>
        </w:rPr>
        <w:t>, at</w:t>
      </w:r>
      <w:r w:rsidRPr="00393381">
        <w:rPr>
          <w:sz w:val="20"/>
        </w:rPr>
        <w:t xml:space="preserve"> 47 U.S.C. § 1302.</w:t>
      </w:r>
    </w:p>
  </w:footnote>
  <w:footnote w:id="2">
    <w:p w:rsidR="00A84137" w:rsidRPr="00393381" w:rsidRDefault="00A84137" w:rsidP="003841E8">
      <w:pPr>
        <w:pStyle w:val="FootnoteText"/>
        <w:spacing w:after="120"/>
        <w:rPr>
          <w:sz w:val="20"/>
        </w:rPr>
      </w:pPr>
      <w:r w:rsidRPr="00393381">
        <w:rPr>
          <w:rStyle w:val="FootnoteReference"/>
          <w:sz w:val="20"/>
        </w:rPr>
        <w:footnoteRef/>
      </w:r>
      <w:r w:rsidRPr="00393381">
        <w:rPr>
          <w:sz w:val="20"/>
        </w:rPr>
        <w:t xml:space="preserve"> </w:t>
      </w:r>
      <w:r w:rsidRPr="00E65FC5">
        <w:rPr>
          <w:i/>
          <w:sz w:val="20"/>
        </w:rPr>
        <w:t>See</w:t>
      </w:r>
      <w:r w:rsidRPr="00E65FC5">
        <w:rPr>
          <w:sz w:val="20"/>
        </w:rPr>
        <w:t xml:space="preserve"> Petition Pursuant to Section 706 of the Telecommunications Act of 1996 for Removal of State Barriers to Broadband Investment and Competition, filed by Electric Power Board, Chattanooga, Tennessee</w:t>
      </w:r>
      <w:r w:rsidR="004D20BC">
        <w:rPr>
          <w:sz w:val="20"/>
        </w:rPr>
        <w:t>, WC Docket No. 14-116</w:t>
      </w:r>
      <w:r w:rsidRPr="00E65FC5">
        <w:rPr>
          <w:sz w:val="20"/>
        </w:rPr>
        <w:t xml:space="preserve"> (filed July 24, 2014) (EPB Petition)</w:t>
      </w:r>
      <w:r w:rsidR="00EE2124" w:rsidRPr="00E65FC5">
        <w:rPr>
          <w:sz w:val="20"/>
        </w:rPr>
        <w:t xml:space="preserve">; </w:t>
      </w:r>
      <w:r w:rsidRPr="00E65FC5">
        <w:rPr>
          <w:sz w:val="20"/>
        </w:rPr>
        <w:t>Petition Pursuant to Section 706 of the Telecommunications Act of 1996 for Removal of State Barriers to Broadband Investment and Competition, filed by City of Wilson, North Carolina</w:t>
      </w:r>
      <w:r w:rsidR="004D20BC">
        <w:rPr>
          <w:sz w:val="20"/>
        </w:rPr>
        <w:t>, WC Docket No. 14-115</w:t>
      </w:r>
      <w:r w:rsidR="004D20BC" w:rsidRPr="00E65FC5">
        <w:rPr>
          <w:sz w:val="20"/>
        </w:rPr>
        <w:t xml:space="preserve"> </w:t>
      </w:r>
      <w:r w:rsidRPr="00E65FC5">
        <w:rPr>
          <w:sz w:val="20"/>
        </w:rPr>
        <w:t>(filed July 24, 2014) (Wilson Petition).</w:t>
      </w:r>
    </w:p>
  </w:footnote>
  <w:footnote w:id="3">
    <w:p w:rsidR="00A84137" w:rsidRPr="00393381" w:rsidRDefault="00A84137" w:rsidP="003841E8">
      <w:pPr>
        <w:pStyle w:val="FootnoteText"/>
        <w:spacing w:after="120"/>
        <w:rPr>
          <w:sz w:val="20"/>
        </w:rPr>
      </w:pPr>
      <w:r w:rsidRPr="00393381">
        <w:rPr>
          <w:rStyle w:val="FootnoteReference"/>
          <w:sz w:val="20"/>
        </w:rPr>
        <w:footnoteRef/>
      </w:r>
      <w:r w:rsidRPr="00393381">
        <w:rPr>
          <w:sz w:val="20"/>
        </w:rPr>
        <w:t xml:space="preserve"> </w:t>
      </w:r>
      <w:r w:rsidR="00EE2124" w:rsidRPr="00393381">
        <w:rPr>
          <w:sz w:val="20"/>
        </w:rPr>
        <w:t>EPB Petition</w:t>
      </w:r>
      <w:r w:rsidRPr="00393381">
        <w:rPr>
          <w:sz w:val="20"/>
        </w:rPr>
        <w:t xml:space="preserve"> at 16</w:t>
      </w:r>
      <w:r w:rsidR="002B640E" w:rsidRPr="00393381">
        <w:rPr>
          <w:sz w:val="20"/>
        </w:rPr>
        <w:t>, 20</w:t>
      </w:r>
      <w:r w:rsidRPr="00393381">
        <w:rPr>
          <w:sz w:val="20"/>
        </w:rPr>
        <w:t>.</w:t>
      </w:r>
    </w:p>
  </w:footnote>
  <w:footnote w:id="4">
    <w:p w:rsidR="00A84137" w:rsidRPr="00393381" w:rsidRDefault="00A84137" w:rsidP="003841E8">
      <w:pPr>
        <w:pStyle w:val="FootnoteText"/>
        <w:spacing w:after="120"/>
        <w:rPr>
          <w:sz w:val="20"/>
        </w:rPr>
      </w:pPr>
      <w:r w:rsidRPr="00393381">
        <w:rPr>
          <w:rStyle w:val="FootnoteReference"/>
          <w:sz w:val="20"/>
        </w:rPr>
        <w:footnoteRef/>
      </w:r>
      <w:r w:rsidRPr="00393381">
        <w:rPr>
          <w:sz w:val="20"/>
        </w:rPr>
        <w:t xml:space="preserve"> Wilson Petition at 2.</w:t>
      </w:r>
    </w:p>
  </w:footnote>
  <w:footnote w:id="5">
    <w:p w:rsidR="00A84137" w:rsidRPr="00393381" w:rsidRDefault="00A84137" w:rsidP="003841E8">
      <w:pPr>
        <w:pStyle w:val="FootnoteText"/>
        <w:spacing w:after="120"/>
        <w:rPr>
          <w:sz w:val="20"/>
        </w:rPr>
      </w:pPr>
      <w:r w:rsidRPr="00393381">
        <w:rPr>
          <w:rStyle w:val="FootnoteReference"/>
          <w:sz w:val="20"/>
        </w:rPr>
        <w:footnoteRef/>
      </w:r>
      <w:r w:rsidRPr="00393381">
        <w:rPr>
          <w:sz w:val="20"/>
        </w:rPr>
        <w:t xml:space="preserve"> </w:t>
      </w:r>
      <w:r w:rsidR="00586224">
        <w:rPr>
          <w:i/>
          <w:sz w:val="20"/>
        </w:rPr>
        <w:t>Id</w:t>
      </w:r>
      <w:r w:rsidR="00586224">
        <w:rPr>
          <w:sz w:val="20"/>
        </w:rPr>
        <w:t>.</w:t>
      </w:r>
      <w:r w:rsidR="008B765E" w:rsidRPr="00393381">
        <w:rPr>
          <w:sz w:val="20"/>
        </w:rPr>
        <w:t xml:space="preserve"> at 1-2</w:t>
      </w:r>
      <w:r w:rsidR="00EE2124" w:rsidRPr="00393381">
        <w:rPr>
          <w:sz w:val="20"/>
        </w:rPr>
        <w:t>; EPB Petition at 1-2.</w:t>
      </w:r>
    </w:p>
  </w:footnote>
  <w:footnote w:id="6">
    <w:p w:rsidR="00A84137" w:rsidRPr="00393381" w:rsidRDefault="00A84137" w:rsidP="003841E8">
      <w:pPr>
        <w:pStyle w:val="FootnoteText"/>
        <w:spacing w:after="120"/>
        <w:rPr>
          <w:i/>
          <w:iCs/>
          <w:sz w:val="20"/>
        </w:rPr>
      </w:pPr>
      <w:r w:rsidRPr="00393381">
        <w:rPr>
          <w:rStyle w:val="FootnoteReference"/>
          <w:sz w:val="20"/>
        </w:rPr>
        <w:footnoteRef/>
      </w:r>
      <w:r w:rsidRPr="00393381">
        <w:rPr>
          <w:sz w:val="20"/>
        </w:rPr>
        <w:t xml:space="preserve"> 47 C.F.R. §§ 1.1200 </w:t>
      </w:r>
      <w:r w:rsidRPr="00393381">
        <w:rPr>
          <w:i/>
          <w:iCs/>
          <w:sz w:val="20"/>
        </w:rPr>
        <w:t>et seq.</w:t>
      </w:r>
    </w:p>
    <w:p w:rsidR="00A84137" w:rsidRPr="00393381" w:rsidRDefault="00A84137" w:rsidP="003841E8">
      <w:pPr>
        <w:pStyle w:val="FootnoteText"/>
        <w:spacing w:after="120"/>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F0" w:rsidRDefault="00484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F0" w:rsidRDefault="00484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37" w:rsidRDefault="00A8413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0A41BED" wp14:editId="72D01867">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A84137" w:rsidRDefault="00A8413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445284C" wp14:editId="5C27AF45">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97BC4BA" wp14:editId="1C370B88">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137" w:rsidRDefault="00A84137">
                          <w:pPr>
                            <w:rPr>
                              <w:rFonts w:ascii="Arial" w:hAnsi="Arial"/>
                              <w:b/>
                            </w:rPr>
                          </w:pPr>
                          <w:r>
                            <w:rPr>
                              <w:rFonts w:ascii="Arial" w:hAnsi="Arial"/>
                              <w:b/>
                            </w:rPr>
                            <w:t>Federal Communications Commission</w:t>
                          </w:r>
                        </w:p>
                        <w:p w:rsidR="00A84137" w:rsidRDefault="00A8413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4137" w:rsidRDefault="00A8413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A84137" w:rsidRDefault="00A84137">
                    <w:pPr>
                      <w:rPr>
                        <w:rFonts w:ascii="Arial" w:hAnsi="Arial"/>
                        <w:b/>
                      </w:rPr>
                    </w:pPr>
                    <w:r>
                      <w:rPr>
                        <w:rFonts w:ascii="Arial" w:hAnsi="Arial"/>
                        <w:b/>
                      </w:rPr>
                      <w:t>Federal Communications Commission</w:t>
                    </w:r>
                  </w:p>
                  <w:p w:rsidR="00A84137" w:rsidRDefault="00A8413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84137" w:rsidRDefault="00A8413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6C232E8" wp14:editId="6327A13B">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137" w:rsidRDefault="00A84137">
                          <w:pPr>
                            <w:spacing w:before="40"/>
                            <w:jc w:val="right"/>
                            <w:rPr>
                              <w:rFonts w:ascii="Arial" w:hAnsi="Arial"/>
                              <w:b/>
                              <w:sz w:val="16"/>
                            </w:rPr>
                          </w:pPr>
                          <w:r>
                            <w:rPr>
                              <w:rFonts w:ascii="Arial" w:hAnsi="Arial"/>
                              <w:b/>
                              <w:sz w:val="16"/>
                            </w:rPr>
                            <w:t>News Media Information 202 / 418-0500</w:t>
                          </w:r>
                        </w:p>
                        <w:p w:rsidR="00A84137" w:rsidRDefault="00A8413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84137" w:rsidRDefault="00A84137">
                          <w:pPr>
                            <w:jc w:val="right"/>
                            <w:rPr>
                              <w:rFonts w:ascii="Arial" w:hAnsi="Arial"/>
                              <w:b/>
                              <w:sz w:val="16"/>
                            </w:rPr>
                          </w:pPr>
                          <w:r>
                            <w:rPr>
                              <w:rFonts w:ascii="Arial" w:hAnsi="Arial"/>
                              <w:b/>
                              <w:sz w:val="16"/>
                            </w:rPr>
                            <w:t>TTY: 1-888-835-5322</w:t>
                          </w:r>
                        </w:p>
                        <w:p w:rsidR="00A84137" w:rsidRDefault="00A8413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A84137" w:rsidRDefault="00A84137">
                    <w:pPr>
                      <w:spacing w:before="40"/>
                      <w:jc w:val="right"/>
                      <w:rPr>
                        <w:rFonts w:ascii="Arial" w:hAnsi="Arial"/>
                        <w:b/>
                        <w:sz w:val="16"/>
                      </w:rPr>
                    </w:pPr>
                    <w:r>
                      <w:rPr>
                        <w:rFonts w:ascii="Arial" w:hAnsi="Arial"/>
                        <w:b/>
                        <w:sz w:val="16"/>
                      </w:rPr>
                      <w:t>News Media Information 202 / 418-0500</w:t>
                    </w:r>
                  </w:p>
                  <w:p w:rsidR="00A84137" w:rsidRDefault="00A8413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84137" w:rsidRDefault="00A84137">
                    <w:pPr>
                      <w:jc w:val="right"/>
                      <w:rPr>
                        <w:rFonts w:ascii="Arial" w:hAnsi="Arial"/>
                        <w:b/>
                        <w:sz w:val="16"/>
                      </w:rPr>
                    </w:pPr>
                    <w:r>
                      <w:rPr>
                        <w:rFonts w:ascii="Arial" w:hAnsi="Arial"/>
                        <w:b/>
                        <w:sz w:val="16"/>
                      </w:rPr>
                      <w:t>TTY: 1-888-835-5322</w:t>
                    </w:r>
                  </w:p>
                  <w:p w:rsidR="00A84137" w:rsidRDefault="00A84137">
                    <w:pPr>
                      <w:jc w:val="right"/>
                    </w:pPr>
                  </w:p>
                </w:txbxContent>
              </v:textbox>
            </v:shape>
          </w:pict>
        </mc:Fallback>
      </mc:AlternateContent>
    </w:r>
  </w:p>
  <w:p w:rsidR="00A84137" w:rsidRDefault="00A8413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C850744"/>
    <w:multiLevelType w:val="hybridMultilevel"/>
    <w:tmpl w:val="D766093C"/>
    <w:lvl w:ilvl="0" w:tplc="F16EBDC8">
      <w:start w:val="1"/>
      <w:numFmt w:val="bullet"/>
      <w:lvlText w:val=""/>
      <w:lvlJc w:val="left"/>
      <w:pPr>
        <w:tabs>
          <w:tab w:val="num" w:pos="720"/>
        </w:tabs>
        <w:ind w:left="720" w:hanging="360"/>
      </w:pPr>
      <w:rPr>
        <w:rFonts w:ascii="Symbol" w:hAnsi="Symbol" w:hint="default"/>
      </w:rPr>
    </w:lvl>
    <w:lvl w:ilvl="1" w:tplc="26E6C6E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0B10D95"/>
    <w:multiLevelType w:val="hybridMultilevel"/>
    <w:tmpl w:val="89F6280C"/>
    <w:lvl w:ilvl="0" w:tplc="F16EB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0"/>
  </w:num>
  <w:num w:numId="14">
    <w:abstractNumId w:val="10"/>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0F"/>
    <w:rsid w:val="00015DB9"/>
    <w:rsid w:val="000265AE"/>
    <w:rsid w:val="000A0AE9"/>
    <w:rsid w:val="000C118F"/>
    <w:rsid w:val="00133211"/>
    <w:rsid w:val="001369D6"/>
    <w:rsid w:val="00140A11"/>
    <w:rsid w:val="00176FCC"/>
    <w:rsid w:val="001A38E8"/>
    <w:rsid w:val="00224A4C"/>
    <w:rsid w:val="00236393"/>
    <w:rsid w:val="002A3E24"/>
    <w:rsid w:val="002B640E"/>
    <w:rsid w:val="002D0F65"/>
    <w:rsid w:val="003121DB"/>
    <w:rsid w:val="0033317B"/>
    <w:rsid w:val="00352D47"/>
    <w:rsid w:val="00365D25"/>
    <w:rsid w:val="00377436"/>
    <w:rsid w:val="003841E8"/>
    <w:rsid w:val="003876ED"/>
    <w:rsid w:val="0038790C"/>
    <w:rsid w:val="00393381"/>
    <w:rsid w:val="003A74FB"/>
    <w:rsid w:val="003B4168"/>
    <w:rsid w:val="004846F0"/>
    <w:rsid w:val="0049411E"/>
    <w:rsid w:val="004B4992"/>
    <w:rsid w:val="004D20BC"/>
    <w:rsid w:val="0052543C"/>
    <w:rsid w:val="00547127"/>
    <w:rsid w:val="005540AF"/>
    <w:rsid w:val="00573DA5"/>
    <w:rsid w:val="00586224"/>
    <w:rsid w:val="00586FF2"/>
    <w:rsid w:val="005D033F"/>
    <w:rsid w:val="005E4B6C"/>
    <w:rsid w:val="005E790F"/>
    <w:rsid w:val="00602577"/>
    <w:rsid w:val="00641CD0"/>
    <w:rsid w:val="006B06C5"/>
    <w:rsid w:val="00756DB9"/>
    <w:rsid w:val="00795AB8"/>
    <w:rsid w:val="007A1C25"/>
    <w:rsid w:val="007A6142"/>
    <w:rsid w:val="007D12AE"/>
    <w:rsid w:val="00805015"/>
    <w:rsid w:val="0086028A"/>
    <w:rsid w:val="00866A4E"/>
    <w:rsid w:val="008A4CDA"/>
    <w:rsid w:val="008B765E"/>
    <w:rsid w:val="008E275E"/>
    <w:rsid w:val="008E4E4B"/>
    <w:rsid w:val="008F1664"/>
    <w:rsid w:val="009250AE"/>
    <w:rsid w:val="0093446D"/>
    <w:rsid w:val="00954BBC"/>
    <w:rsid w:val="00966781"/>
    <w:rsid w:val="00993C80"/>
    <w:rsid w:val="00996630"/>
    <w:rsid w:val="009B4BCD"/>
    <w:rsid w:val="009E0232"/>
    <w:rsid w:val="00A33A6D"/>
    <w:rsid w:val="00A37400"/>
    <w:rsid w:val="00A50314"/>
    <w:rsid w:val="00A8374C"/>
    <w:rsid w:val="00A84137"/>
    <w:rsid w:val="00A92C3E"/>
    <w:rsid w:val="00AA0556"/>
    <w:rsid w:val="00B02ED5"/>
    <w:rsid w:val="00B83C16"/>
    <w:rsid w:val="00B87BDB"/>
    <w:rsid w:val="00B965B0"/>
    <w:rsid w:val="00BC671B"/>
    <w:rsid w:val="00BC7B90"/>
    <w:rsid w:val="00BE54E9"/>
    <w:rsid w:val="00BF6C5A"/>
    <w:rsid w:val="00C44254"/>
    <w:rsid w:val="00D17DC0"/>
    <w:rsid w:val="00D272FA"/>
    <w:rsid w:val="00D60EFF"/>
    <w:rsid w:val="00DB4A21"/>
    <w:rsid w:val="00E20D71"/>
    <w:rsid w:val="00E41C80"/>
    <w:rsid w:val="00E65FC5"/>
    <w:rsid w:val="00EB111C"/>
    <w:rsid w:val="00EC4E15"/>
    <w:rsid w:val="00EE2124"/>
    <w:rsid w:val="00EF2570"/>
    <w:rsid w:val="00F122EC"/>
    <w:rsid w:val="00F33871"/>
    <w:rsid w:val="00F63B40"/>
    <w:rsid w:val="00F835A0"/>
    <w:rsid w:val="00FB34B1"/>
    <w:rsid w:val="00FD3A34"/>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rsid w:val="005E790F"/>
    <w:pPr>
      <w:widowControl w:val="0"/>
      <w:numPr>
        <w:numId w:val="13"/>
      </w:numPr>
      <w:spacing w:after="220"/>
      <w:jc w:val="both"/>
    </w:pPr>
    <w:rPr>
      <w:snapToGrid w:val="0"/>
      <w:kern w:val="28"/>
    </w:rPr>
  </w:style>
  <w:style w:type="character" w:customStyle="1" w:styleId="FooterChar">
    <w:name w:val="Footer Char"/>
    <w:link w:val="Footer"/>
    <w:uiPriority w:val="99"/>
    <w:rsid w:val="001A38E8"/>
    <w:rPr>
      <w:sz w:val="22"/>
    </w:rPr>
  </w:style>
  <w:style w:type="paragraph" w:styleId="BalloonText">
    <w:name w:val="Balloon Text"/>
    <w:basedOn w:val="Normal"/>
    <w:link w:val="BalloonTextChar"/>
    <w:uiPriority w:val="99"/>
    <w:semiHidden/>
    <w:unhideWhenUsed/>
    <w:rsid w:val="008A4CDA"/>
    <w:rPr>
      <w:rFonts w:ascii="Tahoma" w:hAnsi="Tahoma" w:cs="Tahoma"/>
      <w:sz w:val="16"/>
      <w:szCs w:val="16"/>
    </w:rPr>
  </w:style>
  <w:style w:type="character" w:customStyle="1" w:styleId="BalloonTextChar">
    <w:name w:val="Balloon Text Char"/>
    <w:basedOn w:val="DefaultParagraphFont"/>
    <w:link w:val="BalloonText"/>
    <w:uiPriority w:val="99"/>
    <w:semiHidden/>
    <w:rsid w:val="008A4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rsid w:val="005E790F"/>
    <w:pPr>
      <w:widowControl w:val="0"/>
      <w:numPr>
        <w:numId w:val="13"/>
      </w:numPr>
      <w:spacing w:after="220"/>
      <w:jc w:val="both"/>
    </w:pPr>
    <w:rPr>
      <w:snapToGrid w:val="0"/>
      <w:kern w:val="28"/>
    </w:rPr>
  </w:style>
  <w:style w:type="character" w:customStyle="1" w:styleId="FooterChar">
    <w:name w:val="Footer Char"/>
    <w:link w:val="Footer"/>
    <w:uiPriority w:val="99"/>
    <w:rsid w:val="001A38E8"/>
    <w:rPr>
      <w:sz w:val="22"/>
    </w:rPr>
  </w:style>
  <w:style w:type="paragraph" w:styleId="BalloonText">
    <w:name w:val="Balloon Text"/>
    <w:basedOn w:val="Normal"/>
    <w:link w:val="BalloonTextChar"/>
    <w:uiPriority w:val="99"/>
    <w:semiHidden/>
    <w:unhideWhenUsed/>
    <w:rsid w:val="008A4CDA"/>
    <w:rPr>
      <w:rFonts w:ascii="Tahoma" w:hAnsi="Tahoma" w:cs="Tahoma"/>
      <w:sz w:val="16"/>
      <w:szCs w:val="16"/>
    </w:rPr>
  </w:style>
  <w:style w:type="character" w:customStyle="1" w:styleId="BalloonTextChar">
    <w:name w:val="Balloon Text Char"/>
    <w:basedOn w:val="DefaultParagraphFont"/>
    <w:link w:val="BalloonText"/>
    <w:uiPriority w:val="99"/>
    <w:semiHidden/>
    <w:rsid w:val="008A4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813</Words>
  <Characters>4594</Characters>
  <Application>Microsoft Office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2014-01-14T21:35:00Z</cp:lastPrinted>
  <dcterms:created xsi:type="dcterms:W3CDTF">2014-07-28T20:49:00Z</dcterms:created>
  <dcterms:modified xsi:type="dcterms:W3CDTF">2014-07-28T20:49:00Z</dcterms:modified>
  <cp:category> </cp:category>
  <cp:contentStatus> </cp:contentStatus>
</cp:coreProperties>
</file>