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B19F" w14:textId="54CD8843" w:rsidR="0032433B" w:rsidRDefault="0032433B">
      <w:pPr>
        <w:widowControl/>
        <w:jc w:val="center"/>
        <w:rPr>
          <w:b/>
          <w:szCs w:val="22"/>
        </w:rPr>
      </w:pPr>
      <w:bookmarkStart w:id="0" w:name="_GoBack"/>
      <w:bookmarkEnd w:id="0"/>
      <w:r>
        <w:rPr>
          <w:b/>
          <w:kern w:val="0"/>
          <w:szCs w:val="22"/>
        </w:rPr>
        <w:t>Before</w:t>
      </w:r>
      <w:r>
        <w:rPr>
          <w:b/>
          <w:szCs w:val="22"/>
        </w:rPr>
        <w:t xml:space="preserve"> the</w:t>
      </w:r>
    </w:p>
    <w:p w14:paraId="53C5D8BB" w14:textId="77777777" w:rsidR="0032433B" w:rsidRDefault="0032433B">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14:paraId="68187212" w14:textId="77777777" w:rsidR="0032433B" w:rsidRDefault="0032433B">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14:paraId="0CDD0B36" w14:textId="77777777" w:rsidR="0032433B" w:rsidRDefault="0032433B">
      <w:pPr>
        <w:widowControl/>
        <w:rPr>
          <w:szCs w:val="22"/>
        </w:rPr>
      </w:pPr>
    </w:p>
    <w:tbl>
      <w:tblPr>
        <w:tblW w:w="0" w:type="auto"/>
        <w:jc w:val="center"/>
        <w:tblLayout w:type="fixed"/>
        <w:tblLook w:val="0000" w:firstRow="0" w:lastRow="0" w:firstColumn="0" w:lastColumn="0" w:noHBand="0" w:noVBand="0"/>
      </w:tblPr>
      <w:tblGrid>
        <w:gridCol w:w="4698"/>
        <w:gridCol w:w="630"/>
        <w:gridCol w:w="4248"/>
      </w:tblGrid>
      <w:tr w:rsidR="0032433B" w14:paraId="1176E5CA" w14:textId="77777777">
        <w:trPr>
          <w:jc w:val="center"/>
        </w:trPr>
        <w:tc>
          <w:tcPr>
            <w:tcW w:w="4698" w:type="dxa"/>
          </w:tcPr>
          <w:p w14:paraId="1703D4F6" w14:textId="77777777" w:rsidR="0032433B" w:rsidRDefault="0032433B">
            <w:pPr>
              <w:widowControl/>
              <w:rPr>
                <w:szCs w:val="22"/>
              </w:rPr>
            </w:pPr>
            <w:r>
              <w:rPr>
                <w:spacing w:val="-2"/>
                <w:szCs w:val="22"/>
              </w:rPr>
              <w:t>In the Matter of</w:t>
            </w:r>
            <w:r>
              <w:rPr>
                <w:szCs w:val="22"/>
              </w:rPr>
              <w:t xml:space="preserve"> </w:t>
            </w:r>
          </w:p>
          <w:p w14:paraId="090D99A4" w14:textId="77777777" w:rsidR="0032433B" w:rsidRDefault="0032433B">
            <w:pPr>
              <w:widowControl/>
              <w:rPr>
                <w:szCs w:val="22"/>
              </w:rPr>
            </w:pPr>
          </w:p>
          <w:p w14:paraId="69CBEBDD" w14:textId="77777777" w:rsidR="0032433B" w:rsidRPr="0032433B" w:rsidRDefault="0032433B" w:rsidP="0032433B">
            <w:pPr>
              <w:rPr>
                <w:spacing w:val="-2"/>
                <w:szCs w:val="22"/>
              </w:rPr>
            </w:pPr>
            <w:r w:rsidRPr="0032433B">
              <w:rPr>
                <w:spacing w:val="-2"/>
                <w:szCs w:val="22"/>
              </w:rPr>
              <w:t>Frandsen Media Company, LLC</w:t>
            </w:r>
          </w:p>
          <w:p w14:paraId="4F245B78" w14:textId="77777777" w:rsidR="0032433B" w:rsidRPr="0032433B" w:rsidRDefault="0032433B" w:rsidP="0032433B">
            <w:pPr>
              <w:rPr>
                <w:spacing w:val="-2"/>
                <w:szCs w:val="22"/>
              </w:rPr>
            </w:pPr>
          </w:p>
          <w:p w14:paraId="40D5F0CC" w14:textId="77777777" w:rsidR="0032433B" w:rsidRPr="0032433B" w:rsidRDefault="0032433B" w:rsidP="0032433B">
            <w:pPr>
              <w:rPr>
                <w:spacing w:val="-2"/>
                <w:szCs w:val="22"/>
              </w:rPr>
            </w:pPr>
            <w:r w:rsidRPr="0032433B">
              <w:rPr>
                <w:spacing w:val="-2"/>
                <w:szCs w:val="22"/>
              </w:rPr>
              <w:t>Licensee of FM Broadcast Station KGNT</w:t>
            </w:r>
          </w:p>
          <w:p w14:paraId="6A8392A8" w14:textId="014FC73C" w:rsidR="0032433B" w:rsidRPr="009A0DD8" w:rsidRDefault="0032433B" w:rsidP="0032433B">
            <w:pPr>
              <w:rPr>
                <w:spacing w:val="-2"/>
              </w:rPr>
            </w:pPr>
            <w:r w:rsidRPr="0032433B">
              <w:rPr>
                <w:spacing w:val="-2"/>
                <w:szCs w:val="22"/>
              </w:rPr>
              <w:t>Smithfield, Utah</w:t>
            </w:r>
          </w:p>
        </w:tc>
        <w:tc>
          <w:tcPr>
            <w:tcW w:w="630" w:type="dxa"/>
          </w:tcPr>
          <w:p w14:paraId="549E1AFC" w14:textId="77777777" w:rsidR="0032433B" w:rsidRDefault="0032433B">
            <w:pPr>
              <w:widowControl/>
              <w:tabs>
                <w:tab w:val="center" w:pos="4680"/>
              </w:tabs>
              <w:suppressAutoHyphens/>
              <w:spacing w:line="240" w:lineRule="atLeast"/>
              <w:jc w:val="both"/>
              <w:outlineLvl w:val="0"/>
              <w:rPr>
                <w:szCs w:val="22"/>
              </w:rPr>
            </w:pPr>
            <w:r>
              <w:rPr>
                <w:szCs w:val="22"/>
              </w:rPr>
              <w:t>)</w:t>
            </w:r>
          </w:p>
          <w:p w14:paraId="507E1B39" w14:textId="77777777" w:rsidR="0032433B" w:rsidRDefault="0032433B">
            <w:pPr>
              <w:widowControl/>
              <w:tabs>
                <w:tab w:val="center" w:pos="4680"/>
              </w:tabs>
              <w:suppressAutoHyphens/>
              <w:spacing w:line="240" w:lineRule="atLeast"/>
              <w:jc w:val="both"/>
              <w:outlineLvl w:val="0"/>
              <w:rPr>
                <w:szCs w:val="22"/>
              </w:rPr>
            </w:pPr>
            <w:r>
              <w:rPr>
                <w:szCs w:val="22"/>
              </w:rPr>
              <w:t>)</w:t>
            </w:r>
          </w:p>
          <w:p w14:paraId="10E74635" w14:textId="77777777" w:rsidR="0032433B" w:rsidRDefault="0032433B">
            <w:pPr>
              <w:widowControl/>
              <w:tabs>
                <w:tab w:val="center" w:pos="4680"/>
              </w:tabs>
              <w:suppressAutoHyphens/>
              <w:spacing w:line="240" w:lineRule="atLeast"/>
              <w:jc w:val="both"/>
              <w:outlineLvl w:val="0"/>
              <w:rPr>
                <w:szCs w:val="22"/>
              </w:rPr>
            </w:pPr>
            <w:r>
              <w:rPr>
                <w:szCs w:val="22"/>
              </w:rPr>
              <w:t>)</w:t>
            </w:r>
          </w:p>
          <w:p w14:paraId="137D1355" w14:textId="77777777" w:rsidR="0032433B" w:rsidRDefault="0032433B">
            <w:pPr>
              <w:widowControl/>
              <w:tabs>
                <w:tab w:val="center" w:pos="4680"/>
              </w:tabs>
              <w:suppressAutoHyphens/>
              <w:spacing w:line="240" w:lineRule="atLeast"/>
              <w:jc w:val="both"/>
              <w:outlineLvl w:val="0"/>
              <w:rPr>
                <w:szCs w:val="22"/>
              </w:rPr>
            </w:pPr>
            <w:r>
              <w:rPr>
                <w:szCs w:val="22"/>
              </w:rPr>
              <w:t>)</w:t>
            </w:r>
          </w:p>
          <w:p w14:paraId="405B6092" w14:textId="77777777" w:rsidR="0032433B" w:rsidRDefault="0032433B">
            <w:pPr>
              <w:widowControl/>
              <w:tabs>
                <w:tab w:val="center" w:pos="4680"/>
              </w:tabs>
              <w:suppressAutoHyphens/>
              <w:spacing w:line="240" w:lineRule="atLeast"/>
              <w:jc w:val="both"/>
              <w:outlineLvl w:val="0"/>
              <w:rPr>
                <w:szCs w:val="22"/>
              </w:rPr>
            </w:pPr>
            <w:r>
              <w:rPr>
                <w:szCs w:val="22"/>
              </w:rPr>
              <w:t>)</w:t>
            </w:r>
          </w:p>
          <w:p w14:paraId="0C949FD4" w14:textId="77777777" w:rsidR="0032433B" w:rsidRDefault="0032433B">
            <w:pPr>
              <w:widowControl/>
              <w:tabs>
                <w:tab w:val="center" w:pos="4680"/>
              </w:tabs>
              <w:suppressAutoHyphens/>
              <w:spacing w:line="240" w:lineRule="atLeast"/>
              <w:jc w:val="both"/>
              <w:outlineLvl w:val="0"/>
              <w:rPr>
                <w:szCs w:val="22"/>
              </w:rPr>
            </w:pPr>
            <w:r>
              <w:rPr>
                <w:szCs w:val="22"/>
              </w:rPr>
              <w:t>)</w:t>
            </w:r>
          </w:p>
        </w:tc>
        <w:tc>
          <w:tcPr>
            <w:tcW w:w="4248" w:type="dxa"/>
          </w:tcPr>
          <w:p w14:paraId="3CC432E0" w14:textId="77777777" w:rsidR="0032433B" w:rsidRDefault="0032433B">
            <w:pPr>
              <w:widowControl/>
              <w:rPr>
                <w:spacing w:val="-2"/>
                <w:szCs w:val="22"/>
              </w:rPr>
            </w:pPr>
          </w:p>
          <w:p w14:paraId="4DE09151" w14:textId="77777777" w:rsidR="0032433B" w:rsidRDefault="0032433B">
            <w:pPr>
              <w:widowControl/>
              <w:ind w:left="702"/>
              <w:rPr>
                <w:szCs w:val="22"/>
              </w:rPr>
            </w:pPr>
          </w:p>
          <w:p w14:paraId="3B33B761" w14:textId="77777777" w:rsidR="0032433B" w:rsidRDefault="0032433B">
            <w:pPr>
              <w:rPr>
                <w:szCs w:val="22"/>
              </w:rPr>
            </w:pPr>
            <w:r>
              <w:rPr>
                <w:szCs w:val="22"/>
              </w:rPr>
              <w:t>File No.</w:t>
            </w:r>
            <w:r w:rsidR="004C0461">
              <w:rPr>
                <w:szCs w:val="22"/>
              </w:rPr>
              <w:t>:</w:t>
            </w:r>
            <w:r>
              <w:rPr>
                <w:szCs w:val="22"/>
              </w:rPr>
              <w:t xml:space="preserve">  </w:t>
            </w:r>
            <w:r w:rsidR="004C0461" w:rsidRPr="004C0461">
              <w:rPr>
                <w:szCs w:val="22"/>
              </w:rPr>
              <w:t>EB-09-DV-0090</w:t>
            </w:r>
          </w:p>
          <w:p w14:paraId="4A0ECDBE" w14:textId="77777777" w:rsidR="0032433B" w:rsidRDefault="0032433B">
            <w:pPr>
              <w:rPr>
                <w:b/>
                <w:color w:val="FF0000"/>
                <w:szCs w:val="22"/>
              </w:rPr>
            </w:pPr>
            <w:r>
              <w:rPr>
                <w:szCs w:val="22"/>
              </w:rPr>
              <w:t>NAL/Acct. No.</w:t>
            </w:r>
            <w:r w:rsidR="004C0461">
              <w:rPr>
                <w:szCs w:val="22"/>
              </w:rPr>
              <w:t>:</w:t>
            </w:r>
            <w:r>
              <w:rPr>
                <w:szCs w:val="22"/>
              </w:rPr>
              <w:t xml:space="preserve">  </w:t>
            </w:r>
            <w:r w:rsidR="004C0461" w:rsidRPr="004C0461">
              <w:rPr>
                <w:szCs w:val="22"/>
              </w:rPr>
              <w:t>201132800002</w:t>
            </w:r>
            <w:r>
              <w:rPr>
                <w:color w:val="FF0000"/>
                <w:szCs w:val="22"/>
              </w:rPr>
              <w:t xml:space="preserve">  </w:t>
            </w:r>
          </w:p>
          <w:p w14:paraId="34F7D322" w14:textId="77777777" w:rsidR="0032433B" w:rsidRDefault="004C0461">
            <w:pPr>
              <w:rPr>
                <w:szCs w:val="22"/>
              </w:rPr>
            </w:pPr>
            <w:r>
              <w:rPr>
                <w:szCs w:val="22"/>
              </w:rPr>
              <w:t xml:space="preserve">FRN:  </w:t>
            </w:r>
            <w:r w:rsidRPr="004C0461">
              <w:rPr>
                <w:szCs w:val="22"/>
              </w:rPr>
              <w:t>0007714009</w:t>
            </w:r>
          </w:p>
          <w:p w14:paraId="226B826A" w14:textId="0F3C1C71" w:rsidR="0032433B" w:rsidRDefault="004C0461">
            <w:pPr>
              <w:widowControl/>
              <w:rPr>
                <w:szCs w:val="22"/>
              </w:rPr>
            </w:pPr>
            <w:r w:rsidRPr="004C0461">
              <w:rPr>
                <w:szCs w:val="22"/>
              </w:rPr>
              <w:t xml:space="preserve">Facility ID </w:t>
            </w:r>
            <w:r>
              <w:rPr>
                <w:szCs w:val="22"/>
              </w:rPr>
              <w:t xml:space="preserve">No.: </w:t>
            </w:r>
            <w:r w:rsidRPr="004C0461">
              <w:rPr>
                <w:szCs w:val="22"/>
              </w:rPr>
              <w:t>38274</w:t>
            </w:r>
          </w:p>
        </w:tc>
      </w:tr>
      <w:tr w:rsidR="0032433B" w14:paraId="56574FCF" w14:textId="77777777">
        <w:trPr>
          <w:jc w:val="center"/>
        </w:trPr>
        <w:tc>
          <w:tcPr>
            <w:tcW w:w="4698" w:type="dxa"/>
          </w:tcPr>
          <w:p w14:paraId="195A4296" w14:textId="77777777" w:rsidR="0032433B" w:rsidRDefault="0032433B">
            <w:pPr>
              <w:widowControl/>
              <w:rPr>
                <w:spacing w:val="-2"/>
                <w:szCs w:val="22"/>
              </w:rPr>
            </w:pPr>
          </w:p>
        </w:tc>
        <w:tc>
          <w:tcPr>
            <w:tcW w:w="630" w:type="dxa"/>
          </w:tcPr>
          <w:p w14:paraId="36B943EB" w14:textId="77777777" w:rsidR="0032433B" w:rsidRDefault="0032433B">
            <w:pPr>
              <w:widowControl/>
              <w:tabs>
                <w:tab w:val="center" w:pos="4680"/>
              </w:tabs>
              <w:suppressAutoHyphens/>
              <w:spacing w:line="240" w:lineRule="atLeast"/>
              <w:jc w:val="both"/>
              <w:outlineLvl w:val="0"/>
              <w:rPr>
                <w:szCs w:val="22"/>
              </w:rPr>
            </w:pPr>
          </w:p>
        </w:tc>
        <w:tc>
          <w:tcPr>
            <w:tcW w:w="4248" w:type="dxa"/>
          </w:tcPr>
          <w:p w14:paraId="7C6F5686" w14:textId="77777777" w:rsidR="0032433B" w:rsidRDefault="0032433B">
            <w:pPr>
              <w:widowControl/>
              <w:rPr>
                <w:spacing w:val="-2"/>
                <w:szCs w:val="22"/>
              </w:rPr>
            </w:pPr>
          </w:p>
        </w:tc>
      </w:tr>
    </w:tbl>
    <w:p w14:paraId="6E9D9F13" w14:textId="77777777" w:rsidR="0032433B" w:rsidRDefault="0032433B" w:rsidP="007051FF">
      <w:pPr>
        <w:pStyle w:val="StyleBoldCentered"/>
        <w:widowControl/>
        <w:rPr>
          <w:rFonts w:ascii="Times New Roman" w:hAnsi="Times New Roman"/>
        </w:rPr>
      </w:pPr>
      <w:r>
        <w:rPr>
          <w:rFonts w:ascii="Times New Roman" w:hAnsi="Times New Roman"/>
        </w:rPr>
        <w:t>Forfeiture Order</w:t>
      </w:r>
    </w:p>
    <w:p w14:paraId="2FEC84CE" w14:textId="77777777" w:rsidR="0032433B" w:rsidRDefault="0032433B">
      <w:pPr>
        <w:widowControl/>
        <w:tabs>
          <w:tab w:val="left" w:pos="-720"/>
        </w:tabs>
        <w:suppressAutoHyphens/>
        <w:spacing w:line="227" w:lineRule="auto"/>
        <w:rPr>
          <w:spacing w:val="-2"/>
          <w:szCs w:val="22"/>
        </w:rPr>
      </w:pPr>
    </w:p>
    <w:p w14:paraId="1FAF91B4" w14:textId="54935407" w:rsidR="0032433B" w:rsidRDefault="0032433B">
      <w:pPr>
        <w:widowControl/>
        <w:tabs>
          <w:tab w:val="left" w:pos="720"/>
          <w:tab w:val="left" w:pos="5760"/>
        </w:tabs>
        <w:suppressAutoHyphens/>
        <w:spacing w:line="227" w:lineRule="auto"/>
        <w:rPr>
          <w:bCs/>
          <w:spacing w:val="-2"/>
          <w:szCs w:val="22"/>
        </w:rPr>
      </w:pPr>
      <w:r>
        <w:rPr>
          <w:b/>
          <w:spacing w:val="-2"/>
          <w:szCs w:val="22"/>
        </w:rPr>
        <w:t xml:space="preserve">Adopted:  </w:t>
      </w:r>
      <w:r w:rsidR="00DB0959">
        <w:rPr>
          <w:b/>
          <w:spacing w:val="-2"/>
          <w:szCs w:val="22"/>
        </w:rPr>
        <w:t>July 28, 2014</w:t>
      </w:r>
      <w:r>
        <w:rPr>
          <w:b/>
          <w:spacing w:val="-2"/>
          <w:szCs w:val="22"/>
        </w:rPr>
        <w:tab/>
        <w:t xml:space="preserve">           Released:  </w:t>
      </w:r>
      <w:r w:rsidR="00DB0959">
        <w:rPr>
          <w:b/>
          <w:spacing w:val="-2"/>
          <w:szCs w:val="22"/>
        </w:rPr>
        <w:t>July 29, 2014</w:t>
      </w:r>
    </w:p>
    <w:p w14:paraId="2D756914" w14:textId="77777777" w:rsidR="0032433B" w:rsidRDefault="0032433B">
      <w:pPr>
        <w:widowControl/>
        <w:rPr>
          <w:szCs w:val="22"/>
        </w:rPr>
      </w:pPr>
    </w:p>
    <w:p w14:paraId="0C4CF112" w14:textId="77777777" w:rsidR="0032433B" w:rsidRDefault="0032433B">
      <w:pPr>
        <w:widowControl/>
        <w:rPr>
          <w:spacing w:val="-2"/>
          <w:szCs w:val="22"/>
        </w:rPr>
      </w:pPr>
      <w:r>
        <w:rPr>
          <w:szCs w:val="22"/>
        </w:rPr>
        <w:t xml:space="preserve">By the </w:t>
      </w:r>
      <w:r>
        <w:rPr>
          <w:spacing w:val="-2"/>
          <w:szCs w:val="22"/>
        </w:rPr>
        <w:t xml:space="preserve">Regional Director, </w:t>
      </w:r>
      <w:r w:rsidR="004651AD">
        <w:rPr>
          <w:spacing w:val="-2"/>
          <w:szCs w:val="22"/>
        </w:rPr>
        <w:t>Western</w:t>
      </w:r>
      <w:r>
        <w:rPr>
          <w:spacing w:val="-2"/>
          <w:szCs w:val="22"/>
        </w:rPr>
        <w:t xml:space="preserve"> Region, Enforcement Bureau:</w:t>
      </w:r>
    </w:p>
    <w:p w14:paraId="7EC8F9FB" w14:textId="77777777" w:rsidR="0032433B" w:rsidRDefault="0032433B">
      <w:pPr>
        <w:widowControl/>
        <w:rPr>
          <w:szCs w:val="22"/>
        </w:rPr>
      </w:pPr>
    </w:p>
    <w:p w14:paraId="7F2B0618" w14:textId="77777777" w:rsidR="0032433B" w:rsidRDefault="0032433B" w:rsidP="009A0DD8">
      <w:pPr>
        <w:pStyle w:val="Heading1"/>
        <w:widowControl/>
        <w:rPr>
          <w:rFonts w:ascii="Times New Roman" w:hAnsi="Times New Roman"/>
          <w:szCs w:val="22"/>
        </w:rPr>
      </w:pPr>
      <w:r>
        <w:rPr>
          <w:rFonts w:ascii="Times New Roman" w:hAnsi="Times New Roman"/>
          <w:szCs w:val="22"/>
        </w:rPr>
        <w:t>Introduction</w:t>
      </w:r>
    </w:p>
    <w:p w14:paraId="3095C6EC" w14:textId="2E578A17" w:rsidR="00611C5D" w:rsidRDefault="0032433B" w:rsidP="009A0DD8">
      <w:pPr>
        <w:widowControl/>
        <w:numPr>
          <w:ilvl w:val="0"/>
          <w:numId w:val="7"/>
        </w:numPr>
        <w:tabs>
          <w:tab w:val="clear" w:pos="1080"/>
          <w:tab w:val="left" w:pos="0"/>
          <w:tab w:val="num" w:pos="1440"/>
        </w:tabs>
        <w:suppressAutoHyphens/>
        <w:autoSpaceDE w:val="0"/>
        <w:autoSpaceDN w:val="0"/>
        <w:adjustRightInd w:val="0"/>
        <w:spacing w:after="120"/>
        <w:rPr>
          <w:spacing w:val="-2"/>
        </w:rPr>
      </w:pPr>
      <w:r>
        <w:t>We impose a penalty of $</w:t>
      </w:r>
      <w:r w:rsidR="004A7F9B">
        <w:t>9,2</w:t>
      </w:r>
      <w:r>
        <w:t xml:space="preserve">00 against </w:t>
      </w:r>
      <w:r w:rsidR="004A7F9B">
        <w:t>Frandsen Media Company, LLC (</w:t>
      </w:r>
      <w:r w:rsidR="00E23C32">
        <w:t xml:space="preserve">Frandsen) </w:t>
      </w:r>
      <w:r>
        <w:t xml:space="preserve">for </w:t>
      </w:r>
      <w:r w:rsidR="00625180">
        <w:t>operating its transmitter</w:t>
      </w:r>
      <w:r w:rsidR="00E23C32">
        <w:t xml:space="preserve"> at an unauthorized power level</w:t>
      </w:r>
      <w:r w:rsidR="00625180">
        <w:t xml:space="preserve"> </w:t>
      </w:r>
      <w:r w:rsidR="001D0F26">
        <w:t xml:space="preserve">and </w:t>
      </w:r>
      <w:r w:rsidR="00625180">
        <w:t>exceed</w:t>
      </w:r>
      <w:r w:rsidR="001D0F26">
        <w:t>ing</w:t>
      </w:r>
      <w:r w:rsidR="00625180">
        <w:t xml:space="preserve"> the Commission’s </w:t>
      </w:r>
      <w:r w:rsidR="00625180" w:rsidRPr="00625180">
        <w:t>radio frequency exposure limits</w:t>
      </w:r>
      <w:r w:rsidR="00625180">
        <w:t>.</w:t>
      </w:r>
      <w:r>
        <w:rPr>
          <w:spacing w:val="-2"/>
          <w:szCs w:val="22"/>
        </w:rPr>
        <w:t xml:space="preserve">  </w:t>
      </w:r>
      <w:r w:rsidR="00625180">
        <w:rPr>
          <w:spacing w:val="-2"/>
          <w:szCs w:val="22"/>
        </w:rPr>
        <w:t>Frandsen</w:t>
      </w:r>
      <w:r>
        <w:rPr>
          <w:spacing w:val="-2"/>
          <w:szCs w:val="22"/>
        </w:rPr>
        <w:t xml:space="preserve"> does not deny th</w:t>
      </w:r>
      <w:r w:rsidR="00625180">
        <w:rPr>
          <w:spacing w:val="-2"/>
          <w:szCs w:val="22"/>
        </w:rPr>
        <w:t>e violations</w:t>
      </w:r>
      <w:r>
        <w:rPr>
          <w:spacing w:val="-2"/>
          <w:szCs w:val="22"/>
        </w:rPr>
        <w:t>, but requests cancellation or reduction of the forfeiture</w:t>
      </w:r>
      <w:r w:rsidR="00A90FB0">
        <w:rPr>
          <w:spacing w:val="-2"/>
          <w:szCs w:val="22"/>
        </w:rPr>
        <w:t>, alleging va</w:t>
      </w:r>
      <w:r w:rsidR="00E23C32">
        <w:rPr>
          <w:spacing w:val="-2"/>
          <w:szCs w:val="22"/>
        </w:rPr>
        <w:t xml:space="preserve">ndalism at the transmitter site and noting its </w:t>
      </w:r>
      <w:r w:rsidR="00625180">
        <w:rPr>
          <w:spacing w:val="-2"/>
          <w:szCs w:val="22"/>
        </w:rPr>
        <w:t xml:space="preserve">good faith </w:t>
      </w:r>
      <w:r w:rsidR="00E23C32">
        <w:rPr>
          <w:spacing w:val="-2"/>
          <w:szCs w:val="22"/>
        </w:rPr>
        <w:t xml:space="preserve">compliance efforts as well as its </w:t>
      </w:r>
      <w:r>
        <w:rPr>
          <w:spacing w:val="-2"/>
          <w:szCs w:val="22"/>
        </w:rPr>
        <w:t>history of co</w:t>
      </w:r>
      <w:r w:rsidR="00E23C32">
        <w:rPr>
          <w:spacing w:val="-2"/>
          <w:szCs w:val="22"/>
        </w:rPr>
        <w:t>mpliance with the Commission’s rules</w:t>
      </w:r>
      <w:r>
        <w:rPr>
          <w:spacing w:val="-2"/>
          <w:szCs w:val="22"/>
        </w:rPr>
        <w:t>.</w:t>
      </w:r>
      <w:r>
        <w:rPr>
          <w:spacing w:val="-2"/>
        </w:rPr>
        <w:t xml:space="preserve"> </w:t>
      </w:r>
      <w:r>
        <w:t xml:space="preserve"> For the reasons stated below, we </w:t>
      </w:r>
      <w:r w:rsidR="00344163">
        <w:t>decline to cancel</w:t>
      </w:r>
      <w:r>
        <w:t xml:space="preserve"> the </w:t>
      </w:r>
      <w:r w:rsidR="00625180">
        <w:t xml:space="preserve">proposed $14,000 </w:t>
      </w:r>
      <w:r>
        <w:t>forfeiture</w:t>
      </w:r>
      <w:r w:rsidR="00E23C32">
        <w:t>, but reduce it</w:t>
      </w:r>
      <w:r w:rsidR="00625180">
        <w:t xml:space="preserve"> to $9,200 based on Frandsen’s good faith </w:t>
      </w:r>
      <w:r w:rsidR="00344163">
        <w:t xml:space="preserve">compliance </w:t>
      </w:r>
      <w:r w:rsidR="00625180">
        <w:t>efforts and history of compliance.</w:t>
      </w:r>
    </w:p>
    <w:p w14:paraId="7CFD1D7A" w14:textId="41F3C5B7" w:rsidR="0032433B" w:rsidRPr="00611C5D" w:rsidRDefault="00E23C32" w:rsidP="009A0DD8">
      <w:pPr>
        <w:widowControl/>
        <w:numPr>
          <w:ilvl w:val="0"/>
          <w:numId w:val="7"/>
        </w:numPr>
        <w:tabs>
          <w:tab w:val="clear" w:pos="1080"/>
          <w:tab w:val="left" w:pos="0"/>
          <w:tab w:val="num" w:pos="1440"/>
        </w:tabs>
        <w:suppressAutoHyphens/>
        <w:autoSpaceDE w:val="0"/>
        <w:autoSpaceDN w:val="0"/>
        <w:adjustRightInd w:val="0"/>
        <w:spacing w:after="120"/>
        <w:rPr>
          <w:spacing w:val="-2"/>
        </w:rPr>
      </w:pPr>
      <w:r>
        <w:t xml:space="preserve">Specifically, </w:t>
      </w:r>
      <w:r w:rsidR="0032433B">
        <w:t xml:space="preserve">we issue a monetary forfeiture </w:t>
      </w:r>
      <w:r>
        <w:t xml:space="preserve">to Frandsen, </w:t>
      </w:r>
      <w:r w:rsidRPr="004A7F9B">
        <w:t>licensee of FM broadcast station KGNT in Smithfield, Utah</w:t>
      </w:r>
      <w:r>
        <w:t xml:space="preserve">, </w:t>
      </w:r>
      <w:r w:rsidR="0032433B">
        <w:t>for</w:t>
      </w:r>
      <w:r w:rsidR="004A7F9B" w:rsidRPr="004A7F9B">
        <w:t xml:space="preserve"> willfully and repeatedly </w:t>
      </w:r>
      <w:r w:rsidR="004A7F9B">
        <w:t>violating</w:t>
      </w:r>
      <w:r>
        <w:t xml:space="preserve">:  (1) </w:t>
      </w:r>
      <w:r w:rsidR="004A7F9B">
        <w:t>S</w:t>
      </w:r>
      <w:r w:rsidR="004A7F9B" w:rsidRPr="004A7F9B">
        <w:t xml:space="preserve">ection 1.1310 of the Commission’s rules (Rules) by failing to comply with radio frequency </w:t>
      </w:r>
      <w:r w:rsidR="004A7F9B">
        <w:t xml:space="preserve">radiation </w:t>
      </w:r>
      <w:r w:rsidR="004A7F9B" w:rsidRPr="004A7F9B">
        <w:t>(RF</w:t>
      </w:r>
      <w:r w:rsidR="004A7F9B">
        <w:t>R</w:t>
      </w:r>
      <w:r w:rsidR="004A7F9B" w:rsidRPr="004A7F9B">
        <w:t>) maximum permissible exposure limits applicable to faciliti</w:t>
      </w:r>
      <w:r>
        <w:t>es, operations, or transmitters;</w:t>
      </w:r>
      <w:r w:rsidR="004A7F9B" w:rsidRPr="004A7F9B">
        <w:t xml:space="preserve"> and</w:t>
      </w:r>
      <w:r w:rsidR="00120285">
        <w:t xml:space="preserve"> </w:t>
      </w:r>
      <w:r>
        <w:t xml:space="preserve">(2) </w:t>
      </w:r>
      <w:r w:rsidR="00344163">
        <w:t>S</w:t>
      </w:r>
      <w:r w:rsidR="004A7F9B" w:rsidRPr="004A7F9B">
        <w:t xml:space="preserve">ection 73.1560(b) of the Rules by operating </w:t>
      </w:r>
      <w:r w:rsidR="00344163">
        <w:t xml:space="preserve">the </w:t>
      </w:r>
      <w:r w:rsidR="00344163" w:rsidRPr="00611C5D">
        <w:rPr>
          <w:spacing w:val="-2"/>
        </w:rPr>
        <w:t>Station KGNT</w:t>
      </w:r>
      <w:r w:rsidR="004A7F9B" w:rsidRPr="004A7F9B">
        <w:t xml:space="preserve"> transmitter</w:t>
      </w:r>
      <w:r w:rsidR="003268D3">
        <w:t xml:space="preserve"> </w:t>
      </w:r>
      <w:r w:rsidR="004A7F9B" w:rsidRPr="004A7F9B">
        <w:t xml:space="preserve">at a power level </w:t>
      </w:r>
      <w:r w:rsidR="00344163">
        <w:t>higher than</w:t>
      </w:r>
      <w:r w:rsidR="004A7F9B" w:rsidRPr="004A7F9B">
        <w:t xml:space="preserve"> authorized by its license.</w:t>
      </w:r>
      <w:r w:rsidR="0032433B">
        <w:rPr>
          <w:rStyle w:val="FootnoteReference"/>
          <w:spacing w:val="-2"/>
        </w:rPr>
        <w:footnoteReference w:id="2"/>
      </w:r>
      <w:r w:rsidR="0032433B" w:rsidRPr="00611C5D">
        <w:rPr>
          <w:spacing w:val="-2"/>
        </w:rPr>
        <w:t xml:space="preserve">  </w:t>
      </w:r>
      <w:bookmarkStart w:id="1" w:name="OLE_LINK2"/>
      <w:bookmarkStart w:id="2" w:name="OLE_LINK3"/>
    </w:p>
    <w:bookmarkEnd w:id="1"/>
    <w:bookmarkEnd w:id="2"/>
    <w:p w14:paraId="1560D80B" w14:textId="77777777" w:rsidR="0032433B" w:rsidRDefault="0032433B" w:rsidP="009A0DD8">
      <w:pPr>
        <w:pStyle w:val="Heading1"/>
        <w:widowControl/>
        <w:rPr>
          <w:rFonts w:ascii="Times New Roman" w:hAnsi="Times New Roman"/>
          <w:szCs w:val="22"/>
        </w:rPr>
      </w:pPr>
      <w:r>
        <w:rPr>
          <w:rFonts w:ascii="Times New Roman" w:hAnsi="Times New Roman"/>
          <w:szCs w:val="22"/>
        </w:rPr>
        <w:t>Background</w:t>
      </w:r>
    </w:p>
    <w:p w14:paraId="3F4CE81A" w14:textId="52F52797" w:rsidR="0032433B" w:rsidRDefault="002D7F04" w:rsidP="009A0DD8">
      <w:pPr>
        <w:widowControl/>
        <w:numPr>
          <w:ilvl w:val="0"/>
          <w:numId w:val="7"/>
        </w:numPr>
        <w:tabs>
          <w:tab w:val="clear" w:pos="1080"/>
          <w:tab w:val="left" w:pos="0"/>
          <w:tab w:val="num" w:pos="1440"/>
        </w:tabs>
        <w:suppressAutoHyphens/>
        <w:autoSpaceDE w:val="0"/>
        <w:autoSpaceDN w:val="0"/>
        <w:adjustRightInd w:val="0"/>
        <w:spacing w:after="120"/>
        <w:rPr>
          <w:szCs w:val="22"/>
        </w:rPr>
      </w:pPr>
      <w:r>
        <w:rPr>
          <w:szCs w:val="22"/>
        </w:rPr>
        <w:t>On May 4,</w:t>
      </w:r>
      <w:r w:rsidR="0032433B">
        <w:rPr>
          <w:szCs w:val="22"/>
        </w:rPr>
        <w:t xml:space="preserve"> 2011, the Enforcement Bureau’s </w:t>
      </w:r>
      <w:r>
        <w:rPr>
          <w:szCs w:val="22"/>
        </w:rPr>
        <w:t>Denver Office (Denver Office)</w:t>
      </w:r>
      <w:r w:rsidR="0032433B">
        <w:rPr>
          <w:szCs w:val="22"/>
        </w:rPr>
        <w:t xml:space="preserve"> issued a Notice of Apparent Liability for Forfeiture (</w:t>
      </w:r>
      <w:r w:rsidR="0032433B">
        <w:rPr>
          <w:i/>
          <w:szCs w:val="22"/>
        </w:rPr>
        <w:t>NAL</w:t>
      </w:r>
      <w:r w:rsidR="0032433B">
        <w:rPr>
          <w:szCs w:val="22"/>
        </w:rPr>
        <w:t xml:space="preserve">) </w:t>
      </w:r>
      <w:r w:rsidR="00CA7A8C">
        <w:rPr>
          <w:szCs w:val="22"/>
        </w:rPr>
        <w:t xml:space="preserve">to Frandsen proposing a $14,000 forfeiture against it for </w:t>
      </w:r>
      <w:r w:rsidR="0032433B">
        <w:rPr>
          <w:szCs w:val="22"/>
        </w:rPr>
        <w:t>apparent</w:t>
      </w:r>
      <w:r w:rsidR="00CA7A8C">
        <w:rPr>
          <w:szCs w:val="22"/>
        </w:rPr>
        <w:t>ly</w:t>
      </w:r>
      <w:r w:rsidR="0032433B">
        <w:rPr>
          <w:szCs w:val="22"/>
        </w:rPr>
        <w:t xml:space="preserve"> </w:t>
      </w:r>
      <w:r w:rsidR="00CA7A8C">
        <w:rPr>
          <w:spacing w:val="-2"/>
          <w:szCs w:val="22"/>
        </w:rPr>
        <w:t xml:space="preserve">violating </w:t>
      </w:r>
      <w:r w:rsidRPr="002D7F04">
        <w:rPr>
          <w:spacing w:val="-2"/>
          <w:szCs w:val="22"/>
        </w:rPr>
        <w:t>Section 1.1310 of the Rules by failing to comply with</w:t>
      </w:r>
      <w:r>
        <w:rPr>
          <w:spacing w:val="-2"/>
          <w:szCs w:val="22"/>
        </w:rPr>
        <w:t xml:space="preserve"> the Commission’s </w:t>
      </w:r>
      <w:r w:rsidRPr="002D7F04">
        <w:rPr>
          <w:spacing w:val="-2"/>
          <w:szCs w:val="22"/>
        </w:rPr>
        <w:t>RFR maximum permissible exposure limit</w:t>
      </w:r>
      <w:r>
        <w:rPr>
          <w:spacing w:val="-2"/>
          <w:szCs w:val="22"/>
        </w:rPr>
        <w:t>, and Section 7</w:t>
      </w:r>
      <w:r w:rsidRPr="002D7F04">
        <w:rPr>
          <w:spacing w:val="-2"/>
          <w:szCs w:val="22"/>
        </w:rPr>
        <w:t xml:space="preserve">3.1560(b) of the Rules by operating </w:t>
      </w:r>
      <w:r w:rsidR="00344163">
        <w:rPr>
          <w:spacing w:val="-2"/>
          <w:szCs w:val="22"/>
        </w:rPr>
        <w:t>the Station KGNT</w:t>
      </w:r>
      <w:r w:rsidRPr="002D7F04">
        <w:rPr>
          <w:spacing w:val="-2"/>
          <w:szCs w:val="22"/>
        </w:rPr>
        <w:t xml:space="preserve"> transmitter at a power level not authorized by its license</w:t>
      </w:r>
      <w:r w:rsidR="0032433B">
        <w:rPr>
          <w:szCs w:val="22"/>
        </w:rPr>
        <w:t>.</w:t>
      </w:r>
      <w:bookmarkStart w:id="3" w:name="_Ref351630884"/>
      <w:r w:rsidR="0032433B">
        <w:rPr>
          <w:rStyle w:val="FootnoteReference"/>
          <w:szCs w:val="22"/>
        </w:rPr>
        <w:footnoteReference w:id="3"/>
      </w:r>
      <w:bookmarkEnd w:id="3"/>
      <w:r w:rsidR="0032433B">
        <w:rPr>
          <w:szCs w:val="22"/>
        </w:rPr>
        <w:t xml:space="preserve">  As reflected in the </w:t>
      </w:r>
      <w:r w:rsidR="0032433B">
        <w:rPr>
          <w:i/>
          <w:szCs w:val="22"/>
        </w:rPr>
        <w:t>NAL</w:t>
      </w:r>
      <w:r w:rsidR="0032433B">
        <w:rPr>
          <w:szCs w:val="22"/>
        </w:rPr>
        <w:t>, agent</w:t>
      </w:r>
      <w:r>
        <w:rPr>
          <w:szCs w:val="22"/>
        </w:rPr>
        <w:t>s</w:t>
      </w:r>
      <w:r w:rsidR="0032433B">
        <w:rPr>
          <w:szCs w:val="22"/>
        </w:rPr>
        <w:t xml:space="preserve"> from the</w:t>
      </w:r>
      <w:r>
        <w:rPr>
          <w:szCs w:val="22"/>
        </w:rPr>
        <w:t xml:space="preserve"> Denver</w:t>
      </w:r>
      <w:r w:rsidR="0032433B">
        <w:rPr>
          <w:szCs w:val="22"/>
        </w:rPr>
        <w:t xml:space="preserve"> Office </w:t>
      </w:r>
      <w:r>
        <w:rPr>
          <w:szCs w:val="22"/>
        </w:rPr>
        <w:t xml:space="preserve">inspected the Station KGNT transmitter site on April 14 and 15, 2010, and found that RFR measurements taken in an easily </w:t>
      </w:r>
      <w:r w:rsidR="00E52C11">
        <w:rPr>
          <w:szCs w:val="22"/>
        </w:rPr>
        <w:t>accessible, unfenced area</w:t>
      </w:r>
      <w:r>
        <w:rPr>
          <w:szCs w:val="22"/>
        </w:rPr>
        <w:t xml:space="preserve"> at the transmitter exceeded the maximum permitted RFR exposure limits.  The </w:t>
      </w:r>
      <w:r w:rsidR="00E52C11">
        <w:rPr>
          <w:szCs w:val="22"/>
        </w:rPr>
        <w:t xml:space="preserve">agents also determined that </w:t>
      </w:r>
      <w:r>
        <w:rPr>
          <w:szCs w:val="22"/>
        </w:rPr>
        <w:t>Station KGNT’s effective radiated power (ERP) was 156% of the stations authorized ERP.</w:t>
      </w:r>
      <w:r w:rsidR="0032433B">
        <w:rPr>
          <w:rStyle w:val="FootnoteReference"/>
          <w:szCs w:val="22"/>
        </w:rPr>
        <w:footnoteReference w:id="4"/>
      </w:r>
      <w:r w:rsidR="0032433B">
        <w:rPr>
          <w:color w:val="000000"/>
          <w:szCs w:val="22"/>
        </w:rPr>
        <w:t xml:space="preserve">  </w:t>
      </w:r>
    </w:p>
    <w:p w14:paraId="0470F994" w14:textId="2D6D1451" w:rsidR="0032433B" w:rsidRDefault="00361642" w:rsidP="009A0DD8">
      <w:pPr>
        <w:widowControl/>
        <w:numPr>
          <w:ilvl w:val="0"/>
          <w:numId w:val="7"/>
        </w:numPr>
        <w:tabs>
          <w:tab w:val="clear" w:pos="1080"/>
          <w:tab w:val="left" w:pos="0"/>
          <w:tab w:val="left" w:pos="720"/>
          <w:tab w:val="num" w:pos="1440"/>
        </w:tabs>
        <w:suppressAutoHyphens/>
        <w:autoSpaceDE w:val="0"/>
        <w:autoSpaceDN w:val="0"/>
        <w:adjustRightInd w:val="0"/>
        <w:spacing w:after="120"/>
        <w:rPr>
          <w:szCs w:val="22"/>
        </w:rPr>
      </w:pPr>
      <w:r>
        <w:rPr>
          <w:szCs w:val="22"/>
        </w:rPr>
        <w:lastRenderedPageBreak/>
        <w:t xml:space="preserve">Frandsen </w:t>
      </w:r>
      <w:r w:rsidR="0032433B">
        <w:rPr>
          <w:szCs w:val="22"/>
        </w:rPr>
        <w:t>submitted a response to the</w:t>
      </w:r>
      <w:r w:rsidR="0032433B">
        <w:rPr>
          <w:i/>
          <w:szCs w:val="22"/>
        </w:rPr>
        <w:t xml:space="preserve"> NAL</w:t>
      </w:r>
      <w:r w:rsidR="0032433B">
        <w:rPr>
          <w:szCs w:val="22"/>
        </w:rPr>
        <w:t xml:space="preserve"> requesting cancellation or reduction of the forfeiture.</w:t>
      </w:r>
      <w:r w:rsidR="00A90FB0" w:rsidRPr="00A90FB0">
        <w:rPr>
          <w:szCs w:val="22"/>
          <w:vertAlign w:val="superscript"/>
        </w:rPr>
        <w:footnoteReference w:id="5"/>
      </w:r>
      <w:r w:rsidR="0032433B">
        <w:rPr>
          <w:szCs w:val="22"/>
        </w:rPr>
        <w:t xml:space="preserve"> </w:t>
      </w:r>
      <w:r w:rsidR="001D0F26">
        <w:rPr>
          <w:szCs w:val="22"/>
        </w:rPr>
        <w:t xml:space="preserve"> </w:t>
      </w:r>
      <w:r w:rsidR="00A90FB0">
        <w:rPr>
          <w:szCs w:val="22"/>
        </w:rPr>
        <w:t>In its</w:t>
      </w:r>
      <w:r w:rsidR="000E2DF0">
        <w:rPr>
          <w:szCs w:val="22"/>
        </w:rPr>
        <w:t xml:space="preserve"> </w:t>
      </w:r>
      <w:r w:rsidR="000E2DF0">
        <w:rPr>
          <w:i/>
          <w:szCs w:val="22"/>
        </w:rPr>
        <w:t>NAL</w:t>
      </w:r>
      <w:r w:rsidR="000E2DF0" w:rsidRPr="009A0DD8">
        <w:rPr>
          <w:i/>
        </w:rPr>
        <w:t xml:space="preserve"> Response</w:t>
      </w:r>
      <w:r w:rsidR="0032433B">
        <w:rPr>
          <w:szCs w:val="22"/>
        </w:rPr>
        <w:t xml:space="preserve">, </w:t>
      </w:r>
      <w:r w:rsidR="001D0F26">
        <w:rPr>
          <w:szCs w:val="22"/>
        </w:rPr>
        <w:t xml:space="preserve">Frandsen argues that the transmitter site was vandalized prior to the Denver </w:t>
      </w:r>
      <w:r w:rsidR="00BC4FA9">
        <w:rPr>
          <w:szCs w:val="22"/>
        </w:rPr>
        <w:t>Office</w:t>
      </w:r>
      <w:r w:rsidR="001D0F26">
        <w:rPr>
          <w:szCs w:val="22"/>
        </w:rPr>
        <w:t xml:space="preserve"> inspection, and the RFR warning signs that were previously posted </w:t>
      </w:r>
      <w:r w:rsidR="00CA7A8C">
        <w:rPr>
          <w:szCs w:val="22"/>
        </w:rPr>
        <w:t xml:space="preserve">at the site </w:t>
      </w:r>
      <w:r w:rsidR="001D0F26">
        <w:rPr>
          <w:szCs w:val="22"/>
        </w:rPr>
        <w:t>were stolen.</w:t>
      </w:r>
      <w:r w:rsidR="00A90FB0">
        <w:rPr>
          <w:rStyle w:val="FootnoteReference"/>
          <w:szCs w:val="22"/>
        </w:rPr>
        <w:footnoteReference w:id="6"/>
      </w:r>
      <w:r w:rsidR="001D0F26">
        <w:rPr>
          <w:szCs w:val="22"/>
        </w:rPr>
        <w:t xml:space="preserve">  F</w:t>
      </w:r>
      <w:r w:rsidR="00CA7A8C">
        <w:rPr>
          <w:szCs w:val="22"/>
        </w:rPr>
        <w:t xml:space="preserve">randsen also argues that it </w:t>
      </w:r>
      <w:r w:rsidR="001D0F26">
        <w:rPr>
          <w:szCs w:val="22"/>
        </w:rPr>
        <w:t>made good faith efforts to com</w:t>
      </w:r>
      <w:r w:rsidR="00CA7A8C">
        <w:rPr>
          <w:szCs w:val="22"/>
        </w:rPr>
        <w:t xml:space="preserve">ply with the Rules and </w:t>
      </w:r>
      <w:r w:rsidR="001D0F26">
        <w:rPr>
          <w:szCs w:val="22"/>
        </w:rPr>
        <w:t>has a history of compl</w:t>
      </w:r>
      <w:r w:rsidR="008E7E74">
        <w:rPr>
          <w:szCs w:val="22"/>
        </w:rPr>
        <w:t>iance</w:t>
      </w:r>
      <w:r w:rsidR="001D0F26">
        <w:rPr>
          <w:szCs w:val="22"/>
        </w:rPr>
        <w:t xml:space="preserve"> with the Rules.</w:t>
      </w:r>
      <w:r w:rsidR="00A90FB0">
        <w:rPr>
          <w:rStyle w:val="FootnoteReference"/>
          <w:szCs w:val="22"/>
        </w:rPr>
        <w:footnoteReference w:id="7"/>
      </w:r>
      <w:r w:rsidR="0032433B">
        <w:rPr>
          <w:szCs w:val="22"/>
        </w:rPr>
        <w:t xml:space="preserve">  </w:t>
      </w:r>
    </w:p>
    <w:p w14:paraId="7D2344DB" w14:textId="77777777" w:rsidR="0032433B" w:rsidRDefault="0032433B" w:rsidP="009A0DD8">
      <w:pPr>
        <w:pStyle w:val="Heading1"/>
        <w:widowControl/>
        <w:rPr>
          <w:rFonts w:ascii="Times New Roman" w:hAnsi="Times New Roman"/>
          <w:szCs w:val="22"/>
        </w:rPr>
      </w:pPr>
      <w:r>
        <w:rPr>
          <w:rFonts w:ascii="Times New Roman" w:hAnsi="Times New Roman"/>
          <w:szCs w:val="22"/>
        </w:rPr>
        <w:t>Discussion</w:t>
      </w:r>
    </w:p>
    <w:p w14:paraId="4D157833" w14:textId="4EDC2B89" w:rsidR="0032433B" w:rsidRDefault="0032433B" w:rsidP="009A0DD8">
      <w:pPr>
        <w:widowControl/>
        <w:numPr>
          <w:ilvl w:val="0"/>
          <w:numId w:val="7"/>
        </w:numPr>
        <w:tabs>
          <w:tab w:val="clear" w:pos="1080"/>
          <w:tab w:val="left" w:pos="0"/>
          <w:tab w:val="num" w:pos="1440"/>
        </w:tabs>
        <w:suppressAutoHyphens/>
        <w:autoSpaceDE w:val="0"/>
        <w:autoSpaceDN w:val="0"/>
        <w:adjustRightInd w:val="0"/>
        <w:spacing w:after="120"/>
        <w:rPr>
          <w:spacing w:val="-2"/>
        </w:rPr>
      </w:pPr>
      <w:r>
        <w:t xml:space="preserve">The proposed forfeiture amount in this case was assessed in accordance with Section 503(b) of the </w:t>
      </w:r>
      <w:r w:rsidR="000E2DF0">
        <w:t xml:space="preserve">Communications </w:t>
      </w:r>
      <w:r>
        <w:t>Act</w:t>
      </w:r>
      <w:r w:rsidR="000E2DF0">
        <w:t xml:space="preserve"> of 1934</w:t>
      </w:r>
      <w:r>
        <w:t>,</w:t>
      </w:r>
      <w:r w:rsidR="000E2DF0">
        <w:t xml:space="preserve"> as amended (Act),</w:t>
      </w:r>
      <w:r>
        <w:rPr>
          <w:rStyle w:val="FootnoteReference"/>
          <w:szCs w:val="22"/>
        </w:rPr>
        <w:footnoteReference w:id="8"/>
      </w:r>
      <w:r>
        <w:t xml:space="preserve"> Section 1.80 of the Rules,</w:t>
      </w:r>
      <w:r>
        <w:rPr>
          <w:rStyle w:val="FootnoteReference"/>
          <w:szCs w:val="22"/>
        </w:rPr>
        <w:footnoteReference w:id="9"/>
      </w:r>
      <w:r>
        <w:t xml:space="preserve"> and the </w:t>
      </w:r>
      <w:r>
        <w:rPr>
          <w:i/>
        </w:rPr>
        <w:t>Forfeiture Policy Statement</w:t>
      </w:r>
      <w:r>
        <w:t>.</w:t>
      </w:r>
      <w:r>
        <w:rPr>
          <w:rStyle w:val="FootnoteReference"/>
          <w:szCs w:val="22"/>
        </w:rPr>
        <w:footnoteReference w:id="10"/>
      </w:r>
      <w:r>
        <w:t xml:space="preserve">  In examining </w:t>
      </w:r>
      <w:r w:rsidR="00E3149D">
        <w:t>Frandsen</w:t>
      </w:r>
      <w:r w:rsidR="00CA7A8C">
        <w:t xml:space="preserve">’s </w:t>
      </w:r>
      <w:r w:rsidR="000E2DF0">
        <w:rPr>
          <w:i/>
          <w:szCs w:val="22"/>
        </w:rPr>
        <w:t>NAL Response</w:t>
      </w:r>
      <w: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szCs w:val="22"/>
        </w:rPr>
        <w:footnoteReference w:id="11"/>
      </w:r>
      <w:r>
        <w:t xml:space="preserve">  As discussed below, we have fully considered </w:t>
      </w:r>
      <w:r w:rsidR="00ED44B9">
        <w:t>Frandsen</w:t>
      </w:r>
      <w:r w:rsidR="000E2DF0">
        <w:t xml:space="preserve">’s </w:t>
      </w:r>
      <w:r w:rsidR="000E2DF0">
        <w:rPr>
          <w:i/>
          <w:szCs w:val="22"/>
        </w:rPr>
        <w:t>NAL Response</w:t>
      </w:r>
      <w:r>
        <w:rPr>
          <w:i/>
        </w:rPr>
        <w:t xml:space="preserve"> </w:t>
      </w:r>
      <w:r>
        <w:t xml:space="preserve">in light of these statutory factors and find that </w:t>
      </w:r>
      <w:r>
        <w:rPr>
          <w:spacing w:val="-2"/>
        </w:rPr>
        <w:t xml:space="preserve">reduction of the forfeiture is warranted. </w:t>
      </w:r>
    </w:p>
    <w:p w14:paraId="4BB112EB" w14:textId="324B7324" w:rsidR="00566BBD" w:rsidRDefault="008E7E74" w:rsidP="009A0DD8">
      <w:pPr>
        <w:widowControl/>
        <w:numPr>
          <w:ilvl w:val="0"/>
          <w:numId w:val="7"/>
        </w:numPr>
        <w:tabs>
          <w:tab w:val="clear" w:pos="1080"/>
          <w:tab w:val="left" w:pos="0"/>
          <w:tab w:val="num" w:pos="1440"/>
        </w:tabs>
        <w:suppressAutoHyphens/>
        <w:autoSpaceDE w:val="0"/>
        <w:autoSpaceDN w:val="0"/>
        <w:adjustRightInd w:val="0"/>
        <w:spacing w:after="120"/>
        <w:rPr>
          <w:spacing w:val="-2"/>
        </w:rPr>
      </w:pPr>
      <w:r>
        <w:rPr>
          <w:spacing w:val="-2"/>
        </w:rPr>
        <w:t xml:space="preserve">Frandsen first argues that </w:t>
      </w:r>
      <w:r w:rsidR="00676EBC">
        <w:rPr>
          <w:spacing w:val="-2"/>
        </w:rPr>
        <w:t xml:space="preserve">the </w:t>
      </w:r>
      <w:r w:rsidR="000E2DF0">
        <w:rPr>
          <w:spacing w:val="-2"/>
        </w:rPr>
        <w:t xml:space="preserve">area exceeding </w:t>
      </w:r>
      <w:r>
        <w:rPr>
          <w:spacing w:val="-2"/>
        </w:rPr>
        <w:t>the RFR maximum pe</w:t>
      </w:r>
      <w:r w:rsidR="000E2DF0">
        <w:rPr>
          <w:spacing w:val="-2"/>
        </w:rPr>
        <w:t>rmitted exposure limits was</w:t>
      </w:r>
      <w:r>
        <w:rPr>
          <w:spacing w:val="-2"/>
        </w:rPr>
        <w:t xml:space="preserve"> appropriately marked with RFR warning signs the </w:t>
      </w:r>
      <w:r w:rsidR="003F4F6A">
        <w:rPr>
          <w:spacing w:val="-2"/>
        </w:rPr>
        <w:t>“</w:t>
      </w:r>
      <w:r>
        <w:rPr>
          <w:spacing w:val="-2"/>
        </w:rPr>
        <w:t>previous Fall,</w:t>
      </w:r>
      <w:r w:rsidR="003F4F6A">
        <w:rPr>
          <w:spacing w:val="-2"/>
        </w:rPr>
        <w:t>”</w:t>
      </w:r>
      <w:r>
        <w:rPr>
          <w:spacing w:val="-2"/>
        </w:rPr>
        <w:t xml:space="preserve"> but </w:t>
      </w:r>
      <w:r w:rsidR="000E2DF0">
        <w:rPr>
          <w:spacing w:val="-2"/>
        </w:rPr>
        <w:t xml:space="preserve">was subsequently </w:t>
      </w:r>
      <w:r>
        <w:rPr>
          <w:spacing w:val="-2"/>
        </w:rPr>
        <w:t xml:space="preserve">vandalized with all of the </w:t>
      </w:r>
      <w:r w:rsidR="00BC4FA9">
        <w:rPr>
          <w:spacing w:val="-2"/>
        </w:rPr>
        <w:t>sign</w:t>
      </w:r>
      <w:r w:rsidR="003268D3">
        <w:rPr>
          <w:spacing w:val="-2"/>
        </w:rPr>
        <w:t>s</w:t>
      </w:r>
      <w:r>
        <w:rPr>
          <w:spacing w:val="-2"/>
        </w:rPr>
        <w:t xml:space="preserve"> </w:t>
      </w:r>
      <w:r w:rsidR="003268D3">
        <w:rPr>
          <w:spacing w:val="-2"/>
        </w:rPr>
        <w:t xml:space="preserve">removed from the multiple </w:t>
      </w:r>
      <w:r>
        <w:rPr>
          <w:spacing w:val="-2"/>
        </w:rPr>
        <w:t>posts</w:t>
      </w:r>
      <w:r w:rsidR="000E2DF0">
        <w:rPr>
          <w:spacing w:val="-2"/>
        </w:rPr>
        <w:t xml:space="preserve"> that </w:t>
      </w:r>
      <w:r w:rsidR="003268D3">
        <w:rPr>
          <w:spacing w:val="-2"/>
        </w:rPr>
        <w:t>marked the area</w:t>
      </w:r>
      <w:r>
        <w:rPr>
          <w:spacing w:val="-2"/>
        </w:rPr>
        <w:t>.</w:t>
      </w:r>
      <w:r>
        <w:rPr>
          <w:rStyle w:val="FootnoteReference"/>
          <w:spacing w:val="-2"/>
        </w:rPr>
        <w:footnoteReference w:id="12"/>
      </w:r>
      <w:r>
        <w:rPr>
          <w:spacing w:val="-2"/>
        </w:rPr>
        <w:t xml:space="preserve">  Conse</w:t>
      </w:r>
      <w:r w:rsidR="000E2DF0">
        <w:rPr>
          <w:spacing w:val="-2"/>
        </w:rPr>
        <w:t>quently, Frandsen argues</w:t>
      </w:r>
      <w:r>
        <w:rPr>
          <w:spacing w:val="-2"/>
        </w:rPr>
        <w:t xml:space="preserve"> the proposed forfeiture should be cancelled consistent wit</w:t>
      </w:r>
      <w:r w:rsidR="00676EBC">
        <w:rPr>
          <w:spacing w:val="-2"/>
        </w:rPr>
        <w:t>h the</w:t>
      </w:r>
      <w:r>
        <w:rPr>
          <w:spacing w:val="-2"/>
        </w:rPr>
        <w:t xml:space="preserve"> Commiss</w:t>
      </w:r>
      <w:r w:rsidR="00676EBC">
        <w:rPr>
          <w:spacing w:val="-2"/>
        </w:rPr>
        <w:t>i</w:t>
      </w:r>
      <w:r>
        <w:rPr>
          <w:spacing w:val="-2"/>
        </w:rPr>
        <w:t xml:space="preserve">on’s decision in </w:t>
      </w:r>
      <w:r w:rsidR="00676EBC">
        <w:rPr>
          <w:i/>
          <w:spacing w:val="-2"/>
        </w:rPr>
        <w:t>Vernon Broadcasting</w:t>
      </w:r>
      <w:r w:rsidR="00676EBC">
        <w:rPr>
          <w:spacing w:val="-2"/>
        </w:rPr>
        <w:t>,</w:t>
      </w:r>
      <w:r w:rsidR="00676EBC">
        <w:rPr>
          <w:rStyle w:val="FootnoteReference"/>
          <w:spacing w:val="-2"/>
        </w:rPr>
        <w:footnoteReference w:id="13"/>
      </w:r>
      <w:r w:rsidR="00676EBC">
        <w:rPr>
          <w:spacing w:val="-2"/>
        </w:rPr>
        <w:t xml:space="preserve"> where the Com</w:t>
      </w:r>
      <w:r w:rsidR="00F31783">
        <w:rPr>
          <w:spacing w:val="-2"/>
        </w:rPr>
        <w:t>m</w:t>
      </w:r>
      <w:r w:rsidR="00676EBC">
        <w:rPr>
          <w:spacing w:val="-2"/>
        </w:rPr>
        <w:t>ission cancelled a forfeiture concernin</w:t>
      </w:r>
      <w:r w:rsidR="000E2DF0">
        <w:rPr>
          <w:spacing w:val="-2"/>
        </w:rPr>
        <w:t>g an AM tower fencing violation</w:t>
      </w:r>
      <w:r w:rsidR="00676EBC">
        <w:rPr>
          <w:spacing w:val="-2"/>
        </w:rPr>
        <w:t xml:space="preserve"> after the licensee provided </w:t>
      </w:r>
      <w:r w:rsidR="00F31783">
        <w:rPr>
          <w:spacing w:val="-2"/>
        </w:rPr>
        <w:t>e</w:t>
      </w:r>
      <w:r w:rsidR="00676EBC">
        <w:rPr>
          <w:spacing w:val="-2"/>
        </w:rPr>
        <w:t>videnc</w:t>
      </w:r>
      <w:r w:rsidR="00F31783">
        <w:rPr>
          <w:spacing w:val="-2"/>
        </w:rPr>
        <w:t>e</w:t>
      </w:r>
      <w:r w:rsidR="00676EBC">
        <w:rPr>
          <w:spacing w:val="-2"/>
        </w:rPr>
        <w:t xml:space="preserve"> that the fence had been vandalized in between the licensee’s regularly rec</w:t>
      </w:r>
      <w:r w:rsidR="000E2DF0">
        <w:rPr>
          <w:spacing w:val="-2"/>
        </w:rPr>
        <w:t xml:space="preserve">urring inspections </w:t>
      </w:r>
      <w:r w:rsidR="00676EBC">
        <w:rPr>
          <w:spacing w:val="-2"/>
        </w:rPr>
        <w:t>and “shortly before the [FCC] inspection.”</w:t>
      </w:r>
      <w:r w:rsidR="00676EBC">
        <w:rPr>
          <w:rStyle w:val="FootnoteReference"/>
          <w:spacing w:val="-2"/>
        </w:rPr>
        <w:footnoteReference w:id="14"/>
      </w:r>
      <w:r w:rsidR="00676EBC">
        <w:rPr>
          <w:spacing w:val="-2"/>
        </w:rPr>
        <w:t xml:space="preserve">  We disagree that a cancellation is appropriate here. </w:t>
      </w:r>
      <w:r w:rsidR="00C45A5D">
        <w:rPr>
          <w:spacing w:val="-2"/>
        </w:rPr>
        <w:t xml:space="preserve"> </w:t>
      </w:r>
      <w:r w:rsidR="00676EBC">
        <w:rPr>
          <w:spacing w:val="-2"/>
        </w:rPr>
        <w:t xml:space="preserve">While </w:t>
      </w:r>
      <w:r>
        <w:rPr>
          <w:spacing w:val="-2"/>
        </w:rPr>
        <w:t>Frandsen</w:t>
      </w:r>
      <w:r w:rsidR="00676EBC">
        <w:rPr>
          <w:spacing w:val="-2"/>
        </w:rPr>
        <w:t xml:space="preserve"> may be correct that its RFR signs were stolen in an act of vandalism, we note that its last inspection of the site was at least five months prior to the Denver </w:t>
      </w:r>
      <w:r w:rsidR="000E2DF0">
        <w:rPr>
          <w:spacing w:val="-2"/>
        </w:rPr>
        <w:t xml:space="preserve">Office </w:t>
      </w:r>
      <w:r w:rsidR="00676EBC">
        <w:rPr>
          <w:spacing w:val="-2"/>
        </w:rPr>
        <w:t xml:space="preserve">inspection, unlike the regularly </w:t>
      </w:r>
      <w:r w:rsidR="00C45A5D">
        <w:rPr>
          <w:spacing w:val="-2"/>
        </w:rPr>
        <w:t xml:space="preserve">occurring </w:t>
      </w:r>
      <w:r w:rsidR="00676EBC">
        <w:rPr>
          <w:spacing w:val="-2"/>
        </w:rPr>
        <w:t xml:space="preserve">inspections referenced in </w:t>
      </w:r>
      <w:r w:rsidR="00676EBC" w:rsidRPr="00C45A5D">
        <w:rPr>
          <w:i/>
          <w:spacing w:val="-2"/>
        </w:rPr>
        <w:t>Vern</w:t>
      </w:r>
      <w:r w:rsidR="00ED44B9" w:rsidRPr="00C45A5D">
        <w:rPr>
          <w:i/>
          <w:spacing w:val="-2"/>
        </w:rPr>
        <w:t>on</w:t>
      </w:r>
      <w:r w:rsidR="00C45A5D" w:rsidRPr="00C45A5D">
        <w:rPr>
          <w:i/>
          <w:spacing w:val="-2"/>
        </w:rPr>
        <w:t xml:space="preserve"> Broadcasting</w:t>
      </w:r>
      <w:r w:rsidR="00676EBC">
        <w:rPr>
          <w:spacing w:val="-2"/>
        </w:rPr>
        <w:t xml:space="preserve">.  As </w:t>
      </w:r>
      <w:r w:rsidR="003268D3">
        <w:rPr>
          <w:spacing w:val="-2"/>
        </w:rPr>
        <w:t xml:space="preserve">detailed in </w:t>
      </w:r>
      <w:r w:rsidR="00676EBC">
        <w:rPr>
          <w:spacing w:val="-2"/>
        </w:rPr>
        <w:t>th</w:t>
      </w:r>
      <w:r w:rsidR="003268D3">
        <w:rPr>
          <w:spacing w:val="-2"/>
        </w:rPr>
        <w:t>e</w:t>
      </w:r>
      <w:r w:rsidR="00676EBC">
        <w:rPr>
          <w:spacing w:val="-2"/>
        </w:rPr>
        <w:t xml:space="preserve"> </w:t>
      </w:r>
      <w:r w:rsidR="00676EBC" w:rsidRPr="00C45A5D">
        <w:rPr>
          <w:i/>
          <w:spacing w:val="-2"/>
        </w:rPr>
        <w:t>NAL</w:t>
      </w:r>
      <w:r w:rsidR="00676EBC">
        <w:rPr>
          <w:spacing w:val="-2"/>
        </w:rPr>
        <w:t xml:space="preserve">, </w:t>
      </w:r>
      <w:r w:rsidR="003F4F6A">
        <w:rPr>
          <w:spacing w:val="-2"/>
        </w:rPr>
        <w:t>Frandsen</w:t>
      </w:r>
      <w:r w:rsidR="00676EBC">
        <w:rPr>
          <w:spacing w:val="-2"/>
        </w:rPr>
        <w:t xml:space="preserve"> was aware</w:t>
      </w:r>
      <w:r w:rsidR="00344163">
        <w:rPr>
          <w:spacing w:val="-2"/>
        </w:rPr>
        <w:t xml:space="preserve"> since at lea</w:t>
      </w:r>
      <w:r w:rsidR="005B73ED">
        <w:rPr>
          <w:spacing w:val="-2"/>
        </w:rPr>
        <w:t xml:space="preserve">st 2005 </w:t>
      </w:r>
      <w:r w:rsidR="003F402B">
        <w:rPr>
          <w:spacing w:val="-2"/>
        </w:rPr>
        <w:t>that</w:t>
      </w:r>
      <w:r w:rsidR="00344163">
        <w:rPr>
          <w:spacing w:val="-2"/>
        </w:rPr>
        <w:t xml:space="preserve"> a </w:t>
      </w:r>
      <w:r w:rsidR="003F402B">
        <w:rPr>
          <w:spacing w:val="-2"/>
        </w:rPr>
        <w:t>publicly</w:t>
      </w:r>
      <w:r w:rsidR="00344163">
        <w:rPr>
          <w:spacing w:val="-2"/>
        </w:rPr>
        <w:t xml:space="preserve"> accessible unfenced</w:t>
      </w:r>
      <w:r w:rsidR="00676EBC">
        <w:rPr>
          <w:spacing w:val="-2"/>
        </w:rPr>
        <w:t xml:space="preserve"> area </w:t>
      </w:r>
      <w:r w:rsidR="003F402B">
        <w:rPr>
          <w:spacing w:val="-2"/>
        </w:rPr>
        <w:t xml:space="preserve">existed </w:t>
      </w:r>
      <w:r w:rsidR="00344163">
        <w:rPr>
          <w:spacing w:val="-2"/>
        </w:rPr>
        <w:t xml:space="preserve">around the </w:t>
      </w:r>
      <w:r w:rsidR="005B73ED">
        <w:rPr>
          <w:spacing w:val="-2"/>
        </w:rPr>
        <w:t xml:space="preserve">Station </w:t>
      </w:r>
      <w:r w:rsidR="00344163">
        <w:rPr>
          <w:spacing w:val="-2"/>
        </w:rPr>
        <w:t xml:space="preserve">KGNT transmitter </w:t>
      </w:r>
      <w:r w:rsidR="00676EBC">
        <w:rPr>
          <w:spacing w:val="-2"/>
        </w:rPr>
        <w:t>that exceeded the RFR exposure limits</w:t>
      </w:r>
      <w:r w:rsidR="003F402B">
        <w:rPr>
          <w:spacing w:val="-2"/>
        </w:rPr>
        <w:t>.</w:t>
      </w:r>
      <w:r w:rsidR="005B73ED">
        <w:rPr>
          <w:rStyle w:val="FootnoteReference"/>
          <w:spacing w:val="-2"/>
        </w:rPr>
        <w:footnoteReference w:id="15"/>
      </w:r>
      <w:r w:rsidR="00676EBC">
        <w:rPr>
          <w:spacing w:val="-2"/>
        </w:rPr>
        <w:t xml:space="preserve"> </w:t>
      </w:r>
      <w:r w:rsidR="003F402B">
        <w:rPr>
          <w:spacing w:val="-2"/>
        </w:rPr>
        <w:t xml:space="preserve"> </w:t>
      </w:r>
      <w:r w:rsidR="00676EBC">
        <w:rPr>
          <w:spacing w:val="-2"/>
        </w:rPr>
        <w:t xml:space="preserve">Given that </w:t>
      </w:r>
      <w:r w:rsidR="00F632F1">
        <w:rPr>
          <w:spacing w:val="-2"/>
        </w:rPr>
        <w:t xml:space="preserve">Frandsen cannot show that the vandalism </w:t>
      </w:r>
      <w:r w:rsidR="003F402B">
        <w:rPr>
          <w:spacing w:val="-2"/>
        </w:rPr>
        <w:t xml:space="preserve">of </w:t>
      </w:r>
      <w:r w:rsidR="003F402B">
        <w:rPr>
          <w:spacing w:val="-2"/>
        </w:rPr>
        <w:lastRenderedPageBreak/>
        <w:t xml:space="preserve">the RFR warning signs posted around the area of concern </w:t>
      </w:r>
      <w:r w:rsidR="00F632F1">
        <w:rPr>
          <w:spacing w:val="-2"/>
        </w:rPr>
        <w:t>occurred shortly before the</w:t>
      </w:r>
      <w:r w:rsidR="005B73ED">
        <w:rPr>
          <w:spacing w:val="-2"/>
        </w:rPr>
        <w:t xml:space="preserve"> Denver Office April 2010</w:t>
      </w:r>
      <w:r w:rsidR="00F632F1">
        <w:rPr>
          <w:spacing w:val="-2"/>
        </w:rPr>
        <w:t xml:space="preserve"> inspection</w:t>
      </w:r>
      <w:r w:rsidR="005B73ED">
        <w:rPr>
          <w:spacing w:val="-2"/>
        </w:rPr>
        <w:t>s</w:t>
      </w:r>
      <w:r w:rsidR="00F632F1">
        <w:rPr>
          <w:spacing w:val="-2"/>
        </w:rPr>
        <w:t xml:space="preserve">, we do not believe that </w:t>
      </w:r>
      <w:r w:rsidR="00F632F1">
        <w:rPr>
          <w:i/>
          <w:spacing w:val="-2"/>
        </w:rPr>
        <w:t xml:space="preserve">Vernon Broadcasting </w:t>
      </w:r>
      <w:r w:rsidR="00F632F1">
        <w:rPr>
          <w:spacing w:val="-2"/>
        </w:rPr>
        <w:t xml:space="preserve">requires that we cancel the proposed forfeiture.  </w:t>
      </w:r>
      <w:r w:rsidR="005B73ED">
        <w:rPr>
          <w:spacing w:val="-2"/>
        </w:rPr>
        <w:t>However, w</w:t>
      </w:r>
      <w:r w:rsidR="00F632F1">
        <w:rPr>
          <w:spacing w:val="-2"/>
        </w:rPr>
        <w:t xml:space="preserve">e do find </w:t>
      </w:r>
      <w:r w:rsidR="00BC4FA9">
        <w:rPr>
          <w:spacing w:val="-2"/>
        </w:rPr>
        <w:t>that</w:t>
      </w:r>
      <w:r w:rsidR="00F632F1">
        <w:rPr>
          <w:spacing w:val="-2"/>
        </w:rPr>
        <w:t xml:space="preserve"> the </w:t>
      </w:r>
      <w:r w:rsidR="00F31783">
        <w:rPr>
          <w:spacing w:val="-2"/>
        </w:rPr>
        <w:t>e</w:t>
      </w:r>
      <w:r w:rsidR="00F632F1">
        <w:rPr>
          <w:spacing w:val="-2"/>
        </w:rPr>
        <w:t>vid</w:t>
      </w:r>
      <w:r w:rsidR="00F31783">
        <w:rPr>
          <w:spacing w:val="-2"/>
        </w:rPr>
        <w:t>e</w:t>
      </w:r>
      <w:r w:rsidR="00F632F1">
        <w:rPr>
          <w:spacing w:val="-2"/>
        </w:rPr>
        <w:t>nce provided by Frandsen shows that the licensee made a good faith effort to comply wi</w:t>
      </w:r>
      <w:r w:rsidR="00F31783">
        <w:rPr>
          <w:spacing w:val="-2"/>
        </w:rPr>
        <w:t>th</w:t>
      </w:r>
      <w:r w:rsidR="00F632F1">
        <w:rPr>
          <w:spacing w:val="-2"/>
        </w:rPr>
        <w:t xml:space="preserve"> the </w:t>
      </w:r>
      <w:r w:rsidR="00340447">
        <w:rPr>
          <w:spacing w:val="-2"/>
        </w:rPr>
        <w:t xml:space="preserve">RFR </w:t>
      </w:r>
      <w:r w:rsidR="00F632F1">
        <w:rPr>
          <w:spacing w:val="-2"/>
        </w:rPr>
        <w:t xml:space="preserve">Rules, and we reduce </w:t>
      </w:r>
      <w:r w:rsidR="001A4259">
        <w:rPr>
          <w:spacing w:val="-2"/>
        </w:rPr>
        <w:t xml:space="preserve">forfeiture assessed for </w:t>
      </w:r>
      <w:r w:rsidR="00F632F1">
        <w:rPr>
          <w:spacing w:val="-2"/>
        </w:rPr>
        <w:t>the Section 1.1310 violation by $2,000</w:t>
      </w:r>
      <w:r w:rsidR="005B73ED">
        <w:rPr>
          <w:spacing w:val="-2"/>
        </w:rPr>
        <w:t>.</w:t>
      </w:r>
      <w:r w:rsidR="00F632F1">
        <w:rPr>
          <w:rStyle w:val="FootnoteReference"/>
          <w:spacing w:val="-2"/>
        </w:rPr>
        <w:footnoteReference w:id="16"/>
      </w:r>
      <w:r w:rsidR="003F402B">
        <w:rPr>
          <w:spacing w:val="-2"/>
        </w:rPr>
        <w:t xml:space="preserve">  </w:t>
      </w:r>
    </w:p>
    <w:p w14:paraId="632FABC4" w14:textId="7D63BC86" w:rsidR="0032433B" w:rsidRPr="00F31783" w:rsidRDefault="00566BBD" w:rsidP="009A0DD8">
      <w:pPr>
        <w:widowControl/>
        <w:numPr>
          <w:ilvl w:val="0"/>
          <w:numId w:val="7"/>
        </w:numPr>
        <w:tabs>
          <w:tab w:val="clear" w:pos="1080"/>
          <w:tab w:val="left" w:pos="0"/>
          <w:tab w:val="num" w:pos="1350"/>
        </w:tabs>
        <w:suppressAutoHyphens/>
        <w:autoSpaceDE w:val="0"/>
        <w:autoSpaceDN w:val="0"/>
        <w:adjustRightInd w:val="0"/>
        <w:spacing w:after="120"/>
        <w:rPr>
          <w:spacing w:val="-2"/>
        </w:rPr>
      </w:pPr>
      <w:r>
        <w:rPr>
          <w:spacing w:val="-2"/>
        </w:rPr>
        <w:t xml:space="preserve">Frandsen also argues </w:t>
      </w:r>
      <w:r w:rsidR="0071477D">
        <w:rPr>
          <w:spacing w:val="-2"/>
        </w:rPr>
        <w:t xml:space="preserve">for a forfeiture reduction based on its </w:t>
      </w:r>
      <w:r>
        <w:rPr>
          <w:spacing w:val="-2"/>
        </w:rPr>
        <w:t>history of compliance with the Rules.</w:t>
      </w:r>
      <w:r w:rsidR="00F31783">
        <w:rPr>
          <w:spacing w:val="-2"/>
        </w:rPr>
        <w:t xml:space="preserve"> </w:t>
      </w:r>
      <w:r w:rsidR="00F31783" w:rsidRPr="00F31783">
        <w:t xml:space="preserve"> </w:t>
      </w:r>
      <w:r w:rsidR="00F31783" w:rsidRPr="00F31783">
        <w:rPr>
          <w:spacing w:val="-2"/>
        </w:rPr>
        <w:t xml:space="preserve">After reviewing the Commission's records, we agree that a reduction based on </w:t>
      </w:r>
      <w:r w:rsidR="00F31783">
        <w:rPr>
          <w:spacing w:val="-2"/>
        </w:rPr>
        <w:t>Frandsen</w:t>
      </w:r>
      <w:r w:rsidR="0071477D">
        <w:rPr>
          <w:spacing w:val="-2"/>
        </w:rPr>
        <w:t>’</w:t>
      </w:r>
      <w:r w:rsidR="00F31783" w:rsidRPr="00F31783">
        <w:rPr>
          <w:spacing w:val="-2"/>
        </w:rPr>
        <w:t>s histo</w:t>
      </w:r>
      <w:r w:rsidR="00F31783">
        <w:rPr>
          <w:spacing w:val="-2"/>
        </w:rPr>
        <w:t xml:space="preserve">ry of compliance is warranted, and we reduce the proposed forfeiture by $2,800.  </w:t>
      </w:r>
      <w:r w:rsidR="00F31783" w:rsidRPr="00F31783">
        <w:rPr>
          <w:spacing w:val="-2"/>
        </w:rPr>
        <w:t xml:space="preserve">Accordingly, </w:t>
      </w:r>
      <w:r w:rsidR="0071477D">
        <w:rPr>
          <w:spacing w:val="-2"/>
        </w:rPr>
        <w:t xml:space="preserve">applying the </w:t>
      </w:r>
      <w:r w:rsidR="0071477D">
        <w:rPr>
          <w:i/>
          <w:spacing w:val="-2"/>
        </w:rPr>
        <w:t>Forfeiture Policy Statement</w:t>
      </w:r>
      <w:r w:rsidR="00F31783">
        <w:rPr>
          <w:spacing w:val="-2"/>
        </w:rPr>
        <w:t>,</w:t>
      </w:r>
      <w:r w:rsidR="0071477D">
        <w:rPr>
          <w:spacing w:val="-2"/>
        </w:rPr>
        <w:t xml:space="preserve"> Section 1.80 of the Rules, and the statutory factors,</w:t>
      </w:r>
      <w:r w:rsidR="00F31783" w:rsidRPr="00F31783">
        <w:rPr>
          <w:spacing w:val="-2"/>
        </w:rPr>
        <w:t xml:space="preserve"> we </w:t>
      </w:r>
      <w:r w:rsidR="00F31783">
        <w:rPr>
          <w:spacing w:val="-2"/>
        </w:rPr>
        <w:t>assess a forfeiture of $9,200 against Frandsen.</w:t>
      </w:r>
      <w:r w:rsidR="0032433B">
        <w:t xml:space="preserve">  </w:t>
      </w:r>
    </w:p>
    <w:p w14:paraId="36DD7BB5" w14:textId="77777777" w:rsidR="0032433B" w:rsidRDefault="0032433B" w:rsidP="009A0DD8">
      <w:pPr>
        <w:pStyle w:val="Heading1"/>
        <w:widowControl/>
        <w:rPr>
          <w:rFonts w:ascii="Times New Roman" w:hAnsi="Times New Roman"/>
          <w:szCs w:val="22"/>
        </w:rPr>
      </w:pPr>
      <w:r>
        <w:rPr>
          <w:rFonts w:ascii="Times New Roman" w:hAnsi="Times New Roman"/>
          <w:szCs w:val="22"/>
        </w:rPr>
        <w:t>ordering clauses</w:t>
      </w:r>
    </w:p>
    <w:p w14:paraId="69DFB21B" w14:textId="71A148B7" w:rsidR="0032433B" w:rsidRDefault="0032433B" w:rsidP="009A0DD8">
      <w:pPr>
        <w:widowControl/>
        <w:numPr>
          <w:ilvl w:val="0"/>
          <w:numId w:val="7"/>
        </w:numPr>
        <w:tabs>
          <w:tab w:val="clear" w:pos="1080"/>
          <w:tab w:val="left" w:pos="0"/>
          <w:tab w:val="num" w:pos="1440"/>
        </w:tabs>
        <w:suppressAutoHyphens/>
        <w:autoSpaceDE w:val="0"/>
        <w:autoSpaceDN w:val="0"/>
        <w:adjustRightInd w:val="0"/>
        <w:spacing w:after="120"/>
        <w:rPr>
          <w:szCs w:val="22"/>
        </w:rPr>
      </w:pPr>
      <w:r>
        <w:rPr>
          <w:szCs w:val="22"/>
        </w:rPr>
        <w:t xml:space="preserve">Accordingly, </w:t>
      </w:r>
      <w:r>
        <w:rPr>
          <w:b/>
          <w:szCs w:val="22"/>
        </w:rPr>
        <w:t>IT IS ORDERED</w:t>
      </w:r>
      <w:r>
        <w:rPr>
          <w:szCs w:val="22"/>
        </w:rPr>
        <w:t xml:space="preserve"> that, pursuant</w:t>
      </w:r>
      <w:r w:rsidR="0071477D">
        <w:rPr>
          <w:szCs w:val="22"/>
        </w:rPr>
        <w:t xml:space="preserve"> to Section 503(b) of the Act</w:t>
      </w:r>
      <w:r>
        <w:rPr>
          <w:szCs w:val="22"/>
        </w:rPr>
        <w:t xml:space="preserve"> and Sections 0.111, 0.204, 0.311, 0.314, and </w:t>
      </w:r>
      <w:r w:rsidR="0071477D">
        <w:rPr>
          <w:szCs w:val="22"/>
        </w:rPr>
        <w:t>1.80(f)(4) of the R</w:t>
      </w:r>
      <w:r>
        <w:rPr>
          <w:szCs w:val="22"/>
        </w:rPr>
        <w:t xml:space="preserve">ules, </w:t>
      </w:r>
      <w:r w:rsidR="00234BDD" w:rsidRPr="00234BDD">
        <w:rPr>
          <w:szCs w:val="22"/>
        </w:rPr>
        <w:t>Frandsen Media Company, LLC</w:t>
      </w:r>
      <w:r w:rsidR="00234BDD">
        <w:rPr>
          <w:szCs w:val="22"/>
        </w:rPr>
        <w:t>,</w:t>
      </w:r>
      <w:r w:rsidR="00234BDD" w:rsidRPr="00234BDD">
        <w:rPr>
          <w:szCs w:val="22"/>
        </w:rPr>
        <w:t xml:space="preserve"> </w:t>
      </w:r>
      <w:r>
        <w:rPr>
          <w:b/>
          <w:szCs w:val="22"/>
        </w:rPr>
        <w:t>IS LIABLE FOR A MONETARY FORFEITURE</w:t>
      </w:r>
      <w:r>
        <w:rPr>
          <w:szCs w:val="22"/>
        </w:rPr>
        <w:t xml:space="preserve"> in the amount of </w:t>
      </w:r>
      <w:r w:rsidR="00234BDD">
        <w:rPr>
          <w:szCs w:val="22"/>
        </w:rPr>
        <w:t>nine</w:t>
      </w:r>
      <w:r>
        <w:rPr>
          <w:szCs w:val="22"/>
        </w:rPr>
        <w:t xml:space="preserve"> thousand</w:t>
      </w:r>
      <w:r w:rsidR="0071477D">
        <w:rPr>
          <w:szCs w:val="22"/>
        </w:rPr>
        <w:t>, two hundred</w:t>
      </w:r>
      <w:r>
        <w:rPr>
          <w:szCs w:val="22"/>
        </w:rPr>
        <w:t xml:space="preserve"> dollars ($</w:t>
      </w:r>
      <w:r w:rsidR="00234BDD">
        <w:rPr>
          <w:szCs w:val="22"/>
        </w:rPr>
        <w:t>9,2</w:t>
      </w:r>
      <w:r>
        <w:rPr>
          <w:szCs w:val="22"/>
        </w:rPr>
        <w:t>00) for violation</w:t>
      </w:r>
      <w:r w:rsidR="00541D3C">
        <w:rPr>
          <w:szCs w:val="22"/>
        </w:rPr>
        <w:t>s</w:t>
      </w:r>
      <w:r>
        <w:rPr>
          <w:szCs w:val="22"/>
        </w:rPr>
        <w:t xml:space="preserve"> of Section</w:t>
      </w:r>
      <w:r w:rsidR="00234BDD">
        <w:rPr>
          <w:szCs w:val="22"/>
        </w:rPr>
        <w:t xml:space="preserve">s 1.1310 and </w:t>
      </w:r>
      <w:r>
        <w:rPr>
          <w:szCs w:val="22"/>
        </w:rPr>
        <w:t>73.</w:t>
      </w:r>
      <w:r w:rsidR="00234BDD">
        <w:rPr>
          <w:szCs w:val="22"/>
        </w:rPr>
        <w:t>1560(b)</w:t>
      </w:r>
      <w:r>
        <w:rPr>
          <w:szCs w:val="22"/>
        </w:rPr>
        <w:t xml:space="preserve"> of the Rules.</w:t>
      </w:r>
      <w:r>
        <w:rPr>
          <w:rStyle w:val="FootnoteReference"/>
          <w:szCs w:val="22"/>
        </w:rPr>
        <w:footnoteReference w:id="17"/>
      </w:r>
      <w:r>
        <w:rPr>
          <w:szCs w:val="22"/>
        </w:rPr>
        <w:t xml:space="preserve"> </w:t>
      </w:r>
    </w:p>
    <w:p w14:paraId="45C0B077" w14:textId="785A89C1" w:rsidR="0032433B" w:rsidRDefault="0032433B" w:rsidP="009A0DD8">
      <w:pPr>
        <w:widowControl/>
        <w:numPr>
          <w:ilvl w:val="0"/>
          <w:numId w:val="7"/>
        </w:numPr>
        <w:tabs>
          <w:tab w:val="clear" w:pos="1080"/>
          <w:tab w:val="left" w:pos="0"/>
          <w:tab w:val="num" w:pos="1440"/>
        </w:tabs>
        <w:suppressAutoHyphens/>
        <w:autoSpaceDE w:val="0"/>
        <w:autoSpaceDN w:val="0"/>
        <w:adjustRightInd w:val="0"/>
        <w:spacing w:after="120"/>
        <w:rPr>
          <w:szCs w:val="22"/>
        </w:rPr>
      </w:pPr>
      <w:r>
        <w:rPr>
          <w:szCs w:val="22"/>
        </w:rPr>
        <w:t>Payment</w:t>
      </w:r>
      <w:r>
        <w:rPr>
          <w:rFonts w:eastAsia="MS Mincho"/>
          <w:szCs w:val="22"/>
        </w:rPr>
        <w:t xml:space="preserve"> of the forfeiture shall be made in the manner provided for in Section 1.80 of the Rules </w:t>
      </w:r>
      <w:r>
        <w:rPr>
          <w:rFonts w:eastAsia="MS Mincho"/>
        </w:rPr>
        <w:t>within thirty (30) calendar days after the release date of this Forfeiture Order</w:t>
      </w:r>
      <w:r>
        <w:rPr>
          <w:rFonts w:eastAsia="MS Mincho"/>
          <w:szCs w:val="22"/>
        </w:rPr>
        <w:t>.</w:t>
      </w:r>
      <w:r>
        <w:rPr>
          <w:rStyle w:val="FootnoteReference"/>
          <w:rFonts w:eastAsia="MS Mincho"/>
          <w:szCs w:val="22"/>
        </w:rPr>
        <w:footnoteReference w:id="18"/>
      </w:r>
      <w:r>
        <w:rPr>
          <w:rFonts w:eastAsia="MS Mincho"/>
          <w:szCs w:val="22"/>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szCs w:val="22"/>
        </w:rPr>
        <w:footnoteReference w:id="19"/>
      </w:r>
      <w:r>
        <w:rPr>
          <w:rFonts w:eastAsia="MS Mincho"/>
          <w:szCs w:val="22"/>
        </w:rPr>
        <w:t xml:space="preserve">  </w:t>
      </w:r>
      <w:r w:rsidR="00234BDD" w:rsidRPr="00234BDD">
        <w:rPr>
          <w:rFonts w:eastAsia="MS Mincho"/>
          <w:szCs w:val="22"/>
        </w:rPr>
        <w:t>Frandsen Media Company, LLC</w:t>
      </w:r>
      <w:r w:rsidR="00234BDD">
        <w:rPr>
          <w:rFonts w:eastAsia="MS Mincho"/>
          <w:szCs w:val="22"/>
        </w:rPr>
        <w:t>,</w:t>
      </w:r>
      <w:r w:rsidR="00234BDD" w:rsidRPr="00234BDD">
        <w:rPr>
          <w:rFonts w:eastAsia="MS Mincho"/>
          <w:szCs w:val="22"/>
        </w:rPr>
        <w:t xml:space="preserve"> </w:t>
      </w:r>
      <w:r>
        <w:rPr>
          <w:rFonts w:eastAsia="MS Mincho"/>
          <w:szCs w:val="22"/>
        </w:rPr>
        <w:t xml:space="preserve">shall send electronic notification of payment to </w:t>
      </w:r>
      <w:r w:rsidR="004C0461">
        <w:rPr>
          <w:rFonts w:eastAsia="MS Mincho"/>
          <w:szCs w:val="22"/>
        </w:rPr>
        <w:t>WR</w:t>
      </w:r>
      <w:r>
        <w:rPr>
          <w:szCs w:val="22"/>
        </w:rPr>
        <w:t>-Response@fcc.gov</w:t>
      </w:r>
      <w:r>
        <w:rPr>
          <w:rFonts w:eastAsia="MS Mincho"/>
          <w:szCs w:val="22"/>
        </w:rPr>
        <w:t xml:space="preserve"> on the date said payment is made.</w:t>
      </w:r>
      <w:r>
        <w:rPr>
          <w:szCs w:val="22"/>
        </w:rPr>
        <w:t xml:space="preserve">  </w:t>
      </w:r>
      <w:r>
        <w:rPr>
          <w:rFonts w:eastAsia="MS Mincho"/>
          <w:szCs w:val="22"/>
        </w:rPr>
        <w:t>The </w:t>
      </w:r>
      <w:r>
        <w:rPr>
          <w:szCs w:val="22"/>
        </w:rPr>
        <w:t>payment</w:t>
      </w:r>
      <w:r>
        <w:rPr>
          <w:rFonts w:eastAsia="MS Mincho"/>
          <w:szCs w:val="22"/>
        </w:rPr>
        <w:t xml:space="preserve"> must be made by check or similar instrument, wire transfer, or credit card, and must in</w:t>
      </w:r>
      <w:r w:rsidR="0071477D">
        <w:rPr>
          <w:rFonts w:eastAsia="MS Mincho"/>
          <w:szCs w:val="22"/>
        </w:rPr>
        <w:t>clude the NAL/Account N</w:t>
      </w:r>
      <w:r>
        <w:rPr>
          <w:rFonts w:eastAsia="MS Mincho"/>
          <w:szCs w:val="22"/>
        </w:rPr>
        <w:t>umber and FRN referenced above.  Regardless of the form of payment, a completed FCC Form 159 (Remittance Advice) must be submitted.</w:t>
      </w:r>
      <w:r>
        <w:rPr>
          <w:rStyle w:val="FootnoteReference"/>
          <w:rFonts w:eastAsia="MS Mincho"/>
          <w:szCs w:val="22"/>
        </w:rPr>
        <w:footnoteReference w:id="20"/>
      </w:r>
      <w:r>
        <w:rPr>
          <w:rFonts w:eastAsia="MS Mincho"/>
          <w:szCs w:val="22"/>
        </w:rPr>
        <w:t xml:space="preserve">  When completing the FCC Form 159, enter the Account Number in block number 23A (call sign/other ID) and enter the letters “FORF” in block </w:t>
      </w:r>
      <w:r w:rsidR="0071477D">
        <w:rPr>
          <w:rFonts w:eastAsia="MS Mincho"/>
          <w:szCs w:val="22"/>
        </w:rPr>
        <w:t>number 24A (payment type code).</w:t>
      </w:r>
      <w:r>
        <w:rPr>
          <w:rFonts w:eastAsia="MS Mincho"/>
          <w:szCs w:val="22"/>
        </w:rPr>
        <w:t xml:space="preserve">  </w:t>
      </w:r>
      <w:r>
        <w:rPr>
          <w:color w:val="000000"/>
          <w:szCs w:val="22"/>
        </w:rPr>
        <w:t>Below are additional instructions you should follow based on the form of payment you select:</w:t>
      </w:r>
    </w:p>
    <w:p w14:paraId="0C3EAC56" w14:textId="77777777" w:rsidR="0032433B" w:rsidRDefault="0032433B" w:rsidP="009A0DD8">
      <w:pPr>
        <w:pStyle w:val="ParaNum"/>
        <w:widowControl/>
        <w:numPr>
          <w:ilvl w:val="0"/>
          <w:numId w:val="8"/>
        </w:numPr>
        <w:snapToGrid w:val="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5B661052" w14:textId="77777777" w:rsidR="0032433B" w:rsidRDefault="0032433B" w:rsidP="009A0DD8">
      <w:pPr>
        <w:pStyle w:val="ParaNum"/>
        <w:widowControl/>
        <w:numPr>
          <w:ilvl w:val="0"/>
          <w:numId w:val="8"/>
        </w:numPr>
        <w:snapToGrid w:val="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58CF2A7" w14:textId="4463B1B1" w:rsidR="0032433B" w:rsidRDefault="0032433B" w:rsidP="009A0DD8">
      <w:pPr>
        <w:pStyle w:val="ParaNum"/>
        <w:widowControl/>
        <w:numPr>
          <w:ilvl w:val="0"/>
          <w:numId w:val="8"/>
        </w:numPr>
        <w:snapToGrid w:val="0"/>
        <w:rPr>
          <w:rFonts w:eastAsia="MS Mincho"/>
          <w:szCs w:val="22"/>
        </w:rPr>
      </w:pPr>
      <w:r>
        <w:rPr>
          <w:rFonts w:eastAsia="MS Mincho"/>
          <w:szCs w:val="22"/>
        </w:rPr>
        <w:t>Payment by credit card must be made by providing the required credit card information on FCC Form 159 and signing and dating the Form 159 to aut</w:t>
      </w:r>
      <w:r w:rsidR="0071477D">
        <w:rPr>
          <w:rFonts w:eastAsia="MS Mincho"/>
          <w:szCs w:val="22"/>
        </w:rPr>
        <w:t>horize the credit card payment.</w:t>
      </w:r>
      <w:r>
        <w:rPr>
          <w:rFonts w:eastAsia="MS Mincho"/>
          <w:szCs w:val="22"/>
        </w:rPr>
        <w:t xml:space="preserve">  The completed Form 159 must then be mailed to Federal Communications Commission, P.O. Box 979088, St. Louis, MO 63197-9000, or sent via overnight mail to U.S. Bank – Government Lockbox #979088, SL-MO-C2-GL, 1005 Convention Plaza, St. Louis, MO 63101.  </w:t>
      </w:r>
    </w:p>
    <w:p w14:paraId="3B45DAD8" w14:textId="0ED47E47" w:rsidR="0032433B" w:rsidRDefault="0032433B" w:rsidP="009A0DD8">
      <w:pPr>
        <w:widowControl/>
        <w:numPr>
          <w:ilvl w:val="0"/>
          <w:numId w:val="7"/>
        </w:numPr>
        <w:tabs>
          <w:tab w:val="clear" w:pos="1080"/>
          <w:tab w:val="left" w:pos="0"/>
          <w:tab w:val="num" w:pos="1440"/>
        </w:tabs>
        <w:suppressAutoHyphens/>
        <w:autoSpaceDE w:val="0"/>
        <w:autoSpaceDN w:val="0"/>
        <w:adjustRightInd w:val="0"/>
        <w:spacing w:after="120"/>
        <w:rPr>
          <w:rFonts w:eastAsia="MS Mincho"/>
        </w:rPr>
      </w:pPr>
      <w:bookmarkStart w:id="4" w:name="_Ref351630271"/>
      <w:r>
        <w:t>Any</w:t>
      </w:r>
      <w:r>
        <w:rPr>
          <w:rFonts w:eastAsia="MS Mincho"/>
        </w:rPr>
        <w:t xml:space="preserve"> request for making full payment over time under an installment plan should be sent to:  Chief Financial Officer—</w:t>
      </w:r>
      <w:r>
        <w:rPr>
          <w:szCs w:val="22"/>
        </w:rPr>
        <w:t>Financial</w:t>
      </w:r>
      <w:r>
        <w:rPr>
          <w:rFonts w:eastAsia="MS Mincho"/>
        </w:rPr>
        <w:t xml:space="preserve"> Operations, Federal Communications Commission, 445 12th Street, S.W., Room 1-A625, Washington, D.C.  20554.</w:t>
      </w:r>
      <w:r>
        <w:rPr>
          <w:rStyle w:val="FootnoteReference"/>
          <w:rFonts w:eastAsia="MS Mincho"/>
          <w:szCs w:val="22"/>
        </w:rPr>
        <w:footnoteReference w:id="21"/>
      </w:r>
      <w:r>
        <w:rPr>
          <w:rFonts w:eastAsia="MS Mincho"/>
        </w:rPr>
        <w:t>  If you have questions regarding payment procedures, please contact the Financial Operations Group Help Desk by phone, 1-877-480-3201, or by e</w:t>
      </w:r>
      <w:r>
        <w:rPr>
          <w:rFonts w:eastAsia="MS Mincho"/>
        </w:rPr>
        <w:noBreakHyphen/>
        <w:t xml:space="preserve">mail, </w:t>
      </w:r>
      <w:hyperlink r:id="rId8" w:history="1">
        <w:r>
          <w:rPr>
            <w:rStyle w:val="Hyperlink"/>
            <w:rFonts w:eastAsia="MS Mincho"/>
            <w:color w:val="auto"/>
            <w:szCs w:val="22"/>
            <w:u w:val="none"/>
          </w:rPr>
          <w:t>ARINQUIRIES@fcc.gov</w:t>
        </w:r>
      </w:hyperlink>
      <w:r>
        <w:rPr>
          <w:rFonts w:eastAsia="MS Mincho"/>
        </w:rPr>
        <w:t>.</w:t>
      </w:r>
      <w:bookmarkEnd w:id="4"/>
    </w:p>
    <w:p w14:paraId="01E952C9" w14:textId="77777777" w:rsidR="0032433B" w:rsidRPr="003F4F6A" w:rsidRDefault="0032433B" w:rsidP="009A0DD8">
      <w:pPr>
        <w:pStyle w:val="ListParagraph"/>
        <w:numPr>
          <w:ilvl w:val="0"/>
          <w:numId w:val="7"/>
        </w:numPr>
        <w:tabs>
          <w:tab w:val="clear" w:pos="1080"/>
          <w:tab w:val="left" w:pos="0"/>
          <w:tab w:val="num" w:pos="1440"/>
        </w:tabs>
        <w:suppressAutoHyphens/>
        <w:autoSpaceDE w:val="0"/>
        <w:autoSpaceDN w:val="0"/>
        <w:adjustRightInd w:val="0"/>
        <w:spacing w:after="120"/>
        <w:rPr>
          <w:rFonts w:eastAsia="MS Mincho"/>
        </w:rPr>
      </w:pPr>
      <w:r w:rsidRPr="003F4F6A">
        <w:rPr>
          <w:b/>
        </w:rPr>
        <w:t>IT IS FURTHER ORDERED</w:t>
      </w:r>
      <w:r w:rsidRPr="003F4F6A">
        <w:t xml:space="preserve"> that a copy of this Forfeiture Order shall be sent by both First Class Mail and Certified Mail, Return Receipt Requested, to </w:t>
      </w:r>
      <w:r w:rsidR="003F4F6A" w:rsidRPr="003F4F6A">
        <w:rPr>
          <w:snapToGrid w:val="0"/>
          <w:kern w:val="28"/>
        </w:rPr>
        <w:t xml:space="preserve">Frandsen Media Company, LLC, 810 West 200 </w:t>
      </w:r>
      <w:r w:rsidR="003F4F6A">
        <w:rPr>
          <w:snapToGrid w:val="0"/>
          <w:kern w:val="28"/>
        </w:rPr>
        <w:t xml:space="preserve">North, Logan, Utah, 84323, </w:t>
      </w:r>
      <w:r w:rsidRPr="003F4F6A">
        <w:t xml:space="preserve">and to its counsel, </w:t>
      </w:r>
      <w:r w:rsidR="00DC72BC" w:rsidRPr="003F4F6A">
        <w:rPr>
          <w:bCs/>
        </w:rPr>
        <w:t xml:space="preserve">Kelly A. Donohue, Esquire, </w:t>
      </w:r>
      <w:r w:rsidR="000F697F" w:rsidRPr="003F4F6A">
        <w:rPr>
          <w:bCs/>
        </w:rPr>
        <w:t>Wilkinson</w:t>
      </w:r>
      <w:r w:rsidR="00DC72BC" w:rsidRPr="003F4F6A">
        <w:rPr>
          <w:bCs/>
        </w:rPr>
        <w:t xml:space="preserve"> Barker Knauer, LLP</w:t>
      </w:r>
      <w:r w:rsidR="000F697F" w:rsidRPr="003F4F6A">
        <w:rPr>
          <w:bCs/>
        </w:rPr>
        <w:t xml:space="preserve">, </w:t>
      </w:r>
      <w:r w:rsidR="00DC72BC" w:rsidRPr="003F4F6A">
        <w:t>2300 N Street, NW</w:t>
      </w:r>
      <w:r w:rsidR="000F697F" w:rsidRPr="003F4F6A">
        <w:t xml:space="preserve">, </w:t>
      </w:r>
      <w:r w:rsidR="00DC72BC" w:rsidRPr="003F4F6A">
        <w:t>Suite 700</w:t>
      </w:r>
      <w:r w:rsidR="000F697F" w:rsidRPr="003F4F6A">
        <w:t xml:space="preserve">, </w:t>
      </w:r>
      <w:r w:rsidR="00DC72BC" w:rsidRPr="003F4F6A">
        <w:t>Washington, DC 20037-1128</w:t>
      </w:r>
      <w:r w:rsidR="000F697F" w:rsidRPr="003F4F6A">
        <w:t>.</w:t>
      </w:r>
    </w:p>
    <w:p w14:paraId="6F1992FA" w14:textId="77777777" w:rsidR="0032433B" w:rsidRDefault="0032433B">
      <w:pPr>
        <w:pStyle w:val="ParaNum"/>
        <w:widowControl/>
        <w:numPr>
          <w:ilvl w:val="0"/>
          <w:numId w:val="0"/>
        </w:numPr>
        <w:spacing w:after="0"/>
        <w:ind w:left="3600" w:firstLine="720"/>
        <w:rPr>
          <w:szCs w:val="22"/>
          <w:lang w:val="en-US"/>
        </w:rPr>
      </w:pPr>
    </w:p>
    <w:p w14:paraId="4328763C" w14:textId="77777777" w:rsidR="0032433B" w:rsidRDefault="0032433B">
      <w:pPr>
        <w:pStyle w:val="ParaNum"/>
        <w:widowControl/>
        <w:numPr>
          <w:ilvl w:val="0"/>
          <w:numId w:val="0"/>
        </w:numPr>
        <w:spacing w:after="0"/>
        <w:ind w:left="3600" w:firstLine="720"/>
        <w:rPr>
          <w:szCs w:val="22"/>
        </w:rPr>
      </w:pPr>
      <w:r>
        <w:rPr>
          <w:szCs w:val="22"/>
        </w:rPr>
        <w:t>FEDERAL COMMUNICATIONS COMMISSION</w:t>
      </w:r>
    </w:p>
    <w:p w14:paraId="024CBE7B" w14:textId="77777777" w:rsidR="0032433B" w:rsidRDefault="0032433B">
      <w:pPr>
        <w:pStyle w:val="ParaNum"/>
        <w:widowControl/>
        <w:numPr>
          <w:ilvl w:val="0"/>
          <w:numId w:val="0"/>
        </w:numPr>
        <w:spacing w:after="0"/>
        <w:ind w:left="4320"/>
        <w:rPr>
          <w:szCs w:val="22"/>
          <w:lang w:val="en-US"/>
        </w:rPr>
      </w:pPr>
    </w:p>
    <w:p w14:paraId="553430A0" w14:textId="77777777" w:rsidR="0032433B" w:rsidRDefault="0032433B">
      <w:pPr>
        <w:pStyle w:val="ParaNum"/>
        <w:widowControl/>
        <w:numPr>
          <w:ilvl w:val="0"/>
          <w:numId w:val="0"/>
        </w:numPr>
        <w:spacing w:after="0"/>
        <w:ind w:left="4320"/>
        <w:rPr>
          <w:szCs w:val="22"/>
          <w:lang w:val="en-US"/>
        </w:rPr>
      </w:pPr>
    </w:p>
    <w:p w14:paraId="4E3A4FF4" w14:textId="77777777" w:rsidR="0032433B" w:rsidRDefault="0032433B">
      <w:pPr>
        <w:pStyle w:val="ParaNum"/>
        <w:widowControl/>
        <w:numPr>
          <w:ilvl w:val="0"/>
          <w:numId w:val="0"/>
        </w:numPr>
        <w:spacing w:after="0"/>
        <w:ind w:left="4320"/>
        <w:rPr>
          <w:szCs w:val="22"/>
        </w:rPr>
      </w:pPr>
    </w:p>
    <w:p w14:paraId="2E1A2EB7" w14:textId="77777777" w:rsidR="0032433B" w:rsidRDefault="0032433B">
      <w:pPr>
        <w:pStyle w:val="ParaNum"/>
        <w:widowControl/>
        <w:numPr>
          <w:ilvl w:val="0"/>
          <w:numId w:val="0"/>
        </w:numPr>
        <w:spacing w:after="0"/>
        <w:ind w:left="4320"/>
        <w:rPr>
          <w:szCs w:val="22"/>
        </w:rPr>
      </w:pPr>
    </w:p>
    <w:p w14:paraId="3D7EEB9C" w14:textId="77777777" w:rsidR="0032433B" w:rsidRDefault="004C0461">
      <w:pPr>
        <w:pStyle w:val="ParaNum"/>
        <w:numPr>
          <w:ilvl w:val="0"/>
          <w:numId w:val="0"/>
        </w:numPr>
        <w:spacing w:after="0"/>
        <w:ind w:left="3600" w:firstLine="720"/>
        <w:rPr>
          <w:lang w:val="en-US"/>
        </w:rPr>
      </w:pPr>
      <w:r>
        <w:rPr>
          <w:lang w:val="en-US"/>
        </w:rPr>
        <w:t>Rebecca L. Dorch</w:t>
      </w:r>
    </w:p>
    <w:p w14:paraId="4921A44D" w14:textId="77777777" w:rsidR="0032433B" w:rsidRDefault="0032433B">
      <w:pPr>
        <w:pStyle w:val="ParaNum"/>
        <w:numPr>
          <w:ilvl w:val="0"/>
          <w:numId w:val="0"/>
        </w:numPr>
        <w:spacing w:after="0"/>
        <w:ind w:left="3600" w:firstLine="720"/>
      </w:pPr>
      <w:r>
        <w:t xml:space="preserve">Regional Director, </w:t>
      </w:r>
      <w:r w:rsidR="004C0461">
        <w:rPr>
          <w:lang w:val="en-US"/>
        </w:rPr>
        <w:t>Western</w:t>
      </w:r>
      <w:r>
        <w:t xml:space="preserve"> Region</w:t>
      </w:r>
    </w:p>
    <w:p w14:paraId="2AA8F5A4" w14:textId="77777777" w:rsidR="0032433B" w:rsidRDefault="0032433B">
      <w:pPr>
        <w:pStyle w:val="ParaNum"/>
        <w:widowControl/>
        <w:numPr>
          <w:ilvl w:val="0"/>
          <w:numId w:val="0"/>
        </w:numPr>
        <w:spacing w:after="0"/>
        <w:ind w:left="3600" w:firstLine="720"/>
      </w:pPr>
      <w:r>
        <w:rPr>
          <w:szCs w:val="22"/>
        </w:rPr>
        <w:t>Enforcement Bureau</w:t>
      </w:r>
    </w:p>
    <w:sectPr w:rsidR="0032433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A2E0" w14:textId="77777777" w:rsidR="0083506D" w:rsidRDefault="0083506D">
      <w:pPr>
        <w:spacing w:line="20" w:lineRule="exact"/>
      </w:pPr>
    </w:p>
  </w:endnote>
  <w:endnote w:type="continuationSeparator" w:id="0">
    <w:p w14:paraId="6705163F" w14:textId="77777777" w:rsidR="0083506D" w:rsidRDefault="0083506D">
      <w:r>
        <w:t xml:space="preserve"> </w:t>
      </w:r>
    </w:p>
  </w:endnote>
  <w:endnote w:type="continuationNotice" w:id="1">
    <w:p w14:paraId="54CF3BD0" w14:textId="77777777" w:rsidR="0083506D" w:rsidRDefault="008350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6BFC" w14:textId="77777777" w:rsidR="0032433B" w:rsidRDefault="0032433B">
    <w:pPr>
      <w:pStyle w:val="Footer"/>
      <w:framePr w:wrap="around" w:vAnchor="text" w:hAnchor="margin" w:xAlign="center" w:y="1"/>
    </w:pPr>
    <w:r>
      <w:fldChar w:fldCharType="begin"/>
    </w:r>
    <w:r>
      <w:instrText xml:space="preserve">PAGE  </w:instrText>
    </w:r>
    <w:r>
      <w:fldChar w:fldCharType="end"/>
    </w:r>
  </w:p>
  <w:p w14:paraId="7857A54B" w14:textId="77777777" w:rsidR="0032433B" w:rsidRDefault="0032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05DA" w14:textId="77777777" w:rsidR="0032433B" w:rsidRDefault="0032433B">
    <w:pPr>
      <w:pStyle w:val="Footer"/>
      <w:framePr w:wrap="around" w:vAnchor="text" w:hAnchor="margin" w:xAlign="center" w:y="1"/>
    </w:pPr>
    <w:r>
      <w:fldChar w:fldCharType="begin"/>
    </w:r>
    <w:r>
      <w:instrText xml:space="preserve">PAGE  </w:instrText>
    </w:r>
    <w:r>
      <w:fldChar w:fldCharType="separate"/>
    </w:r>
    <w:r w:rsidR="007B13C9">
      <w:rPr>
        <w:noProof/>
      </w:rPr>
      <w:t>2</w:t>
    </w:r>
    <w:r>
      <w:fldChar w:fldCharType="end"/>
    </w:r>
  </w:p>
  <w:p w14:paraId="29B55A02" w14:textId="77777777" w:rsidR="0032433B" w:rsidRDefault="0032433B">
    <w:pPr>
      <w:spacing w:before="140" w:line="100" w:lineRule="exact"/>
      <w:rPr>
        <w:sz w:val="10"/>
      </w:rPr>
    </w:pPr>
  </w:p>
  <w:p w14:paraId="2D4AC217" w14:textId="77777777" w:rsidR="0032433B" w:rsidRDefault="0032433B">
    <w:pPr>
      <w:suppressAutoHyphens/>
      <w:spacing w:line="227" w:lineRule="auto"/>
      <w:rPr>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874F" w14:textId="77777777" w:rsidR="0032433B" w:rsidRDefault="0032433B">
    <w:pPr>
      <w:tabs>
        <w:tab w:val="center" w:pos="4680"/>
        <w:tab w:val="right" w:pos="9360"/>
      </w:tabs>
      <w:autoSpaceDE w:val="0"/>
      <w:autoSpaceDN w:val="0"/>
      <w:adjustRightInd w:val="0"/>
      <w:rPr>
        <w:b/>
        <w:snapToGrid/>
        <w:kern w:val="0"/>
        <w:sz w:val="20"/>
      </w:rPr>
    </w:pPr>
  </w:p>
  <w:p w14:paraId="3B1BD012" w14:textId="77777777" w:rsidR="0032433B" w:rsidRDefault="0032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D49F" w14:textId="77777777" w:rsidR="0083506D" w:rsidRDefault="0083506D">
      <w:r>
        <w:separator/>
      </w:r>
    </w:p>
  </w:footnote>
  <w:footnote w:type="continuationSeparator" w:id="0">
    <w:p w14:paraId="70BC8688" w14:textId="77777777" w:rsidR="0083506D" w:rsidRDefault="0083506D">
      <w:pPr>
        <w:rPr>
          <w:sz w:val="20"/>
        </w:rPr>
      </w:pPr>
      <w:r>
        <w:rPr>
          <w:sz w:val="20"/>
        </w:rPr>
        <w:t xml:space="preserve">(Continued from previous page)  </w:t>
      </w:r>
      <w:r>
        <w:rPr>
          <w:sz w:val="20"/>
        </w:rPr>
        <w:separator/>
      </w:r>
    </w:p>
  </w:footnote>
  <w:footnote w:type="continuationNotice" w:id="1">
    <w:p w14:paraId="14EBC476" w14:textId="77777777" w:rsidR="0083506D" w:rsidRDefault="0083506D">
      <w:pPr>
        <w:rPr>
          <w:sz w:val="20"/>
        </w:rPr>
      </w:pPr>
      <w:r>
        <w:rPr>
          <w:sz w:val="20"/>
        </w:rPr>
        <w:t>(continued….)</w:t>
      </w:r>
    </w:p>
  </w:footnote>
  <w:footnote w:id="2">
    <w:p w14:paraId="2EE45BFC" w14:textId="77777777" w:rsidR="0032433B" w:rsidRDefault="0032433B">
      <w:pPr>
        <w:pStyle w:val="FootnoteText"/>
      </w:pPr>
      <w:r>
        <w:rPr>
          <w:rStyle w:val="FootnoteReference"/>
        </w:rPr>
        <w:footnoteRef/>
      </w:r>
      <w:r>
        <w:t xml:space="preserve"> 47 C.F.R. §</w:t>
      </w:r>
      <w:r w:rsidR="00625180" w:rsidRPr="00625180">
        <w:t>§</w:t>
      </w:r>
      <w:r w:rsidR="00625180">
        <w:t xml:space="preserve"> 1.1310,</w:t>
      </w:r>
      <w:r>
        <w:t xml:space="preserve"> 73.</w:t>
      </w:r>
      <w:r w:rsidR="00625180">
        <w:t>1560(b)</w:t>
      </w:r>
      <w:r>
        <w:t>.</w:t>
      </w:r>
    </w:p>
  </w:footnote>
  <w:footnote w:id="3">
    <w:p w14:paraId="09A9B05C" w14:textId="77777777" w:rsidR="0032433B" w:rsidRDefault="0032433B">
      <w:pPr>
        <w:pStyle w:val="FootnoteText"/>
      </w:pPr>
      <w:r>
        <w:rPr>
          <w:rStyle w:val="FootnoteReference"/>
          <w:sz w:val="20"/>
        </w:rPr>
        <w:footnoteRef/>
      </w:r>
      <w:r w:rsidR="003B578F">
        <w:rPr>
          <w:i/>
          <w:iCs/>
        </w:rPr>
        <w:t xml:space="preserve"> </w:t>
      </w:r>
      <w:r w:rsidR="003268D3">
        <w:rPr>
          <w:i/>
          <w:iCs/>
        </w:rPr>
        <w:t>Frandsen Media Company, LLC</w:t>
      </w:r>
      <w:r>
        <w:t xml:space="preserve">, Notice of Apparent Liability for Forfeiture, 26 FCC Rcd </w:t>
      </w:r>
      <w:r w:rsidR="003268D3">
        <w:t>6600</w:t>
      </w:r>
      <w:r>
        <w:t xml:space="preserve"> (Enf. Bur. 2011) (</w:t>
      </w:r>
      <w:r>
        <w:rPr>
          <w:i/>
          <w:iCs/>
        </w:rPr>
        <w:t>NAL</w:t>
      </w:r>
      <w:r>
        <w:t xml:space="preserve">).  A comprehensive recitation of the facts and history of this case can be found in the </w:t>
      </w:r>
      <w:r>
        <w:rPr>
          <w:i/>
        </w:rPr>
        <w:t>NAL</w:t>
      </w:r>
      <w:r>
        <w:t xml:space="preserve"> and is incorporated herein by reference.     </w:t>
      </w:r>
    </w:p>
  </w:footnote>
  <w:footnote w:id="4">
    <w:p w14:paraId="4DDF7CC8" w14:textId="3FA4A174" w:rsidR="0032433B" w:rsidRDefault="0032433B">
      <w:pPr>
        <w:pStyle w:val="FootnoteText"/>
      </w:pPr>
      <w:r>
        <w:rPr>
          <w:rStyle w:val="FootnoteReference"/>
        </w:rPr>
        <w:footnoteRef/>
      </w:r>
      <w:r>
        <w:t xml:space="preserve"> </w:t>
      </w:r>
      <w:r>
        <w:rPr>
          <w:i/>
          <w:iCs/>
        </w:rPr>
        <w:t>NAL</w:t>
      </w:r>
      <w:r>
        <w:t>, 26 FCC Rcd at</w:t>
      </w:r>
      <w:r w:rsidR="00CA7A8C">
        <w:t xml:space="preserve"> 6600–</w:t>
      </w:r>
      <w:r w:rsidR="003268D3">
        <w:t>01</w:t>
      </w:r>
      <w:r w:rsidR="00C45A5D">
        <w:t xml:space="preserve">, paras. 2–5. </w:t>
      </w:r>
    </w:p>
  </w:footnote>
  <w:footnote w:id="5">
    <w:p w14:paraId="11C2E9D0" w14:textId="77777777" w:rsidR="00A90FB0" w:rsidRDefault="00A90FB0" w:rsidP="00A90FB0">
      <w:pPr>
        <w:pStyle w:val="FootnoteText"/>
      </w:pPr>
      <w:r>
        <w:rPr>
          <w:rStyle w:val="FootnoteReference"/>
          <w:sz w:val="20"/>
        </w:rPr>
        <w:footnoteRef/>
      </w:r>
      <w:r>
        <w:t xml:space="preserve"> </w:t>
      </w:r>
      <w:r>
        <w:rPr>
          <w:i/>
          <w:iCs/>
        </w:rPr>
        <w:t xml:space="preserve">See </w:t>
      </w:r>
      <w:r>
        <w:t xml:space="preserve">Response of Frandsen Media Company, LLC, to Denver Office, Western Region, Enforcement Bureau (June 3, 2011) (on file in </w:t>
      </w:r>
      <w:r>
        <w:rPr>
          <w:noProof/>
          <w:color w:val="000000"/>
        </w:rPr>
        <w:t>EB-09-DV-0090</w:t>
      </w:r>
      <w:r>
        <w:t>) (</w:t>
      </w:r>
      <w:r w:rsidR="000E2DF0">
        <w:rPr>
          <w:i/>
        </w:rPr>
        <w:t xml:space="preserve">NAL </w:t>
      </w:r>
      <w:r w:rsidRPr="009A0DD8">
        <w:rPr>
          <w:i/>
        </w:rPr>
        <w:t>Response</w:t>
      </w:r>
      <w:r>
        <w:t>).</w:t>
      </w:r>
    </w:p>
  </w:footnote>
  <w:footnote w:id="6">
    <w:p w14:paraId="7D908C47" w14:textId="77777777" w:rsidR="00A90FB0" w:rsidRPr="00A90FB0" w:rsidRDefault="00A90FB0">
      <w:pPr>
        <w:pStyle w:val="FootnoteText"/>
      </w:pPr>
      <w:r>
        <w:rPr>
          <w:rStyle w:val="FootnoteReference"/>
        </w:rPr>
        <w:footnoteRef/>
      </w:r>
      <w:r>
        <w:t xml:space="preserve"> </w:t>
      </w:r>
      <w:r>
        <w:rPr>
          <w:i/>
        </w:rPr>
        <w:t xml:space="preserve">Id. </w:t>
      </w:r>
      <w:r>
        <w:t xml:space="preserve">at 3–8. </w:t>
      </w:r>
    </w:p>
  </w:footnote>
  <w:footnote w:id="7">
    <w:p w14:paraId="2D627715" w14:textId="77777777" w:rsidR="00A90FB0" w:rsidRPr="00A90FB0" w:rsidRDefault="00A90FB0">
      <w:pPr>
        <w:pStyle w:val="FootnoteText"/>
      </w:pPr>
      <w:r>
        <w:rPr>
          <w:rStyle w:val="FootnoteReference"/>
        </w:rPr>
        <w:footnoteRef/>
      </w:r>
      <w:r>
        <w:t xml:space="preserve"> </w:t>
      </w:r>
      <w:r>
        <w:rPr>
          <w:i/>
        </w:rPr>
        <w:t xml:space="preserve">Id. </w:t>
      </w:r>
      <w:r>
        <w:t>at 9.</w:t>
      </w:r>
    </w:p>
  </w:footnote>
  <w:footnote w:id="8">
    <w:p w14:paraId="357F1AB3" w14:textId="77777777" w:rsidR="0032433B" w:rsidRDefault="0032433B">
      <w:pPr>
        <w:pStyle w:val="FootnoteText"/>
      </w:pPr>
      <w:r>
        <w:rPr>
          <w:rStyle w:val="FootnoteReference"/>
          <w:sz w:val="20"/>
        </w:rPr>
        <w:footnoteRef/>
      </w:r>
      <w:r>
        <w:t xml:space="preserve"> 47 U.S.C. § 503(b).</w:t>
      </w:r>
    </w:p>
  </w:footnote>
  <w:footnote w:id="9">
    <w:p w14:paraId="68301619" w14:textId="77777777" w:rsidR="0032433B" w:rsidRDefault="0032433B">
      <w:pPr>
        <w:pStyle w:val="FootnoteText"/>
      </w:pPr>
      <w:r>
        <w:rPr>
          <w:rStyle w:val="FootnoteReference"/>
          <w:sz w:val="20"/>
        </w:rPr>
        <w:footnoteRef/>
      </w:r>
      <w:r>
        <w:t xml:space="preserve"> 47 C.F.R. § 1.80.</w:t>
      </w:r>
    </w:p>
  </w:footnote>
  <w:footnote w:id="10">
    <w:p w14:paraId="17CCAB74" w14:textId="77777777" w:rsidR="0032433B" w:rsidRDefault="0032433B">
      <w:pPr>
        <w:pStyle w:val="FootnoteText"/>
      </w:pPr>
      <w:r>
        <w:rPr>
          <w:rStyle w:val="FootnoteReference"/>
          <w:sz w:val="20"/>
        </w:rPr>
        <w:footnoteRef/>
      </w:r>
      <w:r>
        <w:t xml:space="preserve"> </w:t>
      </w:r>
      <w:r>
        <w:rPr>
          <w:i/>
        </w:rPr>
        <w:t>The Commission’s Forfeiture Policy Statement and Amendment of Section 1.80 of the Rules to Incorporate the Forfeiture Guidelines</w:t>
      </w:r>
      <w:r>
        <w:t xml:space="preserve">, Report and Order, 12 FCC Rcd 17087 (1997), </w:t>
      </w:r>
      <w:r>
        <w:rPr>
          <w:i/>
        </w:rPr>
        <w:t>recons. denied</w:t>
      </w:r>
      <w:r>
        <w:t>, 15 FCC Rcd 303 (1999) (</w:t>
      </w:r>
      <w:r>
        <w:rPr>
          <w:i/>
        </w:rPr>
        <w:t>Forfeiture Policy Statement</w:t>
      </w:r>
      <w:r>
        <w:t xml:space="preserve">).  </w:t>
      </w:r>
    </w:p>
  </w:footnote>
  <w:footnote w:id="11">
    <w:p w14:paraId="21DA49F9" w14:textId="77777777" w:rsidR="0032433B" w:rsidRDefault="0032433B">
      <w:pPr>
        <w:pStyle w:val="FootnoteText"/>
      </w:pPr>
      <w:r>
        <w:rPr>
          <w:rStyle w:val="FootnoteReference"/>
          <w:sz w:val="20"/>
        </w:rPr>
        <w:footnoteRef/>
      </w:r>
      <w:r>
        <w:t xml:space="preserve"> 47 U.S.C. § 503(b)(2)(E).</w:t>
      </w:r>
    </w:p>
  </w:footnote>
  <w:footnote w:id="12">
    <w:p w14:paraId="4E549E36" w14:textId="77777777" w:rsidR="008E7E74" w:rsidRDefault="008E7E74">
      <w:pPr>
        <w:pStyle w:val="FootnoteText"/>
      </w:pPr>
      <w:r>
        <w:rPr>
          <w:rStyle w:val="FootnoteReference"/>
        </w:rPr>
        <w:footnoteRef/>
      </w:r>
      <w:r>
        <w:t xml:space="preserve"> Response at </w:t>
      </w:r>
      <w:r w:rsidR="003268D3">
        <w:t xml:space="preserve">3–5. </w:t>
      </w:r>
    </w:p>
  </w:footnote>
  <w:footnote w:id="13">
    <w:p w14:paraId="1F4665C5" w14:textId="29D2A3ED" w:rsidR="00676EBC" w:rsidRPr="00A90FB0" w:rsidRDefault="00676EBC">
      <w:pPr>
        <w:pStyle w:val="FootnoteText"/>
      </w:pPr>
      <w:r>
        <w:rPr>
          <w:rStyle w:val="FootnoteReference"/>
        </w:rPr>
        <w:footnoteRef/>
      </w:r>
      <w:r>
        <w:t xml:space="preserve"> </w:t>
      </w:r>
      <w:r w:rsidR="000E2DF0">
        <w:rPr>
          <w:i/>
        </w:rPr>
        <w:t>Vernon Broad</w:t>
      </w:r>
      <w:r w:rsidR="00340447">
        <w:rPr>
          <w:i/>
        </w:rPr>
        <w:t>casting</w:t>
      </w:r>
      <w:r w:rsidR="003268D3">
        <w:rPr>
          <w:i/>
        </w:rPr>
        <w:t xml:space="preserve"> Inc., </w:t>
      </w:r>
      <w:r w:rsidR="00C45A5D">
        <w:t>M</w:t>
      </w:r>
      <w:r w:rsidR="003268D3">
        <w:t>emorandum Opinion and Order, 60 Rad. Reg</w:t>
      </w:r>
      <w:r w:rsidR="00C45A5D">
        <w:t>.</w:t>
      </w:r>
      <w:r w:rsidR="003268D3">
        <w:t xml:space="preserve"> 2d 1275 (1986)</w:t>
      </w:r>
      <w:r w:rsidR="00C45A5D">
        <w:t xml:space="preserve"> (cancelling an AM tower fencing violation forfeiture where licensee could show it inspected the fence just prior to the FCC inspection, and there was no indication that the licensee was aware of the broken fence or that it had failed to monitor the condition of the tower site)</w:t>
      </w:r>
      <w:r w:rsidR="003268D3">
        <w:t xml:space="preserve"> (</w:t>
      </w:r>
      <w:r w:rsidR="003268D3">
        <w:rPr>
          <w:i/>
        </w:rPr>
        <w:t xml:space="preserve">Vernon </w:t>
      </w:r>
      <w:r w:rsidR="003268D3" w:rsidRPr="00C45A5D">
        <w:rPr>
          <w:i/>
        </w:rPr>
        <w:t>Broadcasting</w:t>
      </w:r>
      <w:r w:rsidR="003268D3">
        <w:t>).</w:t>
      </w:r>
      <w:r w:rsidR="00A90FB0">
        <w:t xml:space="preserve">  </w:t>
      </w:r>
      <w:r w:rsidR="00A90FB0">
        <w:rPr>
          <w:i/>
        </w:rPr>
        <w:t xml:space="preserve">See </w:t>
      </w:r>
      <w:r w:rsidR="00A90FB0">
        <w:t>Response at 7</w:t>
      </w:r>
      <w:r w:rsidR="00A90FB0" w:rsidRPr="00A90FB0">
        <w:t>–</w:t>
      </w:r>
      <w:r w:rsidR="00A90FB0">
        <w:t>8</w:t>
      </w:r>
      <w:r w:rsidR="00A90FB0" w:rsidRPr="00A90FB0">
        <w:t>.</w:t>
      </w:r>
    </w:p>
  </w:footnote>
  <w:footnote w:id="14">
    <w:p w14:paraId="6ABAFC79" w14:textId="77777777" w:rsidR="00676EBC" w:rsidRDefault="00676EBC">
      <w:pPr>
        <w:pStyle w:val="FootnoteText"/>
      </w:pPr>
      <w:r>
        <w:rPr>
          <w:rStyle w:val="FootnoteReference"/>
        </w:rPr>
        <w:footnoteRef/>
      </w:r>
      <w:r>
        <w:t xml:space="preserve"> </w:t>
      </w:r>
      <w:r w:rsidR="00C45A5D">
        <w:rPr>
          <w:i/>
        </w:rPr>
        <w:t xml:space="preserve">Vernon Broadcasting, </w:t>
      </w:r>
      <w:r w:rsidR="00C45A5D">
        <w:t>60 Rad. Reg. 2d at 1275, para. 2.</w:t>
      </w:r>
    </w:p>
  </w:footnote>
  <w:footnote w:id="15">
    <w:p w14:paraId="227499DB" w14:textId="77777777" w:rsidR="005B73ED" w:rsidRDefault="005B73ED" w:rsidP="005B73ED">
      <w:pPr>
        <w:pStyle w:val="FootnoteText"/>
      </w:pPr>
      <w:r>
        <w:rPr>
          <w:rStyle w:val="FootnoteReference"/>
        </w:rPr>
        <w:footnoteRef/>
      </w:r>
      <w:r>
        <w:t xml:space="preserve"> </w:t>
      </w:r>
      <w:r w:rsidRPr="00C45A5D">
        <w:rPr>
          <w:i/>
        </w:rPr>
        <w:t>NAL</w:t>
      </w:r>
      <w:r w:rsidRPr="00C45A5D">
        <w:t>, 26 FCC Rcd at 660</w:t>
      </w:r>
      <w:r>
        <w:t xml:space="preserve">3, para. 9.  In its 2005 renewal application for KGNT, Frandsen detailed the area at the site which exceeded the RFR maximum permitted limit and explained the signage and fencing it was maintaining to restrict access to the area.  </w:t>
      </w:r>
      <w:r w:rsidRPr="00C45A5D">
        <w:t>KGNT Application for Renewal of Broadcast Station License, FCC Form 303-S, File No. BRH-20050531BSN, granted September 28, 2005</w:t>
      </w:r>
      <w:r>
        <w:t>, at Exhibit 13.</w:t>
      </w:r>
    </w:p>
  </w:footnote>
  <w:footnote w:id="16">
    <w:p w14:paraId="6E3F2F9C" w14:textId="77777777" w:rsidR="00F632F1" w:rsidRPr="00340447" w:rsidRDefault="00F632F1">
      <w:pPr>
        <w:pStyle w:val="FootnoteText"/>
        <w:rPr>
          <w:color w:val="000000"/>
          <w:shd w:val="clear" w:color="auto" w:fill="FFFFFF"/>
        </w:rPr>
      </w:pPr>
      <w:r>
        <w:rPr>
          <w:rStyle w:val="FootnoteReference"/>
        </w:rPr>
        <w:footnoteRef/>
      </w:r>
      <w:r>
        <w:t xml:space="preserve"> </w:t>
      </w:r>
      <w:r w:rsidR="00340447">
        <w:rPr>
          <w:i/>
          <w:iCs/>
          <w:color w:val="000000"/>
          <w:shd w:val="clear" w:color="auto" w:fill="FFFFFF"/>
        </w:rPr>
        <w:t>See, e.g.</w:t>
      </w:r>
      <w:r w:rsidR="00340447">
        <w:rPr>
          <w:iCs/>
          <w:color w:val="000000"/>
          <w:shd w:val="clear" w:color="auto" w:fill="FFFFFF"/>
        </w:rPr>
        <w:t>,</w:t>
      </w:r>
      <w:r w:rsidR="00340447" w:rsidRPr="00630108">
        <w:rPr>
          <w:i/>
          <w:iCs/>
          <w:color w:val="000000"/>
          <w:shd w:val="clear" w:color="auto" w:fill="FFFFFF"/>
        </w:rPr>
        <w:t xml:space="preserve"> Sutro Corp</w:t>
      </w:r>
      <w:r w:rsidR="00340447">
        <w:rPr>
          <w:i/>
          <w:iCs/>
          <w:color w:val="000000"/>
          <w:shd w:val="clear" w:color="auto" w:fill="FFFFFF"/>
        </w:rPr>
        <w:t>.</w:t>
      </w:r>
      <w:r w:rsidR="00340447">
        <w:rPr>
          <w:iCs/>
          <w:color w:val="000000"/>
          <w:shd w:val="clear" w:color="auto" w:fill="FFFFFF"/>
        </w:rPr>
        <w:t>,</w:t>
      </w:r>
      <w:r w:rsidR="00340447" w:rsidRPr="00630108">
        <w:rPr>
          <w:rStyle w:val="apple-converted-space"/>
          <w:color w:val="000000"/>
          <w:shd w:val="clear" w:color="auto" w:fill="FFFFFF"/>
        </w:rPr>
        <w:t> </w:t>
      </w:r>
      <w:r w:rsidR="00340447" w:rsidRPr="00630108">
        <w:rPr>
          <w:color w:val="000000"/>
          <w:shd w:val="clear" w:color="auto" w:fill="FFFFFF"/>
        </w:rPr>
        <w:t>Memorandum Opinion and Order,</w:t>
      </w:r>
      <w:r w:rsidR="00340447" w:rsidRPr="00630108">
        <w:rPr>
          <w:rStyle w:val="apple-converted-space"/>
          <w:color w:val="000000"/>
          <w:shd w:val="clear" w:color="auto" w:fill="FFFFFF"/>
        </w:rPr>
        <w:t> </w:t>
      </w:r>
      <w:r w:rsidR="00340447" w:rsidRPr="00340447">
        <w:rPr>
          <w:shd w:val="clear" w:color="auto" w:fill="FFFFFF"/>
        </w:rPr>
        <w:t>19 FCC Rcd 15274, 15277</w:t>
      </w:r>
      <w:r w:rsidR="00340447">
        <w:rPr>
          <w:shd w:val="clear" w:color="auto" w:fill="FFFFFF"/>
        </w:rPr>
        <w:t>, para. 10</w:t>
      </w:r>
      <w:r w:rsidR="00340447" w:rsidRPr="00340447">
        <w:rPr>
          <w:shd w:val="clear" w:color="auto" w:fill="FFFFFF"/>
        </w:rPr>
        <w:t xml:space="preserve"> (2004)</w:t>
      </w:r>
      <w:r w:rsidR="00340447" w:rsidRPr="00630108">
        <w:rPr>
          <w:rStyle w:val="apple-converted-space"/>
          <w:color w:val="000000"/>
          <w:shd w:val="clear" w:color="auto" w:fill="FFFFFF"/>
        </w:rPr>
        <w:t> </w:t>
      </w:r>
      <w:r w:rsidR="00340447" w:rsidRPr="00630108">
        <w:rPr>
          <w:color w:val="000000"/>
          <w:shd w:val="clear" w:color="auto" w:fill="FFFFFF"/>
        </w:rPr>
        <w:t>(stating that the Commission has “generally provided reductions based on the good faith corrective efforts of a violator when those corrective efforts were taken prior to Commission notification of the violation”);</w:t>
      </w:r>
      <w:r w:rsidR="00340447" w:rsidRPr="00630108">
        <w:rPr>
          <w:rStyle w:val="apple-converted-space"/>
          <w:color w:val="000000"/>
          <w:shd w:val="clear" w:color="auto" w:fill="FFFFFF"/>
        </w:rPr>
        <w:t> </w:t>
      </w:r>
      <w:r w:rsidR="00340447" w:rsidRPr="00340447">
        <w:rPr>
          <w:i/>
          <w:iCs/>
          <w:shd w:val="clear" w:color="auto" w:fill="FFFFFF"/>
        </w:rPr>
        <w:t>Radio One Licenses, Inc.,</w:t>
      </w:r>
      <w:r w:rsidR="00340447">
        <w:rPr>
          <w:rStyle w:val="apple-converted-space"/>
          <w:color w:val="0000FF"/>
          <w:u w:val="single"/>
          <w:shd w:val="clear" w:color="auto" w:fill="FFFFFF"/>
        </w:rPr>
        <w:t xml:space="preserve"> </w:t>
      </w:r>
      <w:r w:rsidR="00340447" w:rsidRPr="00340447">
        <w:rPr>
          <w:shd w:val="clear" w:color="auto" w:fill="FFFFFF"/>
        </w:rPr>
        <w:t>Memorandum Opinion and Order, 18 FCC Rcd 15964</w:t>
      </w:r>
      <w:r w:rsidR="00340447">
        <w:rPr>
          <w:shd w:val="clear" w:color="auto" w:fill="FFFFFF"/>
        </w:rPr>
        <w:t>, 15965, para. 4</w:t>
      </w:r>
      <w:r w:rsidR="00340447" w:rsidRPr="00340447">
        <w:rPr>
          <w:shd w:val="clear" w:color="auto" w:fill="FFFFFF"/>
        </w:rPr>
        <w:t xml:space="preserve"> (2003)</w:t>
      </w:r>
      <w:r w:rsidR="00340447" w:rsidRPr="00630108">
        <w:rPr>
          <w:rStyle w:val="apple-converted-space"/>
          <w:color w:val="000000"/>
          <w:shd w:val="clear" w:color="auto" w:fill="FFFFFF"/>
        </w:rPr>
        <w:t> </w:t>
      </w:r>
      <w:r w:rsidR="00340447" w:rsidRPr="00630108">
        <w:rPr>
          <w:color w:val="000000"/>
          <w:shd w:val="clear" w:color="auto" w:fill="FFFFFF"/>
        </w:rPr>
        <w:t>(reductions based on good faith efforts to comply generally involve situations where violators demonstrate that they initiated measures to correct or remedy violations prior to a Commission inspection or investigation).</w:t>
      </w:r>
      <w:r w:rsidR="00340447">
        <w:rPr>
          <w:color w:val="000000"/>
          <w:shd w:val="clear" w:color="auto" w:fill="FFFFFF"/>
        </w:rPr>
        <w:t xml:space="preserve">  By contrast, w</w:t>
      </w:r>
      <w:r>
        <w:t xml:space="preserve">e decline to reduce the </w:t>
      </w:r>
      <w:r w:rsidR="0071477D">
        <w:t xml:space="preserve">forfeiture for the </w:t>
      </w:r>
      <w:r>
        <w:t>Section 73.1560</w:t>
      </w:r>
      <w:r w:rsidR="00DC72BC">
        <w:t>(b)</w:t>
      </w:r>
      <w:r>
        <w:t xml:space="preserve"> violation because of the Chief Engineer’s “good faith error” of increasing the power of t</w:t>
      </w:r>
      <w:r w:rsidR="00566BBD">
        <w:t>h</w:t>
      </w:r>
      <w:r>
        <w:t xml:space="preserve">e transmitter immediately before the arrival of </w:t>
      </w:r>
      <w:r w:rsidR="00566BBD">
        <w:t xml:space="preserve">the </w:t>
      </w:r>
      <w:r>
        <w:t xml:space="preserve">Denver </w:t>
      </w:r>
      <w:r w:rsidR="00340447">
        <w:t>Office agents</w:t>
      </w:r>
      <w:r>
        <w:t>.</w:t>
      </w:r>
      <w:r w:rsidR="00340447">
        <w:t xml:space="preserve">  </w:t>
      </w:r>
      <w:r w:rsidR="00340447">
        <w:rPr>
          <w:i/>
        </w:rPr>
        <w:t>NAL Response</w:t>
      </w:r>
      <w:r w:rsidR="00566BBD">
        <w:t xml:space="preserve"> at 2</w:t>
      </w:r>
      <w:r w:rsidR="00340447">
        <w:rPr>
          <w:i/>
        </w:rPr>
        <w:t>.</w:t>
      </w:r>
      <w:r w:rsidR="0071477D">
        <w:rPr>
          <w:i/>
        </w:rPr>
        <w:t xml:space="preserve">  </w:t>
      </w:r>
      <w:r w:rsidR="0071477D">
        <w:t xml:space="preserve">Inadvertent mistakes </w:t>
      </w:r>
      <w:r w:rsidR="0071477D" w:rsidRPr="00566BBD">
        <w:t>are not mitigating circumstances that can serve to justify a forfeiture reduction</w:t>
      </w:r>
      <w:r w:rsidR="0071477D">
        <w:t>.</w:t>
      </w:r>
      <w:r w:rsidR="0071477D">
        <w:rPr>
          <w:i/>
        </w:rPr>
        <w:t xml:space="preserve">  </w:t>
      </w:r>
      <w:r w:rsidR="00566BBD" w:rsidRPr="00566BBD">
        <w:rPr>
          <w:i/>
        </w:rPr>
        <w:t xml:space="preserve"> See, e.g</w:t>
      </w:r>
      <w:r w:rsidR="00566BBD" w:rsidRPr="00566BBD">
        <w:t xml:space="preserve">., </w:t>
      </w:r>
      <w:r w:rsidR="00566BBD" w:rsidRPr="00566BBD">
        <w:rPr>
          <w:i/>
        </w:rPr>
        <w:t>Southern California Broadcasting Co.</w:t>
      </w:r>
      <w:r w:rsidR="00566BBD" w:rsidRPr="00566BBD">
        <w:t>, Memorandum Opinion and Order, 6 FCC</w:t>
      </w:r>
      <w:r w:rsidR="0071477D">
        <w:t xml:space="preserve"> Rcd 4387, 4387, para. 3 (1991).</w:t>
      </w:r>
    </w:p>
  </w:footnote>
  <w:footnote w:id="17">
    <w:p w14:paraId="091277B3" w14:textId="77777777" w:rsidR="0032433B" w:rsidRDefault="0032433B">
      <w:pPr>
        <w:pStyle w:val="FootnoteText"/>
      </w:pPr>
      <w:r>
        <w:rPr>
          <w:rStyle w:val="FootnoteReference"/>
          <w:sz w:val="20"/>
        </w:rPr>
        <w:footnoteRef/>
      </w:r>
      <w:r>
        <w:t xml:space="preserve"> 47 U.S.C. § 503(b); 47 C.F.R. §§ 0.111, 0.204, 0.311, 0.314, 1.80(f)(4), </w:t>
      </w:r>
      <w:r w:rsidR="00A90FB0">
        <w:t>1.1310, 73.1560(b)</w:t>
      </w:r>
      <w:r>
        <w:t>.</w:t>
      </w:r>
    </w:p>
  </w:footnote>
  <w:footnote w:id="18">
    <w:p w14:paraId="2486C374" w14:textId="77777777" w:rsidR="0032433B" w:rsidRDefault="0032433B">
      <w:pPr>
        <w:pStyle w:val="FootnoteText"/>
      </w:pPr>
      <w:r>
        <w:rPr>
          <w:rStyle w:val="FootnoteReference"/>
          <w:sz w:val="20"/>
        </w:rPr>
        <w:footnoteRef/>
      </w:r>
      <w:r>
        <w:t xml:space="preserve"> 47 C.F.R. § 1.80.</w:t>
      </w:r>
    </w:p>
  </w:footnote>
  <w:footnote w:id="19">
    <w:p w14:paraId="6105002C" w14:textId="77777777" w:rsidR="0032433B" w:rsidRDefault="0032433B">
      <w:pPr>
        <w:pStyle w:val="FootnoteText"/>
      </w:pPr>
      <w:r>
        <w:rPr>
          <w:rStyle w:val="FootnoteReference"/>
          <w:sz w:val="20"/>
        </w:rPr>
        <w:footnoteRef/>
      </w:r>
      <w:r>
        <w:t xml:space="preserve"> 47 U.S.C. § 504(a).</w:t>
      </w:r>
    </w:p>
  </w:footnote>
  <w:footnote w:id="20">
    <w:p w14:paraId="17E47952" w14:textId="77777777" w:rsidR="0032433B" w:rsidRDefault="0032433B">
      <w:pPr>
        <w:pStyle w:val="FootnoteText"/>
      </w:pPr>
      <w:r>
        <w:rPr>
          <w:rStyle w:val="FootnoteReference"/>
          <w:sz w:val="20"/>
        </w:rPr>
        <w:footnoteRef/>
      </w:r>
      <w:r>
        <w:t xml:space="preserve"> </w:t>
      </w:r>
      <w:r>
        <w:rPr>
          <w:rFonts w:eastAsia="MS Mincho"/>
        </w:rPr>
        <w:t>An FCC Form 159 and detailed instructions for completing the form may be obtained at http://www.fcc.gov/Forms/Form159/159.pdf.</w:t>
      </w:r>
    </w:p>
  </w:footnote>
  <w:footnote w:id="21">
    <w:p w14:paraId="330EF065" w14:textId="77777777" w:rsidR="0032433B" w:rsidRDefault="0032433B">
      <w:pPr>
        <w:pStyle w:val="FootnoteText"/>
      </w:pPr>
      <w:r>
        <w:rPr>
          <w:rStyle w:val="FootnoteReference"/>
          <w:sz w:val="20"/>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DEF1C" w14:textId="77777777" w:rsidR="00893508" w:rsidRDefault="00893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0F9B" w14:textId="77777777" w:rsidR="0032433B" w:rsidRDefault="0032433B">
    <w:pPr>
      <w:pStyle w:val="Header"/>
      <w:pBdr>
        <w:bottom w:val="single" w:sz="12" w:space="1" w:color="auto"/>
      </w:pBdr>
    </w:pPr>
  </w:p>
  <w:p w14:paraId="4548A0FF" w14:textId="3F7498D3" w:rsidR="0032433B" w:rsidRDefault="0032433B">
    <w:pPr>
      <w:pStyle w:val="Header"/>
      <w:pBdr>
        <w:bottom w:val="single" w:sz="12" w:space="1" w:color="auto"/>
      </w:pBdr>
      <w:rPr>
        <w:b w:val="0"/>
        <w:lang w:val="en-US"/>
      </w:rPr>
    </w:pPr>
    <w:r>
      <w:tab/>
      <w:t>Federal Communications Commission</w:t>
    </w:r>
    <w:r>
      <w:tab/>
    </w:r>
    <w:r>
      <w:rPr>
        <w:spacing w:val="-2"/>
      </w:rPr>
      <w:t>DA 14-</w:t>
    </w:r>
    <w:r w:rsidR="00DB0959">
      <w:rPr>
        <w:spacing w:val="-2"/>
        <w:lang w:val="en-US"/>
      </w:rPr>
      <w:t>1073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8C86" w14:textId="77777777" w:rsidR="0032433B" w:rsidRDefault="0032433B">
    <w:pPr>
      <w:pStyle w:val="Header"/>
      <w:pBdr>
        <w:bottom w:val="single" w:sz="12" w:space="1" w:color="auto"/>
      </w:pBdr>
    </w:pPr>
  </w:p>
  <w:p w14:paraId="1FE9C19B" w14:textId="570E77EE" w:rsidR="0032433B" w:rsidRDefault="0032433B">
    <w:pPr>
      <w:pStyle w:val="Header"/>
      <w:pBdr>
        <w:bottom w:val="single" w:sz="12" w:space="1" w:color="auto"/>
      </w:pBdr>
      <w:rPr>
        <w:b w:val="0"/>
        <w:lang w:val="en-US"/>
      </w:rPr>
    </w:pPr>
    <w:r>
      <w:tab/>
      <w:t>Federal Communications Commission</w:t>
    </w:r>
    <w:r>
      <w:tab/>
    </w:r>
    <w:r>
      <w:rPr>
        <w:spacing w:val="-2"/>
      </w:rPr>
      <w:t>DA 14-</w:t>
    </w:r>
    <w:r w:rsidR="00DB0959">
      <w:rPr>
        <w:spacing w:val="-2"/>
        <w:lang w:val="en-US"/>
      </w:rPr>
      <w:t>1073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624EB1E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0E17F6"/>
    <w:multiLevelType w:val="hybridMultilevel"/>
    <w:tmpl w:val="3398CFF2"/>
    <w:lvl w:ilvl="0" w:tplc="52C60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F90A8202">
      <w:start w:val="1"/>
      <w:numFmt w:val="bullet"/>
      <w:lvlText w:val=""/>
      <w:lvlJc w:val="left"/>
      <w:pPr>
        <w:tabs>
          <w:tab w:val="num" w:pos="1080"/>
        </w:tabs>
        <w:ind w:left="1080" w:hanging="360"/>
      </w:pPr>
      <w:rPr>
        <w:rFonts w:ascii="Wingdings" w:hAnsi="Wingdings" w:hint="default"/>
        <w:color w:val="auto"/>
        <w:sz w:val="16"/>
      </w:rPr>
    </w:lvl>
    <w:lvl w:ilvl="1" w:tplc="28DE3982">
      <w:start w:val="1"/>
      <w:numFmt w:val="lowerLetter"/>
      <w:lvlText w:val="%2."/>
      <w:lvlJc w:val="left"/>
      <w:pPr>
        <w:tabs>
          <w:tab w:val="num" w:pos="0"/>
        </w:tabs>
        <w:ind w:left="0" w:hanging="360"/>
      </w:pPr>
    </w:lvl>
    <w:lvl w:ilvl="2" w:tplc="808CF5C2">
      <w:start w:val="1"/>
      <w:numFmt w:val="lowerRoman"/>
      <w:lvlText w:val="%3."/>
      <w:lvlJc w:val="right"/>
      <w:pPr>
        <w:tabs>
          <w:tab w:val="num" w:pos="720"/>
        </w:tabs>
        <w:ind w:left="720" w:hanging="180"/>
      </w:pPr>
    </w:lvl>
    <w:lvl w:ilvl="3" w:tplc="9FE0BEC6">
      <w:start w:val="1"/>
      <w:numFmt w:val="decimal"/>
      <w:lvlText w:val="%4."/>
      <w:lvlJc w:val="left"/>
      <w:pPr>
        <w:tabs>
          <w:tab w:val="num" w:pos="1440"/>
        </w:tabs>
        <w:ind w:left="1440" w:hanging="360"/>
      </w:pPr>
    </w:lvl>
    <w:lvl w:ilvl="4" w:tplc="4F029476">
      <w:start w:val="1"/>
      <w:numFmt w:val="lowerLetter"/>
      <w:lvlText w:val="%5."/>
      <w:lvlJc w:val="left"/>
      <w:pPr>
        <w:tabs>
          <w:tab w:val="num" w:pos="2160"/>
        </w:tabs>
        <w:ind w:left="2160" w:hanging="360"/>
      </w:pPr>
    </w:lvl>
    <w:lvl w:ilvl="5" w:tplc="1D2C7EC8">
      <w:start w:val="1"/>
      <w:numFmt w:val="lowerRoman"/>
      <w:lvlText w:val="%6."/>
      <w:lvlJc w:val="right"/>
      <w:pPr>
        <w:tabs>
          <w:tab w:val="num" w:pos="2880"/>
        </w:tabs>
        <w:ind w:left="2880" w:hanging="180"/>
      </w:pPr>
    </w:lvl>
    <w:lvl w:ilvl="6" w:tplc="5F6E694E">
      <w:start w:val="1"/>
      <w:numFmt w:val="decimal"/>
      <w:lvlText w:val="%7."/>
      <w:lvlJc w:val="left"/>
      <w:pPr>
        <w:tabs>
          <w:tab w:val="num" w:pos="3600"/>
        </w:tabs>
        <w:ind w:left="3600" w:hanging="360"/>
      </w:pPr>
    </w:lvl>
    <w:lvl w:ilvl="7" w:tplc="375C3F1C">
      <w:start w:val="1"/>
      <w:numFmt w:val="lowerLetter"/>
      <w:lvlText w:val="%8."/>
      <w:lvlJc w:val="left"/>
      <w:pPr>
        <w:tabs>
          <w:tab w:val="num" w:pos="4320"/>
        </w:tabs>
        <w:ind w:left="4320" w:hanging="360"/>
      </w:pPr>
    </w:lvl>
    <w:lvl w:ilvl="8" w:tplc="A3707846">
      <w:start w:val="1"/>
      <w:numFmt w:val="lowerRoman"/>
      <w:lvlText w:val="%9."/>
      <w:lvlJc w:val="right"/>
      <w:pPr>
        <w:tabs>
          <w:tab w:val="num" w:pos="5040"/>
        </w:tabs>
        <w:ind w:left="5040" w:hanging="180"/>
      </w:pPr>
    </w:lvl>
  </w:abstractNum>
  <w:abstractNum w:abstractNumId="7">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3"/>
  </w:num>
  <w:num w:numId="12">
    <w:abstractNumId w:val="3"/>
  </w:num>
  <w:num w:numId="13">
    <w:abstractNumId w:val="4"/>
  </w:num>
  <w:num w:numId="14">
    <w:abstractNumId w:val="9"/>
  </w:num>
  <w:num w:numId="15">
    <w:abstractNumId w:val="3"/>
  </w:num>
  <w:num w:numId="16">
    <w:abstractNumId w:val="9"/>
    <w:lvlOverride w:ilvl="0">
      <w:startOverride w:val="1"/>
    </w:lvlOverride>
  </w:num>
  <w:num w:numId="17">
    <w:abstractNumId w:val="9"/>
  </w:num>
  <w:num w:numId="18">
    <w:abstractNumId w:val="3"/>
  </w:num>
  <w:num w:numId="19">
    <w:abstractNumId w:val="3"/>
  </w:num>
  <w:num w:numId="20">
    <w:abstractNumId w:val="3"/>
  </w:num>
  <w:num w:numId="21">
    <w:abstractNumId w:val="3"/>
  </w:num>
  <w:num w:numId="22">
    <w:abstractNumId w:val="3"/>
  </w:num>
  <w:num w:numId="23">
    <w:abstractNumId w:val="9"/>
  </w:num>
  <w:num w:numId="24">
    <w:abstractNumId w:val="9"/>
  </w:num>
  <w:num w:numId="25">
    <w:abstractNumId w:val="9"/>
  </w:num>
  <w:num w:numId="26">
    <w:abstractNumId w:val="5"/>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45"/>
    <w:rsid w:val="000017CE"/>
    <w:rsid w:val="00070A89"/>
    <w:rsid w:val="000B674A"/>
    <w:rsid w:val="000E2DF0"/>
    <w:rsid w:val="000F697F"/>
    <w:rsid w:val="00120285"/>
    <w:rsid w:val="00186D6C"/>
    <w:rsid w:val="001A4259"/>
    <w:rsid w:val="001D0F26"/>
    <w:rsid w:val="00204179"/>
    <w:rsid w:val="00234BDD"/>
    <w:rsid w:val="002B55BD"/>
    <w:rsid w:val="002D7F04"/>
    <w:rsid w:val="00305336"/>
    <w:rsid w:val="0032433B"/>
    <w:rsid w:val="003268D3"/>
    <w:rsid w:val="00340447"/>
    <w:rsid w:val="00340862"/>
    <w:rsid w:val="0034201D"/>
    <w:rsid w:val="00344163"/>
    <w:rsid w:val="003572F1"/>
    <w:rsid w:val="00361642"/>
    <w:rsid w:val="003B578F"/>
    <w:rsid w:val="003F402B"/>
    <w:rsid w:val="003F4F6A"/>
    <w:rsid w:val="0042459C"/>
    <w:rsid w:val="004651AD"/>
    <w:rsid w:val="004A7F9B"/>
    <w:rsid w:val="004C0461"/>
    <w:rsid w:val="00524D5F"/>
    <w:rsid w:val="00541D3C"/>
    <w:rsid w:val="0054244C"/>
    <w:rsid w:val="00566BBD"/>
    <w:rsid w:val="00580DF5"/>
    <w:rsid w:val="005B73ED"/>
    <w:rsid w:val="00611C5D"/>
    <w:rsid w:val="00625180"/>
    <w:rsid w:val="00632852"/>
    <w:rsid w:val="00676EBC"/>
    <w:rsid w:val="007051FF"/>
    <w:rsid w:val="0071477D"/>
    <w:rsid w:val="007B13C9"/>
    <w:rsid w:val="00822DFD"/>
    <w:rsid w:val="0083506D"/>
    <w:rsid w:val="008721B4"/>
    <w:rsid w:val="00893508"/>
    <w:rsid w:val="008B3422"/>
    <w:rsid w:val="008E7E74"/>
    <w:rsid w:val="00903A67"/>
    <w:rsid w:val="009107EF"/>
    <w:rsid w:val="00937934"/>
    <w:rsid w:val="009A0271"/>
    <w:rsid w:val="009A0DD8"/>
    <w:rsid w:val="00A37C52"/>
    <w:rsid w:val="00A815C1"/>
    <w:rsid w:val="00A90FB0"/>
    <w:rsid w:val="00BC4FA9"/>
    <w:rsid w:val="00C45A5D"/>
    <w:rsid w:val="00C50439"/>
    <w:rsid w:val="00C8375D"/>
    <w:rsid w:val="00CA7A8C"/>
    <w:rsid w:val="00CD4348"/>
    <w:rsid w:val="00D55F80"/>
    <w:rsid w:val="00DB0959"/>
    <w:rsid w:val="00DB1D45"/>
    <w:rsid w:val="00DB7F7D"/>
    <w:rsid w:val="00DC72BC"/>
    <w:rsid w:val="00DE0BD5"/>
    <w:rsid w:val="00E23C32"/>
    <w:rsid w:val="00E3149D"/>
    <w:rsid w:val="00E52C11"/>
    <w:rsid w:val="00ED44B9"/>
    <w:rsid w:val="00F20055"/>
    <w:rsid w:val="00F31783"/>
    <w:rsid w:val="00F45F73"/>
    <w:rsid w:val="00F6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uiPriority w:val="99"/>
    <w:pPr>
      <w:spacing w:after="120"/>
    </w:pPr>
  </w:style>
  <w:style w:type="character" w:styleId="FootnoteReference">
    <w:name w:val="footnote reference"/>
    <w:aliases w:val="Style 4,Style 12,(NECG) Footnote Reference,Appel note de bas de p,Style 124,Style 13,o,fr,Style 3"/>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uiPriority w:val="99"/>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Revision">
    <w:name w:val="Revision"/>
    <w:hidden/>
    <w:uiPriority w:val="99"/>
    <w:semiHidden/>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uiPriority w:val="99"/>
    <w:pPr>
      <w:spacing w:after="120"/>
    </w:pPr>
  </w:style>
  <w:style w:type="character" w:styleId="FootnoteReference">
    <w:name w:val="footnote reference"/>
    <w:aliases w:val="Style 4,Style 12,(NECG) Footnote Reference,Appel note de bas de p,Style 124,Style 13,o,fr,Style 3"/>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uiPriority w:val="99"/>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6429">
      <w:bodyDiv w:val="1"/>
      <w:marLeft w:val="0"/>
      <w:marRight w:val="0"/>
      <w:marTop w:val="0"/>
      <w:marBottom w:val="0"/>
      <w:divBdr>
        <w:top w:val="none" w:sz="0" w:space="0" w:color="auto"/>
        <w:left w:val="none" w:sz="0" w:space="0" w:color="auto"/>
        <w:bottom w:val="none" w:sz="0" w:space="0" w:color="auto"/>
        <w:right w:val="none" w:sz="0" w:space="0" w:color="auto"/>
      </w:divBdr>
    </w:div>
    <w:div w:id="1032459366">
      <w:bodyDiv w:val="1"/>
      <w:marLeft w:val="0"/>
      <w:marRight w:val="0"/>
      <w:marTop w:val="0"/>
      <w:marBottom w:val="0"/>
      <w:divBdr>
        <w:top w:val="none" w:sz="0" w:space="0" w:color="auto"/>
        <w:left w:val="none" w:sz="0" w:space="0" w:color="auto"/>
        <w:bottom w:val="none" w:sz="0" w:space="0" w:color="auto"/>
        <w:right w:val="none" w:sz="0" w:space="0" w:color="auto"/>
      </w:divBdr>
      <w:divsChild>
        <w:div w:id="987251321">
          <w:marLeft w:val="0"/>
          <w:marRight w:val="0"/>
          <w:marTop w:val="0"/>
          <w:marBottom w:val="0"/>
          <w:divBdr>
            <w:top w:val="none" w:sz="0" w:space="0" w:color="auto"/>
            <w:left w:val="none" w:sz="0" w:space="0" w:color="auto"/>
            <w:bottom w:val="none" w:sz="0" w:space="0" w:color="auto"/>
            <w:right w:val="none" w:sz="0" w:space="0" w:color="auto"/>
          </w:divBdr>
          <w:divsChild>
            <w:div w:id="14410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436">
      <w:bodyDiv w:val="1"/>
      <w:marLeft w:val="0"/>
      <w:marRight w:val="0"/>
      <w:marTop w:val="0"/>
      <w:marBottom w:val="0"/>
      <w:divBdr>
        <w:top w:val="none" w:sz="0" w:space="0" w:color="auto"/>
        <w:left w:val="none" w:sz="0" w:space="0" w:color="auto"/>
        <w:bottom w:val="none" w:sz="0" w:space="0" w:color="auto"/>
        <w:right w:val="none" w:sz="0" w:space="0" w:color="auto"/>
      </w:divBdr>
    </w:div>
    <w:div w:id="1932280182">
      <w:bodyDiv w:val="1"/>
      <w:marLeft w:val="0"/>
      <w:marRight w:val="0"/>
      <w:marTop w:val="0"/>
      <w:marBottom w:val="0"/>
      <w:divBdr>
        <w:top w:val="none" w:sz="0" w:space="0" w:color="auto"/>
        <w:left w:val="none" w:sz="0" w:space="0" w:color="auto"/>
        <w:bottom w:val="none" w:sz="0" w:space="0" w:color="auto"/>
        <w:right w:val="none" w:sz="0" w:space="0" w:color="auto"/>
      </w:divBdr>
      <w:divsChild>
        <w:div w:id="636302846">
          <w:marLeft w:val="0"/>
          <w:marRight w:val="0"/>
          <w:marTop w:val="0"/>
          <w:marBottom w:val="0"/>
          <w:divBdr>
            <w:top w:val="none" w:sz="0" w:space="0" w:color="auto"/>
            <w:left w:val="none" w:sz="0" w:space="0" w:color="auto"/>
            <w:bottom w:val="none" w:sz="0" w:space="0" w:color="auto"/>
            <w:right w:val="none" w:sz="0" w:space="0" w:color="auto"/>
          </w:divBdr>
        </w:div>
        <w:div w:id="1216045278">
          <w:marLeft w:val="0"/>
          <w:marRight w:val="0"/>
          <w:marTop w:val="0"/>
          <w:marBottom w:val="0"/>
          <w:divBdr>
            <w:top w:val="none" w:sz="0" w:space="0" w:color="auto"/>
            <w:left w:val="none" w:sz="0" w:space="0" w:color="auto"/>
            <w:bottom w:val="none" w:sz="0" w:space="0" w:color="auto"/>
            <w:right w:val="none" w:sz="0" w:space="0" w:color="auto"/>
          </w:divBdr>
        </w:div>
        <w:div w:id="144742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1410</Words>
  <Characters>7638</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9073</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2013-03-23T00:16:00Z</cp:lastPrinted>
  <dcterms:created xsi:type="dcterms:W3CDTF">2014-07-29T01:25:00Z</dcterms:created>
  <dcterms:modified xsi:type="dcterms:W3CDTF">2014-07-29T01:25:00Z</dcterms:modified>
  <cp:category> </cp:category>
  <cp:contentStatus> </cp:contentStatus>
</cp:coreProperties>
</file>