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9F" w:rsidRPr="00847542" w:rsidRDefault="003D1C9F" w:rsidP="00847542">
      <w:pPr>
        <w:jc w:val="center"/>
        <w:rPr>
          <w:b/>
        </w:rPr>
      </w:pPr>
      <w:bookmarkStart w:id="0" w:name="_GoBack"/>
      <w:bookmarkEnd w:id="0"/>
      <w:r w:rsidRPr="00847542">
        <w:rPr>
          <w:b/>
        </w:rPr>
        <w:t>Before the</w:t>
      </w:r>
    </w:p>
    <w:p w:rsidR="003D1C9F" w:rsidRPr="00847542" w:rsidRDefault="003D1C9F" w:rsidP="00847542">
      <w:pPr>
        <w:jc w:val="center"/>
        <w:rPr>
          <w:b/>
        </w:rPr>
      </w:pPr>
      <w:r w:rsidRPr="00847542">
        <w:rPr>
          <w:b/>
        </w:rPr>
        <w:t>Federal Communications Commission</w:t>
      </w:r>
    </w:p>
    <w:p w:rsidR="003D1C9F" w:rsidRPr="00847542" w:rsidRDefault="003D1C9F" w:rsidP="00847542">
      <w:pPr>
        <w:jc w:val="center"/>
        <w:rPr>
          <w:b/>
        </w:rPr>
      </w:pPr>
      <w:r w:rsidRPr="00847542">
        <w:rPr>
          <w:b/>
        </w:rPr>
        <w:t>Washington, DC  20554</w:t>
      </w:r>
    </w:p>
    <w:p w:rsidR="002813C7" w:rsidRPr="006B2038" w:rsidRDefault="002813C7" w:rsidP="00C61DA0">
      <w:pPr>
        <w:pStyle w:val="Header"/>
      </w:pPr>
    </w:p>
    <w:p w:rsidR="003D1C9F" w:rsidRPr="006B2038" w:rsidRDefault="003D1C9F" w:rsidP="00C61DA0">
      <w:pPr>
        <w:pStyle w:val="Header"/>
      </w:pPr>
    </w:p>
    <w:tbl>
      <w:tblPr>
        <w:tblW w:w="9648" w:type="dxa"/>
        <w:tblLayout w:type="fixed"/>
        <w:tblLook w:val="0000" w:firstRow="0" w:lastRow="0" w:firstColumn="0" w:lastColumn="0" w:noHBand="0" w:noVBand="0"/>
      </w:tblPr>
      <w:tblGrid>
        <w:gridCol w:w="4698"/>
        <w:gridCol w:w="720"/>
        <w:gridCol w:w="4230"/>
      </w:tblGrid>
      <w:tr w:rsidR="00B53D6B" w:rsidRPr="006B2038" w:rsidTr="0083784E">
        <w:tc>
          <w:tcPr>
            <w:tcW w:w="4698" w:type="dxa"/>
          </w:tcPr>
          <w:p w:rsidR="00B53D6B" w:rsidRPr="006B2038" w:rsidRDefault="00B53D6B" w:rsidP="00780950">
            <w:pPr>
              <w:widowControl/>
              <w:tabs>
                <w:tab w:val="center" w:pos="4680"/>
              </w:tabs>
              <w:suppressAutoHyphens/>
              <w:rPr>
                <w:snapToGrid/>
                <w:spacing w:val="-2"/>
                <w:szCs w:val="22"/>
              </w:rPr>
            </w:pPr>
            <w:r w:rsidRPr="006B2038">
              <w:rPr>
                <w:spacing w:val="-2"/>
                <w:szCs w:val="22"/>
              </w:rPr>
              <w:t>In the Matter of</w:t>
            </w:r>
          </w:p>
          <w:p w:rsidR="00130493" w:rsidRPr="006B2038" w:rsidRDefault="00130493" w:rsidP="00780950">
            <w:pPr>
              <w:widowControl/>
              <w:tabs>
                <w:tab w:val="center" w:pos="4680"/>
              </w:tabs>
              <w:suppressAutoHyphens/>
              <w:rPr>
                <w:snapToGrid/>
                <w:spacing w:val="-2"/>
                <w:szCs w:val="22"/>
              </w:rPr>
            </w:pPr>
          </w:p>
          <w:p w:rsidR="00130493" w:rsidRPr="006B2038" w:rsidRDefault="00130493" w:rsidP="00780950">
            <w:pPr>
              <w:widowControl/>
              <w:tabs>
                <w:tab w:val="center" w:pos="4680"/>
              </w:tabs>
              <w:suppressAutoHyphens/>
              <w:rPr>
                <w:snapToGrid/>
                <w:spacing w:val="-2"/>
                <w:szCs w:val="22"/>
              </w:rPr>
            </w:pPr>
            <w:r w:rsidRPr="006B2038">
              <w:rPr>
                <w:spacing w:val="-2"/>
                <w:szCs w:val="22"/>
              </w:rPr>
              <w:t>Requests and Petitions for Guidance, Declaratory Rul</w:t>
            </w:r>
            <w:r w:rsidR="0093254D">
              <w:rPr>
                <w:spacing w:val="-2"/>
                <w:szCs w:val="22"/>
              </w:rPr>
              <w:t>ing, or Waiver of 47 C.F.R. § 54</w:t>
            </w:r>
            <w:r w:rsidRPr="006B2038">
              <w:rPr>
                <w:spacing w:val="-2"/>
                <w:szCs w:val="22"/>
              </w:rPr>
              <w:t>.307(b)</w:t>
            </w:r>
          </w:p>
          <w:p w:rsidR="00B53D6B" w:rsidRPr="006B2038" w:rsidRDefault="00B53D6B" w:rsidP="00780950">
            <w:pPr>
              <w:widowControl/>
              <w:tabs>
                <w:tab w:val="center" w:pos="4680"/>
              </w:tabs>
              <w:suppressAutoHyphens/>
              <w:rPr>
                <w:snapToGrid/>
                <w:spacing w:val="-2"/>
                <w:szCs w:val="22"/>
              </w:rPr>
            </w:pPr>
          </w:p>
          <w:p w:rsidR="00B53D6B" w:rsidRPr="006B2038" w:rsidRDefault="00B53D6B" w:rsidP="00780950">
            <w:pPr>
              <w:widowControl/>
              <w:tabs>
                <w:tab w:val="center" w:pos="4680"/>
              </w:tabs>
              <w:suppressAutoHyphens/>
              <w:rPr>
                <w:snapToGrid/>
                <w:spacing w:val="-2"/>
                <w:szCs w:val="22"/>
              </w:rPr>
            </w:pPr>
            <w:r w:rsidRPr="006B2038">
              <w:rPr>
                <w:spacing w:val="-2"/>
                <w:szCs w:val="22"/>
              </w:rPr>
              <w:t>Requests for Review of the Decision of the Universal Service Administrator by</w:t>
            </w:r>
            <w:r w:rsidR="00130493" w:rsidRPr="006B2038">
              <w:rPr>
                <w:spacing w:val="-2"/>
                <w:szCs w:val="22"/>
              </w:rPr>
              <w:t xml:space="preserve"> </w:t>
            </w:r>
            <w:r w:rsidRPr="006B2038">
              <w:rPr>
                <w:spacing w:val="-2"/>
                <w:szCs w:val="22"/>
              </w:rPr>
              <w:t>ACS Wireless, Inc.</w:t>
            </w:r>
            <w:r w:rsidR="00130493" w:rsidRPr="006B2038">
              <w:rPr>
                <w:spacing w:val="-2"/>
                <w:szCs w:val="22"/>
              </w:rPr>
              <w:t xml:space="preserve">, </w:t>
            </w:r>
            <w:r w:rsidRPr="006B2038">
              <w:rPr>
                <w:spacing w:val="-2"/>
                <w:szCs w:val="22"/>
              </w:rPr>
              <w:t>AT&amp;T Inc.</w:t>
            </w:r>
            <w:r w:rsidR="00130493" w:rsidRPr="006B2038">
              <w:rPr>
                <w:spacing w:val="-2"/>
                <w:szCs w:val="22"/>
              </w:rPr>
              <w:t xml:space="preserve">, </w:t>
            </w:r>
            <w:r w:rsidR="00842EE3" w:rsidRPr="006B2038">
              <w:rPr>
                <w:spacing w:val="-2"/>
                <w:szCs w:val="22"/>
              </w:rPr>
              <w:t xml:space="preserve">Cordova Wireless Communications, </w:t>
            </w:r>
            <w:r w:rsidR="00130493" w:rsidRPr="006B2038">
              <w:rPr>
                <w:spacing w:val="-2"/>
                <w:szCs w:val="22"/>
              </w:rPr>
              <w:t xml:space="preserve">and </w:t>
            </w:r>
            <w:r w:rsidRPr="006B2038">
              <w:rPr>
                <w:spacing w:val="-2"/>
                <w:szCs w:val="22"/>
              </w:rPr>
              <w:t>PR Wireless, Inc.</w:t>
            </w: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r w:rsidRPr="006B2038">
              <w:rPr>
                <w:spacing w:val="-2"/>
                <w:szCs w:val="22"/>
              </w:rPr>
              <w:t>Federal-State Joint Board on Universal Service</w:t>
            </w: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r w:rsidRPr="006B2038">
              <w:rPr>
                <w:spacing w:val="-2"/>
                <w:szCs w:val="22"/>
              </w:rPr>
              <w:t>High-Cost Universal Service Support</w:t>
            </w:r>
          </w:p>
          <w:p w:rsidR="00B53D6B" w:rsidRPr="006B2038" w:rsidRDefault="00B53D6B" w:rsidP="00780950">
            <w:pPr>
              <w:widowControl/>
              <w:tabs>
                <w:tab w:val="center" w:pos="4680"/>
              </w:tabs>
              <w:suppressAutoHyphens/>
              <w:rPr>
                <w:snapToGrid/>
                <w:spacing w:val="-2"/>
                <w:szCs w:val="22"/>
              </w:rPr>
            </w:pPr>
          </w:p>
          <w:p w:rsidR="00B53D6B" w:rsidRPr="006B2038" w:rsidRDefault="00474EBB" w:rsidP="00780950">
            <w:pPr>
              <w:widowControl/>
              <w:tabs>
                <w:tab w:val="center" w:pos="4680"/>
              </w:tabs>
              <w:suppressAutoHyphens/>
              <w:rPr>
                <w:snapToGrid/>
                <w:spacing w:val="-2"/>
                <w:szCs w:val="22"/>
              </w:rPr>
            </w:pPr>
            <w:r w:rsidRPr="006B2038">
              <w:rPr>
                <w:spacing w:val="-2"/>
                <w:szCs w:val="22"/>
              </w:rPr>
              <w:t>Lifeline and Link-Up</w:t>
            </w:r>
          </w:p>
        </w:tc>
        <w:tc>
          <w:tcPr>
            <w:tcW w:w="720" w:type="dxa"/>
          </w:tcPr>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B53D6B" w:rsidRPr="006B2038" w:rsidRDefault="00B53D6B" w:rsidP="00780950">
            <w:pPr>
              <w:widowControl/>
              <w:rPr>
                <w:b/>
                <w:szCs w:val="22"/>
              </w:rPr>
            </w:pPr>
            <w:r w:rsidRPr="006B2038">
              <w:rPr>
                <w:b/>
                <w:szCs w:val="22"/>
              </w:rPr>
              <w:t>)</w:t>
            </w:r>
          </w:p>
          <w:p w:rsidR="0083784E" w:rsidRPr="006B2038" w:rsidRDefault="00842EE3" w:rsidP="00780950">
            <w:pPr>
              <w:widowControl/>
              <w:rPr>
                <w:b/>
                <w:snapToGrid/>
                <w:szCs w:val="22"/>
              </w:rPr>
            </w:pPr>
            <w:r w:rsidRPr="006B2038">
              <w:rPr>
                <w:b/>
                <w:szCs w:val="22"/>
              </w:rPr>
              <w:t>)</w:t>
            </w:r>
          </w:p>
        </w:tc>
        <w:tc>
          <w:tcPr>
            <w:tcW w:w="4230" w:type="dxa"/>
          </w:tcPr>
          <w:p w:rsidR="00B53D6B" w:rsidRPr="006B2038" w:rsidRDefault="00B53D6B" w:rsidP="00780950">
            <w:pPr>
              <w:widowControl/>
              <w:rPr>
                <w:snapToGrid/>
                <w:szCs w:val="22"/>
              </w:rPr>
            </w:pP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p>
          <w:p w:rsidR="00474EBB" w:rsidRPr="006B2038" w:rsidRDefault="00474EBB" w:rsidP="00780950">
            <w:pPr>
              <w:widowControl/>
              <w:tabs>
                <w:tab w:val="center" w:pos="4680"/>
              </w:tabs>
              <w:suppressAutoHyphens/>
              <w:rPr>
                <w:snapToGrid/>
                <w:spacing w:val="-2"/>
                <w:szCs w:val="22"/>
              </w:rPr>
            </w:pPr>
          </w:p>
          <w:p w:rsidR="00842EE3" w:rsidRPr="006B2038" w:rsidRDefault="00842EE3" w:rsidP="00780950">
            <w:pPr>
              <w:widowControl/>
              <w:tabs>
                <w:tab w:val="center" w:pos="4680"/>
              </w:tabs>
              <w:suppressAutoHyphens/>
              <w:rPr>
                <w:snapToGrid/>
                <w:spacing w:val="-2"/>
                <w:szCs w:val="22"/>
              </w:rPr>
            </w:pPr>
          </w:p>
          <w:p w:rsidR="003837CC" w:rsidRPr="006B2038" w:rsidRDefault="003837CC" w:rsidP="00780950">
            <w:pPr>
              <w:widowControl/>
              <w:tabs>
                <w:tab w:val="center" w:pos="4680"/>
              </w:tabs>
              <w:suppressAutoHyphens/>
              <w:rPr>
                <w:snapToGrid/>
                <w:spacing w:val="-2"/>
                <w:szCs w:val="22"/>
              </w:rPr>
            </w:pPr>
          </w:p>
          <w:p w:rsidR="00842EE3" w:rsidRPr="006B2038" w:rsidRDefault="00842EE3" w:rsidP="00780950">
            <w:pPr>
              <w:widowControl/>
              <w:tabs>
                <w:tab w:val="center" w:pos="4680"/>
              </w:tabs>
              <w:suppressAutoHyphens/>
              <w:rPr>
                <w:snapToGrid/>
                <w:spacing w:val="-2"/>
                <w:szCs w:val="22"/>
              </w:rPr>
            </w:pPr>
          </w:p>
          <w:p w:rsidR="00842EE3" w:rsidRPr="006B2038" w:rsidRDefault="00842EE3" w:rsidP="00780950">
            <w:pPr>
              <w:widowControl/>
              <w:tabs>
                <w:tab w:val="center" w:pos="4680"/>
              </w:tabs>
              <w:suppressAutoHyphens/>
              <w:rPr>
                <w:snapToGrid/>
                <w:spacing w:val="-2"/>
                <w:szCs w:val="22"/>
              </w:rPr>
            </w:pPr>
          </w:p>
          <w:p w:rsidR="00B53D6B" w:rsidRPr="006B2038" w:rsidRDefault="00B53D6B" w:rsidP="00780950">
            <w:pPr>
              <w:widowControl/>
              <w:tabs>
                <w:tab w:val="center" w:pos="4680"/>
              </w:tabs>
              <w:suppressAutoHyphens/>
              <w:rPr>
                <w:snapToGrid/>
                <w:spacing w:val="-2"/>
                <w:szCs w:val="22"/>
              </w:rPr>
            </w:pPr>
            <w:r w:rsidRPr="006B2038">
              <w:rPr>
                <w:spacing w:val="-2"/>
                <w:szCs w:val="22"/>
              </w:rPr>
              <w:t>CC Docket No. 96-45</w:t>
            </w:r>
          </w:p>
          <w:p w:rsidR="00B53D6B" w:rsidRPr="006B2038" w:rsidRDefault="00B53D6B" w:rsidP="00780950">
            <w:pPr>
              <w:widowControl/>
              <w:tabs>
                <w:tab w:val="center" w:pos="4680"/>
              </w:tabs>
              <w:suppressAutoHyphens/>
              <w:rPr>
                <w:snapToGrid/>
                <w:spacing w:val="-2"/>
                <w:szCs w:val="22"/>
              </w:rPr>
            </w:pPr>
          </w:p>
          <w:p w:rsidR="00B53D6B" w:rsidRPr="006B2038" w:rsidRDefault="00B53D6B" w:rsidP="00780950">
            <w:pPr>
              <w:widowControl/>
              <w:tabs>
                <w:tab w:val="center" w:pos="4680"/>
              </w:tabs>
              <w:suppressAutoHyphens/>
              <w:rPr>
                <w:snapToGrid/>
                <w:spacing w:val="-2"/>
                <w:szCs w:val="22"/>
              </w:rPr>
            </w:pPr>
            <w:r w:rsidRPr="006B2038">
              <w:rPr>
                <w:spacing w:val="-2"/>
                <w:szCs w:val="22"/>
              </w:rPr>
              <w:t>WC Docket No. 05-337</w:t>
            </w:r>
          </w:p>
          <w:p w:rsidR="00B53D6B" w:rsidRPr="006B2038" w:rsidRDefault="00B53D6B" w:rsidP="00780950">
            <w:pPr>
              <w:widowControl/>
              <w:tabs>
                <w:tab w:val="center" w:pos="4680"/>
              </w:tabs>
              <w:suppressAutoHyphens/>
              <w:rPr>
                <w:snapToGrid/>
                <w:spacing w:val="-2"/>
                <w:szCs w:val="22"/>
              </w:rPr>
            </w:pPr>
          </w:p>
          <w:p w:rsidR="00B53D6B" w:rsidRPr="006B2038" w:rsidRDefault="00B53D6B" w:rsidP="00780950">
            <w:pPr>
              <w:widowControl/>
              <w:tabs>
                <w:tab w:val="center" w:pos="4680"/>
              </w:tabs>
              <w:suppressAutoHyphens/>
              <w:rPr>
                <w:snapToGrid/>
                <w:szCs w:val="22"/>
              </w:rPr>
            </w:pPr>
            <w:r w:rsidRPr="006B2038">
              <w:rPr>
                <w:spacing w:val="-2"/>
                <w:szCs w:val="22"/>
              </w:rPr>
              <w:t>CC Docket No. 03-109</w:t>
            </w:r>
          </w:p>
        </w:tc>
      </w:tr>
    </w:tbl>
    <w:p w:rsidR="00B53D6B" w:rsidRPr="006B2038" w:rsidRDefault="00B53D6B" w:rsidP="00C61DA0">
      <w:pPr>
        <w:pStyle w:val="Header"/>
      </w:pPr>
    </w:p>
    <w:p w:rsidR="003D1C9F" w:rsidRPr="006B2038" w:rsidRDefault="003D1C9F" w:rsidP="00C61DA0">
      <w:pPr>
        <w:pStyle w:val="Header"/>
      </w:pPr>
    </w:p>
    <w:p w:rsidR="003D1C9F" w:rsidRPr="00847542" w:rsidRDefault="006B2038" w:rsidP="00847542">
      <w:pPr>
        <w:jc w:val="center"/>
        <w:rPr>
          <w:b/>
        </w:rPr>
      </w:pPr>
      <w:r w:rsidRPr="00847542">
        <w:rPr>
          <w:b/>
        </w:rPr>
        <w:t>ORDER</w:t>
      </w:r>
    </w:p>
    <w:p w:rsidR="003D1C9F" w:rsidRPr="006B2038" w:rsidRDefault="003D1C9F" w:rsidP="00C61DA0">
      <w:pPr>
        <w:pStyle w:val="Header"/>
      </w:pPr>
    </w:p>
    <w:p w:rsidR="003D1C9F" w:rsidRPr="006B2038" w:rsidRDefault="003D1C9F" w:rsidP="00C61DA0">
      <w:pPr>
        <w:pStyle w:val="Header"/>
      </w:pPr>
      <w:r w:rsidRPr="006B2038">
        <w:t>Adopted:</w:t>
      </w:r>
      <w:r w:rsidR="00AE53B4" w:rsidRPr="006B2038">
        <w:t xml:space="preserve"> </w:t>
      </w:r>
      <w:r w:rsidR="006B2038" w:rsidRPr="006B2038">
        <w:t>July 28, 2014</w:t>
      </w:r>
      <w:r w:rsidRPr="006B2038">
        <w:tab/>
      </w:r>
      <w:r w:rsidR="006B2038" w:rsidRPr="006B2038">
        <w:tab/>
      </w:r>
      <w:r w:rsidRPr="006B2038">
        <w:t>Released:</w:t>
      </w:r>
      <w:r w:rsidR="00154ADA" w:rsidRPr="006B2038">
        <w:t xml:space="preserve"> </w:t>
      </w:r>
      <w:r w:rsidR="006B2038" w:rsidRPr="006B2038">
        <w:t>July 28, 2014</w:t>
      </w:r>
    </w:p>
    <w:p w:rsidR="003D1C9F" w:rsidRPr="006B2038" w:rsidRDefault="003D1C9F" w:rsidP="00C61DA0">
      <w:pPr>
        <w:pStyle w:val="Header"/>
      </w:pPr>
    </w:p>
    <w:p w:rsidR="003D1C9F" w:rsidRPr="00C61DA0" w:rsidRDefault="00DF73E3" w:rsidP="00C61DA0">
      <w:r w:rsidRPr="00C61DA0">
        <w:t xml:space="preserve">By the </w:t>
      </w:r>
      <w:r w:rsidR="009D002A" w:rsidRPr="00C61DA0">
        <w:t xml:space="preserve">Acting </w:t>
      </w:r>
      <w:r w:rsidR="00501D1E" w:rsidRPr="00C61DA0">
        <w:t xml:space="preserve">Chief, </w:t>
      </w:r>
      <w:r w:rsidR="00860C3E" w:rsidRPr="00C61DA0">
        <w:t>Wireline Competition Bureau</w:t>
      </w:r>
      <w:r w:rsidR="00501D1E" w:rsidRPr="00C61DA0">
        <w:t>:</w:t>
      </w:r>
    </w:p>
    <w:p w:rsidR="00350A21" w:rsidRPr="006B2038" w:rsidRDefault="00350A21" w:rsidP="00C61DA0">
      <w:pPr>
        <w:pStyle w:val="Titleinfo"/>
      </w:pPr>
    </w:p>
    <w:p w:rsidR="00350A21" w:rsidRPr="006B2038" w:rsidRDefault="00350A21" w:rsidP="00780950">
      <w:pPr>
        <w:pStyle w:val="Heading1"/>
        <w:widowControl/>
        <w:rPr>
          <w:rFonts w:ascii="Times New Roman" w:hAnsi="Times New Roman"/>
          <w:szCs w:val="22"/>
        </w:rPr>
      </w:pPr>
      <w:r w:rsidRPr="006B2038">
        <w:rPr>
          <w:rFonts w:ascii="Times New Roman" w:hAnsi="Times New Roman"/>
          <w:szCs w:val="22"/>
        </w:rPr>
        <w:t>INTRODUCTION</w:t>
      </w:r>
    </w:p>
    <w:p w:rsidR="00A77098" w:rsidRPr="006B2038" w:rsidRDefault="00A77098" w:rsidP="00780950">
      <w:pPr>
        <w:pStyle w:val="ParaNum"/>
        <w:widowControl/>
        <w:rPr>
          <w:rStyle w:val="StyleNumberedparagraphs11ptChar"/>
          <w:szCs w:val="22"/>
        </w:rPr>
      </w:pPr>
      <w:r w:rsidRPr="006B2038">
        <w:rPr>
          <w:rStyle w:val="StyleNumberedparagraphs11ptChar"/>
          <w:szCs w:val="22"/>
        </w:rPr>
        <w:t xml:space="preserve">In this Order, </w:t>
      </w:r>
      <w:r w:rsidR="00860C3E" w:rsidRPr="006B2038">
        <w:rPr>
          <w:rStyle w:val="StyleNumberedparagraphs11ptChar"/>
          <w:szCs w:val="22"/>
        </w:rPr>
        <w:t xml:space="preserve">the Wireline Competition Bureau (Bureau) </w:t>
      </w:r>
      <w:r w:rsidR="00275DD8" w:rsidRPr="006B2038">
        <w:rPr>
          <w:rStyle w:val="StyleNumberedparagraphs11ptChar"/>
          <w:szCs w:val="22"/>
        </w:rPr>
        <w:t>resolve</w:t>
      </w:r>
      <w:r w:rsidR="00DF3831" w:rsidRPr="006B2038">
        <w:rPr>
          <w:rStyle w:val="StyleNumberedparagraphs11ptChar"/>
          <w:szCs w:val="22"/>
        </w:rPr>
        <w:t>s</w:t>
      </w:r>
      <w:r w:rsidR="00275DD8" w:rsidRPr="006B2038">
        <w:rPr>
          <w:rStyle w:val="StyleNumberedparagraphs11ptChar"/>
          <w:szCs w:val="22"/>
        </w:rPr>
        <w:t xml:space="preserve"> multiple issues related to the </w:t>
      </w:r>
      <w:r w:rsidR="00860C3E" w:rsidRPr="006B2038">
        <w:rPr>
          <w:rStyle w:val="StyleNumberedparagraphs11ptChar"/>
          <w:szCs w:val="22"/>
        </w:rPr>
        <w:t xml:space="preserve">reporting of customer lines under the </w:t>
      </w:r>
      <w:r w:rsidR="00BA6B6F" w:rsidRPr="006B2038">
        <w:rPr>
          <w:rStyle w:val="StyleNumberedparagraphs11ptChar"/>
          <w:szCs w:val="22"/>
        </w:rPr>
        <w:t>former</w:t>
      </w:r>
      <w:r w:rsidR="00275DD8" w:rsidRPr="006B2038">
        <w:rPr>
          <w:rStyle w:val="StyleNumberedparagraphs11ptChar"/>
          <w:szCs w:val="22"/>
        </w:rPr>
        <w:t xml:space="preserve"> identical support rule.  Specifically, we</w:t>
      </w:r>
      <w:r w:rsidRPr="006B2038">
        <w:rPr>
          <w:rStyle w:val="StyleNumberedparagraphs11ptChar"/>
          <w:szCs w:val="22"/>
        </w:rPr>
        <w:t xml:space="preserve"> </w:t>
      </w:r>
      <w:r w:rsidR="000A2BF8" w:rsidRPr="006B2038">
        <w:rPr>
          <w:rStyle w:val="StyleNumberedparagraphs11ptChar"/>
          <w:szCs w:val="22"/>
        </w:rPr>
        <w:t>resolv</w:t>
      </w:r>
      <w:r w:rsidR="00BA6B6F" w:rsidRPr="006B2038">
        <w:rPr>
          <w:rStyle w:val="StyleNumberedparagraphs11ptChar"/>
          <w:szCs w:val="22"/>
        </w:rPr>
        <w:t>e</w:t>
      </w:r>
      <w:r w:rsidR="00A01075" w:rsidRPr="006B2038">
        <w:rPr>
          <w:rStyle w:val="StyleNumberedparagraphs11ptChar"/>
          <w:szCs w:val="22"/>
        </w:rPr>
        <w:t xml:space="preserve"> </w:t>
      </w:r>
      <w:r w:rsidR="00225D77" w:rsidRPr="006B2038">
        <w:rPr>
          <w:rStyle w:val="StyleNumberedparagraphs11ptChar"/>
          <w:szCs w:val="22"/>
        </w:rPr>
        <w:t xml:space="preserve">appeals related to the requirement </w:t>
      </w:r>
      <w:r w:rsidR="000A2BF8" w:rsidRPr="006B2038">
        <w:rPr>
          <w:rStyle w:val="StyleNumberedparagraphs11ptChar"/>
          <w:szCs w:val="22"/>
        </w:rPr>
        <w:t xml:space="preserve">that competitive eligible </w:t>
      </w:r>
      <w:r w:rsidR="00DF3831" w:rsidRPr="006B2038">
        <w:rPr>
          <w:rStyle w:val="StyleNumberedparagraphs11ptChar"/>
          <w:szCs w:val="22"/>
        </w:rPr>
        <w:t xml:space="preserve">telecommunications </w:t>
      </w:r>
      <w:r w:rsidR="000A2BF8" w:rsidRPr="006B2038">
        <w:rPr>
          <w:rStyle w:val="StyleNumberedparagraphs11ptChar"/>
          <w:szCs w:val="22"/>
        </w:rPr>
        <w:t xml:space="preserve">carriers (CETCs) providing mobile service receive high-cost support in a particular service area based on </w:t>
      </w:r>
      <w:r w:rsidR="00225D77" w:rsidRPr="006B2038">
        <w:rPr>
          <w:rStyle w:val="StyleNumberedparagraphs11ptChar"/>
          <w:szCs w:val="22"/>
        </w:rPr>
        <w:t>customer billing addresses</w:t>
      </w:r>
      <w:r w:rsidR="00130493" w:rsidRPr="006B2038">
        <w:rPr>
          <w:color w:val="000000"/>
          <w:szCs w:val="22"/>
          <w:shd w:val="clear" w:color="auto" w:fill="FFFFFF"/>
        </w:rPr>
        <w:t>.</w:t>
      </w:r>
      <w:r w:rsidR="00FD34BD" w:rsidRPr="006B2038">
        <w:rPr>
          <w:rStyle w:val="FootnoteReference"/>
          <w:sz w:val="22"/>
          <w:szCs w:val="22"/>
        </w:rPr>
        <w:footnoteReference w:id="2"/>
      </w:r>
      <w:r w:rsidR="00FD34BD" w:rsidRPr="006B2038">
        <w:rPr>
          <w:rStyle w:val="StyleFootnoteReference10pt"/>
          <w:szCs w:val="22"/>
        </w:rPr>
        <w:t xml:space="preserve"> </w:t>
      </w:r>
      <w:r w:rsidR="00FD34BD" w:rsidRPr="006B2038">
        <w:rPr>
          <w:rStyle w:val="StyleNumberedparagraphs11ptChar"/>
          <w:szCs w:val="22"/>
        </w:rPr>
        <w:t xml:space="preserve"> </w:t>
      </w:r>
      <w:r w:rsidR="00DF3831" w:rsidRPr="006B2038">
        <w:rPr>
          <w:rStyle w:val="StyleNumberedparagraphs11ptChar"/>
          <w:szCs w:val="22"/>
        </w:rPr>
        <w:t xml:space="preserve">First, </w:t>
      </w:r>
      <w:r w:rsidR="00DF3831" w:rsidRPr="006B2038">
        <w:rPr>
          <w:color w:val="000000"/>
          <w:szCs w:val="22"/>
          <w:shd w:val="clear" w:color="auto" w:fill="FFFFFF"/>
        </w:rPr>
        <w:t>w</w:t>
      </w:r>
      <w:r w:rsidR="00DD58DD" w:rsidRPr="006B2038">
        <w:rPr>
          <w:color w:val="000000"/>
          <w:szCs w:val="22"/>
          <w:shd w:val="clear" w:color="auto" w:fill="FFFFFF"/>
        </w:rPr>
        <w:t xml:space="preserve">e </w:t>
      </w:r>
      <w:r w:rsidR="00C52661" w:rsidRPr="006B2038">
        <w:rPr>
          <w:color w:val="000000"/>
          <w:szCs w:val="22"/>
          <w:shd w:val="clear" w:color="auto" w:fill="FFFFFF"/>
        </w:rPr>
        <w:t xml:space="preserve">conclude that petitioners have utilized </w:t>
      </w:r>
      <w:r w:rsidR="00225D77" w:rsidRPr="006B2038">
        <w:rPr>
          <w:color w:val="000000"/>
          <w:szCs w:val="22"/>
          <w:shd w:val="clear" w:color="auto" w:fill="FFFFFF"/>
        </w:rPr>
        <w:t>acceptable and workable alternatives to the use of billing address</w:t>
      </w:r>
      <w:r w:rsidR="00FF102E" w:rsidRPr="006B2038">
        <w:rPr>
          <w:color w:val="000000"/>
          <w:szCs w:val="22"/>
          <w:shd w:val="clear" w:color="auto" w:fill="FFFFFF"/>
        </w:rPr>
        <w:t>es</w:t>
      </w:r>
      <w:r w:rsidR="00C52661" w:rsidRPr="006B2038">
        <w:rPr>
          <w:color w:val="000000"/>
          <w:szCs w:val="22"/>
          <w:shd w:val="clear" w:color="auto" w:fill="FFFFFF"/>
        </w:rPr>
        <w:t xml:space="preserve"> when reporting their line counts</w:t>
      </w:r>
      <w:r w:rsidR="00225D77" w:rsidRPr="006B2038">
        <w:rPr>
          <w:color w:val="000000"/>
          <w:szCs w:val="22"/>
          <w:shd w:val="clear" w:color="auto" w:fill="FFFFFF"/>
        </w:rPr>
        <w:t>, and therefore we grant</w:t>
      </w:r>
      <w:r w:rsidR="00C01C2D" w:rsidRPr="006B2038">
        <w:rPr>
          <w:color w:val="000000"/>
          <w:szCs w:val="22"/>
          <w:shd w:val="clear" w:color="auto" w:fill="FFFFFF"/>
        </w:rPr>
        <w:t xml:space="preserve"> </w:t>
      </w:r>
      <w:r w:rsidR="00513846" w:rsidRPr="006B2038">
        <w:rPr>
          <w:color w:val="000000"/>
          <w:szCs w:val="22"/>
          <w:shd w:val="clear" w:color="auto" w:fill="FFFFFF"/>
        </w:rPr>
        <w:t>five</w:t>
      </w:r>
      <w:r w:rsidR="00C01C2D" w:rsidRPr="006B2038">
        <w:rPr>
          <w:color w:val="000000"/>
          <w:szCs w:val="22"/>
          <w:shd w:val="clear" w:color="auto" w:fill="FFFFFF"/>
        </w:rPr>
        <w:t xml:space="preserve"> </w:t>
      </w:r>
      <w:r w:rsidR="00225D77" w:rsidRPr="006B2038">
        <w:rPr>
          <w:color w:val="000000"/>
          <w:szCs w:val="22"/>
          <w:shd w:val="clear" w:color="auto" w:fill="FFFFFF"/>
        </w:rPr>
        <w:t>appeals</w:t>
      </w:r>
      <w:r w:rsidR="008D201E" w:rsidRPr="006B2038">
        <w:rPr>
          <w:rStyle w:val="StyleNumberedparagraphs11ptChar"/>
          <w:szCs w:val="22"/>
        </w:rPr>
        <w:t>.</w:t>
      </w:r>
      <w:r w:rsidR="00350A21" w:rsidRPr="006B2038">
        <w:rPr>
          <w:rStyle w:val="StyleNumberedparagraphs11ptChar"/>
          <w:szCs w:val="22"/>
        </w:rPr>
        <w:t xml:space="preserve"> </w:t>
      </w:r>
      <w:r w:rsidR="00362ED3" w:rsidRPr="006B2038">
        <w:rPr>
          <w:rStyle w:val="StyleNumberedparagraphs11ptChar"/>
          <w:szCs w:val="22"/>
        </w:rPr>
        <w:t xml:space="preserve"> </w:t>
      </w:r>
      <w:r w:rsidR="00DF3831" w:rsidRPr="006B2038">
        <w:rPr>
          <w:rStyle w:val="StyleNumberedparagraphs11ptChar"/>
          <w:szCs w:val="22"/>
        </w:rPr>
        <w:t>Second, w</w:t>
      </w:r>
      <w:r w:rsidR="00FD7131" w:rsidRPr="006B2038">
        <w:rPr>
          <w:rStyle w:val="StyleNumberedparagraphs11ptChar"/>
          <w:szCs w:val="22"/>
        </w:rPr>
        <w:t xml:space="preserve">e </w:t>
      </w:r>
      <w:r w:rsidR="003C157C" w:rsidRPr="006B2038">
        <w:rPr>
          <w:rStyle w:val="StyleNumberedparagraphs11ptChar"/>
          <w:szCs w:val="22"/>
        </w:rPr>
        <w:t xml:space="preserve">grant </w:t>
      </w:r>
      <w:r w:rsidR="00FD7131" w:rsidRPr="006B2038">
        <w:rPr>
          <w:rStyle w:val="StyleNumberedparagraphs11ptChar"/>
          <w:szCs w:val="22"/>
        </w:rPr>
        <w:t xml:space="preserve">a petition </w:t>
      </w:r>
      <w:r w:rsidR="00BD127E" w:rsidRPr="006B2038">
        <w:rPr>
          <w:rStyle w:val="StyleNumberedparagraphs11ptChar"/>
          <w:szCs w:val="22"/>
        </w:rPr>
        <w:t xml:space="preserve">for waiver </w:t>
      </w:r>
      <w:r w:rsidR="00FD7131" w:rsidRPr="006B2038">
        <w:rPr>
          <w:rStyle w:val="StyleNumberedparagraphs11ptChar"/>
          <w:szCs w:val="22"/>
        </w:rPr>
        <w:t>filed by Arctic Slope Telephone Association Cooperative</w:t>
      </w:r>
      <w:r w:rsidR="00BA6B6F" w:rsidRPr="006B2038">
        <w:rPr>
          <w:rStyle w:val="StyleNumberedparagraphs11ptChar"/>
          <w:szCs w:val="22"/>
        </w:rPr>
        <w:t xml:space="preserve"> (ASTAC)</w:t>
      </w:r>
      <w:r w:rsidR="00FD7131" w:rsidRPr="006B2038">
        <w:rPr>
          <w:rStyle w:val="StyleNumberedparagraphs11ptChar"/>
          <w:szCs w:val="22"/>
        </w:rPr>
        <w:t>.  Lastly, w</w:t>
      </w:r>
      <w:r w:rsidR="00C01C2D" w:rsidRPr="006B2038">
        <w:rPr>
          <w:rStyle w:val="StyleNumberedparagraphs11ptChar"/>
          <w:szCs w:val="22"/>
        </w:rPr>
        <w:t xml:space="preserve">e </w:t>
      </w:r>
      <w:r w:rsidR="003C157C" w:rsidRPr="006B2038">
        <w:rPr>
          <w:rStyle w:val="StyleNumberedparagraphs11ptChar"/>
          <w:szCs w:val="22"/>
        </w:rPr>
        <w:t xml:space="preserve">grant in part </w:t>
      </w:r>
      <w:r w:rsidR="00C01C2D" w:rsidRPr="006B2038">
        <w:rPr>
          <w:rStyle w:val="StyleNumberedparagraphs11ptChar"/>
          <w:szCs w:val="22"/>
        </w:rPr>
        <w:t xml:space="preserve">a request </w:t>
      </w:r>
      <w:r w:rsidR="00DF3831" w:rsidRPr="006B2038">
        <w:rPr>
          <w:rStyle w:val="StyleNumberedparagraphs11ptChar"/>
          <w:szCs w:val="22"/>
        </w:rPr>
        <w:t>to</w:t>
      </w:r>
      <w:r w:rsidR="00FF102E" w:rsidRPr="006B2038">
        <w:rPr>
          <w:rStyle w:val="StyleNumberedparagraphs11ptChar"/>
          <w:szCs w:val="22"/>
        </w:rPr>
        <w:t xml:space="preserve"> provide guidance to </w:t>
      </w:r>
      <w:r w:rsidR="00500045" w:rsidRPr="006B2038">
        <w:rPr>
          <w:rStyle w:val="StyleNumberedparagraphs11ptChar"/>
          <w:szCs w:val="22"/>
        </w:rPr>
        <w:t>USAC</w:t>
      </w:r>
      <w:r w:rsidR="00C01C2D" w:rsidRPr="006B2038">
        <w:rPr>
          <w:rStyle w:val="StyleNumberedparagraphs11ptChar"/>
          <w:szCs w:val="22"/>
        </w:rPr>
        <w:t xml:space="preserve"> filed by Mobi PCS and Cricket Communications</w:t>
      </w:r>
      <w:r w:rsidR="00BA6B6F" w:rsidRPr="006B2038">
        <w:rPr>
          <w:rStyle w:val="StyleNumberedparagraphs11ptChar"/>
          <w:szCs w:val="22"/>
        </w:rPr>
        <w:t>;</w:t>
      </w:r>
      <w:r w:rsidR="00BD127E" w:rsidRPr="006B2038">
        <w:rPr>
          <w:rStyle w:val="StyleNumberedparagraphs11ptChar"/>
          <w:szCs w:val="22"/>
        </w:rPr>
        <w:t xml:space="preserve"> the action taken today should provide sufficient clarity to USAC to resolve these outstanding matters</w:t>
      </w:r>
      <w:r w:rsidR="008E7562" w:rsidRPr="006B2038">
        <w:rPr>
          <w:rStyle w:val="StyleNumberedparagraphs11ptChar"/>
          <w:szCs w:val="22"/>
        </w:rPr>
        <w:t>.</w:t>
      </w:r>
      <w:r w:rsidR="00FD7131" w:rsidRPr="006B2038">
        <w:rPr>
          <w:rStyle w:val="StyleNumberedparagraphs11ptChar"/>
          <w:szCs w:val="22"/>
        </w:rPr>
        <w:t xml:space="preserve">  </w:t>
      </w:r>
    </w:p>
    <w:p w:rsidR="00350A21" w:rsidRPr="006B2038" w:rsidRDefault="00350A21" w:rsidP="00780950">
      <w:pPr>
        <w:pStyle w:val="Heading1"/>
        <w:widowControl/>
        <w:rPr>
          <w:rFonts w:ascii="Times New Roman" w:hAnsi="Times New Roman"/>
          <w:szCs w:val="22"/>
        </w:rPr>
      </w:pPr>
      <w:r w:rsidRPr="006B2038">
        <w:rPr>
          <w:rStyle w:val="StyleNumberedparagraphs11ptChar"/>
          <w:rFonts w:ascii="Times New Roman" w:hAnsi="Times New Roman"/>
          <w:szCs w:val="22"/>
        </w:rPr>
        <w:t>BACKGROUND</w:t>
      </w:r>
    </w:p>
    <w:p w:rsidR="00BD127E" w:rsidRPr="006B2038" w:rsidRDefault="001C60E9" w:rsidP="00780950">
      <w:pPr>
        <w:pStyle w:val="ParaNum"/>
        <w:widowControl/>
        <w:rPr>
          <w:rStyle w:val="documentbody1"/>
          <w:rFonts w:ascii="Times New Roman" w:hAnsi="Times New Roman"/>
          <w:sz w:val="22"/>
          <w:szCs w:val="22"/>
        </w:rPr>
      </w:pPr>
      <w:r w:rsidRPr="006B2038">
        <w:rPr>
          <w:szCs w:val="22"/>
        </w:rPr>
        <w:t xml:space="preserve">Prior to the </w:t>
      </w:r>
      <w:r w:rsidRPr="006B2038">
        <w:rPr>
          <w:i/>
          <w:szCs w:val="22"/>
        </w:rPr>
        <w:t>USF/ICC Transformation Order</w:t>
      </w:r>
      <w:r w:rsidRPr="006B2038">
        <w:rPr>
          <w:szCs w:val="22"/>
        </w:rPr>
        <w:t xml:space="preserve">, </w:t>
      </w:r>
      <w:r w:rsidR="00B20B2D" w:rsidRPr="006B2038">
        <w:rPr>
          <w:szCs w:val="22"/>
        </w:rPr>
        <w:t>CETCs</w:t>
      </w:r>
      <w:r w:rsidRPr="006B2038">
        <w:rPr>
          <w:szCs w:val="22"/>
        </w:rPr>
        <w:t xml:space="preserve"> </w:t>
      </w:r>
      <w:r w:rsidR="00C52661" w:rsidRPr="006B2038">
        <w:rPr>
          <w:szCs w:val="22"/>
        </w:rPr>
        <w:t>received</w:t>
      </w:r>
      <w:r w:rsidRPr="006B2038">
        <w:rPr>
          <w:szCs w:val="22"/>
        </w:rPr>
        <w:t xml:space="preserve"> universal service funding based on the identical support rule.</w:t>
      </w:r>
      <w:r w:rsidRPr="006B2038">
        <w:rPr>
          <w:rStyle w:val="FootnoteReference"/>
          <w:sz w:val="22"/>
          <w:szCs w:val="22"/>
        </w:rPr>
        <w:footnoteReference w:id="3"/>
      </w:r>
      <w:r w:rsidRPr="006B2038">
        <w:rPr>
          <w:szCs w:val="22"/>
        </w:rPr>
        <w:t xml:space="preserve">  </w:t>
      </w:r>
      <w:r w:rsidR="00BD127E" w:rsidRPr="006B2038">
        <w:rPr>
          <w:rStyle w:val="documentbody1"/>
          <w:rFonts w:ascii="Times New Roman" w:hAnsi="Times New Roman"/>
          <w:sz w:val="22"/>
          <w:szCs w:val="22"/>
        </w:rPr>
        <w:t xml:space="preserve">Following the reforms contained in the </w:t>
      </w:r>
      <w:r w:rsidR="00BD127E" w:rsidRPr="006B2038">
        <w:rPr>
          <w:rStyle w:val="documentbody1"/>
          <w:rFonts w:ascii="Times New Roman" w:hAnsi="Times New Roman"/>
          <w:i/>
          <w:sz w:val="22"/>
          <w:szCs w:val="22"/>
        </w:rPr>
        <w:t>USF/ICC Transformation Order</w:t>
      </w:r>
      <w:r w:rsidR="00BD127E" w:rsidRPr="006B2038">
        <w:rPr>
          <w:rStyle w:val="documentbody1"/>
          <w:rFonts w:ascii="Times New Roman" w:hAnsi="Times New Roman"/>
          <w:sz w:val="22"/>
          <w:szCs w:val="22"/>
        </w:rPr>
        <w:t xml:space="preserve">, the identical support rule and the accompanying requirements of section 54.307(b) were </w:t>
      </w:r>
      <w:r w:rsidR="00BD127E" w:rsidRPr="006B2038">
        <w:rPr>
          <w:rStyle w:val="documentbody1"/>
          <w:rFonts w:ascii="Times New Roman" w:hAnsi="Times New Roman"/>
          <w:sz w:val="22"/>
          <w:szCs w:val="22"/>
        </w:rPr>
        <w:lastRenderedPageBreak/>
        <w:t xml:space="preserve">eliminated starting </w:t>
      </w:r>
      <w:r w:rsidRPr="006B2038">
        <w:rPr>
          <w:rStyle w:val="documentbody1"/>
          <w:rFonts w:ascii="Times New Roman" w:hAnsi="Times New Roman"/>
          <w:sz w:val="22"/>
          <w:szCs w:val="22"/>
        </w:rPr>
        <w:t>in</w:t>
      </w:r>
      <w:r w:rsidR="00BD127E" w:rsidRPr="006B2038">
        <w:rPr>
          <w:rStyle w:val="documentbody1"/>
          <w:rFonts w:ascii="Times New Roman" w:hAnsi="Times New Roman"/>
          <w:sz w:val="22"/>
          <w:szCs w:val="22"/>
        </w:rPr>
        <w:t xml:space="preserve"> January 2012.</w:t>
      </w:r>
      <w:r w:rsidR="00C52661" w:rsidRPr="006B2038">
        <w:rPr>
          <w:rStyle w:val="documentbody1"/>
          <w:rFonts w:ascii="Times New Roman" w:hAnsi="Times New Roman"/>
          <w:sz w:val="22"/>
          <w:szCs w:val="22"/>
        </w:rPr>
        <w:t xml:space="preserve">  Most CETCs stopped reporting line counts at that time.</w:t>
      </w:r>
      <w:r w:rsidR="00BD127E" w:rsidRPr="006B2038">
        <w:rPr>
          <w:rStyle w:val="FootnoteReference"/>
          <w:sz w:val="22"/>
          <w:szCs w:val="22"/>
        </w:rPr>
        <w:footnoteReference w:id="4"/>
      </w:r>
      <w:r w:rsidR="00BD127E" w:rsidRPr="006B2038">
        <w:rPr>
          <w:rStyle w:val="documentbody1"/>
          <w:rFonts w:ascii="Times New Roman" w:hAnsi="Times New Roman"/>
          <w:sz w:val="22"/>
          <w:szCs w:val="22"/>
        </w:rPr>
        <w:t xml:space="preserve">  While </w:t>
      </w:r>
      <w:r w:rsidRPr="006B2038">
        <w:rPr>
          <w:rStyle w:val="documentbody1"/>
          <w:rFonts w:ascii="Times New Roman" w:hAnsi="Times New Roman"/>
          <w:sz w:val="22"/>
          <w:szCs w:val="22"/>
        </w:rPr>
        <w:t>the identical support rule</w:t>
      </w:r>
      <w:r w:rsidR="00BD127E" w:rsidRPr="006B2038">
        <w:rPr>
          <w:rStyle w:val="documentbody1"/>
          <w:rFonts w:ascii="Times New Roman" w:hAnsi="Times New Roman"/>
          <w:sz w:val="22"/>
          <w:szCs w:val="22"/>
        </w:rPr>
        <w:t xml:space="preserve"> is no longer in effect, the petitions we resolve herein were all filed prior to 2012 or are related to claims for funding prior to 2012.</w:t>
      </w:r>
    </w:p>
    <w:p w:rsidR="00225D77" w:rsidRPr="006B2038" w:rsidRDefault="00225D77"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Under the </w:t>
      </w:r>
      <w:r w:rsidR="00BD127E" w:rsidRPr="006B2038">
        <w:rPr>
          <w:rStyle w:val="documentbody1"/>
          <w:rFonts w:ascii="Times New Roman" w:hAnsi="Times New Roman"/>
          <w:sz w:val="22"/>
          <w:szCs w:val="22"/>
        </w:rPr>
        <w:t xml:space="preserve">former </w:t>
      </w:r>
      <w:r w:rsidR="00A855AB" w:rsidRPr="006B2038">
        <w:rPr>
          <w:rStyle w:val="documentbody1"/>
          <w:rFonts w:ascii="Times New Roman" w:hAnsi="Times New Roman"/>
          <w:sz w:val="22"/>
          <w:szCs w:val="22"/>
        </w:rPr>
        <w:t xml:space="preserve">high-cost </w:t>
      </w:r>
      <w:r w:rsidR="00BD127E" w:rsidRPr="006B2038">
        <w:rPr>
          <w:rStyle w:val="documentbody1"/>
          <w:rFonts w:ascii="Times New Roman" w:hAnsi="Times New Roman"/>
          <w:sz w:val="22"/>
          <w:szCs w:val="22"/>
        </w:rPr>
        <w:t>rules</w:t>
      </w:r>
      <w:r w:rsidRPr="006B2038">
        <w:rPr>
          <w:rStyle w:val="documentbody1"/>
          <w:rFonts w:ascii="Times New Roman" w:hAnsi="Times New Roman"/>
          <w:sz w:val="22"/>
          <w:szCs w:val="22"/>
        </w:rPr>
        <w:t xml:space="preserve">, a </w:t>
      </w:r>
      <w:r w:rsidR="00BD127E" w:rsidRPr="006B2038">
        <w:rPr>
          <w:rStyle w:val="documentbody1"/>
          <w:rFonts w:ascii="Times New Roman" w:hAnsi="Times New Roman"/>
          <w:sz w:val="22"/>
          <w:szCs w:val="22"/>
        </w:rPr>
        <w:t xml:space="preserve">CETC </w:t>
      </w:r>
      <w:r w:rsidRPr="006B2038">
        <w:rPr>
          <w:rStyle w:val="documentbody1"/>
          <w:rFonts w:ascii="Times New Roman" w:hAnsi="Times New Roman"/>
          <w:sz w:val="22"/>
          <w:szCs w:val="22"/>
        </w:rPr>
        <w:t>receive</w:t>
      </w:r>
      <w:r w:rsidR="00BD127E" w:rsidRPr="006B2038">
        <w:rPr>
          <w:rStyle w:val="documentbody1"/>
          <w:rFonts w:ascii="Times New Roman" w:hAnsi="Times New Roman"/>
          <w:sz w:val="22"/>
          <w:szCs w:val="22"/>
        </w:rPr>
        <w:t>d</w:t>
      </w:r>
      <w:r w:rsidRPr="006B2038">
        <w:rPr>
          <w:rStyle w:val="documentbody1"/>
          <w:rFonts w:ascii="Times New Roman" w:hAnsi="Times New Roman"/>
          <w:sz w:val="22"/>
          <w:szCs w:val="22"/>
        </w:rPr>
        <w:t xml:space="preserve"> support for each subscriber line it serve</w:t>
      </w:r>
      <w:r w:rsidR="00BD127E" w:rsidRPr="006B2038">
        <w:rPr>
          <w:rStyle w:val="documentbody1"/>
          <w:rFonts w:ascii="Times New Roman" w:hAnsi="Times New Roman"/>
          <w:sz w:val="22"/>
          <w:szCs w:val="22"/>
        </w:rPr>
        <w:t>d</w:t>
      </w:r>
      <w:r w:rsidRPr="006B2038">
        <w:rPr>
          <w:rStyle w:val="documentbody1"/>
          <w:rFonts w:ascii="Times New Roman" w:hAnsi="Times New Roman"/>
          <w:sz w:val="22"/>
          <w:szCs w:val="22"/>
        </w:rPr>
        <w:t xml:space="preserve"> in </w:t>
      </w:r>
      <w:r w:rsidR="00C52661" w:rsidRPr="006B2038">
        <w:rPr>
          <w:rStyle w:val="documentbody1"/>
          <w:rFonts w:ascii="Times New Roman" w:hAnsi="Times New Roman"/>
          <w:sz w:val="22"/>
          <w:szCs w:val="22"/>
        </w:rPr>
        <w:t>an incumbent</w:t>
      </w:r>
      <w:r w:rsidRPr="006B2038">
        <w:rPr>
          <w:rStyle w:val="documentbody1"/>
          <w:rFonts w:ascii="Times New Roman" w:hAnsi="Times New Roman"/>
          <w:sz w:val="22"/>
          <w:szCs w:val="22"/>
        </w:rPr>
        <w:t xml:space="preserve"> local exchange carrier’s (LEC) service area.</w:t>
      </w:r>
      <w:r w:rsidRPr="006B2038">
        <w:rPr>
          <w:rStyle w:val="FootnoteReference"/>
          <w:sz w:val="22"/>
          <w:szCs w:val="22"/>
        </w:rPr>
        <w:footnoteReference w:id="5"/>
      </w:r>
      <w:r w:rsidR="002D7B05" w:rsidRPr="006B2038">
        <w:rPr>
          <w:rStyle w:val="documentbody1"/>
          <w:rFonts w:ascii="Times New Roman" w:hAnsi="Times New Roman"/>
          <w:sz w:val="22"/>
          <w:szCs w:val="22"/>
        </w:rPr>
        <w:t xml:space="preserve">  </w:t>
      </w:r>
      <w:r w:rsidR="00D452FB" w:rsidRPr="006B2038">
        <w:rPr>
          <w:rStyle w:val="documentbody1"/>
          <w:rFonts w:ascii="Times New Roman" w:hAnsi="Times New Roman"/>
          <w:sz w:val="22"/>
          <w:szCs w:val="22"/>
        </w:rPr>
        <w:t xml:space="preserve">Under section 54.307(b) of </w:t>
      </w:r>
      <w:r w:rsidR="00860C3E" w:rsidRPr="006B2038">
        <w:rPr>
          <w:rStyle w:val="documentbody1"/>
          <w:rFonts w:ascii="Times New Roman" w:hAnsi="Times New Roman"/>
          <w:sz w:val="22"/>
          <w:szCs w:val="22"/>
        </w:rPr>
        <w:t xml:space="preserve">the </w:t>
      </w:r>
      <w:r w:rsidR="00D452FB" w:rsidRPr="006B2038">
        <w:rPr>
          <w:rStyle w:val="documentbody1"/>
          <w:rFonts w:ascii="Times New Roman" w:hAnsi="Times New Roman"/>
          <w:sz w:val="22"/>
          <w:szCs w:val="22"/>
        </w:rPr>
        <w:t xml:space="preserve">rules, in order to receive high-cost support, </w:t>
      </w:r>
      <w:r w:rsidR="002D7B05" w:rsidRPr="006B2038">
        <w:rPr>
          <w:rStyle w:val="documentbody1"/>
          <w:rFonts w:ascii="Times New Roman" w:hAnsi="Times New Roman"/>
          <w:sz w:val="22"/>
          <w:szCs w:val="22"/>
        </w:rPr>
        <w:t xml:space="preserve">an ETC providing mobile service </w:t>
      </w:r>
      <w:r w:rsidR="00BD127E" w:rsidRPr="006B2038">
        <w:rPr>
          <w:rStyle w:val="documentbody1"/>
          <w:rFonts w:ascii="Times New Roman" w:hAnsi="Times New Roman"/>
          <w:sz w:val="22"/>
          <w:szCs w:val="22"/>
        </w:rPr>
        <w:t xml:space="preserve">was required to </w:t>
      </w:r>
      <w:r w:rsidR="00D452FB" w:rsidRPr="006B2038">
        <w:rPr>
          <w:rStyle w:val="documentbody1"/>
          <w:rFonts w:ascii="Times New Roman" w:hAnsi="Times New Roman"/>
          <w:sz w:val="22"/>
          <w:szCs w:val="22"/>
        </w:rPr>
        <w:t>report</w:t>
      </w:r>
      <w:r w:rsidR="002D7B05" w:rsidRPr="006B2038">
        <w:rPr>
          <w:rStyle w:val="documentbody1"/>
          <w:rFonts w:ascii="Times New Roman" w:hAnsi="Times New Roman"/>
          <w:sz w:val="22"/>
          <w:szCs w:val="22"/>
        </w:rPr>
        <w:t xml:space="preserve"> the customer’s billing address for the purpose of identifying the location where service is provided.</w:t>
      </w:r>
      <w:r w:rsidR="002D7B05" w:rsidRPr="006B2038">
        <w:rPr>
          <w:rStyle w:val="FootnoteReference"/>
          <w:sz w:val="22"/>
          <w:szCs w:val="22"/>
        </w:rPr>
        <w:footnoteReference w:id="6"/>
      </w:r>
      <w:r w:rsidR="002D7B05" w:rsidRPr="006B2038">
        <w:rPr>
          <w:rStyle w:val="documentbody1"/>
          <w:rFonts w:ascii="Times New Roman" w:hAnsi="Times New Roman"/>
          <w:sz w:val="22"/>
          <w:szCs w:val="22"/>
        </w:rPr>
        <w:t xml:space="preserve">  When </w:t>
      </w:r>
      <w:r w:rsidR="00BD127E" w:rsidRPr="006B2038">
        <w:rPr>
          <w:rStyle w:val="documentbody1"/>
          <w:rFonts w:ascii="Times New Roman" w:hAnsi="Times New Roman"/>
          <w:sz w:val="22"/>
          <w:szCs w:val="22"/>
        </w:rPr>
        <w:t xml:space="preserve">the Commission </w:t>
      </w:r>
      <w:r w:rsidR="002D7B05" w:rsidRPr="006B2038">
        <w:rPr>
          <w:rStyle w:val="documentbody1"/>
          <w:rFonts w:ascii="Times New Roman" w:hAnsi="Times New Roman"/>
          <w:sz w:val="22"/>
          <w:szCs w:val="22"/>
        </w:rPr>
        <w:t xml:space="preserve">adopted the use of customer billing address </w:t>
      </w:r>
      <w:r w:rsidR="00425062" w:rsidRPr="006B2038">
        <w:rPr>
          <w:rStyle w:val="documentbody1"/>
          <w:rFonts w:ascii="Times New Roman" w:hAnsi="Times New Roman"/>
          <w:sz w:val="22"/>
          <w:szCs w:val="22"/>
        </w:rPr>
        <w:t>for purposes of calculating universal service support</w:t>
      </w:r>
      <w:r w:rsidR="00D452FB" w:rsidRPr="006B2038">
        <w:rPr>
          <w:rStyle w:val="documentbody1"/>
          <w:rFonts w:ascii="Times New Roman" w:hAnsi="Times New Roman"/>
          <w:sz w:val="22"/>
          <w:szCs w:val="22"/>
        </w:rPr>
        <w:t xml:space="preserve"> in </w:t>
      </w:r>
      <w:r w:rsidR="00860C3E" w:rsidRPr="006B2038">
        <w:rPr>
          <w:rStyle w:val="documentbody1"/>
          <w:rFonts w:ascii="Times New Roman" w:hAnsi="Times New Roman"/>
          <w:sz w:val="22"/>
          <w:szCs w:val="22"/>
        </w:rPr>
        <w:t xml:space="preserve">section </w:t>
      </w:r>
      <w:r w:rsidR="00D452FB" w:rsidRPr="006B2038">
        <w:rPr>
          <w:rStyle w:val="documentbody1"/>
          <w:rFonts w:ascii="Times New Roman" w:hAnsi="Times New Roman"/>
          <w:sz w:val="22"/>
          <w:szCs w:val="22"/>
        </w:rPr>
        <w:t>54.307(b)</w:t>
      </w:r>
      <w:r w:rsidR="00425062" w:rsidRPr="006B2038">
        <w:rPr>
          <w:rStyle w:val="documentbody1"/>
          <w:rFonts w:ascii="Times New Roman" w:hAnsi="Times New Roman"/>
          <w:sz w:val="22"/>
          <w:szCs w:val="22"/>
        </w:rPr>
        <w:t xml:space="preserve">, </w:t>
      </w:r>
      <w:r w:rsidR="00BD127E" w:rsidRPr="006B2038">
        <w:rPr>
          <w:rStyle w:val="documentbody1"/>
          <w:rFonts w:ascii="Times New Roman" w:hAnsi="Times New Roman"/>
          <w:sz w:val="22"/>
          <w:szCs w:val="22"/>
        </w:rPr>
        <w:t xml:space="preserve">it </w:t>
      </w:r>
      <w:r w:rsidR="00425062" w:rsidRPr="006B2038">
        <w:rPr>
          <w:rStyle w:val="documentbody1"/>
          <w:rFonts w:ascii="Times New Roman" w:hAnsi="Times New Roman"/>
          <w:sz w:val="22"/>
          <w:szCs w:val="22"/>
        </w:rPr>
        <w:t xml:space="preserve">did so because </w:t>
      </w:r>
      <w:r w:rsidR="007F7E16" w:rsidRPr="006B2038">
        <w:rPr>
          <w:rStyle w:val="documentbody1"/>
          <w:rFonts w:ascii="Times New Roman" w:hAnsi="Times New Roman"/>
          <w:sz w:val="22"/>
          <w:szCs w:val="22"/>
        </w:rPr>
        <w:t xml:space="preserve">a </w:t>
      </w:r>
      <w:r w:rsidR="00425062" w:rsidRPr="006B2038">
        <w:rPr>
          <w:rStyle w:val="documentbody1"/>
          <w:rFonts w:ascii="Times New Roman" w:hAnsi="Times New Roman"/>
          <w:sz w:val="22"/>
          <w:szCs w:val="22"/>
        </w:rPr>
        <w:t>customer</w:t>
      </w:r>
      <w:r w:rsidR="007F7E16" w:rsidRPr="006B2038">
        <w:rPr>
          <w:rStyle w:val="documentbody1"/>
          <w:rFonts w:ascii="Times New Roman" w:hAnsi="Times New Roman"/>
          <w:sz w:val="22"/>
          <w:szCs w:val="22"/>
        </w:rPr>
        <w:t>’s</w:t>
      </w:r>
      <w:r w:rsidR="00425062" w:rsidRPr="006B2038">
        <w:rPr>
          <w:rStyle w:val="documentbody1"/>
          <w:rFonts w:ascii="Times New Roman" w:hAnsi="Times New Roman"/>
          <w:sz w:val="22"/>
          <w:szCs w:val="22"/>
        </w:rPr>
        <w:t xml:space="preserve"> billing address </w:t>
      </w:r>
      <w:r w:rsidR="00BD127E" w:rsidRPr="006B2038">
        <w:rPr>
          <w:rStyle w:val="documentbody1"/>
          <w:rFonts w:ascii="Times New Roman" w:hAnsi="Times New Roman"/>
          <w:sz w:val="22"/>
          <w:szCs w:val="22"/>
        </w:rPr>
        <w:t>was</w:t>
      </w:r>
      <w:r w:rsidR="00425062" w:rsidRPr="006B2038">
        <w:rPr>
          <w:rStyle w:val="documentbody1"/>
          <w:rFonts w:ascii="Times New Roman" w:hAnsi="Times New Roman"/>
          <w:sz w:val="22"/>
          <w:szCs w:val="22"/>
        </w:rPr>
        <w:t xml:space="preserve"> a reasonable surrog</w:t>
      </w:r>
      <w:r w:rsidR="00506F40" w:rsidRPr="006B2038">
        <w:rPr>
          <w:rStyle w:val="documentbody1"/>
          <w:rFonts w:ascii="Times New Roman" w:hAnsi="Times New Roman"/>
          <w:sz w:val="22"/>
          <w:szCs w:val="22"/>
        </w:rPr>
        <w:t>ate for the customer’s location</w:t>
      </w:r>
      <w:r w:rsidR="00860C3E" w:rsidRPr="006B2038">
        <w:rPr>
          <w:rStyle w:val="documentbody1"/>
          <w:rFonts w:ascii="Times New Roman" w:hAnsi="Times New Roman"/>
          <w:sz w:val="22"/>
          <w:szCs w:val="22"/>
        </w:rPr>
        <w:t>,</w:t>
      </w:r>
      <w:r w:rsidR="00425062" w:rsidRPr="006B2038">
        <w:rPr>
          <w:rStyle w:val="documentbody1"/>
          <w:rFonts w:ascii="Times New Roman" w:hAnsi="Times New Roman"/>
          <w:sz w:val="22"/>
          <w:szCs w:val="22"/>
        </w:rPr>
        <w:t xml:space="preserve"> and use of customer billing address</w:t>
      </w:r>
      <w:r w:rsidR="007F7E16" w:rsidRPr="006B2038">
        <w:rPr>
          <w:rStyle w:val="documentbody1"/>
          <w:rFonts w:ascii="Times New Roman" w:hAnsi="Times New Roman"/>
          <w:sz w:val="22"/>
          <w:szCs w:val="22"/>
        </w:rPr>
        <w:t>es</w:t>
      </w:r>
      <w:r w:rsidR="00425062" w:rsidRPr="006B2038">
        <w:rPr>
          <w:rStyle w:val="documentbody1"/>
          <w:rFonts w:ascii="Times New Roman" w:hAnsi="Times New Roman"/>
          <w:sz w:val="22"/>
          <w:szCs w:val="22"/>
        </w:rPr>
        <w:t xml:space="preserve"> would be administratively convenient for </w:t>
      </w:r>
      <w:r w:rsidR="00BD127E" w:rsidRPr="006B2038">
        <w:rPr>
          <w:rStyle w:val="documentbody1"/>
          <w:rFonts w:ascii="Times New Roman" w:hAnsi="Times New Roman"/>
          <w:sz w:val="22"/>
          <w:szCs w:val="22"/>
        </w:rPr>
        <w:t>C</w:t>
      </w:r>
      <w:r w:rsidR="00425062" w:rsidRPr="006B2038">
        <w:rPr>
          <w:rStyle w:val="documentbody1"/>
          <w:rFonts w:ascii="Times New Roman" w:hAnsi="Times New Roman"/>
          <w:sz w:val="22"/>
          <w:szCs w:val="22"/>
        </w:rPr>
        <w:t>ETCs</w:t>
      </w:r>
      <w:r w:rsidR="007F7E16" w:rsidRPr="006B2038">
        <w:rPr>
          <w:rStyle w:val="documentbody1"/>
          <w:rFonts w:ascii="Times New Roman" w:hAnsi="Times New Roman"/>
          <w:sz w:val="22"/>
          <w:szCs w:val="22"/>
        </w:rPr>
        <w:t xml:space="preserve">, as most </w:t>
      </w:r>
      <w:r w:rsidR="00BD127E" w:rsidRPr="006B2038">
        <w:rPr>
          <w:rStyle w:val="documentbody1"/>
          <w:rFonts w:ascii="Times New Roman" w:hAnsi="Times New Roman"/>
          <w:sz w:val="22"/>
          <w:szCs w:val="22"/>
        </w:rPr>
        <w:t>C</w:t>
      </w:r>
      <w:r w:rsidR="007F7E16" w:rsidRPr="006B2038">
        <w:rPr>
          <w:rStyle w:val="documentbody1"/>
          <w:rFonts w:ascii="Times New Roman" w:hAnsi="Times New Roman"/>
          <w:sz w:val="22"/>
          <w:szCs w:val="22"/>
        </w:rPr>
        <w:t xml:space="preserve">ETCs would already </w:t>
      </w:r>
      <w:r w:rsidR="00500045" w:rsidRPr="006B2038">
        <w:rPr>
          <w:rStyle w:val="documentbody1"/>
          <w:rFonts w:ascii="Times New Roman" w:hAnsi="Times New Roman"/>
          <w:sz w:val="22"/>
          <w:szCs w:val="22"/>
        </w:rPr>
        <w:t>maintain such records</w:t>
      </w:r>
      <w:r w:rsidR="007F7E16" w:rsidRPr="006B2038">
        <w:rPr>
          <w:rStyle w:val="documentbody1"/>
          <w:rFonts w:ascii="Times New Roman" w:hAnsi="Times New Roman"/>
          <w:sz w:val="22"/>
          <w:szCs w:val="22"/>
        </w:rPr>
        <w:t>.</w:t>
      </w:r>
      <w:bookmarkStart w:id="1" w:name="_Ref331509829"/>
      <w:r w:rsidR="00425062" w:rsidRPr="006B2038">
        <w:rPr>
          <w:rStyle w:val="FootnoteReference"/>
          <w:sz w:val="22"/>
          <w:szCs w:val="22"/>
        </w:rPr>
        <w:footnoteReference w:id="7"/>
      </w:r>
      <w:bookmarkEnd w:id="1"/>
      <w:r w:rsidR="00425062" w:rsidRPr="006B2038">
        <w:rPr>
          <w:rStyle w:val="documentbody1"/>
          <w:rFonts w:ascii="Times New Roman" w:hAnsi="Times New Roman"/>
          <w:sz w:val="22"/>
          <w:szCs w:val="22"/>
        </w:rPr>
        <w:t xml:space="preserve">  </w:t>
      </w:r>
      <w:r w:rsidR="007F7E16" w:rsidRPr="006B2038">
        <w:rPr>
          <w:rStyle w:val="documentbody1"/>
          <w:rFonts w:ascii="Times New Roman" w:hAnsi="Times New Roman"/>
          <w:sz w:val="22"/>
          <w:szCs w:val="22"/>
        </w:rPr>
        <w:t>In adopting the use of customer billing address</w:t>
      </w:r>
      <w:r w:rsidR="00500045" w:rsidRPr="006B2038">
        <w:rPr>
          <w:rStyle w:val="documentbody1"/>
          <w:rFonts w:ascii="Times New Roman" w:hAnsi="Times New Roman"/>
          <w:sz w:val="22"/>
          <w:szCs w:val="22"/>
        </w:rPr>
        <w:t>es</w:t>
      </w:r>
      <w:r w:rsidR="007F7E16" w:rsidRPr="006B2038">
        <w:rPr>
          <w:rStyle w:val="documentbody1"/>
          <w:rFonts w:ascii="Times New Roman" w:hAnsi="Times New Roman"/>
          <w:sz w:val="22"/>
          <w:szCs w:val="22"/>
        </w:rPr>
        <w:t>,</w:t>
      </w:r>
      <w:r w:rsidR="00860C3E" w:rsidRPr="006B2038">
        <w:rPr>
          <w:rStyle w:val="documentbody1"/>
          <w:rFonts w:ascii="Times New Roman" w:hAnsi="Times New Roman"/>
          <w:sz w:val="22"/>
          <w:szCs w:val="22"/>
        </w:rPr>
        <w:t xml:space="preserve"> </w:t>
      </w:r>
      <w:r w:rsidR="00C52661" w:rsidRPr="006B2038">
        <w:rPr>
          <w:rStyle w:val="documentbody1"/>
          <w:rFonts w:ascii="Times New Roman" w:hAnsi="Times New Roman"/>
          <w:sz w:val="22"/>
          <w:szCs w:val="22"/>
        </w:rPr>
        <w:t xml:space="preserve">however, </w:t>
      </w:r>
      <w:r w:rsidR="00860C3E" w:rsidRPr="006B2038">
        <w:rPr>
          <w:rStyle w:val="documentbody1"/>
          <w:rFonts w:ascii="Times New Roman" w:hAnsi="Times New Roman"/>
          <w:sz w:val="22"/>
          <w:szCs w:val="22"/>
        </w:rPr>
        <w:t>the Commission</w:t>
      </w:r>
      <w:r w:rsidR="00BD127E" w:rsidRPr="006B2038">
        <w:rPr>
          <w:rStyle w:val="documentbody1"/>
          <w:rFonts w:ascii="Times New Roman" w:hAnsi="Times New Roman"/>
          <w:sz w:val="22"/>
          <w:szCs w:val="22"/>
        </w:rPr>
        <w:t xml:space="preserve"> </w:t>
      </w:r>
      <w:r w:rsidR="00C52661" w:rsidRPr="006B2038">
        <w:rPr>
          <w:rStyle w:val="documentbody1"/>
          <w:rFonts w:ascii="Times New Roman" w:hAnsi="Times New Roman"/>
          <w:sz w:val="22"/>
          <w:szCs w:val="22"/>
        </w:rPr>
        <w:t xml:space="preserve">expressly </w:t>
      </w:r>
      <w:r w:rsidR="00BD127E" w:rsidRPr="006B2038">
        <w:rPr>
          <w:rStyle w:val="documentbody1"/>
          <w:rFonts w:ascii="Times New Roman" w:hAnsi="Times New Roman"/>
          <w:sz w:val="22"/>
          <w:szCs w:val="22"/>
        </w:rPr>
        <w:t xml:space="preserve">recognized that in some circumstances </w:t>
      </w:r>
      <w:r w:rsidR="007F7E16" w:rsidRPr="006B2038">
        <w:rPr>
          <w:rStyle w:val="documentbody1"/>
          <w:rFonts w:ascii="Times New Roman" w:hAnsi="Times New Roman"/>
          <w:sz w:val="22"/>
          <w:szCs w:val="22"/>
        </w:rPr>
        <w:t xml:space="preserve">a customer billing address </w:t>
      </w:r>
      <w:r w:rsidR="00565551" w:rsidRPr="006B2038">
        <w:rPr>
          <w:rStyle w:val="documentbody1"/>
          <w:rFonts w:ascii="Times New Roman" w:hAnsi="Times New Roman"/>
          <w:sz w:val="22"/>
          <w:szCs w:val="22"/>
        </w:rPr>
        <w:t>might be</w:t>
      </w:r>
      <w:r w:rsidR="007F7E16" w:rsidRPr="006B2038">
        <w:rPr>
          <w:rStyle w:val="documentbody1"/>
          <w:rFonts w:ascii="Times New Roman" w:hAnsi="Times New Roman"/>
          <w:sz w:val="22"/>
          <w:szCs w:val="22"/>
        </w:rPr>
        <w:t xml:space="preserve"> unavailable, </w:t>
      </w:r>
      <w:r w:rsidR="00565551" w:rsidRPr="006B2038">
        <w:rPr>
          <w:rStyle w:val="documentbody1"/>
          <w:rFonts w:ascii="Times New Roman" w:hAnsi="Times New Roman"/>
          <w:sz w:val="22"/>
          <w:szCs w:val="22"/>
        </w:rPr>
        <w:t xml:space="preserve">and </w:t>
      </w:r>
      <w:r w:rsidR="007F7E16" w:rsidRPr="006B2038">
        <w:rPr>
          <w:rStyle w:val="documentbody1"/>
          <w:rFonts w:ascii="Times New Roman" w:hAnsi="Times New Roman"/>
          <w:sz w:val="22"/>
          <w:szCs w:val="22"/>
        </w:rPr>
        <w:t>some alternative mechanism would need to be employed.</w:t>
      </w:r>
      <w:r w:rsidR="007F7E16" w:rsidRPr="006B2038">
        <w:rPr>
          <w:rStyle w:val="FootnoteReference"/>
          <w:sz w:val="22"/>
          <w:szCs w:val="22"/>
        </w:rPr>
        <w:footnoteReference w:id="8"/>
      </w:r>
      <w:r w:rsidR="00565551" w:rsidRPr="006B2038">
        <w:rPr>
          <w:rStyle w:val="documentbody1"/>
          <w:rFonts w:ascii="Times New Roman" w:hAnsi="Times New Roman"/>
          <w:sz w:val="22"/>
          <w:szCs w:val="22"/>
        </w:rPr>
        <w:t xml:space="preserve">  The Commission concluded that those situations would be addressed on a case-by-case basis.</w:t>
      </w:r>
      <w:r w:rsidR="00F75ECC" w:rsidRPr="006B2038">
        <w:rPr>
          <w:rStyle w:val="FootnoteReference"/>
          <w:sz w:val="22"/>
          <w:szCs w:val="22"/>
        </w:rPr>
        <w:footnoteReference w:id="9"/>
      </w:r>
    </w:p>
    <w:p w:rsidR="00500045" w:rsidRPr="006B2038" w:rsidRDefault="008A4BC3"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Eight</w:t>
      </w:r>
      <w:r w:rsidR="00500045" w:rsidRPr="006B2038">
        <w:rPr>
          <w:rStyle w:val="documentbody1"/>
          <w:rFonts w:ascii="Times New Roman" w:hAnsi="Times New Roman"/>
          <w:sz w:val="22"/>
          <w:szCs w:val="22"/>
        </w:rPr>
        <w:t xml:space="preserve"> Petitioners filed various </w:t>
      </w:r>
      <w:r w:rsidR="00230B29" w:rsidRPr="006B2038">
        <w:rPr>
          <w:rStyle w:val="documentbody1"/>
          <w:rFonts w:ascii="Times New Roman" w:hAnsi="Times New Roman"/>
          <w:sz w:val="22"/>
          <w:szCs w:val="22"/>
        </w:rPr>
        <w:t xml:space="preserve">requests </w:t>
      </w:r>
      <w:r w:rsidR="00500045" w:rsidRPr="006B2038">
        <w:rPr>
          <w:rStyle w:val="documentbody1"/>
          <w:rFonts w:ascii="Times New Roman" w:hAnsi="Times New Roman"/>
          <w:sz w:val="22"/>
          <w:szCs w:val="22"/>
        </w:rPr>
        <w:t xml:space="preserve">related to the customer billing address requirement contained in </w:t>
      </w:r>
      <w:r w:rsidR="007E1CE3" w:rsidRPr="006B2038">
        <w:rPr>
          <w:rStyle w:val="documentbody1"/>
          <w:rFonts w:ascii="Times New Roman" w:hAnsi="Times New Roman"/>
          <w:sz w:val="22"/>
          <w:szCs w:val="22"/>
        </w:rPr>
        <w:t>section</w:t>
      </w:r>
      <w:r w:rsidR="00500045" w:rsidRPr="006B2038">
        <w:rPr>
          <w:rStyle w:val="documentbody1"/>
          <w:rFonts w:ascii="Times New Roman" w:hAnsi="Times New Roman"/>
          <w:sz w:val="22"/>
          <w:szCs w:val="22"/>
        </w:rPr>
        <w:t xml:space="preserve"> 54.307(b). </w:t>
      </w:r>
      <w:r w:rsidR="00F75ECC" w:rsidRPr="006B2038">
        <w:rPr>
          <w:rStyle w:val="documentbody1"/>
          <w:rFonts w:ascii="Times New Roman" w:hAnsi="Times New Roman"/>
          <w:sz w:val="22"/>
          <w:szCs w:val="22"/>
        </w:rPr>
        <w:t xml:space="preserve"> </w:t>
      </w:r>
      <w:r w:rsidR="00500045" w:rsidRPr="006B2038">
        <w:rPr>
          <w:rStyle w:val="documentbody1"/>
          <w:rFonts w:ascii="Times New Roman" w:hAnsi="Times New Roman"/>
          <w:sz w:val="22"/>
          <w:szCs w:val="22"/>
        </w:rPr>
        <w:t xml:space="preserve">Petitioners include ACS Wireless, Inc., ASTAC, AT&amp;T, Inc., </w:t>
      </w:r>
      <w:r w:rsidRPr="006B2038">
        <w:rPr>
          <w:rStyle w:val="documentbody1"/>
          <w:rFonts w:ascii="Times New Roman" w:hAnsi="Times New Roman"/>
          <w:sz w:val="22"/>
          <w:szCs w:val="22"/>
        </w:rPr>
        <w:t xml:space="preserve">Cordova Wireless Communications, LLC (Cordova), </w:t>
      </w:r>
      <w:r w:rsidR="00500045" w:rsidRPr="006B2038">
        <w:rPr>
          <w:rStyle w:val="documentbody1"/>
          <w:rFonts w:ascii="Times New Roman" w:hAnsi="Times New Roman"/>
          <w:sz w:val="22"/>
          <w:szCs w:val="22"/>
        </w:rPr>
        <w:t xml:space="preserve">Cricket Communications, Inc. (Cricket), </w:t>
      </w:r>
      <w:r w:rsidR="00500045" w:rsidRPr="006B2038">
        <w:rPr>
          <w:rStyle w:val="documentbody1"/>
          <w:rFonts w:ascii="Times New Roman" w:hAnsi="Times New Roman"/>
          <w:sz w:val="22"/>
          <w:szCs w:val="22"/>
        </w:rPr>
        <w:lastRenderedPageBreak/>
        <w:t>General Communication, Inc. (GCI), Mobi PCS, Inc., and PR Wireless, Inc.  ACS Wireless</w:t>
      </w:r>
      <w:bookmarkStart w:id="2" w:name="_Ref331578556"/>
      <w:r w:rsidR="00940F84" w:rsidRPr="006B2038">
        <w:rPr>
          <w:rStyle w:val="documentbody1"/>
          <w:rFonts w:ascii="Times New Roman" w:hAnsi="Times New Roman"/>
          <w:sz w:val="22"/>
          <w:szCs w:val="22"/>
        </w:rPr>
        <w:t>,</w:t>
      </w:r>
      <w:r w:rsidR="00500045" w:rsidRPr="006B2038">
        <w:rPr>
          <w:rStyle w:val="FootnoteReference"/>
          <w:sz w:val="22"/>
          <w:szCs w:val="22"/>
        </w:rPr>
        <w:footnoteReference w:id="10"/>
      </w:r>
      <w:bookmarkEnd w:id="2"/>
      <w:r w:rsidR="00500045" w:rsidRPr="006B2038">
        <w:rPr>
          <w:rStyle w:val="documentbody1"/>
          <w:rFonts w:ascii="Times New Roman" w:hAnsi="Times New Roman"/>
          <w:sz w:val="22"/>
          <w:szCs w:val="22"/>
        </w:rPr>
        <w:t xml:space="preserve"> AT&amp;T</w:t>
      </w:r>
      <w:bookmarkStart w:id="3" w:name="_Ref331511322"/>
      <w:r w:rsidR="00940F84" w:rsidRPr="006B2038">
        <w:rPr>
          <w:rStyle w:val="documentbody1"/>
          <w:rFonts w:ascii="Times New Roman" w:hAnsi="Times New Roman"/>
          <w:sz w:val="22"/>
          <w:szCs w:val="22"/>
        </w:rPr>
        <w:t>,</w:t>
      </w:r>
      <w:r w:rsidR="00500045" w:rsidRPr="006B2038">
        <w:rPr>
          <w:rStyle w:val="FootnoteReference"/>
          <w:sz w:val="22"/>
          <w:szCs w:val="22"/>
        </w:rPr>
        <w:footnoteReference w:id="11"/>
      </w:r>
      <w:bookmarkEnd w:id="3"/>
      <w:r w:rsidR="00500045"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Cordova,</w:t>
      </w:r>
      <w:r w:rsidRPr="006B2038">
        <w:rPr>
          <w:rStyle w:val="FootnoteReference"/>
          <w:sz w:val="22"/>
          <w:szCs w:val="22"/>
        </w:rPr>
        <w:footnoteReference w:id="12"/>
      </w:r>
      <w:r w:rsidRPr="006B2038">
        <w:rPr>
          <w:rStyle w:val="documentbody1"/>
          <w:rFonts w:ascii="Times New Roman" w:hAnsi="Times New Roman"/>
          <w:sz w:val="22"/>
          <w:szCs w:val="22"/>
        </w:rPr>
        <w:t xml:space="preserve"> </w:t>
      </w:r>
      <w:r w:rsidR="00500045" w:rsidRPr="006B2038">
        <w:rPr>
          <w:rStyle w:val="documentbody1"/>
          <w:rFonts w:ascii="Times New Roman" w:hAnsi="Times New Roman"/>
          <w:sz w:val="22"/>
          <w:szCs w:val="22"/>
        </w:rPr>
        <w:t>and PR Wireless</w:t>
      </w:r>
      <w:bookmarkStart w:id="4" w:name="_Ref331583025"/>
      <w:r w:rsidR="00500045" w:rsidRPr="006B2038">
        <w:rPr>
          <w:rStyle w:val="FootnoteReference"/>
          <w:sz w:val="22"/>
          <w:szCs w:val="22"/>
        </w:rPr>
        <w:footnoteReference w:id="13"/>
      </w:r>
      <w:bookmarkEnd w:id="4"/>
      <w:r w:rsidR="00500045" w:rsidRPr="006B2038">
        <w:rPr>
          <w:rStyle w:val="documentbody1"/>
          <w:rFonts w:ascii="Times New Roman" w:hAnsi="Times New Roman"/>
          <w:sz w:val="22"/>
          <w:szCs w:val="22"/>
        </w:rPr>
        <w:t xml:space="preserve"> request review of USAC decisions.</w:t>
      </w:r>
      <w:r w:rsidR="00230B29" w:rsidRPr="006B2038">
        <w:rPr>
          <w:rStyle w:val="FootnoteReference"/>
          <w:sz w:val="22"/>
          <w:szCs w:val="22"/>
        </w:rPr>
        <w:footnoteReference w:id="14"/>
      </w:r>
      <w:r w:rsidR="00500045" w:rsidRPr="006B2038">
        <w:rPr>
          <w:rStyle w:val="documentbody1"/>
          <w:rFonts w:ascii="Times New Roman" w:hAnsi="Times New Roman"/>
          <w:sz w:val="22"/>
          <w:szCs w:val="22"/>
        </w:rPr>
        <w:t xml:space="preserve">  </w:t>
      </w:r>
      <w:r w:rsidR="00F75ECC" w:rsidRPr="006B2038">
        <w:rPr>
          <w:rStyle w:val="documentbody1"/>
          <w:rFonts w:ascii="Times New Roman" w:hAnsi="Times New Roman"/>
          <w:sz w:val="22"/>
          <w:szCs w:val="22"/>
        </w:rPr>
        <w:t xml:space="preserve">In the alternative, </w:t>
      </w:r>
      <w:r w:rsidR="00500045" w:rsidRPr="006B2038">
        <w:rPr>
          <w:rStyle w:val="documentbody1"/>
          <w:rFonts w:ascii="Times New Roman" w:hAnsi="Times New Roman"/>
          <w:sz w:val="22"/>
          <w:szCs w:val="22"/>
        </w:rPr>
        <w:t>ACS Wireless</w:t>
      </w:r>
      <w:r w:rsidRPr="006B2038">
        <w:rPr>
          <w:rStyle w:val="documentbody1"/>
          <w:rFonts w:ascii="Times New Roman" w:hAnsi="Times New Roman"/>
          <w:sz w:val="22"/>
          <w:szCs w:val="22"/>
        </w:rPr>
        <w:t>,</w:t>
      </w:r>
      <w:r w:rsidR="00500045" w:rsidRPr="006B2038">
        <w:rPr>
          <w:rStyle w:val="FootnoteReference"/>
          <w:sz w:val="22"/>
          <w:szCs w:val="22"/>
        </w:rPr>
        <w:footnoteReference w:id="15"/>
      </w:r>
      <w:r w:rsidR="00500045" w:rsidRPr="006B2038">
        <w:rPr>
          <w:rStyle w:val="documentbody1"/>
          <w:rFonts w:ascii="Times New Roman" w:hAnsi="Times New Roman"/>
          <w:sz w:val="22"/>
          <w:szCs w:val="22"/>
        </w:rPr>
        <w:t xml:space="preserve"> ASTAC</w:t>
      </w:r>
      <w:bookmarkStart w:id="5" w:name="_Ref331600993"/>
      <w:r w:rsidRPr="006B2038">
        <w:rPr>
          <w:rStyle w:val="documentbody1"/>
          <w:rFonts w:ascii="Times New Roman" w:hAnsi="Times New Roman"/>
          <w:sz w:val="22"/>
          <w:szCs w:val="22"/>
        </w:rPr>
        <w:t>,</w:t>
      </w:r>
      <w:r w:rsidR="00500045" w:rsidRPr="006B2038">
        <w:rPr>
          <w:rStyle w:val="FootnoteReference"/>
          <w:sz w:val="22"/>
          <w:szCs w:val="22"/>
        </w:rPr>
        <w:footnoteReference w:id="16"/>
      </w:r>
      <w:bookmarkEnd w:id="5"/>
      <w:r w:rsidRPr="006B2038">
        <w:rPr>
          <w:rStyle w:val="documentbody1"/>
          <w:rFonts w:ascii="Times New Roman" w:hAnsi="Times New Roman"/>
          <w:sz w:val="22"/>
          <w:szCs w:val="22"/>
        </w:rPr>
        <w:t xml:space="preserve"> and Cordova</w:t>
      </w:r>
      <w:r w:rsidR="001C1948" w:rsidRPr="006B2038">
        <w:rPr>
          <w:rStyle w:val="FootnoteReference"/>
          <w:sz w:val="22"/>
          <w:szCs w:val="22"/>
        </w:rPr>
        <w:footnoteReference w:id="17"/>
      </w:r>
      <w:r w:rsidR="00500045" w:rsidRPr="006B2038">
        <w:rPr>
          <w:rStyle w:val="documentbody1"/>
          <w:rFonts w:ascii="Times New Roman" w:hAnsi="Times New Roman"/>
          <w:sz w:val="22"/>
          <w:szCs w:val="22"/>
        </w:rPr>
        <w:t xml:space="preserve"> petition for waiver from the requirements of </w:t>
      </w:r>
      <w:r w:rsidR="00860C3E" w:rsidRPr="006B2038">
        <w:rPr>
          <w:rStyle w:val="documentbody1"/>
          <w:rFonts w:ascii="Times New Roman" w:hAnsi="Times New Roman"/>
          <w:sz w:val="22"/>
          <w:szCs w:val="22"/>
        </w:rPr>
        <w:t xml:space="preserve">section </w:t>
      </w:r>
      <w:r w:rsidR="00500045" w:rsidRPr="006B2038">
        <w:rPr>
          <w:rStyle w:val="documentbody1"/>
          <w:rFonts w:ascii="Times New Roman" w:hAnsi="Times New Roman"/>
          <w:sz w:val="22"/>
          <w:szCs w:val="22"/>
        </w:rPr>
        <w:t xml:space="preserve">54.307(b).  GCI seeks a declaratory ruling </w:t>
      </w:r>
      <w:r w:rsidR="00F75ECC" w:rsidRPr="006B2038">
        <w:rPr>
          <w:rStyle w:val="documentbody1"/>
          <w:rFonts w:ascii="Times New Roman" w:hAnsi="Times New Roman"/>
          <w:sz w:val="22"/>
          <w:szCs w:val="22"/>
        </w:rPr>
        <w:t xml:space="preserve">that certain practices are consistent with </w:t>
      </w:r>
      <w:r w:rsidR="00500045" w:rsidRPr="006B2038">
        <w:rPr>
          <w:rStyle w:val="documentbody1"/>
          <w:rFonts w:ascii="Times New Roman" w:hAnsi="Times New Roman"/>
          <w:sz w:val="22"/>
          <w:szCs w:val="22"/>
        </w:rPr>
        <w:t>Commission</w:t>
      </w:r>
      <w:r w:rsidR="00F75ECC" w:rsidRPr="006B2038">
        <w:rPr>
          <w:rStyle w:val="documentbody1"/>
          <w:rFonts w:ascii="Times New Roman" w:hAnsi="Times New Roman"/>
          <w:sz w:val="22"/>
          <w:szCs w:val="22"/>
        </w:rPr>
        <w:t xml:space="preserve"> requirements</w:t>
      </w:r>
      <w:r w:rsidR="00500045" w:rsidRPr="006B2038">
        <w:rPr>
          <w:rStyle w:val="documentbody1"/>
          <w:rFonts w:ascii="Times New Roman" w:hAnsi="Times New Roman"/>
          <w:sz w:val="22"/>
          <w:szCs w:val="22"/>
        </w:rPr>
        <w:t>.</w:t>
      </w:r>
      <w:r w:rsidR="00500045" w:rsidRPr="006B2038">
        <w:rPr>
          <w:rStyle w:val="FootnoteReference"/>
          <w:sz w:val="22"/>
          <w:szCs w:val="22"/>
        </w:rPr>
        <w:footnoteReference w:id="18"/>
      </w:r>
      <w:r w:rsidR="00500045" w:rsidRPr="006B2038">
        <w:rPr>
          <w:rStyle w:val="documentbody1"/>
          <w:rFonts w:ascii="Times New Roman" w:hAnsi="Times New Roman"/>
          <w:sz w:val="22"/>
          <w:szCs w:val="22"/>
        </w:rPr>
        <w:t xml:space="preserve">  Cricket and Mobi PCS have jointly filed a petition requesting that </w:t>
      </w:r>
      <w:r w:rsidR="00156E16" w:rsidRPr="006B2038">
        <w:rPr>
          <w:rStyle w:val="documentbody1"/>
          <w:rFonts w:ascii="Times New Roman" w:hAnsi="Times New Roman"/>
          <w:sz w:val="22"/>
          <w:szCs w:val="22"/>
        </w:rPr>
        <w:t xml:space="preserve">the Commission provide </w:t>
      </w:r>
      <w:r w:rsidR="00500045" w:rsidRPr="006B2038">
        <w:rPr>
          <w:rStyle w:val="documentbody1"/>
          <w:rFonts w:ascii="Times New Roman" w:hAnsi="Times New Roman"/>
          <w:sz w:val="22"/>
          <w:szCs w:val="22"/>
        </w:rPr>
        <w:t>guidance to USAC.</w:t>
      </w:r>
      <w:bookmarkStart w:id="6" w:name="_Ref332284131"/>
      <w:r w:rsidR="00500045" w:rsidRPr="006B2038">
        <w:rPr>
          <w:rStyle w:val="FootnoteReference"/>
          <w:sz w:val="22"/>
          <w:szCs w:val="22"/>
        </w:rPr>
        <w:footnoteReference w:id="19"/>
      </w:r>
      <w:bookmarkEnd w:id="6"/>
    </w:p>
    <w:p w:rsidR="002976F6" w:rsidRPr="006B2038" w:rsidRDefault="00350A21" w:rsidP="00780950">
      <w:pPr>
        <w:pStyle w:val="Heading1"/>
        <w:widowControl/>
        <w:rPr>
          <w:rFonts w:ascii="Times New Roman" w:hAnsi="Times New Roman"/>
          <w:szCs w:val="22"/>
        </w:rPr>
      </w:pPr>
      <w:r w:rsidRPr="006B2038">
        <w:rPr>
          <w:rStyle w:val="documentbody1"/>
          <w:rFonts w:ascii="Times New Roman" w:hAnsi="Times New Roman"/>
          <w:sz w:val="22"/>
          <w:szCs w:val="22"/>
        </w:rPr>
        <w:t>DISCUSSION</w:t>
      </w:r>
    </w:p>
    <w:p w:rsidR="002976F6" w:rsidRPr="006B2038" w:rsidRDefault="00565551"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We now address </w:t>
      </w:r>
      <w:r w:rsidR="00230B29" w:rsidRPr="006B2038">
        <w:rPr>
          <w:rStyle w:val="documentbody1"/>
          <w:rFonts w:ascii="Times New Roman" w:hAnsi="Times New Roman"/>
          <w:sz w:val="22"/>
          <w:szCs w:val="22"/>
        </w:rPr>
        <w:t xml:space="preserve">specific factual circumstances to provide clarity as to how CETCs </w:t>
      </w:r>
      <w:r w:rsidR="00860C3E" w:rsidRPr="006B2038">
        <w:rPr>
          <w:rStyle w:val="documentbody1"/>
          <w:rFonts w:ascii="Times New Roman" w:hAnsi="Times New Roman"/>
          <w:sz w:val="22"/>
          <w:szCs w:val="22"/>
        </w:rPr>
        <w:t xml:space="preserve">should report line counts in situations </w:t>
      </w:r>
      <w:r w:rsidR="00F75ECC" w:rsidRPr="006B2038">
        <w:rPr>
          <w:rStyle w:val="documentbody1"/>
          <w:rFonts w:ascii="Times New Roman" w:hAnsi="Times New Roman"/>
          <w:sz w:val="22"/>
          <w:szCs w:val="22"/>
        </w:rPr>
        <w:t>when the customer’s billing address is either unavailable or does not accurately represent the location of service</w:t>
      </w:r>
      <w:r w:rsidR="00230B29" w:rsidRPr="006B2038">
        <w:rPr>
          <w:rStyle w:val="documentbody1"/>
          <w:rFonts w:ascii="Times New Roman" w:hAnsi="Times New Roman"/>
          <w:sz w:val="22"/>
          <w:szCs w:val="22"/>
        </w:rPr>
        <w:t xml:space="preserve">, </w:t>
      </w:r>
      <w:r w:rsidR="00240F1B" w:rsidRPr="006B2038">
        <w:rPr>
          <w:rStyle w:val="documentbody1"/>
          <w:rFonts w:ascii="Times New Roman" w:hAnsi="Times New Roman"/>
          <w:sz w:val="22"/>
          <w:szCs w:val="22"/>
        </w:rPr>
        <w:t>which will</w:t>
      </w:r>
      <w:r w:rsidR="00846FDC" w:rsidRPr="006B2038">
        <w:rPr>
          <w:rStyle w:val="documentbody1"/>
          <w:rFonts w:ascii="Times New Roman" w:hAnsi="Times New Roman"/>
          <w:sz w:val="22"/>
          <w:szCs w:val="22"/>
        </w:rPr>
        <w:t xml:space="preserve"> </w:t>
      </w:r>
      <w:r w:rsidR="00230B29" w:rsidRPr="006B2038">
        <w:rPr>
          <w:rStyle w:val="documentbody1"/>
          <w:rFonts w:ascii="Times New Roman" w:hAnsi="Times New Roman"/>
          <w:sz w:val="22"/>
          <w:szCs w:val="22"/>
        </w:rPr>
        <w:t xml:space="preserve">resolve </w:t>
      </w:r>
      <w:r w:rsidR="00240F1B" w:rsidRPr="006B2038">
        <w:rPr>
          <w:rStyle w:val="documentbody1"/>
          <w:rFonts w:ascii="Times New Roman" w:hAnsi="Times New Roman"/>
          <w:sz w:val="22"/>
          <w:szCs w:val="22"/>
        </w:rPr>
        <w:t xml:space="preserve">appeals of </w:t>
      </w:r>
      <w:r w:rsidR="00230B29" w:rsidRPr="006B2038">
        <w:rPr>
          <w:rStyle w:val="documentbody1"/>
          <w:rFonts w:ascii="Times New Roman" w:hAnsi="Times New Roman"/>
          <w:sz w:val="22"/>
          <w:szCs w:val="22"/>
        </w:rPr>
        <w:t>outstanding audit</w:t>
      </w:r>
      <w:r w:rsidR="00240F1B" w:rsidRPr="006B2038">
        <w:rPr>
          <w:rStyle w:val="documentbody1"/>
          <w:rFonts w:ascii="Times New Roman" w:hAnsi="Times New Roman"/>
          <w:sz w:val="22"/>
          <w:szCs w:val="22"/>
        </w:rPr>
        <w:t>s</w:t>
      </w:r>
      <w:r w:rsidR="00230B29" w:rsidRPr="006B2038">
        <w:rPr>
          <w:rStyle w:val="documentbody1"/>
          <w:rFonts w:ascii="Times New Roman" w:hAnsi="Times New Roman"/>
          <w:sz w:val="22"/>
          <w:szCs w:val="22"/>
        </w:rPr>
        <w:t xml:space="preserve">.  </w:t>
      </w:r>
      <w:r w:rsidR="002976F6" w:rsidRPr="006B2038">
        <w:rPr>
          <w:rStyle w:val="documentbody1"/>
          <w:rFonts w:ascii="Times New Roman" w:hAnsi="Times New Roman"/>
          <w:sz w:val="22"/>
          <w:szCs w:val="22"/>
        </w:rPr>
        <w:t xml:space="preserve">We grant the relief requested by </w:t>
      </w:r>
      <w:r w:rsidR="0059483E" w:rsidRPr="006B2038">
        <w:rPr>
          <w:rStyle w:val="documentbody1"/>
          <w:rFonts w:ascii="Times New Roman" w:hAnsi="Times New Roman"/>
          <w:sz w:val="22"/>
          <w:szCs w:val="22"/>
        </w:rPr>
        <w:t xml:space="preserve">five </w:t>
      </w:r>
      <w:r w:rsidR="007C7B13" w:rsidRPr="006B2038">
        <w:rPr>
          <w:rStyle w:val="documentbody1"/>
          <w:rFonts w:ascii="Times New Roman" w:hAnsi="Times New Roman"/>
          <w:sz w:val="22"/>
          <w:szCs w:val="22"/>
        </w:rPr>
        <w:t>of the</w:t>
      </w:r>
      <w:r w:rsidR="002976F6" w:rsidRPr="006B2038">
        <w:rPr>
          <w:rStyle w:val="documentbody1"/>
          <w:rFonts w:ascii="Times New Roman" w:hAnsi="Times New Roman"/>
          <w:sz w:val="22"/>
          <w:szCs w:val="22"/>
        </w:rPr>
        <w:t xml:space="preserve"> Petitioner</w:t>
      </w:r>
      <w:r w:rsidR="007C7B13" w:rsidRPr="006B2038">
        <w:rPr>
          <w:rStyle w:val="documentbody1"/>
          <w:rFonts w:ascii="Times New Roman" w:hAnsi="Times New Roman"/>
          <w:sz w:val="22"/>
          <w:szCs w:val="22"/>
        </w:rPr>
        <w:t>s</w:t>
      </w:r>
      <w:r w:rsidR="002976F6" w:rsidRPr="006B2038">
        <w:rPr>
          <w:rStyle w:val="documentbody1"/>
          <w:rFonts w:ascii="Times New Roman" w:hAnsi="Times New Roman"/>
          <w:sz w:val="22"/>
          <w:szCs w:val="22"/>
        </w:rPr>
        <w:t xml:space="preserve">.  </w:t>
      </w:r>
      <w:r w:rsidR="00D36B0A" w:rsidRPr="006B2038">
        <w:rPr>
          <w:rStyle w:val="documentbody1"/>
          <w:rFonts w:ascii="Times New Roman" w:hAnsi="Times New Roman"/>
          <w:sz w:val="22"/>
          <w:szCs w:val="22"/>
        </w:rPr>
        <w:t xml:space="preserve">We also </w:t>
      </w:r>
      <w:r w:rsidR="00860C3E" w:rsidRPr="006B2038">
        <w:rPr>
          <w:rStyle w:val="documentbody1"/>
          <w:rFonts w:ascii="Times New Roman" w:hAnsi="Times New Roman"/>
          <w:sz w:val="22"/>
          <w:szCs w:val="22"/>
        </w:rPr>
        <w:t>grant</w:t>
      </w:r>
      <w:r w:rsidR="00D36B0A" w:rsidRPr="006B2038">
        <w:rPr>
          <w:rStyle w:val="documentbody1"/>
          <w:rFonts w:ascii="Times New Roman" w:hAnsi="Times New Roman"/>
          <w:sz w:val="22"/>
          <w:szCs w:val="22"/>
        </w:rPr>
        <w:t xml:space="preserve"> a petition for waiver filed by ASTAC.  Finally, w</w:t>
      </w:r>
      <w:r w:rsidR="007C7B13" w:rsidRPr="006B2038">
        <w:rPr>
          <w:rStyle w:val="documentbody1"/>
          <w:rFonts w:ascii="Times New Roman" w:hAnsi="Times New Roman"/>
          <w:sz w:val="22"/>
          <w:szCs w:val="22"/>
        </w:rPr>
        <w:t xml:space="preserve">e </w:t>
      </w:r>
      <w:r w:rsidR="00860C3E" w:rsidRPr="006B2038">
        <w:rPr>
          <w:rStyle w:val="documentbody1"/>
          <w:rFonts w:ascii="Times New Roman" w:hAnsi="Times New Roman"/>
          <w:sz w:val="22"/>
          <w:szCs w:val="22"/>
        </w:rPr>
        <w:t xml:space="preserve">grant in part </w:t>
      </w:r>
      <w:r w:rsidR="007C7B13" w:rsidRPr="006B2038">
        <w:rPr>
          <w:rStyle w:val="documentbody1"/>
          <w:rFonts w:ascii="Times New Roman" w:hAnsi="Times New Roman"/>
          <w:sz w:val="22"/>
          <w:szCs w:val="22"/>
        </w:rPr>
        <w:t>the petition for guidance to USAC filed by Mobi PCS and Cricket.</w:t>
      </w:r>
      <w:r w:rsidR="0063304E" w:rsidRPr="006B2038">
        <w:rPr>
          <w:rStyle w:val="documentbody1"/>
          <w:rFonts w:ascii="Times New Roman" w:hAnsi="Times New Roman"/>
          <w:sz w:val="22"/>
          <w:szCs w:val="22"/>
        </w:rPr>
        <w:t xml:space="preserve">  </w:t>
      </w:r>
      <w:r w:rsidR="00940F84" w:rsidRPr="006B2038">
        <w:rPr>
          <w:rStyle w:val="documentbody1"/>
          <w:rFonts w:ascii="Times New Roman" w:hAnsi="Times New Roman"/>
          <w:sz w:val="22"/>
          <w:szCs w:val="22"/>
        </w:rPr>
        <w:t>T</w:t>
      </w:r>
      <w:r w:rsidR="00F75ECC" w:rsidRPr="006B2038">
        <w:rPr>
          <w:rStyle w:val="documentbody1"/>
          <w:rFonts w:ascii="Times New Roman" w:hAnsi="Times New Roman"/>
          <w:sz w:val="22"/>
          <w:szCs w:val="22"/>
        </w:rPr>
        <w:t xml:space="preserve">he Commission did </w:t>
      </w:r>
      <w:r w:rsidR="00F54E65" w:rsidRPr="006B2038">
        <w:rPr>
          <w:rStyle w:val="documentbody1"/>
          <w:rFonts w:ascii="Times New Roman" w:hAnsi="Times New Roman"/>
          <w:sz w:val="22"/>
          <w:szCs w:val="22"/>
        </w:rPr>
        <w:t xml:space="preserve">not intend that customer billing address </w:t>
      </w:r>
      <w:r w:rsidR="0063304E" w:rsidRPr="006B2038">
        <w:rPr>
          <w:rStyle w:val="documentbody1"/>
          <w:rFonts w:ascii="Times New Roman" w:hAnsi="Times New Roman"/>
          <w:sz w:val="22"/>
          <w:szCs w:val="22"/>
        </w:rPr>
        <w:t xml:space="preserve">would </w:t>
      </w:r>
      <w:r w:rsidR="00245568" w:rsidRPr="006B2038">
        <w:rPr>
          <w:rStyle w:val="documentbody1"/>
          <w:rFonts w:ascii="Times New Roman" w:hAnsi="Times New Roman"/>
          <w:sz w:val="22"/>
          <w:szCs w:val="22"/>
        </w:rPr>
        <w:t>be</w:t>
      </w:r>
      <w:r w:rsidR="00F54E65" w:rsidRPr="006B2038">
        <w:rPr>
          <w:rStyle w:val="documentbody1"/>
          <w:rFonts w:ascii="Times New Roman" w:hAnsi="Times New Roman"/>
          <w:sz w:val="22"/>
          <w:szCs w:val="22"/>
        </w:rPr>
        <w:t xml:space="preserve"> an absolute </w:t>
      </w:r>
      <w:r w:rsidR="00245568" w:rsidRPr="006B2038">
        <w:rPr>
          <w:rStyle w:val="documentbody1"/>
          <w:rFonts w:ascii="Times New Roman" w:hAnsi="Times New Roman"/>
          <w:sz w:val="22"/>
          <w:szCs w:val="22"/>
        </w:rPr>
        <w:t>requirement</w:t>
      </w:r>
      <w:r w:rsidR="00F54E65" w:rsidRPr="006B2038">
        <w:rPr>
          <w:rStyle w:val="documentbody1"/>
          <w:rFonts w:ascii="Times New Roman" w:hAnsi="Times New Roman"/>
          <w:sz w:val="22"/>
          <w:szCs w:val="22"/>
        </w:rPr>
        <w:t>, to be used even when doing so r</w:t>
      </w:r>
      <w:r w:rsidR="00940F84" w:rsidRPr="006B2038">
        <w:rPr>
          <w:rStyle w:val="documentbody1"/>
          <w:rFonts w:ascii="Times New Roman" w:hAnsi="Times New Roman"/>
          <w:sz w:val="22"/>
          <w:szCs w:val="22"/>
        </w:rPr>
        <w:t>uns</w:t>
      </w:r>
      <w:r w:rsidR="00F54E65" w:rsidRPr="006B2038">
        <w:rPr>
          <w:rStyle w:val="documentbody1"/>
          <w:rFonts w:ascii="Times New Roman" w:hAnsi="Times New Roman"/>
          <w:sz w:val="22"/>
          <w:szCs w:val="22"/>
        </w:rPr>
        <w:t xml:space="preserve"> </w:t>
      </w:r>
      <w:r w:rsidR="00B15178" w:rsidRPr="006B2038">
        <w:rPr>
          <w:rStyle w:val="documentbody1"/>
          <w:rFonts w:ascii="Times New Roman" w:hAnsi="Times New Roman"/>
          <w:sz w:val="22"/>
          <w:szCs w:val="22"/>
        </w:rPr>
        <w:t xml:space="preserve">counter to the underlying goal of </w:t>
      </w:r>
      <w:r w:rsidR="00F54E65" w:rsidRPr="006B2038">
        <w:rPr>
          <w:rStyle w:val="documentbody1"/>
          <w:rFonts w:ascii="Times New Roman" w:hAnsi="Times New Roman"/>
          <w:sz w:val="22"/>
          <w:szCs w:val="22"/>
        </w:rPr>
        <w:t>properly allocating universal service support</w:t>
      </w:r>
      <w:r w:rsidR="00860C3E" w:rsidRPr="006B2038">
        <w:rPr>
          <w:rStyle w:val="documentbody1"/>
          <w:rFonts w:ascii="Times New Roman" w:hAnsi="Times New Roman"/>
          <w:sz w:val="22"/>
          <w:szCs w:val="22"/>
        </w:rPr>
        <w:t xml:space="preserve"> to areas where service is being provided</w:t>
      </w:r>
      <w:r w:rsidR="00F54E65" w:rsidRPr="006B2038">
        <w:rPr>
          <w:rStyle w:val="documentbody1"/>
          <w:rFonts w:ascii="Times New Roman" w:hAnsi="Times New Roman"/>
          <w:sz w:val="22"/>
          <w:szCs w:val="22"/>
        </w:rPr>
        <w:t>.</w:t>
      </w:r>
      <w:r w:rsidR="000C6BEA" w:rsidRPr="006B2038">
        <w:rPr>
          <w:rStyle w:val="FootnoteReference"/>
          <w:sz w:val="22"/>
          <w:szCs w:val="22"/>
        </w:rPr>
        <w:footnoteReference w:id="20"/>
      </w:r>
    </w:p>
    <w:p w:rsidR="00866F9C" w:rsidRPr="006B2038" w:rsidRDefault="00240F1B"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To the extent CETCs still report line counts, they </w:t>
      </w:r>
      <w:r w:rsidR="00A20EA0" w:rsidRPr="006B2038">
        <w:rPr>
          <w:rStyle w:val="documentbody1"/>
          <w:rFonts w:ascii="Times New Roman" w:hAnsi="Times New Roman"/>
          <w:sz w:val="22"/>
          <w:szCs w:val="22"/>
        </w:rPr>
        <w:t xml:space="preserve">generally </w:t>
      </w:r>
      <w:r w:rsidR="00F54E65" w:rsidRPr="006B2038">
        <w:rPr>
          <w:rStyle w:val="documentbody1"/>
          <w:rFonts w:ascii="Times New Roman" w:hAnsi="Times New Roman"/>
          <w:sz w:val="22"/>
          <w:szCs w:val="22"/>
        </w:rPr>
        <w:t xml:space="preserve">should continue to use customer billing addresses </w:t>
      </w:r>
      <w:r w:rsidRPr="006B2038">
        <w:rPr>
          <w:rStyle w:val="documentbody1"/>
          <w:rFonts w:ascii="Times New Roman" w:hAnsi="Times New Roman"/>
          <w:sz w:val="22"/>
          <w:szCs w:val="22"/>
        </w:rPr>
        <w:t>when</w:t>
      </w:r>
      <w:r w:rsidR="00F54E65" w:rsidRPr="006B2038">
        <w:rPr>
          <w:rStyle w:val="documentbody1"/>
          <w:rFonts w:ascii="Times New Roman" w:hAnsi="Times New Roman"/>
          <w:sz w:val="22"/>
          <w:szCs w:val="22"/>
        </w:rPr>
        <w:t xml:space="preserve"> filing for support.  However, </w:t>
      </w:r>
      <w:r w:rsidR="00A20EA0" w:rsidRPr="006B2038">
        <w:rPr>
          <w:rStyle w:val="documentbody1"/>
          <w:rFonts w:ascii="Times New Roman" w:hAnsi="Times New Roman"/>
          <w:sz w:val="22"/>
          <w:szCs w:val="22"/>
        </w:rPr>
        <w:t xml:space="preserve">the Commission has recognized that there are </w:t>
      </w:r>
      <w:r w:rsidR="00F75ECC" w:rsidRPr="006B2038">
        <w:rPr>
          <w:rStyle w:val="documentbody1"/>
          <w:rFonts w:ascii="Times New Roman" w:hAnsi="Times New Roman"/>
          <w:sz w:val="22"/>
          <w:szCs w:val="22"/>
        </w:rPr>
        <w:t xml:space="preserve">circumstances where </w:t>
      </w:r>
      <w:r w:rsidR="00F54E65" w:rsidRPr="006B2038">
        <w:rPr>
          <w:rStyle w:val="documentbody1"/>
          <w:rFonts w:ascii="Times New Roman" w:hAnsi="Times New Roman"/>
          <w:sz w:val="22"/>
          <w:szCs w:val="22"/>
        </w:rPr>
        <w:t>using customer billing addresses significantly misrepresent</w:t>
      </w:r>
      <w:r w:rsidR="0059483E" w:rsidRPr="006B2038">
        <w:rPr>
          <w:rStyle w:val="documentbody1"/>
          <w:rFonts w:ascii="Times New Roman" w:hAnsi="Times New Roman"/>
          <w:sz w:val="22"/>
          <w:szCs w:val="22"/>
        </w:rPr>
        <w:t>s</w:t>
      </w:r>
      <w:r w:rsidR="00F54E65" w:rsidRPr="006B2038">
        <w:rPr>
          <w:rStyle w:val="documentbody1"/>
          <w:rFonts w:ascii="Times New Roman" w:hAnsi="Times New Roman"/>
          <w:sz w:val="22"/>
          <w:szCs w:val="22"/>
        </w:rPr>
        <w:t xml:space="preserve"> actual usage of mobile service, </w:t>
      </w:r>
      <w:r w:rsidR="00A20EA0" w:rsidRPr="006B2038">
        <w:rPr>
          <w:rStyle w:val="documentbody1"/>
          <w:rFonts w:ascii="Times New Roman" w:hAnsi="Times New Roman"/>
          <w:sz w:val="22"/>
          <w:szCs w:val="22"/>
        </w:rPr>
        <w:t xml:space="preserve">and </w:t>
      </w:r>
      <w:r w:rsidR="00F75ECC" w:rsidRPr="006B2038">
        <w:rPr>
          <w:rStyle w:val="documentbody1"/>
          <w:rFonts w:ascii="Times New Roman" w:hAnsi="Times New Roman"/>
          <w:sz w:val="22"/>
          <w:szCs w:val="22"/>
        </w:rPr>
        <w:t xml:space="preserve">a CETC </w:t>
      </w:r>
      <w:r w:rsidR="00F54E65" w:rsidRPr="006B2038">
        <w:rPr>
          <w:rStyle w:val="documentbody1"/>
          <w:rFonts w:ascii="Times New Roman" w:hAnsi="Times New Roman"/>
          <w:sz w:val="22"/>
          <w:szCs w:val="22"/>
        </w:rPr>
        <w:t>may use an alternate method to ass</w:t>
      </w:r>
      <w:r w:rsidR="00F75ECC" w:rsidRPr="006B2038">
        <w:rPr>
          <w:rStyle w:val="documentbody1"/>
          <w:rFonts w:ascii="Times New Roman" w:hAnsi="Times New Roman"/>
          <w:sz w:val="22"/>
          <w:szCs w:val="22"/>
        </w:rPr>
        <w:t xml:space="preserve">ign a </w:t>
      </w:r>
      <w:r w:rsidR="00F54E65" w:rsidRPr="006B2038">
        <w:rPr>
          <w:rStyle w:val="documentbody1"/>
          <w:rFonts w:ascii="Times New Roman" w:hAnsi="Times New Roman"/>
          <w:sz w:val="22"/>
          <w:szCs w:val="22"/>
        </w:rPr>
        <w:t>customer location</w:t>
      </w:r>
      <w:r w:rsidR="00245568" w:rsidRPr="006B2038">
        <w:rPr>
          <w:rStyle w:val="documentbody1"/>
          <w:rFonts w:ascii="Times New Roman" w:hAnsi="Times New Roman"/>
          <w:sz w:val="22"/>
          <w:szCs w:val="22"/>
        </w:rPr>
        <w:t xml:space="preserve"> to advance the underlying goal of section 54.307(b): accurately </w:t>
      </w:r>
      <w:r w:rsidR="0063304E" w:rsidRPr="006B2038">
        <w:rPr>
          <w:rStyle w:val="documentbody1"/>
          <w:rFonts w:ascii="Times New Roman" w:hAnsi="Times New Roman"/>
          <w:sz w:val="22"/>
          <w:szCs w:val="22"/>
        </w:rPr>
        <w:t>identifying where customers are actually using their</w:t>
      </w:r>
      <w:r w:rsidR="00245568" w:rsidRPr="006B2038">
        <w:rPr>
          <w:rStyle w:val="documentbody1"/>
          <w:rFonts w:ascii="Times New Roman" w:hAnsi="Times New Roman"/>
          <w:sz w:val="22"/>
          <w:szCs w:val="22"/>
        </w:rPr>
        <w:t xml:space="preserve"> mobile service.</w:t>
      </w:r>
      <w:r w:rsidR="00B15178" w:rsidRPr="006B2038">
        <w:rPr>
          <w:rStyle w:val="FootnoteReference"/>
          <w:sz w:val="22"/>
          <w:szCs w:val="22"/>
        </w:rPr>
        <w:footnoteReference w:id="21"/>
      </w:r>
      <w:r w:rsidR="00F54E65" w:rsidRPr="006B2038">
        <w:rPr>
          <w:rStyle w:val="documentbody1"/>
          <w:rFonts w:ascii="Times New Roman" w:hAnsi="Times New Roman"/>
          <w:sz w:val="22"/>
          <w:szCs w:val="22"/>
        </w:rPr>
        <w:t xml:space="preserve">  </w:t>
      </w:r>
      <w:r w:rsidR="00866F9C" w:rsidRPr="006B2038">
        <w:rPr>
          <w:rStyle w:val="documentbody1"/>
          <w:rFonts w:ascii="Times New Roman" w:hAnsi="Times New Roman"/>
          <w:sz w:val="22"/>
          <w:szCs w:val="22"/>
        </w:rPr>
        <w:t>W</w:t>
      </w:r>
      <w:r w:rsidR="00F75ECC" w:rsidRPr="006B2038">
        <w:rPr>
          <w:rStyle w:val="documentbody1"/>
          <w:rFonts w:ascii="Times New Roman" w:hAnsi="Times New Roman"/>
          <w:sz w:val="22"/>
          <w:szCs w:val="22"/>
        </w:rPr>
        <w:t xml:space="preserve">e caution </w:t>
      </w:r>
      <w:r w:rsidR="008A01D4" w:rsidRPr="006B2038">
        <w:rPr>
          <w:rStyle w:val="documentbody1"/>
          <w:rFonts w:ascii="Times New Roman" w:hAnsi="Times New Roman"/>
          <w:sz w:val="22"/>
          <w:szCs w:val="22"/>
        </w:rPr>
        <w:t xml:space="preserve">those </w:t>
      </w:r>
      <w:r w:rsidR="00F75ECC" w:rsidRPr="006B2038">
        <w:rPr>
          <w:rStyle w:val="documentbody1"/>
          <w:rFonts w:ascii="Times New Roman" w:hAnsi="Times New Roman"/>
          <w:sz w:val="22"/>
          <w:szCs w:val="22"/>
        </w:rPr>
        <w:t>CETCs</w:t>
      </w:r>
      <w:r w:rsidR="008A01D4" w:rsidRPr="006B2038">
        <w:rPr>
          <w:rStyle w:val="documentbody1"/>
          <w:rFonts w:ascii="Times New Roman" w:hAnsi="Times New Roman"/>
          <w:sz w:val="22"/>
          <w:szCs w:val="22"/>
        </w:rPr>
        <w:t xml:space="preserve"> that still file line counts</w:t>
      </w:r>
      <w:r w:rsidR="00F75ECC" w:rsidRPr="006B2038">
        <w:rPr>
          <w:rStyle w:val="documentbody1"/>
          <w:rFonts w:ascii="Times New Roman" w:hAnsi="Times New Roman"/>
          <w:sz w:val="22"/>
          <w:szCs w:val="22"/>
        </w:rPr>
        <w:t xml:space="preserve">, however, that </w:t>
      </w:r>
      <w:r w:rsidR="00866F9C" w:rsidRPr="006B2038">
        <w:rPr>
          <w:rStyle w:val="documentbody1"/>
          <w:rFonts w:ascii="Times New Roman" w:hAnsi="Times New Roman"/>
          <w:sz w:val="22"/>
          <w:szCs w:val="22"/>
        </w:rPr>
        <w:t>we will continue to remain vigilant for abuses of the system.</w:t>
      </w:r>
      <w:r w:rsidR="005F08D8" w:rsidRPr="006B2038">
        <w:rPr>
          <w:rStyle w:val="documentbody1"/>
          <w:rFonts w:ascii="Times New Roman" w:hAnsi="Times New Roman"/>
          <w:sz w:val="22"/>
          <w:szCs w:val="22"/>
        </w:rPr>
        <w:t xml:space="preserve">  ETCs </w:t>
      </w:r>
      <w:r w:rsidR="00245568" w:rsidRPr="006B2038">
        <w:rPr>
          <w:rStyle w:val="documentbody1"/>
          <w:rFonts w:ascii="Times New Roman" w:hAnsi="Times New Roman"/>
          <w:sz w:val="22"/>
          <w:szCs w:val="22"/>
        </w:rPr>
        <w:t>that</w:t>
      </w:r>
      <w:r w:rsidR="005F08D8" w:rsidRPr="006B2038">
        <w:rPr>
          <w:rStyle w:val="documentbody1"/>
          <w:rFonts w:ascii="Times New Roman" w:hAnsi="Times New Roman"/>
          <w:sz w:val="22"/>
          <w:szCs w:val="22"/>
        </w:rPr>
        <w:t xml:space="preserve"> inflate or misrepresent their customer locations </w:t>
      </w:r>
      <w:r w:rsidR="00A67B58" w:rsidRPr="006B2038">
        <w:rPr>
          <w:rStyle w:val="documentbody1"/>
          <w:rFonts w:ascii="Times New Roman" w:hAnsi="Times New Roman"/>
          <w:sz w:val="22"/>
          <w:szCs w:val="22"/>
        </w:rPr>
        <w:t xml:space="preserve">in a way that does not reflect where service is being </w:t>
      </w:r>
      <w:r w:rsidR="00A20EA0" w:rsidRPr="006B2038">
        <w:rPr>
          <w:rStyle w:val="documentbody1"/>
          <w:rFonts w:ascii="Times New Roman" w:hAnsi="Times New Roman"/>
          <w:sz w:val="22"/>
          <w:szCs w:val="22"/>
        </w:rPr>
        <w:t>used</w:t>
      </w:r>
      <w:r w:rsidR="0050429E" w:rsidRPr="006B2038">
        <w:rPr>
          <w:rStyle w:val="documentbody1"/>
          <w:rFonts w:ascii="Times New Roman" w:hAnsi="Times New Roman"/>
          <w:sz w:val="22"/>
          <w:szCs w:val="22"/>
        </w:rPr>
        <w:t xml:space="preserve"> </w:t>
      </w:r>
      <w:r w:rsidR="00940F84" w:rsidRPr="006B2038">
        <w:rPr>
          <w:rStyle w:val="documentbody1"/>
          <w:rFonts w:ascii="Times New Roman" w:hAnsi="Times New Roman"/>
          <w:sz w:val="22"/>
          <w:szCs w:val="22"/>
        </w:rPr>
        <w:t xml:space="preserve">can </w:t>
      </w:r>
      <w:r w:rsidR="005F08D8" w:rsidRPr="006B2038">
        <w:rPr>
          <w:rStyle w:val="documentbody1"/>
          <w:rFonts w:ascii="Times New Roman" w:hAnsi="Times New Roman"/>
          <w:sz w:val="22"/>
          <w:szCs w:val="22"/>
        </w:rPr>
        <w:t xml:space="preserve">be subject to </w:t>
      </w:r>
      <w:r w:rsidR="00CF5EB9" w:rsidRPr="006B2038">
        <w:rPr>
          <w:rStyle w:val="documentbody1"/>
          <w:rFonts w:ascii="Times New Roman" w:hAnsi="Times New Roman"/>
          <w:sz w:val="22"/>
          <w:szCs w:val="22"/>
        </w:rPr>
        <w:t>enforcement action</w:t>
      </w:r>
      <w:r w:rsidR="005F08D8" w:rsidRPr="006B2038">
        <w:rPr>
          <w:rStyle w:val="documentbody1"/>
          <w:rFonts w:ascii="Times New Roman" w:hAnsi="Times New Roman"/>
          <w:sz w:val="22"/>
          <w:szCs w:val="22"/>
        </w:rPr>
        <w:t>.</w:t>
      </w:r>
    </w:p>
    <w:p w:rsidR="00FD6264" w:rsidRPr="006B2038" w:rsidRDefault="00FD6264"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 xml:space="preserve">ACS Wireless Request for Review and Petition for Waiver.  </w:t>
      </w:r>
      <w:r w:rsidRPr="006B2038">
        <w:rPr>
          <w:rStyle w:val="documentbody1"/>
          <w:rFonts w:ascii="Times New Roman" w:hAnsi="Times New Roman"/>
          <w:sz w:val="22"/>
          <w:szCs w:val="22"/>
        </w:rPr>
        <w:t xml:space="preserve">ACS Wireless requests review of USAC’s decision </w:t>
      </w:r>
      <w:r w:rsidR="005471F3" w:rsidRPr="006B2038">
        <w:rPr>
          <w:rStyle w:val="documentbody1"/>
          <w:rFonts w:ascii="Times New Roman" w:hAnsi="Times New Roman"/>
          <w:sz w:val="22"/>
          <w:szCs w:val="22"/>
        </w:rPr>
        <w:t>disallowing support for</w:t>
      </w:r>
      <w:r w:rsidRPr="006B2038">
        <w:rPr>
          <w:rStyle w:val="documentbody1"/>
          <w:rFonts w:ascii="Times New Roman" w:hAnsi="Times New Roman"/>
          <w:sz w:val="22"/>
          <w:szCs w:val="22"/>
        </w:rPr>
        <w:t xml:space="preserve"> certain lines that are used locally by end users, but for which the billing address is outside of ACS Wireless’</w:t>
      </w:r>
      <w:r w:rsidR="00B62B0A" w:rsidRPr="006B2038">
        <w:rPr>
          <w:rStyle w:val="documentbody1"/>
          <w:rFonts w:ascii="Times New Roman" w:hAnsi="Times New Roman"/>
          <w:sz w:val="22"/>
          <w:szCs w:val="22"/>
        </w:rPr>
        <w:t>s</w:t>
      </w:r>
      <w:r w:rsidRPr="006B2038">
        <w:rPr>
          <w:rStyle w:val="documentbody1"/>
          <w:rFonts w:ascii="Times New Roman" w:hAnsi="Times New Roman"/>
          <w:sz w:val="22"/>
          <w:szCs w:val="22"/>
        </w:rPr>
        <w:t xml:space="preserve"> service territory.</w:t>
      </w:r>
      <w:r w:rsidR="00D907E7" w:rsidRPr="006B2038">
        <w:rPr>
          <w:rStyle w:val="FootnoteReference"/>
          <w:sz w:val="22"/>
          <w:szCs w:val="22"/>
        </w:rPr>
        <w:footnoteReference w:id="22"/>
      </w:r>
      <w:r w:rsidRPr="006B2038">
        <w:rPr>
          <w:rStyle w:val="documentbody1"/>
          <w:rFonts w:ascii="Times New Roman" w:hAnsi="Times New Roman"/>
          <w:sz w:val="22"/>
          <w:szCs w:val="22"/>
        </w:rPr>
        <w:t xml:space="preserve">  </w:t>
      </w:r>
      <w:r w:rsidR="002405FC" w:rsidRPr="006B2038">
        <w:rPr>
          <w:rStyle w:val="documentbody1"/>
          <w:rFonts w:ascii="Times New Roman" w:hAnsi="Times New Roman"/>
          <w:sz w:val="22"/>
          <w:szCs w:val="22"/>
        </w:rPr>
        <w:t>In the alternative, ACS Wireless asks that we grant its petition for waiver in order that these lines be counted.</w:t>
      </w:r>
      <w:r w:rsidR="002405FC" w:rsidRPr="006B2038">
        <w:rPr>
          <w:rStyle w:val="FootnoteReference"/>
          <w:sz w:val="22"/>
          <w:szCs w:val="22"/>
        </w:rPr>
        <w:footnoteReference w:id="23"/>
      </w:r>
      <w:r w:rsidR="002405FC" w:rsidRPr="006B2038">
        <w:rPr>
          <w:rStyle w:val="documentbody1"/>
          <w:rFonts w:ascii="Times New Roman" w:hAnsi="Times New Roman"/>
          <w:sz w:val="22"/>
          <w:szCs w:val="22"/>
        </w:rPr>
        <w:t xml:space="preserve">  </w:t>
      </w:r>
      <w:r w:rsidR="00B756E8" w:rsidRPr="006B2038">
        <w:rPr>
          <w:rStyle w:val="documentbody1"/>
          <w:rFonts w:ascii="Times New Roman" w:hAnsi="Times New Roman"/>
          <w:sz w:val="22"/>
          <w:szCs w:val="22"/>
        </w:rPr>
        <w:t xml:space="preserve">We grant ACS Wireless’s </w:t>
      </w:r>
      <w:r w:rsidR="00935C11" w:rsidRPr="006B2038">
        <w:rPr>
          <w:rStyle w:val="documentbody1"/>
          <w:rFonts w:ascii="Times New Roman" w:hAnsi="Times New Roman"/>
          <w:sz w:val="22"/>
          <w:szCs w:val="22"/>
        </w:rPr>
        <w:t>request</w:t>
      </w:r>
      <w:r w:rsidR="00B756E8" w:rsidRPr="006B2038">
        <w:rPr>
          <w:rStyle w:val="documentbody1"/>
          <w:rFonts w:ascii="Times New Roman" w:hAnsi="Times New Roman"/>
          <w:sz w:val="22"/>
          <w:szCs w:val="22"/>
        </w:rPr>
        <w:t xml:space="preserve"> for review.</w:t>
      </w:r>
    </w:p>
    <w:p w:rsidR="003B26B3" w:rsidRPr="006B2038" w:rsidRDefault="005825C8"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According to the petition, </w:t>
      </w:r>
      <w:r w:rsidR="00D907E7" w:rsidRPr="006B2038">
        <w:rPr>
          <w:rStyle w:val="documentbody1"/>
          <w:rFonts w:ascii="Times New Roman" w:hAnsi="Times New Roman"/>
          <w:sz w:val="22"/>
          <w:szCs w:val="22"/>
        </w:rPr>
        <w:t>ACS Wireless, which offers mobile service in Alaska, provide</w:t>
      </w:r>
      <w:r w:rsidR="00935C11" w:rsidRPr="006B2038">
        <w:rPr>
          <w:rStyle w:val="documentbody1"/>
          <w:rFonts w:ascii="Times New Roman" w:hAnsi="Times New Roman"/>
          <w:sz w:val="22"/>
          <w:szCs w:val="22"/>
        </w:rPr>
        <w:t>s</w:t>
      </w:r>
      <w:r w:rsidR="00D907E7" w:rsidRPr="006B2038">
        <w:rPr>
          <w:rStyle w:val="documentbody1"/>
          <w:rFonts w:ascii="Times New Roman" w:hAnsi="Times New Roman"/>
          <w:sz w:val="22"/>
          <w:szCs w:val="22"/>
        </w:rPr>
        <w:t xml:space="preserve"> a number of wireless connections in Alaska on a wholesale basis to Verizon Wireless.</w:t>
      </w:r>
      <w:r w:rsidR="00D907E7" w:rsidRPr="006B2038">
        <w:rPr>
          <w:rStyle w:val="FootnoteReference"/>
          <w:sz w:val="22"/>
          <w:szCs w:val="22"/>
        </w:rPr>
        <w:footnoteReference w:id="24"/>
      </w:r>
      <w:r w:rsidR="00D907E7" w:rsidRPr="006B2038">
        <w:rPr>
          <w:rStyle w:val="documentbody1"/>
          <w:rFonts w:ascii="Times New Roman" w:hAnsi="Times New Roman"/>
          <w:sz w:val="22"/>
          <w:szCs w:val="22"/>
        </w:rPr>
        <w:t xml:space="preserve">  Verizon Wireless then resells those lines to customers in Alaska for use in vehicle safety, security, and connectivity systems.</w:t>
      </w:r>
      <w:r w:rsidR="00D907E7" w:rsidRPr="006B2038">
        <w:rPr>
          <w:rStyle w:val="FootnoteReference"/>
          <w:sz w:val="22"/>
          <w:szCs w:val="22"/>
        </w:rPr>
        <w:footnoteReference w:id="25"/>
      </w:r>
      <w:r w:rsidR="00D907E7" w:rsidRPr="006B2038">
        <w:rPr>
          <w:rStyle w:val="documentbody1"/>
          <w:rFonts w:ascii="Times New Roman" w:hAnsi="Times New Roman"/>
          <w:sz w:val="22"/>
          <w:szCs w:val="22"/>
        </w:rPr>
        <w:t xml:space="preserve">  When purcha</w:t>
      </w:r>
      <w:r w:rsidR="00B756E8" w:rsidRPr="006B2038">
        <w:rPr>
          <w:rStyle w:val="documentbody1"/>
          <w:rFonts w:ascii="Times New Roman" w:hAnsi="Times New Roman"/>
          <w:sz w:val="22"/>
          <w:szCs w:val="22"/>
        </w:rPr>
        <w:t>sing a vehicle equipped with such a system</w:t>
      </w:r>
      <w:r w:rsidR="00D907E7" w:rsidRPr="006B2038">
        <w:rPr>
          <w:rStyle w:val="documentbody1"/>
          <w:rFonts w:ascii="Times New Roman" w:hAnsi="Times New Roman"/>
          <w:sz w:val="22"/>
          <w:szCs w:val="22"/>
        </w:rPr>
        <w:t xml:space="preserve">, </w:t>
      </w:r>
      <w:r w:rsidR="00083292" w:rsidRPr="006B2038">
        <w:rPr>
          <w:rStyle w:val="documentbody1"/>
          <w:rFonts w:ascii="Times New Roman" w:hAnsi="Times New Roman"/>
          <w:sz w:val="22"/>
          <w:szCs w:val="22"/>
        </w:rPr>
        <w:t xml:space="preserve">the </w:t>
      </w:r>
      <w:r w:rsidR="00D907E7" w:rsidRPr="006B2038">
        <w:rPr>
          <w:rStyle w:val="documentbody1"/>
          <w:rFonts w:ascii="Times New Roman" w:hAnsi="Times New Roman"/>
          <w:sz w:val="22"/>
          <w:szCs w:val="22"/>
        </w:rPr>
        <w:t>customer provides a home address; Verizon Wireless then assigns a mobile wireless number with an NPA-NXX</w:t>
      </w:r>
      <w:r w:rsidR="00747BDA" w:rsidRPr="006B2038">
        <w:rPr>
          <w:rStyle w:val="documentbody1"/>
          <w:rFonts w:ascii="Times New Roman" w:hAnsi="Times New Roman"/>
          <w:sz w:val="22"/>
          <w:szCs w:val="22"/>
        </w:rPr>
        <w:t xml:space="preserve"> homed to the wire center for that customer’s address.</w:t>
      </w:r>
      <w:r w:rsidR="00747BDA" w:rsidRPr="006B2038">
        <w:rPr>
          <w:rStyle w:val="FootnoteReference"/>
          <w:sz w:val="22"/>
          <w:szCs w:val="22"/>
        </w:rPr>
        <w:footnoteReference w:id="26"/>
      </w:r>
      <w:r w:rsidR="00747BDA"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 xml:space="preserve">ACS Wireless </w:t>
      </w:r>
      <w:r w:rsidR="00083292" w:rsidRPr="006B2038">
        <w:rPr>
          <w:rStyle w:val="documentbody1"/>
          <w:rFonts w:ascii="Times New Roman" w:hAnsi="Times New Roman"/>
          <w:sz w:val="22"/>
          <w:szCs w:val="22"/>
        </w:rPr>
        <w:t>states</w:t>
      </w:r>
      <w:r w:rsidRPr="006B2038">
        <w:rPr>
          <w:rStyle w:val="documentbody1"/>
          <w:rFonts w:ascii="Times New Roman" w:hAnsi="Times New Roman"/>
          <w:sz w:val="22"/>
          <w:szCs w:val="22"/>
        </w:rPr>
        <w:t xml:space="preserve"> that b</w:t>
      </w:r>
      <w:r w:rsidR="00747BDA" w:rsidRPr="006B2038">
        <w:rPr>
          <w:rStyle w:val="documentbody1"/>
          <w:rFonts w:ascii="Times New Roman" w:hAnsi="Times New Roman"/>
          <w:sz w:val="22"/>
          <w:szCs w:val="22"/>
        </w:rPr>
        <w:t xml:space="preserve">ecause </w:t>
      </w:r>
      <w:r w:rsidRPr="006B2038">
        <w:rPr>
          <w:rStyle w:val="documentbody1"/>
          <w:rFonts w:ascii="Times New Roman" w:hAnsi="Times New Roman"/>
          <w:sz w:val="22"/>
          <w:szCs w:val="22"/>
        </w:rPr>
        <w:t>it</w:t>
      </w:r>
      <w:r w:rsidR="00747BDA" w:rsidRPr="006B2038">
        <w:rPr>
          <w:rStyle w:val="documentbody1"/>
          <w:rFonts w:ascii="Times New Roman" w:hAnsi="Times New Roman"/>
          <w:sz w:val="22"/>
          <w:szCs w:val="22"/>
        </w:rPr>
        <w:t xml:space="preserve"> is paid by Verizon Wireless and not by the end users, the customer billing address ACS Wireless uses for line count reports is that of Verizon Wireless, which is in Alpharetta, Georgia.</w:t>
      </w:r>
      <w:r w:rsidR="00747BDA" w:rsidRPr="006B2038">
        <w:rPr>
          <w:rStyle w:val="FootnoteReference"/>
          <w:sz w:val="22"/>
          <w:szCs w:val="22"/>
        </w:rPr>
        <w:footnoteReference w:id="27"/>
      </w:r>
      <w:r w:rsidR="00747BDA" w:rsidRPr="006B2038">
        <w:rPr>
          <w:rStyle w:val="documentbody1"/>
          <w:rFonts w:ascii="Times New Roman" w:hAnsi="Times New Roman"/>
          <w:sz w:val="22"/>
          <w:szCs w:val="22"/>
        </w:rPr>
        <w:t xml:space="preserve">  Following a data validation review</w:t>
      </w:r>
      <w:r w:rsidR="00984C41" w:rsidRPr="006B2038">
        <w:rPr>
          <w:rStyle w:val="documentbody1"/>
          <w:rFonts w:ascii="Times New Roman" w:hAnsi="Times New Roman"/>
          <w:sz w:val="22"/>
          <w:szCs w:val="22"/>
        </w:rPr>
        <w:t xml:space="preserve"> of ACS’s March 2011 filing</w:t>
      </w:r>
      <w:r w:rsidR="00747BDA" w:rsidRPr="006B2038">
        <w:rPr>
          <w:rStyle w:val="documentbody1"/>
          <w:rFonts w:ascii="Times New Roman" w:hAnsi="Times New Roman"/>
          <w:sz w:val="22"/>
          <w:szCs w:val="22"/>
        </w:rPr>
        <w:t xml:space="preserve">, USAC directed ACS Wireless not </w:t>
      </w:r>
      <w:r w:rsidR="004A49FB" w:rsidRPr="006B2038">
        <w:rPr>
          <w:rStyle w:val="documentbody1"/>
          <w:rFonts w:ascii="Times New Roman" w:hAnsi="Times New Roman"/>
          <w:sz w:val="22"/>
          <w:szCs w:val="22"/>
        </w:rPr>
        <w:t xml:space="preserve">to </w:t>
      </w:r>
      <w:r w:rsidR="00747BDA" w:rsidRPr="006B2038">
        <w:rPr>
          <w:rStyle w:val="documentbody1"/>
          <w:rFonts w:ascii="Times New Roman" w:hAnsi="Times New Roman"/>
          <w:sz w:val="22"/>
          <w:szCs w:val="22"/>
        </w:rPr>
        <w:t xml:space="preserve">count these lines, </w:t>
      </w:r>
      <w:r w:rsidR="00B62B0A" w:rsidRPr="006B2038">
        <w:rPr>
          <w:rStyle w:val="documentbody1"/>
          <w:rFonts w:ascii="Times New Roman" w:hAnsi="Times New Roman"/>
          <w:sz w:val="22"/>
          <w:szCs w:val="22"/>
        </w:rPr>
        <w:t>as the lines</w:t>
      </w:r>
      <w:r w:rsidR="00747BDA" w:rsidRPr="006B2038">
        <w:rPr>
          <w:rStyle w:val="documentbody1"/>
          <w:rFonts w:ascii="Times New Roman" w:hAnsi="Times New Roman"/>
          <w:sz w:val="22"/>
          <w:szCs w:val="22"/>
        </w:rPr>
        <w:t xml:space="preserve"> were outside the area for which ACS Wireless is designated as an ETC (i.e., the </w:t>
      </w:r>
      <w:r w:rsidR="00935C11" w:rsidRPr="006B2038">
        <w:rPr>
          <w:rStyle w:val="documentbody1"/>
          <w:rFonts w:ascii="Times New Roman" w:hAnsi="Times New Roman"/>
          <w:sz w:val="22"/>
          <w:szCs w:val="22"/>
        </w:rPr>
        <w:t>addresses</w:t>
      </w:r>
      <w:r w:rsidR="00747BDA" w:rsidRPr="006B2038">
        <w:rPr>
          <w:rStyle w:val="documentbody1"/>
          <w:rFonts w:ascii="Times New Roman" w:hAnsi="Times New Roman"/>
          <w:sz w:val="22"/>
          <w:szCs w:val="22"/>
        </w:rPr>
        <w:t xml:space="preserve"> were in Georgia rather than Alaska).</w:t>
      </w:r>
      <w:r w:rsidR="00747BDA" w:rsidRPr="006B2038">
        <w:rPr>
          <w:rStyle w:val="FootnoteReference"/>
          <w:sz w:val="22"/>
          <w:szCs w:val="22"/>
        </w:rPr>
        <w:footnoteReference w:id="28"/>
      </w:r>
      <w:r w:rsidR="00CF5EB9" w:rsidRPr="006B2038">
        <w:rPr>
          <w:rStyle w:val="documentbody1"/>
          <w:rFonts w:ascii="Times New Roman" w:hAnsi="Times New Roman"/>
          <w:sz w:val="22"/>
          <w:szCs w:val="22"/>
        </w:rPr>
        <w:t xml:space="preserve">  ACS Wireless has sought review of USAC’s decision, </w:t>
      </w:r>
      <w:r w:rsidR="002405FC" w:rsidRPr="006B2038">
        <w:rPr>
          <w:rStyle w:val="documentbody1"/>
          <w:rFonts w:ascii="Times New Roman" w:hAnsi="Times New Roman"/>
          <w:sz w:val="22"/>
          <w:szCs w:val="22"/>
        </w:rPr>
        <w:t xml:space="preserve">arguing that the billing addresses of the customers using the service should be used for universal service support purposes, not the address of Verizon Wireless. </w:t>
      </w:r>
    </w:p>
    <w:p w:rsidR="00ED696C" w:rsidRPr="006B2038" w:rsidRDefault="002405FC" w:rsidP="00780950">
      <w:pPr>
        <w:pStyle w:val="ParaNum"/>
        <w:widowControl/>
        <w:rPr>
          <w:szCs w:val="22"/>
        </w:rPr>
      </w:pPr>
      <w:r w:rsidRPr="006B2038">
        <w:rPr>
          <w:rStyle w:val="documentbody1"/>
          <w:rFonts w:ascii="Times New Roman" w:hAnsi="Times New Roman"/>
          <w:sz w:val="22"/>
          <w:szCs w:val="22"/>
        </w:rPr>
        <w:t xml:space="preserve"> </w:t>
      </w:r>
      <w:r w:rsidR="007C5461" w:rsidRPr="006B2038">
        <w:rPr>
          <w:rStyle w:val="documentbody1"/>
          <w:rFonts w:ascii="Times New Roman" w:hAnsi="Times New Roman"/>
          <w:sz w:val="22"/>
          <w:szCs w:val="22"/>
        </w:rPr>
        <w:t xml:space="preserve">We agree with </w:t>
      </w:r>
      <w:r w:rsidR="00747BDA" w:rsidRPr="006B2038">
        <w:rPr>
          <w:rStyle w:val="documentbody1"/>
          <w:rFonts w:ascii="Times New Roman" w:hAnsi="Times New Roman"/>
          <w:sz w:val="22"/>
          <w:szCs w:val="22"/>
        </w:rPr>
        <w:t>ACS Wireless</w:t>
      </w:r>
      <w:r w:rsidR="000B756F" w:rsidRPr="006B2038">
        <w:rPr>
          <w:rStyle w:val="documentbody1"/>
          <w:rFonts w:ascii="Times New Roman" w:hAnsi="Times New Roman"/>
          <w:sz w:val="22"/>
          <w:szCs w:val="22"/>
        </w:rPr>
        <w:t xml:space="preserve"> that the end </w:t>
      </w:r>
      <w:r w:rsidR="000E04BB" w:rsidRPr="006B2038">
        <w:rPr>
          <w:rStyle w:val="documentbody1"/>
          <w:rFonts w:ascii="Times New Roman" w:hAnsi="Times New Roman"/>
          <w:sz w:val="22"/>
          <w:szCs w:val="22"/>
        </w:rPr>
        <w:t xml:space="preserve">user address, not the intermediate wholesale billing address, should be used for </w:t>
      </w:r>
      <w:r w:rsidR="004A49FB" w:rsidRPr="006B2038">
        <w:rPr>
          <w:rStyle w:val="documentbody1"/>
          <w:rFonts w:ascii="Times New Roman" w:hAnsi="Times New Roman"/>
          <w:sz w:val="22"/>
          <w:szCs w:val="22"/>
        </w:rPr>
        <w:t xml:space="preserve">determining the line counts for high-cost </w:t>
      </w:r>
      <w:r w:rsidR="000E04BB" w:rsidRPr="006B2038">
        <w:rPr>
          <w:rStyle w:val="documentbody1"/>
          <w:rFonts w:ascii="Times New Roman" w:hAnsi="Times New Roman"/>
          <w:sz w:val="22"/>
          <w:szCs w:val="22"/>
        </w:rPr>
        <w:t>support.</w:t>
      </w:r>
      <w:r w:rsidR="000E04BB" w:rsidRPr="006B2038">
        <w:rPr>
          <w:rStyle w:val="FootnoteReference"/>
          <w:sz w:val="22"/>
          <w:szCs w:val="22"/>
        </w:rPr>
        <w:footnoteReference w:id="29"/>
      </w:r>
      <w:r w:rsidR="000E04BB" w:rsidRPr="006B2038">
        <w:rPr>
          <w:rStyle w:val="documentbody1"/>
          <w:rFonts w:ascii="Times New Roman" w:hAnsi="Times New Roman"/>
          <w:sz w:val="22"/>
          <w:szCs w:val="22"/>
        </w:rPr>
        <w:t xml:space="preserve">  The </w:t>
      </w:r>
      <w:r w:rsidR="004A49FB" w:rsidRPr="006B2038">
        <w:rPr>
          <w:rStyle w:val="documentbody1"/>
          <w:rFonts w:ascii="Times New Roman" w:hAnsi="Times New Roman"/>
          <w:sz w:val="22"/>
          <w:szCs w:val="22"/>
        </w:rPr>
        <w:t xml:space="preserve">Commission chose to use </w:t>
      </w:r>
      <w:r w:rsidR="000E04BB" w:rsidRPr="006B2038">
        <w:rPr>
          <w:rStyle w:val="documentbody1"/>
          <w:rFonts w:ascii="Times New Roman" w:hAnsi="Times New Roman"/>
          <w:sz w:val="22"/>
          <w:szCs w:val="22"/>
        </w:rPr>
        <w:t xml:space="preserve">customer billing addresses </w:t>
      </w:r>
      <w:r w:rsidR="004A49FB" w:rsidRPr="006B2038">
        <w:rPr>
          <w:rStyle w:val="documentbody1"/>
          <w:rFonts w:ascii="Times New Roman" w:hAnsi="Times New Roman"/>
          <w:sz w:val="22"/>
          <w:szCs w:val="22"/>
        </w:rPr>
        <w:t xml:space="preserve">for line counts in order to provide </w:t>
      </w:r>
      <w:r w:rsidR="000E04BB" w:rsidRPr="006B2038">
        <w:rPr>
          <w:rStyle w:val="documentbody1"/>
          <w:rFonts w:ascii="Times New Roman" w:hAnsi="Times New Roman"/>
          <w:sz w:val="22"/>
          <w:szCs w:val="22"/>
        </w:rPr>
        <w:t xml:space="preserve">support </w:t>
      </w:r>
      <w:r w:rsidR="000B756F" w:rsidRPr="006B2038">
        <w:rPr>
          <w:rStyle w:val="documentbody1"/>
          <w:rFonts w:ascii="Times New Roman" w:hAnsi="Times New Roman"/>
          <w:sz w:val="22"/>
          <w:szCs w:val="22"/>
        </w:rPr>
        <w:t>based on</w:t>
      </w:r>
      <w:r w:rsidR="000E04BB" w:rsidRPr="006B2038">
        <w:rPr>
          <w:rStyle w:val="documentbody1"/>
          <w:rFonts w:ascii="Times New Roman" w:hAnsi="Times New Roman"/>
          <w:sz w:val="22"/>
          <w:szCs w:val="22"/>
        </w:rPr>
        <w:t xml:space="preserve"> where </w:t>
      </w:r>
      <w:r w:rsidR="005471F3" w:rsidRPr="006B2038">
        <w:rPr>
          <w:rStyle w:val="documentbody1"/>
          <w:rFonts w:ascii="Times New Roman" w:hAnsi="Times New Roman"/>
          <w:sz w:val="22"/>
          <w:szCs w:val="22"/>
        </w:rPr>
        <w:t xml:space="preserve">the </w:t>
      </w:r>
      <w:r w:rsidR="000E04BB" w:rsidRPr="006B2038">
        <w:rPr>
          <w:rStyle w:val="documentbody1"/>
          <w:rFonts w:ascii="Times New Roman" w:hAnsi="Times New Roman"/>
          <w:sz w:val="22"/>
          <w:szCs w:val="22"/>
        </w:rPr>
        <w:t xml:space="preserve">service is </w:t>
      </w:r>
      <w:r w:rsidR="004A49FB" w:rsidRPr="006B2038">
        <w:rPr>
          <w:rStyle w:val="documentbody1"/>
          <w:rFonts w:ascii="Times New Roman" w:hAnsi="Times New Roman"/>
          <w:sz w:val="22"/>
          <w:szCs w:val="22"/>
        </w:rPr>
        <w:t>most likely to be used</w:t>
      </w:r>
      <w:r w:rsidR="000E04BB" w:rsidRPr="006B2038">
        <w:rPr>
          <w:rStyle w:val="documentbody1"/>
          <w:rFonts w:ascii="Times New Roman" w:hAnsi="Times New Roman"/>
          <w:sz w:val="22"/>
          <w:szCs w:val="22"/>
        </w:rPr>
        <w:t>.</w:t>
      </w:r>
      <w:r w:rsidR="00C227B2" w:rsidRPr="006B2038">
        <w:rPr>
          <w:rStyle w:val="FootnoteReference"/>
          <w:sz w:val="22"/>
          <w:szCs w:val="22"/>
        </w:rPr>
        <w:footnoteReference w:id="30"/>
      </w:r>
      <w:r w:rsidR="000E04BB" w:rsidRPr="006B2038">
        <w:rPr>
          <w:rStyle w:val="documentbody1"/>
          <w:rFonts w:ascii="Times New Roman" w:hAnsi="Times New Roman"/>
          <w:sz w:val="22"/>
          <w:szCs w:val="22"/>
        </w:rPr>
        <w:t xml:space="preserve">  </w:t>
      </w:r>
      <w:r w:rsidR="00C227B2" w:rsidRPr="006B2038">
        <w:rPr>
          <w:rStyle w:val="documentbody1"/>
          <w:rFonts w:ascii="Times New Roman" w:hAnsi="Times New Roman"/>
          <w:sz w:val="22"/>
          <w:szCs w:val="22"/>
        </w:rPr>
        <w:t xml:space="preserve">In the context of commercial resale of service, the billing address of the wholesale “customer” </w:t>
      </w:r>
      <w:r w:rsidR="00A20EA0" w:rsidRPr="006B2038">
        <w:rPr>
          <w:rStyle w:val="documentbody1"/>
          <w:rFonts w:ascii="Times New Roman" w:hAnsi="Times New Roman"/>
          <w:sz w:val="22"/>
          <w:szCs w:val="22"/>
        </w:rPr>
        <w:t xml:space="preserve">may have </w:t>
      </w:r>
      <w:r w:rsidR="00C227B2" w:rsidRPr="006B2038">
        <w:rPr>
          <w:rStyle w:val="documentbody1"/>
          <w:rFonts w:ascii="Times New Roman" w:hAnsi="Times New Roman"/>
          <w:sz w:val="22"/>
          <w:szCs w:val="22"/>
        </w:rPr>
        <w:t xml:space="preserve">no relation to the location </w:t>
      </w:r>
      <w:r w:rsidR="001D5438" w:rsidRPr="006B2038">
        <w:rPr>
          <w:rStyle w:val="documentbody1"/>
          <w:rFonts w:ascii="Times New Roman" w:hAnsi="Times New Roman"/>
          <w:sz w:val="22"/>
          <w:szCs w:val="22"/>
        </w:rPr>
        <w:t>where</w:t>
      </w:r>
      <w:r w:rsidR="00C227B2" w:rsidRPr="006B2038">
        <w:rPr>
          <w:rStyle w:val="documentbody1"/>
          <w:rFonts w:ascii="Times New Roman" w:hAnsi="Times New Roman"/>
          <w:sz w:val="22"/>
          <w:szCs w:val="22"/>
        </w:rPr>
        <w:t xml:space="preserve"> </w:t>
      </w:r>
      <w:r w:rsidR="005471F3" w:rsidRPr="006B2038">
        <w:rPr>
          <w:rStyle w:val="documentbody1"/>
          <w:rFonts w:ascii="Times New Roman" w:hAnsi="Times New Roman"/>
          <w:sz w:val="22"/>
          <w:szCs w:val="22"/>
        </w:rPr>
        <w:t xml:space="preserve">the </w:t>
      </w:r>
      <w:r w:rsidR="00C227B2" w:rsidRPr="006B2038">
        <w:rPr>
          <w:rStyle w:val="documentbody1"/>
          <w:rFonts w:ascii="Times New Roman" w:hAnsi="Times New Roman"/>
          <w:sz w:val="22"/>
          <w:szCs w:val="22"/>
        </w:rPr>
        <w:t xml:space="preserve">service </w:t>
      </w:r>
      <w:r w:rsidR="004A49FB" w:rsidRPr="006B2038">
        <w:rPr>
          <w:rStyle w:val="documentbody1"/>
          <w:rFonts w:ascii="Times New Roman" w:hAnsi="Times New Roman"/>
          <w:sz w:val="22"/>
          <w:szCs w:val="22"/>
        </w:rPr>
        <w:t>in fact is used</w:t>
      </w:r>
      <w:r w:rsidR="00C227B2" w:rsidRPr="006B2038">
        <w:rPr>
          <w:rStyle w:val="documentbody1"/>
          <w:rFonts w:ascii="Times New Roman" w:hAnsi="Times New Roman"/>
          <w:sz w:val="22"/>
          <w:szCs w:val="22"/>
        </w:rPr>
        <w:t>.  In this case, Verizon Wireless’</w:t>
      </w:r>
      <w:r w:rsidR="001D5438" w:rsidRPr="006B2038">
        <w:rPr>
          <w:rStyle w:val="documentbody1"/>
          <w:rFonts w:ascii="Times New Roman" w:hAnsi="Times New Roman"/>
          <w:sz w:val="22"/>
          <w:szCs w:val="22"/>
        </w:rPr>
        <w:t>s</w:t>
      </w:r>
      <w:r w:rsidR="00C227B2" w:rsidRPr="006B2038">
        <w:rPr>
          <w:rStyle w:val="documentbody1"/>
          <w:rFonts w:ascii="Times New Roman" w:hAnsi="Times New Roman"/>
          <w:sz w:val="22"/>
          <w:szCs w:val="22"/>
        </w:rPr>
        <w:t xml:space="preserve"> billing address in Alpharetta, Georgia</w:t>
      </w:r>
      <w:r w:rsidR="000B756F" w:rsidRPr="006B2038">
        <w:rPr>
          <w:rStyle w:val="documentbody1"/>
          <w:rFonts w:ascii="Times New Roman" w:hAnsi="Times New Roman"/>
          <w:sz w:val="22"/>
          <w:szCs w:val="22"/>
        </w:rPr>
        <w:t>,</w:t>
      </w:r>
      <w:r w:rsidR="00C227B2" w:rsidRPr="006B2038">
        <w:rPr>
          <w:rStyle w:val="documentbody1"/>
          <w:rFonts w:ascii="Times New Roman" w:hAnsi="Times New Roman"/>
          <w:sz w:val="22"/>
          <w:szCs w:val="22"/>
        </w:rPr>
        <w:t xml:space="preserve"> </w:t>
      </w:r>
      <w:r w:rsidR="004A49FB" w:rsidRPr="006B2038">
        <w:rPr>
          <w:rStyle w:val="documentbody1"/>
          <w:rFonts w:ascii="Times New Roman" w:hAnsi="Times New Roman"/>
          <w:sz w:val="22"/>
          <w:szCs w:val="22"/>
        </w:rPr>
        <w:t xml:space="preserve">does not </w:t>
      </w:r>
      <w:r w:rsidR="00C227B2" w:rsidRPr="006B2038">
        <w:rPr>
          <w:rStyle w:val="documentbody1"/>
          <w:rFonts w:ascii="Times New Roman" w:hAnsi="Times New Roman"/>
          <w:sz w:val="22"/>
          <w:szCs w:val="22"/>
        </w:rPr>
        <w:t xml:space="preserve">reflect where </w:t>
      </w:r>
      <w:r w:rsidR="005471F3" w:rsidRPr="006B2038">
        <w:rPr>
          <w:rStyle w:val="documentbody1"/>
          <w:rFonts w:ascii="Times New Roman" w:hAnsi="Times New Roman"/>
          <w:sz w:val="22"/>
          <w:szCs w:val="22"/>
        </w:rPr>
        <w:t xml:space="preserve">the </w:t>
      </w:r>
      <w:r w:rsidR="00C227B2" w:rsidRPr="006B2038">
        <w:rPr>
          <w:rStyle w:val="documentbody1"/>
          <w:rFonts w:ascii="Times New Roman" w:hAnsi="Times New Roman"/>
          <w:sz w:val="22"/>
          <w:szCs w:val="22"/>
        </w:rPr>
        <w:t xml:space="preserve">service is actually being </w:t>
      </w:r>
      <w:r w:rsidR="005471F3" w:rsidRPr="006B2038">
        <w:rPr>
          <w:rStyle w:val="documentbody1"/>
          <w:rFonts w:ascii="Times New Roman" w:hAnsi="Times New Roman"/>
          <w:sz w:val="22"/>
          <w:szCs w:val="22"/>
        </w:rPr>
        <w:t>used</w:t>
      </w:r>
      <w:r w:rsidR="00C227B2" w:rsidRPr="006B2038">
        <w:rPr>
          <w:rStyle w:val="documentbody1"/>
          <w:rFonts w:ascii="Times New Roman" w:hAnsi="Times New Roman"/>
          <w:sz w:val="22"/>
          <w:szCs w:val="22"/>
        </w:rPr>
        <w:t>.</w:t>
      </w:r>
      <w:r w:rsidR="00ED696C" w:rsidRPr="006B2038">
        <w:rPr>
          <w:rStyle w:val="documentbody1"/>
          <w:rFonts w:ascii="Times New Roman" w:hAnsi="Times New Roman"/>
          <w:sz w:val="22"/>
          <w:szCs w:val="22"/>
        </w:rPr>
        <w:t xml:space="preserve">  </w:t>
      </w:r>
      <w:r w:rsidR="004A49FB" w:rsidRPr="006B2038">
        <w:rPr>
          <w:rStyle w:val="documentbody1"/>
          <w:rFonts w:ascii="Times New Roman" w:hAnsi="Times New Roman"/>
          <w:sz w:val="22"/>
          <w:szCs w:val="22"/>
        </w:rPr>
        <w:t xml:space="preserve">Consistent with the Commission’s intent in using billing address as a proxy for actual use, </w:t>
      </w:r>
      <w:r w:rsidR="00ED696C" w:rsidRPr="006B2038">
        <w:rPr>
          <w:rStyle w:val="documentbody1"/>
          <w:rFonts w:ascii="Times New Roman" w:hAnsi="Times New Roman"/>
          <w:sz w:val="22"/>
          <w:szCs w:val="22"/>
        </w:rPr>
        <w:t xml:space="preserve">the </w:t>
      </w:r>
      <w:r w:rsidR="001D5438" w:rsidRPr="006B2038">
        <w:rPr>
          <w:rStyle w:val="documentbody1"/>
          <w:rFonts w:ascii="Times New Roman" w:hAnsi="Times New Roman"/>
          <w:sz w:val="22"/>
          <w:szCs w:val="22"/>
        </w:rPr>
        <w:t>location</w:t>
      </w:r>
      <w:r w:rsidR="000B756F" w:rsidRPr="006B2038">
        <w:rPr>
          <w:rStyle w:val="documentbody1"/>
          <w:rFonts w:ascii="Times New Roman" w:hAnsi="Times New Roman"/>
          <w:sz w:val="22"/>
          <w:szCs w:val="22"/>
        </w:rPr>
        <w:t xml:space="preserve"> of the actual end </w:t>
      </w:r>
      <w:r w:rsidR="00ED696C" w:rsidRPr="006B2038">
        <w:rPr>
          <w:rStyle w:val="documentbody1"/>
          <w:rFonts w:ascii="Times New Roman" w:hAnsi="Times New Roman"/>
          <w:sz w:val="22"/>
          <w:szCs w:val="22"/>
        </w:rPr>
        <w:t>user consumer should be used</w:t>
      </w:r>
      <w:r w:rsidR="004A49FB" w:rsidRPr="006B2038">
        <w:rPr>
          <w:rStyle w:val="documentbody1"/>
          <w:rFonts w:ascii="Times New Roman" w:hAnsi="Times New Roman"/>
          <w:sz w:val="22"/>
          <w:szCs w:val="22"/>
        </w:rPr>
        <w:t xml:space="preserve"> </w:t>
      </w:r>
      <w:r w:rsidR="00A67B58" w:rsidRPr="006B2038">
        <w:rPr>
          <w:rStyle w:val="documentbody1"/>
          <w:rFonts w:ascii="Times New Roman" w:hAnsi="Times New Roman"/>
          <w:sz w:val="22"/>
          <w:szCs w:val="22"/>
        </w:rPr>
        <w:t>in this situation</w:t>
      </w:r>
      <w:r w:rsidR="00ED696C" w:rsidRPr="006B2038">
        <w:rPr>
          <w:rStyle w:val="documentbody1"/>
          <w:rFonts w:ascii="Times New Roman" w:hAnsi="Times New Roman"/>
          <w:sz w:val="22"/>
          <w:szCs w:val="22"/>
        </w:rPr>
        <w:t>.</w:t>
      </w:r>
    </w:p>
    <w:p w:rsidR="00747BDA" w:rsidRPr="006B2038" w:rsidRDefault="00ED696C"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ACS</w:t>
      </w:r>
      <w:r w:rsidRPr="006B2038">
        <w:rPr>
          <w:szCs w:val="22"/>
        </w:rPr>
        <w:t xml:space="preserve"> Wireless has suggested two possible methods of determining end</w:t>
      </w:r>
      <w:r w:rsidR="000B756F" w:rsidRPr="006B2038">
        <w:rPr>
          <w:szCs w:val="22"/>
        </w:rPr>
        <w:t xml:space="preserve"> </w:t>
      </w:r>
      <w:r w:rsidRPr="006B2038">
        <w:rPr>
          <w:szCs w:val="22"/>
        </w:rPr>
        <w:t>user location</w:t>
      </w:r>
      <w:r w:rsidR="004A49FB" w:rsidRPr="006B2038">
        <w:rPr>
          <w:szCs w:val="22"/>
        </w:rPr>
        <w:t>:</w:t>
      </w:r>
      <w:r w:rsidRPr="006B2038">
        <w:rPr>
          <w:szCs w:val="22"/>
        </w:rPr>
        <w:t xml:space="preserve">  </w:t>
      </w:r>
      <w:r w:rsidR="004A49FB" w:rsidRPr="006B2038">
        <w:rPr>
          <w:szCs w:val="22"/>
        </w:rPr>
        <w:t xml:space="preserve">(1) </w:t>
      </w:r>
      <w:r w:rsidRPr="006B2038">
        <w:rPr>
          <w:szCs w:val="22"/>
        </w:rPr>
        <w:t>using the end user’s billing address</w:t>
      </w:r>
      <w:r w:rsidR="001D5438" w:rsidRPr="006B2038">
        <w:rPr>
          <w:szCs w:val="22"/>
        </w:rPr>
        <w:t>, which is provided when the customer purchases a vehicle equipped with the communications system</w:t>
      </w:r>
      <w:r w:rsidR="004A49FB" w:rsidRPr="006B2038">
        <w:rPr>
          <w:szCs w:val="22"/>
        </w:rPr>
        <w:t>,</w:t>
      </w:r>
      <w:r w:rsidRPr="006B2038">
        <w:rPr>
          <w:rStyle w:val="FootnoteReference"/>
          <w:sz w:val="22"/>
          <w:szCs w:val="22"/>
        </w:rPr>
        <w:footnoteReference w:id="31"/>
      </w:r>
      <w:r w:rsidRPr="006B2038">
        <w:rPr>
          <w:szCs w:val="22"/>
        </w:rPr>
        <w:t xml:space="preserve"> </w:t>
      </w:r>
      <w:r w:rsidR="004A49FB" w:rsidRPr="006B2038">
        <w:rPr>
          <w:szCs w:val="22"/>
        </w:rPr>
        <w:t xml:space="preserve">or (2) </w:t>
      </w:r>
      <w:r w:rsidRPr="006B2038">
        <w:rPr>
          <w:szCs w:val="22"/>
        </w:rPr>
        <w:t xml:space="preserve">when </w:t>
      </w:r>
      <w:r w:rsidR="000B756F" w:rsidRPr="006B2038">
        <w:rPr>
          <w:szCs w:val="22"/>
        </w:rPr>
        <w:t>that</w:t>
      </w:r>
      <w:r w:rsidRPr="006B2038">
        <w:rPr>
          <w:szCs w:val="22"/>
        </w:rPr>
        <w:t xml:space="preserve"> billing address is unavailable, </w:t>
      </w:r>
      <w:r w:rsidR="002405FC" w:rsidRPr="006B2038">
        <w:rPr>
          <w:szCs w:val="22"/>
        </w:rPr>
        <w:t>using</w:t>
      </w:r>
      <w:r w:rsidR="007C5461" w:rsidRPr="006B2038">
        <w:rPr>
          <w:szCs w:val="22"/>
        </w:rPr>
        <w:t xml:space="preserve"> </w:t>
      </w:r>
      <w:r w:rsidR="002405FC" w:rsidRPr="006B2038">
        <w:rPr>
          <w:szCs w:val="22"/>
        </w:rPr>
        <w:t>a</w:t>
      </w:r>
      <w:r w:rsidR="007C5461" w:rsidRPr="006B2038">
        <w:rPr>
          <w:szCs w:val="22"/>
        </w:rPr>
        <w:t xml:space="preserve"> location as determined by the assigned NPA-NXX number as a proxy for billing address.</w:t>
      </w:r>
      <w:r w:rsidR="007C5461" w:rsidRPr="006B2038">
        <w:rPr>
          <w:rStyle w:val="FootnoteReference"/>
          <w:sz w:val="22"/>
          <w:szCs w:val="22"/>
        </w:rPr>
        <w:footnoteReference w:id="32"/>
      </w:r>
      <w:r w:rsidR="007C5461" w:rsidRPr="006B2038">
        <w:rPr>
          <w:szCs w:val="22"/>
        </w:rPr>
        <w:t xml:space="preserve">  We find both of these methods </w:t>
      </w:r>
      <w:r w:rsidR="004A49FB" w:rsidRPr="006B2038">
        <w:rPr>
          <w:szCs w:val="22"/>
        </w:rPr>
        <w:t>to be reasonable to use</w:t>
      </w:r>
      <w:r w:rsidR="007C5461" w:rsidRPr="006B2038">
        <w:rPr>
          <w:szCs w:val="22"/>
        </w:rPr>
        <w:t xml:space="preserve">.  Use of the end user’s billing address would be ideal, but we recognize that the end user is not a </w:t>
      </w:r>
      <w:r w:rsidR="002405FC" w:rsidRPr="006B2038">
        <w:rPr>
          <w:szCs w:val="22"/>
        </w:rPr>
        <w:t xml:space="preserve">direct </w:t>
      </w:r>
      <w:r w:rsidR="007C5461" w:rsidRPr="006B2038">
        <w:rPr>
          <w:szCs w:val="22"/>
        </w:rPr>
        <w:t xml:space="preserve">customer of ACS Wireless, and thus that information may not be </w:t>
      </w:r>
      <w:r w:rsidR="002405FC" w:rsidRPr="006B2038">
        <w:rPr>
          <w:szCs w:val="22"/>
        </w:rPr>
        <w:t>available to ACS Wireless.  I</w:t>
      </w:r>
      <w:r w:rsidR="007C5461" w:rsidRPr="006B2038">
        <w:rPr>
          <w:szCs w:val="22"/>
        </w:rPr>
        <w:t xml:space="preserve">f the end user’s billing address is not available to ACS Wireless, the NPA-NXX number may be used </w:t>
      </w:r>
      <w:r w:rsidR="00A67B58" w:rsidRPr="006B2038">
        <w:rPr>
          <w:szCs w:val="22"/>
        </w:rPr>
        <w:t>as a proxy for where the customer uses the service</w:t>
      </w:r>
      <w:r w:rsidR="007C5461" w:rsidRPr="006B2038">
        <w:rPr>
          <w:szCs w:val="22"/>
        </w:rPr>
        <w:t>.</w:t>
      </w:r>
    </w:p>
    <w:p w:rsidR="00FD6264" w:rsidRPr="006B2038" w:rsidRDefault="008A52F5"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We instruct</w:t>
      </w:r>
      <w:r w:rsidR="007C5461" w:rsidRPr="006B2038">
        <w:rPr>
          <w:rStyle w:val="documentbody1"/>
          <w:rFonts w:ascii="Times New Roman" w:hAnsi="Times New Roman"/>
          <w:sz w:val="22"/>
          <w:szCs w:val="22"/>
        </w:rPr>
        <w:t xml:space="preserve"> USAC to allow ACS Wireless to use end user billing addresses or, if those are not available, NPA-NXX number</w:t>
      </w:r>
      <w:r w:rsidR="004A49FB" w:rsidRPr="006B2038">
        <w:rPr>
          <w:rStyle w:val="documentbody1"/>
          <w:rFonts w:ascii="Times New Roman" w:hAnsi="Times New Roman"/>
          <w:sz w:val="22"/>
          <w:szCs w:val="22"/>
        </w:rPr>
        <w:t>s</w:t>
      </w:r>
      <w:r w:rsidR="007D03DB" w:rsidRPr="006B2038">
        <w:rPr>
          <w:rStyle w:val="documentbody1"/>
          <w:rFonts w:ascii="Times New Roman" w:hAnsi="Times New Roman"/>
          <w:sz w:val="22"/>
          <w:szCs w:val="22"/>
        </w:rPr>
        <w:t xml:space="preserve"> for</w:t>
      </w:r>
      <w:r w:rsidR="004A49FB" w:rsidRPr="006B2038">
        <w:rPr>
          <w:rStyle w:val="documentbody1"/>
          <w:rFonts w:ascii="Times New Roman" w:hAnsi="Times New Roman"/>
          <w:sz w:val="22"/>
          <w:szCs w:val="22"/>
        </w:rPr>
        <w:t xml:space="preserve"> </w:t>
      </w:r>
      <w:r w:rsidR="007C5461" w:rsidRPr="006B2038">
        <w:rPr>
          <w:rStyle w:val="documentbody1"/>
          <w:rFonts w:ascii="Times New Roman" w:hAnsi="Times New Roman"/>
          <w:sz w:val="22"/>
          <w:szCs w:val="22"/>
        </w:rPr>
        <w:t>lines it has provided at wholesale to Verizon Wireless</w:t>
      </w:r>
      <w:r w:rsidR="004A49FB" w:rsidRPr="006B2038">
        <w:rPr>
          <w:rStyle w:val="documentbody1"/>
          <w:rFonts w:ascii="Times New Roman" w:hAnsi="Times New Roman"/>
          <w:sz w:val="22"/>
          <w:szCs w:val="22"/>
        </w:rPr>
        <w:t xml:space="preserve"> to determine the study areas to which lines will be assigned for purposes of receiving high-cost support</w:t>
      </w:r>
      <w:r w:rsidR="007C5461" w:rsidRPr="006B2038">
        <w:rPr>
          <w:rStyle w:val="documentbody1"/>
          <w:rFonts w:ascii="Times New Roman" w:hAnsi="Times New Roman"/>
          <w:sz w:val="22"/>
          <w:szCs w:val="22"/>
        </w:rPr>
        <w:t xml:space="preserve">.  </w:t>
      </w:r>
      <w:r w:rsidR="00FD6264" w:rsidRPr="006B2038">
        <w:rPr>
          <w:rStyle w:val="documentbody1"/>
          <w:rFonts w:ascii="Times New Roman" w:hAnsi="Times New Roman"/>
          <w:sz w:val="22"/>
          <w:szCs w:val="22"/>
        </w:rPr>
        <w:t>As we have found for ACS Wireless on its request for review, it is unnecessary to consider its petition for waiver</w:t>
      </w:r>
      <w:r w:rsidR="00F323BC" w:rsidRPr="006B2038">
        <w:rPr>
          <w:rStyle w:val="documentbody1"/>
          <w:rFonts w:ascii="Times New Roman" w:hAnsi="Times New Roman"/>
          <w:sz w:val="22"/>
          <w:szCs w:val="22"/>
        </w:rPr>
        <w:t>, and the petition for waiver is dismissed as moot</w:t>
      </w:r>
      <w:r w:rsidR="00FD6264" w:rsidRPr="006B2038">
        <w:rPr>
          <w:rStyle w:val="documentbody1"/>
          <w:rFonts w:ascii="Times New Roman" w:hAnsi="Times New Roman"/>
          <w:sz w:val="22"/>
          <w:szCs w:val="22"/>
        </w:rPr>
        <w:t>.</w:t>
      </w:r>
    </w:p>
    <w:p w:rsidR="003A2C31" w:rsidRPr="006B2038" w:rsidRDefault="003B7491"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AT&amp;T Request for Review.</w:t>
      </w:r>
      <w:r w:rsidRPr="006B2038">
        <w:rPr>
          <w:rStyle w:val="documentbody1"/>
          <w:rFonts w:ascii="Times New Roman" w:hAnsi="Times New Roman"/>
          <w:sz w:val="22"/>
          <w:szCs w:val="22"/>
        </w:rPr>
        <w:t xml:space="preserve">  AT&amp;T requests review of USAC</w:t>
      </w:r>
      <w:r w:rsidR="00FD6264" w:rsidRPr="006B2038">
        <w:rPr>
          <w:rStyle w:val="documentbody1"/>
          <w:rFonts w:ascii="Times New Roman" w:hAnsi="Times New Roman"/>
          <w:sz w:val="22"/>
          <w:szCs w:val="22"/>
        </w:rPr>
        <w:t>’s decision to recover</w:t>
      </w:r>
      <w:r w:rsidRPr="006B2038">
        <w:rPr>
          <w:rStyle w:val="documentbody1"/>
          <w:rFonts w:ascii="Times New Roman" w:hAnsi="Times New Roman"/>
          <w:sz w:val="22"/>
          <w:szCs w:val="22"/>
        </w:rPr>
        <w:t xml:space="preserve"> high-cost support following audit</w:t>
      </w:r>
      <w:r w:rsidR="003561E4" w:rsidRPr="006B2038">
        <w:rPr>
          <w:rStyle w:val="documentbody1"/>
          <w:rFonts w:ascii="Times New Roman" w:hAnsi="Times New Roman"/>
          <w:sz w:val="22"/>
          <w:szCs w:val="22"/>
        </w:rPr>
        <w:t>s</w:t>
      </w:r>
      <w:r w:rsidRPr="006B2038">
        <w:rPr>
          <w:rStyle w:val="documentbody1"/>
          <w:rFonts w:ascii="Times New Roman" w:hAnsi="Times New Roman"/>
          <w:sz w:val="22"/>
          <w:szCs w:val="22"/>
        </w:rPr>
        <w:t xml:space="preserve"> of </w:t>
      </w:r>
      <w:r w:rsidR="00513846" w:rsidRPr="006B2038">
        <w:rPr>
          <w:rStyle w:val="documentbody1"/>
          <w:rFonts w:ascii="Times New Roman" w:hAnsi="Times New Roman"/>
          <w:sz w:val="22"/>
          <w:szCs w:val="22"/>
        </w:rPr>
        <w:t>six</w:t>
      </w:r>
      <w:r w:rsidRPr="006B2038">
        <w:rPr>
          <w:rStyle w:val="documentbody1"/>
          <w:rFonts w:ascii="Times New Roman" w:hAnsi="Times New Roman"/>
          <w:sz w:val="22"/>
          <w:szCs w:val="22"/>
        </w:rPr>
        <w:t xml:space="preserve"> subsidiary companies</w:t>
      </w:r>
      <w:r w:rsidR="00513846" w:rsidRPr="006B2038">
        <w:rPr>
          <w:rStyle w:val="documentbody1"/>
          <w:rFonts w:ascii="Times New Roman" w:hAnsi="Times New Roman"/>
          <w:sz w:val="22"/>
          <w:szCs w:val="22"/>
        </w:rPr>
        <w:t xml:space="preserve"> and the line count validation of two other subsidiary companies</w:t>
      </w:r>
      <w:r w:rsidRPr="006B2038">
        <w:rPr>
          <w:rStyle w:val="documentbody1"/>
          <w:rFonts w:ascii="Times New Roman" w:hAnsi="Times New Roman"/>
          <w:sz w:val="22"/>
          <w:szCs w:val="22"/>
        </w:rPr>
        <w:t>.</w:t>
      </w:r>
      <w:r w:rsidRPr="006B2038">
        <w:rPr>
          <w:rStyle w:val="FootnoteReference"/>
          <w:sz w:val="22"/>
          <w:szCs w:val="22"/>
        </w:rPr>
        <w:footnoteReference w:id="33"/>
      </w:r>
      <w:r w:rsidRPr="006B2038">
        <w:rPr>
          <w:rStyle w:val="documentbody1"/>
          <w:rFonts w:ascii="Times New Roman" w:hAnsi="Times New Roman"/>
          <w:sz w:val="22"/>
          <w:szCs w:val="22"/>
        </w:rPr>
        <w:t xml:space="preserve">  </w:t>
      </w:r>
      <w:r w:rsidR="003A2C31" w:rsidRPr="006B2038">
        <w:rPr>
          <w:rStyle w:val="documentbody1"/>
          <w:rFonts w:ascii="Times New Roman" w:hAnsi="Times New Roman"/>
          <w:sz w:val="22"/>
          <w:szCs w:val="22"/>
        </w:rPr>
        <w:t>We grant AT&amp;T’s request for review.</w:t>
      </w:r>
    </w:p>
    <w:p w:rsidR="003A2C31" w:rsidRPr="006B2038" w:rsidRDefault="005825C8"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AT&amp;T alleges that its</w:t>
      </w:r>
      <w:r w:rsidR="003A2C31" w:rsidRPr="006B2038">
        <w:rPr>
          <w:rStyle w:val="documentbody1"/>
          <w:rFonts w:ascii="Times New Roman" w:hAnsi="Times New Roman"/>
          <w:sz w:val="22"/>
          <w:szCs w:val="22"/>
        </w:rPr>
        <w:t xml:space="preserve"> subsidiary companies use mapping software to plot </w:t>
      </w:r>
      <w:r w:rsidR="00714E12" w:rsidRPr="006B2038">
        <w:rPr>
          <w:rStyle w:val="documentbody1"/>
          <w:rFonts w:ascii="Times New Roman" w:hAnsi="Times New Roman"/>
          <w:sz w:val="22"/>
          <w:szCs w:val="22"/>
        </w:rPr>
        <w:t xml:space="preserve">mobile </w:t>
      </w:r>
      <w:r w:rsidR="003A2C31" w:rsidRPr="006B2038">
        <w:rPr>
          <w:rStyle w:val="documentbody1"/>
          <w:rFonts w:ascii="Times New Roman" w:hAnsi="Times New Roman"/>
          <w:sz w:val="22"/>
          <w:szCs w:val="22"/>
        </w:rPr>
        <w:t>customer billing addresses.</w:t>
      </w:r>
      <w:r w:rsidR="00714E12" w:rsidRPr="006B2038">
        <w:rPr>
          <w:rStyle w:val="FootnoteReference"/>
          <w:sz w:val="22"/>
          <w:szCs w:val="22"/>
        </w:rPr>
        <w:footnoteReference w:id="34"/>
      </w:r>
      <w:r w:rsidR="003A2C31" w:rsidRPr="006B2038">
        <w:rPr>
          <w:rStyle w:val="documentbody1"/>
          <w:rFonts w:ascii="Times New Roman" w:hAnsi="Times New Roman"/>
          <w:sz w:val="22"/>
          <w:szCs w:val="22"/>
        </w:rPr>
        <w:t xml:space="preserve">  When the customer g</w:t>
      </w:r>
      <w:r w:rsidRPr="006B2038">
        <w:rPr>
          <w:rStyle w:val="documentbody1"/>
          <w:rFonts w:ascii="Times New Roman" w:hAnsi="Times New Roman"/>
          <w:sz w:val="22"/>
          <w:szCs w:val="22"/>
        </w:rPr>
        <w:t>i</w:t>
      </w:r>
      <w:r w:rsidR="003A2C31" w:rsidRPr="006B2038">
        <w:rPr>
          <w:rStyle w:val="documentbody1"/>
          <w:rFonts w:ascii="Times New Roman" w:hAnsi="Times New Roman"/>
          <w:sz w:val="22"/>
          <w:szCs w:val="22"/>
        </w:rPr>
        <w:t>ve</w:t>
      </w:r>
      <w:r w:rsidRPr="006B2038">
        <w:rPr>
          <w:rStyle w:val="documentbody1"/>
          <w:rFonts w:ascii="Times New Roman" w:hAnsi="Times New Roman"/>
          <w:sz w:val="22"/>
          <w:szCs w:val="22"/>
        </w:rPr>
        <w:t>s</w:t>
      </w:r>
      <w:r w:rsidR="003A2C31" w:rsidRPr="006B2038">
        <w:rPr>
          <w:rStyle w:val="documentbody1"/>
          <w:rFonts w:ascii="Times New Roman" w:hAnsi="Times New Roman"/>
          <w:sz w:val="22"/>
          <w:szCs w:val="22"/>
        </w:rPr>
        <w:t xml:space="preserve"> a complete street address, that customer would be plotted to the exact physical address.</w:t>
      </w:r>
      <w:r w:rsidR="00714E12" w:rsidRPr="006B2038">
        <w:rPr>
          <w:rStyle w:val="FootnoteReference"/>
          <w:sz w:val="22"/>
          <w:szCs w:val="22"/>
        </w:rPr>
        <w:footnoteReference w:id="35"/>
      </w:r>
      <w:r w:rsidR="003A2C31" w:rsidRPr="006B2038">
        <w:rPr>
          <w:rStyle w:val="documentbody1"/>
          <w:rFonts w:ascii="Times New Roman" w:hAnsi="Times New Roman"/>
          <w:sz w:val="22"/>
          <w:szCs w:val="22"/>
        </w:rPr>
        <w:t xml:space="preserve">  However, if a customer use</w:t>
      </w:r>
      <w:r w:rsidRPr="006B2038">
        <w:rPr>
          <w:rStyle w:val="documentbody1"/>
          <w:rFonts w:ascii="Times New Roman" w:hAnsi="Times New Roman"/>
          <w:sz w:val="22"/>
          <w:szCs w:val="22"/>
        </w:rPr>
        <w:t>s</w:t>
      </w:r>
      <w:r w:rsidR="003A2C31" w:rsidRPr="006B2038">
        <w:rPr>
          <w:rStyle w:val="documentbody1"/>
          <w:rFonts w:ascii="Times New Roman" w:hAnsi="Times New Roman"/>
          <w:sz w:val="22"/>
          <w:szCs w:val="22"/>
        </w:rPr>
        <w:t xml:space="preserve"> a P</w:t>
      </w:r>
      <w:r w:rsidR="00813C26" w:rsidRPr="006B2038">
        <w:rPr>
          <w:rStyle w:val="documentbody1"/>
          <w:rFonts w:ascii="Times New Roman" w:hAnsi="Times New Roman"/>
          <w:sz w:val="22"/>
          <w:szCs w:val="22"/>
        </w:rPr>
        <w:t>.</w:t>
      </w:r>
      <w:r w:rsidR="003A2C31" w:rsidRPr="006B2038">
        <w:rPr>
          <w:rStyle w:val="documentbody1"/>
          <w:rFonts w:ascii="Times New Roman" w:hAnsi="Times New Roman"/>
          <w:sz w:val="22"/>
          <w:szCs w:val="22"/>
        </w:rPr>
        <w:t>O</w:t>
      </w:r>
      <w:r w:rsidR="00813C26" w:rsidRPr="006B2038">
        <w:rPr>
          <w:rStyle w:val="documentbody1"/>
          <w:rFonts w:ascii="Times New Roman" w:hAnsi="Times New Roman"/>
          <w:sz w:val="22"/>
          <w:szCs w:val="22"/>
        </w:rPr>
        <w:t>.</w:t>
      </w:r>
      <w:r w:rsidR="003A2C31" w:rsidRPr="006B2038">
        <w:rPr>
          <w:rStyle w:val="documentbody1"/>
          <w:rFonts w:ascii="Times New Roman" w:hAnsi="Times New Roman"/>
          <w:sz w:val="22"/>
          <w:szCs w:val="22"/>
        </w:rPr>
        <w:t xml:space="preserve"> box, giving the address as the P</w:t>
      </w:r>
      <w:r w:rsidR="00813C26" w:rsidRPr="006B2038">
        <w:rPr>
          <w:rStyle w:val="documentbody1"/>
          <w:rFonts w:ascii="Times New Roman" w:hAnsi="Times New Roman"/>
          <w:sz w:val="22"/>
          <w:szCs w:val="22"/>
        </w:rPr>
        <w:t>.</w:t>
      </w:r>
      <w:r w:rsidR="003A2C31" w:rsidRPr="006B2038">
        <w:rPr>
          <w:rStyle w:val="documentbody1"/>
          <w:rFonts w:ascii="Times New Roman" w:hAnsi="Times New Roman"/>
          <w:sz w:val="22"/>
          <w:szCs w:val="22"/>
        </w:rPr>
        <w:t>O</w:t>
      </w:r>
      <w:r w:rsidR="00813C26" w:rsidRPr="006B2038">
        <w:rPr>
          <w:rStyle w:val="documentbody1"/>
          <w:rFonts w:ascii="Times New Roman" w:hAnsi="Times New Roman"/>
          <w:sz w:val="22"/>
          <w:szCs w:val="22"/>
        </w:rPr>
        <w:t>.</w:t>
      </w:r>
      <w:r w:rsidR="003A2C31" w:rsidRPr="006B2038">
        <w:rPr>
          <w:rStyle w:val="documentbody1"/>
          <w:rFonts w:ascii="Times New Roman" w:hAnsi="Times New Roman"/>
          <w:sz w:val="22"/>
          <w:szCs w:val="22"/>
        </w:rPr>
        <w:t xml:space="preserve"> box number and ZIP code, </w:t>
      </w:r>
      <w:r w:rsidR="00714E12" w:rsidRPr="006B2038">
        <w:rPr>
          <w:rStyle w:val="documentbody1"/>
          <w:rFonts w:ascii="Times New Roman" w:hAnsi="Times New Roman"/>
          <w:sz w:val="22"/>
          <w:szCs w:val="22"/>
        </w:rPr>
        <w:t xml:space="preserve">the </w:t>
      </w:r>
      <w:r w:rsidR="00513846" w:rsidRPr="006B2038">
        <w:rPr>
          <w:rStyle w:val="documentbody1"/>
          <w:rFonts w:ascii="Times New Roman" w:hAnsi="Times New Roman"/>
          <w:sz w:val="22"/>
          <w:szCs w:val="22"/>
        </w:rPr>
        <w:t xml:space="preserve">subsidiary </w:t>
      </w:r>
      <w:r w:rsidR="00714E12" w:rsidRPr="006B2038">
        <w:rPr>
          <w:rStyle w:val="documentbody1"/>
          <w:rFonts w:ascii="Times New Roman" w:hAnsi="Times New Roman"/>
          <w:sz w:val="22"/>
          <w:szCs w:val="22"/>
        </w:rPr>
        <w:t>companies would plot the customer to the centroid of the ZIP code.</w:t>
      </w:r>
      <w:r w:rsidR="00714E12" w:rsidRPr="006B2038">
        <w:rPr>
          <w:rStyle w:val="FootnoteReference"/>
          <w:sz w:val="22"/>
          <w:szCs w:val="22"/>
        </w:rPr>
        <w:footnoteReference w:id="36"/>
      </w:r>
      <w:r w:rsidR="00714E12" w:rsidRPr="006B2038">
        <w:rPr>
          <w:rStyle w:val="documentbody1"/>
          <w:rFonts w:ascii="Times New Roman" w:hAnsi="Times New Roman"/>
          <w:sz w:val="22"/>
          <w:szCs w:val="22"/>
        </w:rPr>
        <w:t xml:space="preserve">  USAC </w:t>
      </w:r>
      <w:r w:rsidR="00083292" w:rsidRPr="006B2038">
        <w:rPr>
          <w:rStyle w:val="documentbody1"/>
          <w:rFonts w:ascii="Times New Roman" w:hAnsi="Times New Roman"/>
          <w:sz w:val="22"/>
          <w:szCs w:val="22"/>
        </w:rPr>
        <w:t>concluded</w:t>
      </w:r>
      <w:r w:rsidR="00714E12" w:rsidRPr="006B2038">
        <w:rPr>
          <w:rStyle w:val="documentbody1"/>
          <w:rFonts w:ascii="Times New Roman" w:hAnsi="Times New Roman"/>
          <w:sz w:val="22"/>
          <w:szCs w:val="22"/>
        </w:rPr>
        <w:t xml:space="preserve"> that plotting to the ce</w:t>
      </w:r>
      <w:r w:rsidR="009137E3" w:rsidRPr="006B2038">
        <w:rPr>
          <w:rStyle w:val="documentbody1"/>
          <w:rFonts w:ascii="Times New Roman" w:hAnsi="Times New Roman"/>
          <w:sz w:val="22"/>
          <w:szCs w:val="22"/>
        </w:rPr>
        <w:t>n</w:t>
      </w:r>
      <w:r w:rsidR="00714E12" w:rsidRPr="006B2038">
        <w:rPr>
          <w:rStyle w:val="documentbody1"/>
          <w:rFonts w:ascii="Times New Roman" w:hAnsi="Times New Roman"/>
          <w:sz w:val="22"/>
          <w:szCs w:val="22"/>
        </w:rPr>
        <w:t xml:space="preserve">troid is </w:t>
      </w:r>
      <w:r w:rsidR="00F60280" w:rsidRPr="006B2038">
        <w:rPr>
          <w:rStyle w:val="documentbody1"/>
          <w:rFonts w:ascii="Times New Roman" w:hAnsi="Times New Roman"/>
          <w:sz w:val="22"/>
          <w:szCs w:val="22"/>
        </w:rPr>
        <w:t>in</w:t>
      </w:r>
      <w:r w:rsidR="00714E12" w:rsidRPr="006B2038">
        <w:rPr>
          <w:rStyle w:val="documentbody1"/>
          <w:rFonts w:ascii="Times New Roman" w:hAnsi="Times New Roman"/>
          <w:sz w:val="22"/>
          <w:szCs w:val="22"/>
        </w:rPr>
        <w:t>sufficient; instead, the customer location must be plotted to the street address of the post office (i.e., the physical location of the P</w:t>
      </w:r>
      <w:r w:rsidR="00813C26" w:rsidRPr="006B2038">
        <w:rPr>
          <w:rStyle w:val="documentbody1"/>
          <w:rFonts w:ascii="Times New Roman" w:hAnsi="Times New Roman"/>
          <w:sz w:val="22"/>
          <w:szCs w:val="22"/>
        </w:rPr>
        <w:t>.</w:t>
      </w:r>
      <w:r w:rsidR="00714E12" w:rsidRPr="006B2038">
        <w:rPr>
          <w:rStyle w:val="documentbody1"/>
          <w:rFonts w:ascii="Times New Roman" w:hAnsi="Times New Roman"/>
          <w:sz w:val="22"/>
          <w:szCs w:val="22"/>
        </w:rPr>
        <w:t>O</w:t>
      </w:r>
      <w:r w:rsidR="00813C26" w:rsidRPr="006B2038">
        <w:rPr>
          <w:rStyle w:val="documentbody1"/>
          <w:rFonts w:ascii="Times New Roman" w:hAnsi="Times New Roman"/>
          <w:sz w:val="22"/>
          <w:szCs w:val="22"/>
        </w:rPr>
        <w:t>.</w:t>
      </w:r>
      <w:r w:rsidR="00714E12" w:rsidRPr="006B2038">
        <w:rPr>
          <w:rStyle w:val="documentbody1"/>
          <w:rFonts w:ascii="Times New Roman" w:hAnsi="Times New Roman"/>
          <w:sz w:val="22"/>
          <w:szCs w:val="22"/>
        </w:rPr>
        <w:t xml:space="preserve"> box).</w:t>
      </w:r>
      <w:r w:rsidR="00714E12" w:rsidRPr="006B2038">
        <w:rPr>
          <w:rStyle w:val="FootnoteReference"/>
          <w:sz w:val="22"/>
          <w:szCs w:val="22"/>
        </w:rPr>
        <w:footnoteReference w:id="37"/>
      </w:r>
      <w:r w:rsidR="002D12F8" w:rsidRPr="006B2038">
        <w:rPr>
          <w:rStyle w:val="documentbody1"/>
          <w:rFonts w:ascii="Times New Roman" w:hAnsi="Times New Roman"/>
          <w:sz w:val="22"/>
          <w:szCs w:val="22"/>
        </w:rPr>
        <w:t xml:space="preserve">  </w:t>
      </w:r>
    </w:p>
    <w:p w:rsidR="002D12F8" w:rsidRPr="006B2038" w:rsidRDefault="002D12F8"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We </w:t>
      </w:r>
      <w:r w:rsidR="00060FD7" w:rsidRPr="006B2038">
        <w:rPr>
          <w:rStyle w:val="documentbody1"/>
          <w:rFonts w:ascii="Times New Roman" w:hAnsi="Times New Roman"/>
          <w:sz w:val="22"/>
          <w:szCs w:val="22"/>
        </w:rPr>
        <w:t>conclude that AT&amp;T’s method of assigning customers with a P.O. box to a physical location is reasonable</w:t>
      </w:r>
      <w:r w:rsidR="00A11746" w:rsidRPr="006B2038">
        <w:rPr>
          <w:rStyle w:val="documentbody1"/>
          <w:rFonts w:ascii="Times New Roman" w:hAnsi="Times New Roman"/>
          <w:sz w:val="22"/>
          <w:szCs w:val="22"/>
        </w:rPr>
        <w:t xml:space="preserve"> and consistent with the Commission’s objective to require CETCs to </w:t>
      </w:r>
      <w:r w:rsidR="00A67B58" w:rsidRPr="006B2038">
        <w:rPr>
          <w:rStyle w:val="documentbody1"/>
          <w:rFonts w:ascii="Times New Roman" w:hAnsi="Times New Roman"/>
          <w:sz w:val="22"/>
          <w:szCs w:val="22"/>
        </w:rPr>
        <w:t xml:space="preserve">report lines based on where the customer actually uses the service. </w:t>
      </w:r>
      <w:r w:rsidR="006F5380" w:rsidRPr="006B2038">
        <w:rPr>
          <w:rStyle w:val="documentbody1"/>
          <w:rFonts w:ascii="Times New Roman" w:hAnsi="Times New Roman"/>
          <w:sz w:val="22"/>
          <w:szCs w:val="22"/>
        </w:rPr>
        <w:t xml:space="preserve"> </w:t>
      </w:r>
      <w:r w:rsidR="00083292" w:rsidRPr="006B2038">
        <w:rPr>
          <w:rStyle w:val="documentbody1"/>
          <w:rFonts w:ascii="Times New Roman" w:hAnsi="Times New Roman"/>
          <w:sz w:val="22"/>
          <w:szCs w:val="22"/>
        </w:rPr>
        <w:t>We are persuaded that r</w:t>
      </w:r>
      <w:r w:rsidR="00C96031" w:rsidRPr="006B2038">
        <w:rPr>
          <w:rStyle w:val="documentbody1"/>
          <w:rFonts w:ascii="Times New Roman" w:hAnsi="Times New Roman"/>
          <w:sz w:val="22"/>
          <w:szCs w:val="22"/>
        </w:rPr>
        <w:t>equiring carriers t</w:t>
      </w:r>
      <w:r w:rsidR="0049637A" w:rsidRPr="006B2038">
        <w:rPr>
          <w:rStyle w:val="documentbody1"/>
          <w:rFonts w:ascii="Times New Roman" w:hAnsi="Times New Roman"/>
          <w:sz w:val="22"/>
          <w:szCs w:val="22"/>
        </w:rPr>
        <w:t xml:space="preserve">o create </w:t>
      </w:r>
      <w:r w:rsidR="00083292" w:rsidRPr="006B2038">
        <w:rPr>
          <w:rStyle w:val="documentbody1"/>
          <w:rFonts w:ascii="Times New Roman" w:hAnsi="Times New Roman"/>
          <w:sz w:val="22"/>
          <w:szCs w:val="22"/>
        </w:rPr>
        <w:t xml:space="preserve">or purchase </w:t>
      </w:r>
      <w:r w:rsidR="0049637A" w:rsidRPr="006B2038">
        <w:rPr>
          <w:rStyle w:val="documentbody1"/>
          <w:rFonts w:ascii="Times New Roman" w:hAnsi="Times New Roman"/>
          <w:sz w:val="22"/>
          <w:szCs w:val="22"/>
        </w:rPr>
        <w:t xml:space="preserve">a database of </w:t>
      </w:r>
      <w:r w:rsidR="00C96031" w:rsidRPr="006B2038">
        <w:rPr>
          <w:rStyle w:val="documentbody1"/>
          <w:rFonts w:ascii="Times New Roman" w:hAnsi="Times New Roman"/>
          <w:sz w:val="22"/>
          <w:szCs w:val="22"/>
        </w:rPr>
        <w:t xml:space="preserve">the physical addresses of </w:t>
      </w:r>
      <w:r w:rsidR="0049637A" w:rsidRPr="006B2038">
        <w:rPr>
          <w:rStyle w:val="documentbody1"/>
          <w:rFonts w:ascii="Times New Roman" w:hAnsi="Times New Roman"/>
          <w:sz w:val="22"/>
          <w:szCs w:val="22"/>
        </w:rPr>
        <w:t xml:space="preserve">all </w:t>
      </w:r>
      <w:r w:rsidR="00C96031" w:rsidRPr="006B2038">
        <w:rPr>
          <w:rStyle w:val="documentbody1"/>
          <w:rFonts w:ascii="Times New Roman" w:hAnsi="Times New Roman"/>
          <w:sz w:val="22"/>
          <w:szCs w:val="22"/>
        </w:rPr>
        <w:t>post offices in the United States would create a substantial burden for little actual gain.</w:t>
      </w:r>
      <w:r w:rsidR="00C96031" w:rsidRPr="006B2038">
        <w:rPr>
          <w:rStyle w:val="FootnoteReference"/>
          <w:sz w:val="22"/>
          <w:szCs w:val="22"/>
        </w:rPr>
        <w:footnoteReference w:id="38"/>
      </w:r>
      <w:r w:rsidR="00C96031"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The use of customer billing address as a proxy for customer location was originally adopted because ETCs already had access to customer billing addresses and would not need to create new databases.</w:t>
      </w:r>
      <w:r w:rsidRPr="006B2038">
        <w:rPr>
          <w:rStyle w:val="FootnoteReference"/>
          <w:sz w:val="22"/>
          <w:szCs w:val="22"/>
        </w:rPr>
        <w:footnoteReference w:id="39"/>
      </w:r>
      <w:r w:rsidRPr="006B2038">
        <w:rPr>
          <w:rStyle w:val="documentbody1"/>
          <w:rFonts w:ascii="Times New Roman" w:hAnsi="Times New Roman"/>
          <w:sz w:val="22"/>
          <w:szCs w:val="22"/>
        </w:rPr>
        <w:t xml:space="preserve">  Requiring </w:t>
      </w:r>
      <w:r w:rsidR="00060FD7" w:rsidRPr="006B2038">
        <w:rPr>
          <w:rStyle w:val="documentbody1"/>
          <w:rFonts w:ascii="Times New Roman" w:hAnsi="Times New Roman"/>
          <w:sz w:val="22"/>
          <w:szCs w:val="22"/>
        </w:rPr>
        <w:t xml:space="preserve">AT&amp;T </w:t>
      </w:r>
      <w:r w:rsidRPr="006B2038">
        <w:rPr>
          <w:rStyle w:val="documentbody1"/>
          <w:rFonts w:ascii="Times New Roman" w:hAnsi="Times New Roman"/>
          <w:sz w:val="22"/>
          <w:szCs w:val="22"/>
        </w:rPr>
        <w:t xml:space="preserve">to build </w:t>
      </w:r>
      <w:r w:rsidR="00060FD7" w:rsidRPr="006B2038">
        <w:rPr>
          <w:rStyle w:val="documentbody1"/>
          <w:rFonts w:ascii="Times New Roman" w:hAnsi="Times New Roman"/>
          <w:sz w:val="22"/>
          <w:szCs w:val="22"/>
        </w:rPr>
        <w:t xml:space="preserve">or acquire </w:t>
      </w:r>
      <w:r w:rsidRPr="006B2038">
        <w:rPr>
          <w:rStyle w:val="documentbody1"/>
          <w:rFonts w:ascii="Times New Roman" w:hAnsi="Times New Roman"/>
          <w:sz w:val="22"/>
          <w:szCs w:val="22"/>
        </w:rPr>
        <w:t xml:space="preserve">a database of post office addresses </w:t>
      </w:r>
      <w:r w:rsidR="00183359" w:rsidRPr="006B2038">
        <w:rPr>
          <w:rStyle w:val="documentbody1"/>
          <w:rFonts w:ascii="Times New Roman" w:hAnsi="Times New Roman"/>
          <w:sz w:val="22"/>
          <w:szCs w:val="22"/>
        </w:rPr>
        <w:t>would be antithetical to th</w:t>
      </w:r>
      <w:r w:rsidR="00083292" w:rsidRPr="006B2038">
        <w:rPr>
          <w:rStyle w:val="documentbody1"/>
          <w:rFonts w:ascii="Times New Roman" w:hAnsi="Times New Roman"/>
          <w:sz w:val="22"/>
          <w:szCs w:val="22"/>
        </w:rPr>
        <w:t>e Commission’s original intent in adopting the rule</w:t>
      </w:r>
      <w:r w:rsidR="00183359" w:rsidRPr="006B2038">
        <w:rPr>
          <w:rStyle w:val="documentbody1"/>
          <w:rFonts w:ascii="Times New Roman" w:hAnsi="Times New Roman"/>
          <w:sz w:val="22"/>
          <w:szCs w:val="22"/>
        </w:rPr>
        <w:t>.</w:t>
      </w:r>
      <w:r w:rsidR="00E013C8" w:rsidRPr="006B2038">
        <w:rPr>
          <w:rStyle w:val="documentbody1"/>
          <w:rFonts w:ascii="Times New Roman" w:hAnsi="Times New Roman"/>
          <w:sz w:val="22"/>
          <w:szCs w:val="22"/>
        </w:rPr>
        <w:t xml:space="preserve">  Additionally, no evidence in the record suggests that using the address of the post office is a substantially more accurate proxy for where a customer uses the service than the centroid of the ZIP code.  Requiring carriers to map the location of post offices would require significant effort for little practical benefit.  Conversely,</w:t>
      </w:r>
      <w:r w:rsidR="00183359" w:rsidRPr="006B2038">
        <w:rPr>
          <w:rStyle w:val="documentbody1"/>
          <w:rFonts w:ascii="Times New Roman" w:hAnsi="Times New Roman"/>
          <w:sz w:val="22"/>
          <w:szCs w:val="22"/>
        </w:rPr>
        <w:t xml:space="preserve"> </w:t>
      </w:r>
      <w:r w:rsidR="00E013C8" w:rsidRPr="006B2038">
        <w:rPr>
          <w:rStyle w:val="documentbody1"/>
          <w:rFonts w:ascii="Times New Roman" w:hAnsi="Times New Roman"/>
          <w:sz w:val="22"/>
          <w:szCs w:val="22"/>
        </w:rPr>
        <w:t>u</w:t>
      </w:r>
      <w:r w:rsidR="00C96031" w:rsidRPr="006B2038">
        <w:rPr>
          <w:rStyle w:val="documentbody1"/>
          <w:rFonts w:ascii="Times New Roman" w:hAnsi="Times New Roman"/>
          <w:sz w:val="22"/>
          <w:szCs w:val="22"/>
        </w:rPr>
        <w:t>sing the centroid of the ZIP code provides an administratively convenient and reasonabl</w:t>
      </w:r>
      <w:r w:rsidR="00083292" w:rsidRPr="006B2038">
        <w:rPr>
          <w:rStyle w:val="documentbody1"/>
          <w:rFonts w:ascii="Times New Roman" w:hAnsi="Times New Roman"/>
          <w:sz w:val="22"/>
          <w:szCs w:val="22"/>
        </w:rPr>
        <w:t>e</w:t>
      </w:r>
      <w:r w:rsidR="00C96031" w:rsidRPr="006B2038">
        <w:rPr>
          <w:rStyle w:val="documentbody1"/>
          <w:rFonts w:ascii="Times New Roman" w:hAnsi="Times New Roman"/>
          <w:sz w:val="22"/>
          <w:szCs w:val="22"/>
        </w:rPr>
        <w:t xml:space="preserve"> proxy.  </w:t>
      </w:r>
      <w:r w:rsidR="00183359" w:rsidRPr="006B2038">
        <w:rPr>
          <w:rStyle w:val="documentbody1"/>
          <w:rFonts w:ascii="Times New Roman" w:hAnsi="Times New Roman"/>
          <w:sz w:val="22"/>
          <w:szCs w:val="22"/>
        </w:rPr>
        <w:t>Furthermore, allowing an ETC to use the centroid of a ZIP code rather than the exact street address of the post office is unlikely to create any significant arbitrage opportunities.</w:t>
      </w:r>
    </w:p>
    <w:p w:rsidR="00183359" w:rsidRPr="006B2038" w:rsidRDefault="00183359"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Therefore, </w:t>
      </w:r>
      <w:r w:rsidR="008A52F5" w:rsidRPr="006B2038">
        <w:rPr>
          <w:rStyle w:val="documentbody1"/>
          <w:rFonts w:ascii="Times New Roman" w:hAnsi="Times New Roman"/>
          <w:sz w:val="22"/>
          <w:szCs w:val="22"/>
        </w:rPr>
        <w:t>we instruct</w:t>
      </w:r>
      <w:r w:rsidRPr="006B2038">
        <w:rPr>
          <w:rStyle w:val="documentbody1"/>
          <w:rFonts w:ascii="Times New Roman" w:hAnsi="Times New Roman"/>
          <w:sz w:val="22"/>
          <w:szCs w:val="22"/>
        </w:rPr>
        <w:t xml:space="preserve"> USAC to recalculate the amount of support consistent </w:t>
      </w:r>
      <w:r w:rsidR="00B2471E" w:rsidRPr="006B2038">
        <w:rPr>
          <w:rStyle w:val="documentbody1"/>
          <w:rFonts w:ascii="Times New Roman" w:hAnsi="Times New Roman"/>
          <w:sz w:val="22"/>
          <w:szCs w:val="22"/>
        </w:rPr>
        <w:t xml:space="preserve">with </w:t>
      </w:r>
      <w:r w:rsidRPr="006B2038">
        <w:rPr>
          <w:rStyle w:val="documentbody1"/>
          <w:rFonts w:ascii="Times New Roman" w:hAnsi="Times New Roman"/>
          <w:sz w:val="22"/>
          <w:szCs w:val="22"/>
        </w:rPr>
        <w:t>allowing for plotting P</w:t>
      </w:r>
      <w:r w:rsidR="00751B5B" w:rsidRPr="006B2038">
        <w:rPr>
          <w:rStyle w:val="documentbody1"/>
          <w:rFonts w:ascii="Times New Roman" w:hAnsi="Times New Roman"/>
          <w:sz w:val="22"/>
          <w:szCs w:val="22"/>
        </w:rPr>
        <w:t>.</w:t>
      </w:r>
      <w:r w:rsidRPr="006B2038">
        <w:rPr>
          <w:rStyle w:val="documentbody1"/>
          <w:rFonts w:ascii="Times New Roman" w:hAnsi="Times New Roman"/>
          <w:sz w:val="22"/>
          <w:szCs w:val="22"/>
        </w:rPr>
        <w:t>O</w:t>
      </w:r>
      <w:r w:rsidR="00751B5B" w:rsidRPr="006B2038">
        <w:rPr>
          <w:rStyle w:val="documentbody1"/>
          <w:rFonts w:ascii="Times New Roman" w:hAnsi="Times New Roman"/>
          <w:sz w:val="22"/>
          <w:szCs w:val="22"/>
        </w:rPr>
        <w:t>.</w:t>
      </w:r>
      <w:r w:rsidRPr="006B2038">
        <w:rPr>
          <w:rStyle w:val="documentbody1"/>
          <w:rFonts w:ascii="Times New Roman" w:hAnsi="Times New Roman"/>
          <w:sz w:val="22"/>
          <w:szCs w:val="22"/>
        </w:rPr>
        <w:t xml:space="preserve"> boxes to the centroid of the ZIP code.</w:t>
      </w:r>
    </w:p>
    <w:p w:rsidR="007C5461" w:rsidRPr="006B2038" w:rsidRDefault="007C5461"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PR Wireless Request for Review.</w:t>
      </w:r>
      <w:r w:rsidR="00BF538C" w:rsidRPr="006B2038">
        <w:rPr>
          <w:rStyle w:val="documentbody1"/>
          <w:rFonts w:ascii="Times New Roman" w:hAnsi="Times New Roman"/>
          <w:sz w:val="22"/>
          <w:szCs w:val="22"/>
        </w:rPr>
        <w:t xml:space="preserve">  PR Wireless filed a request for review of a decision by USAC to recover universal service support fol</w:t>
      </w:r>
      <w:r w:rsidR="009E7B5A" w:rsidRPr="006B2038">
        <w:rPr>
          <w:rStyle w:val="documentbody1"/>
          <w:rFonts w:ascii="Times New Roman" w:hAnsi="Times New Roman"/>
          <w:sz w:val="22"/>
          <w:szCs w:val="22"/>
        </w:rPr>
        <w:t>lowing the results of a</w:t>
      </w:r>
      <w:r w:rsidR="003561E4" w:rsidRPr="006B2038">
        <w:rPr>
          <w:rStyle w:val="documentbody1"/>
          <w:rFonts w:ascii="Times New Roman" w:hAnsi="Times New Roman"/>
          <w:sz w:val="22"/>
          <w:szCs w:val="22"/>
        </w:rPr>
        <w:t xml:space="preserve"> 2009</w:t>
      </w:r>
      <w:r w:rsidR="009E7B5A" w:rsidRPr="006B2038">
        <w:rPr>
          <w:rStyle w:val="documentbody1"/>
          <w:rFonts w:ascii="Times New Roman" w:hAnsi="Times New Roman"/>
          <w:sz w:val="22"/>
          <w:szCs w:val="22"/>
        </w:rPr>
        <w:t xml:space="preserve"> audit that </w:t>
      </w:r>
      <w:r w:rsidR="00C54D16" w:rsidRPr="006B2038">
        <w:rPr>
          <w:rStyle w:val="documentbody1"/>
          <w:rFonts w:ascii="Times New Roman" w:hAnsi="Times New Roman"/>
          <w:sz w:val="22"/>
          <w:szCs w:val="22"/>
        </w:rPr>
        <w:t>revealed that no billing address information was provided for prepaid wireless customers.</w:t>
      </w:r>
      <w:r w:rsidR="00C54D16" w:rsidRPr="006B2038">
        <w:rPr>
          <w:rStyle w:val="FootnoteReference"/>
          <w:sz w:val="22"/>
          <w:szCs w:val="22"/>
        </w:rPr>
        <w:footnoteReference w:id="40"/>
      </w:r>
      <w:r w:rsidR="00C54D16" w:rsidRPr="006B2038">
        <w:rPr>
          <w:rStyle w:val="documentbody1"/>
          <w:rFonts w:ascii="Times New Roman" w:hAnsi="Times New Roman"/>
          <w:sz w:val="22"/>
          <w:szCs w:val="22"/>
        </w:rPr>
        <w:t xml:space="preserve">  We </w:t>
      </w:r>
      <w:r w:rsidR="008A7C18" w:rsidRPr="006B2038">
        <w:rPr>
          <w:rStyle w:val="documentbody1"/>
          <w:rFonts w:ascii="Times New Roman" w:hAnsi="Times New Roman"/>
          <w:sz w:val="22"/>
          <w:szCs w:val="22"/>
        </w:rPr>
        <w:t>grant</w:t>
      </w:r>
      <w:r w:rsidR="00C54D16" w:rsidRPr="006B2038">
        <w:rPr>
          <w:rStyle w:val="documentbody1"/>
          <w:rFonts w:ascii="Times New Roman" w:hAnsi="Times New Roman"/>
          <w:sz w:val="22"/>
          <w:szCs w:val="22"/>
        </w:rPr>
        <w:t xml:space="preserve"> PR Wireless’</w:t>
      </w:r>
      <w:r w:rsidR="0049637A" w:rsidRPr="006B2038">
        <w:rPr>
          <w:rStyle w:val="documentbody1"/>
          <w:rFonts w:ascii="Times New Roman" w:hAnsi="Times New Roman"/>
          <w:sz w:val="22"/>
          <w:szCs w:val="22"/>
        </w:rPr>
        <w:t>s</w:t>
      </w:r>
      <w:r w:rsidR="00C54D16" w:rsidRPr="006B2038">
        <w:rPr>
          <w:rStyle w:val="documentbody1"/>
          <w:rFonts w:ascii="Times New Roman" w:hAnsi="Times New Roman"/>
          <w:sz w:val="22"/>
          <w:szCs w:val="22"/>
        </w:rPr>
        <w:t xml:space="preserve"> request for review.</w:t>
      </w:r>
    </w:p>
    <w:p w:rsidR="00C54D16" w:rsidRPr="006B2038" w:rsidRDefault="00C54D16"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PR Wireless </w:t>
      </w:r>
      <w:r w:rsidR="003F66FB" w:rsidRPr="006B2038">
        <w:rPr>
          <w:rStyle w:val="documentbody1"/>
          <w:rFonts w:ascii="Times New Roman" w:hAnsi="Times New Roman"/>
          <w:sz w:val="22"/>
          <w:szCs w:val="22"/>
        </w:rPr>
        <w:t xml:space="preserve">states </w:t>
      </w:r>
      <w:r w:rsidR="00C1051C" w:rsidRPr="006B2038">
        <w:rPr>
          <w:rStyle w:val="documentbody1"/>
          <w:rFonts w:ascii="Times New Roman" w:hAnsi="Times New Roman"/>
          <w:sz w:val="22"/>
          <w:szCs w:val="22"/>
        </w:rPr>
        <w:t xml:space="preserve">it </w:t>
      </w:r>
      <w:r w:rsidRPr="006B2038">
        <w:rPr>
          <w:rStyle w:val="documentbody1"/>
          <w:rFonts w:ascii="Times New Roman" w:hAnsi="Times New Roman"/>
          <w:sz w:val="22"/>
          <w:szCs w:val="22"/>
        </w:rPr>
        <w:t xml:space="preserve">was under the mistaken impression </w:t>
      </w:r>
      <w:r w:rsidR="003F66FB" w:rsidRPr="006B2038">
        <w:rPr>
          <w:rStyle w:val="documentbody1"/>
          <w:rFonts w:ascii="Times New Roman" w:hAnsi="Times New Roman"/>
          <w:sz w:val="22"/>
          <w:szCs w:val="22"/>
        </w:rPr>
        <w:t xml:space="preserve">prior to the audit </w:t>
      </w:r>
      <w:r w:rsidRPr="006B2038">
        <w:rPr>
          <w:rStyle w:val="documentbody1"/>
          <w:rFonts w:ascii="Times New Roman" w:hAnsi="Times New Roman"/>
          <w:sz w:val="22"/>
          <w:szCs w:val="22"/>
        </w:rPr>
        <w:t>that its</w:t>
      </w:r>
      <w:r w:rsidR="003E3CA3" w:rsidRPr="006B2038">
        <w:rPr>
          <w:rStyle w:val="documentbody1"/>
          <w:rFonts w:ascii="Times New Roman" w:hAnsi="Times New Roman"/>
          <w:sz w:val="22"/>
          <w:szCs w:val="22"/>
        </w:rPr>
        <w:t xml:space="preserve"> entire</w:t>
      </w:r>
      <w:r w:rsidRPr="006B2038">
        <w:rPr>
          <w:rStyle w:val="documentbody1"/>
          <w:rFonts w:ascii="Times New Roman" w:hAnsi="Times New Roman"/>
          <w:sz w:val="22"/>
          <w:szCs w:val="22"/>
        </w:rPr>
        <w:t xml:space="preserve"> ETC service area consisted of only one study area</w:t>
      </w:r>
      <w:r w:rsidR="0049637A"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PRTC.</w:t>
      </w:r>
      <w:r w:rsidR="00894D54" w:rsidRPr="006B2038">
        <w:rPr>
          <w:rStyle w:val="FootnoteReference"/>
          <w:sz w:val="22"/>
          <w:szCs w:val="22"/>
        </w:rPr>
        <w:footnoteReference w:id="41"/>
      </w:r>
      <w:r w:rsidRPr="006B2038">
        <w:rPr>
          <w:rStyle w:val="documentbody1"/>
          <w:rFonts w:ascii="Times New Roman" w:hAnsi="Times New Roman"/>
          <w:sz w:val="22"/>
          <w:szCs w:val="22"/>
        </w:rPr>
        <w:t xml:space="preserve"> </w:t>
      </w:r>
      <w:r w:rsidR="003E3CA3" w:rsidRPr="006B2038">
        <w:rPr>
          <w:rStyle w:val="documentbody1"/>
          <w:rFonts w:ascii="Times New Roman" w:hAnsi="Times New Roman"/>
          <w:sz w:val="22"/>
          <w:szCs w:val="22"/>
        </w:rPr>
        <w:t xml:space="preserve"> Thus, PR Wireless reported no addresses for its prepaid customers because it believed such information would be irrelevant, as all </w:t>
      </w:r>
      <w:r w:rsidR="00894D54" w:rsidRPr="006B2038">
        <w:rPr>
          <w:rStyle w:val="documentbody1"/>
          <w:rFonts w:ascii="Times New Roman" w:hAnsi="Times New Roman"/>
          <w:sz w:val="22"/>
          <w:szCs w:val="22"/>
        </w:rPr>
        <w:t>lines</w:t>
      </w:r>
      <w:r w:rsidR="003E3CA3" w:rsidRPr="006B2038">
        <w:rPr>
          <w:rStyle w:val="documentbody1"/>
          <w:rFonts w:ascii="Times New Roman" w:hAnsi="Times New Roman"/>
          <w:sz w:val="22"/>
          <w:szCs w:val="22"/>
        </w:rPr>
        <w:t xml:space="preserve"> would receive the same level of support as they were all in the same study area.</w:t>
      </w:r>
      <w:r w:rsidR="00894D54" w:rsidRPr="006B2038">
        <w:rPr>
          <w:rStyle w:val="FootnoteReference"/>
          <w:sz w:val="22"/>
          <w:szCs w:val="22"/>
        </w:rPr>
        <w:footnoteReference w:id="42"/>
      </w:r>
      <w:r w:rsidR="003E3CA3"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 xml:space="preserve"> However, </w:t>
      </w:r>
      <w:r w:rsidR="00083292" w:rsidRPr="006B2038">
        <w:rPr>
          <w:rStyle w:val="documentbody1"/>
          <w:rFonts w:ascii="Times New Roman" w:hAnsi="Times New Roman"/>
          <w:sz w:val="22"/>
          <w:szCs w:val="22"/>
        </w:rPr>
        <w:t xml:space="preserve">PR Wireless states that </w:t>
      </w:r>
      <w:r w:rsidR="00573D64" w:rsidRPr="006B2038">
        <w:rPr>
          <w:rStyle w:val="documentbody1"/>
          <w:rFonts w:ascii="Times New Roman" w:hAnsi="Times New Roman"/>
          <w:sz w:val="22"/>
          <w:szCs w:val="22"/>
        </w:rPr>
        <w:t xml:space="preserve">during the audit, </w:t>
      </w:r>
      <w:r w:rsidR="00083292" w:rsidRPr="006B2038">
        <w:rPr>
          <w:rStyle w:val="documentbody1"/>
          <w:rFonts w:ascii="Times New Roman" w:hAnsi="Times New Roman"/>
          <w:sz w:val="22"/>
          <w:szCs w:val="22"/>
        </w:rPr>
        <w:t>it</w:t>
      </w:r>
      <w:r w:rsidRPr="006B2038">
        <w:rPr>
          <w:rStyle w:val="documentbody1"/>
          <w:rFonts w:ascii="Times New Roman" w:hAnsi="Times New Roman"/>
          <w:sz w:val="22"/>
          <w:szCs w:val="22"/>
        </w:rPr>
        <w:t xml:space="preserve"> discovered that its ETC service area also included territory in another study area: PRTC-Central.</w:t>
      </w:r>
      <w:r w:rsidR="00894D54" w:rsidRPr="006B2038">
        <w:rPr>
          <w:rStyle w:val="FootnoteReference"/>
          <w:sz w:val="22"/>
          <w:szCs w:val="22"/>
        </w:rPr>
        <w:footnoteReference w:id="43"/>
      </w:r>
      <w:r w:rsidRPr="006B2038">
        <w:rPr>
          <w:rStyle w:val="documentbody1"/>
          <w:rFonts w:ascii="Times New Roman" w:hAnsi="Times New Roman"/>
          <w:sz w:val="22"/>
          <w:szCs w:val="22"/>
        </w:rPr>
        <w:t xml:space="preserve">  </w:t>
      </w:r>
      <w:r w:rsidR="003E3CA3" w:rsidRPr="006B2038">
        <w:rPr>
          <w:rStyle w:val="documentbody1"/>
          <w:rFonts w:ascii="Times New Roman" w:hAnsi="Times New Roman"/>
          <w:sz w:val="22"/>
          <w:szCs w:val="22"/>
        </w:rPr>
        <w:t xml:space="preserve">It </w:t>
      </w:r>
      <w:r w:rsidR="00083292" w:rsidRPr="006B2038">
        <w:rPr>
          <w:rStyle w:val="documentbody1"/>
          <w:rFonts w:ascii="Times New Roman" w:hAnsi="Times New Roman"/>
          <w:sz w:val="22"/>
          <w:szCs w:val="22"/>
        </w:rPr>
        <w:t xml:space="preserve">then </w:t>
      </w:r>
      <w:r w:rsidR="003E3CA3" w:rsidRPr="006B2038">
        <w:rPr>
          <w:rStyle w:val="documentbody1"/>
          <w:rFonts w:ascii="Times New Roman" w:hAnsi="Times New Roman"/>
          <w:sz w:val="22"/>
          <w:szCs w:val="22"/>
        </w:rPr>
        <w:t>undertook the process of assigning its customers to the PRTC or PRTC-Central study areas.</w:t>
      </w:r>
      <w:r w:rsidR="00894D54" w:rsidRPr="006B2038">
        <w:rPr>
          <w:rStyle w:val="FootnoteReference"/>
          <w:sz w:val="22"/>
          <w:szCs w:val="22"/>
        </w:rPr>
        <w:footnoteReference w:id="44"/>
      </w:r>
      <w:r w:rsidR="003E3CA3" w:rsidRPr="006B2038">
        <w:rPr>
          <w:rStyle w:val="documentbody1"/>
          <w:rFonts w:ascii="Times New Roman" w:hAnsi="Times New Roman"/>
          <w:sz w:val="22"/>
          <w:szCs w:val="22"/>
        </w:rPr>
        <w:t xml:space="preserve">  However, </w:t>
      </w:r>
      <w:r w:rsidR="00C1051C" w:rsidRPr="006B2038">
        <w:rPr>
          <w:rStyle w:val="documentbody1"/>
          <w:rFonts w:ascii="Times New Roman" w:hAnsi="Times New Roman"/>
          <w:sz w:val="22"/>
          <w:szCs w:val="22"/>
        </w:rPr>
        <w:t xml:space="preserve">according to the petition, </w:t>
      </w:r>
      <w:r w:rsidR="003E3CA3" w:rsidRPr="006B2038">
        <w:rPr>
          <w:rStyle w:val="documentbody1"/>
          <w:rFonts w:ascii="Times New Roman" w:hAnsi="Times New Roman"/>
          <w:sz w:val="22"/>
          <w:szCs w:val="22"/>
        </w:rPr>
        <w:t xml:space="preserve">as </w:t>
      </w:r>
      <w:r w:rsidR="00C1051C" w:rsidRPr="006B2038">
        <w:rPr>
          <w:rStyle w:val="documentbody1"/>
          <w:rFonts w:ascii="Times New Roman" w:hAnsi="Times New Roman"/>
          <w:sz w:val="22"/>
          <w:szCs w:val="22"/>
        </w:rPr>
        <w:t>PR Wireless</w:t>
      </w:r>
      <w:r w:rsidR="003E3CA3" w:rsidRPr="006B2038">
        <w:rPr>
          <w:rStyle w:val="documentbody1"/>
          <w:rFonts w:ascii="Times New Roman" w:hAnsi="Times New Roman"/>
          <w:sz w:val="22"/>
          <w:szCs w:val="22"/>
        </w:rPr>
        <w:t xml:space="preserve"> had no </w:t>
      </w:r>
      <w:r w:rsidR="0079737D" w:rsidRPr="006B2038">
        <w:rPr>
          <w:rStyle w:val="documentbody1"/>
          <w:rFonts w:ascii="Times New Roman" w:hAnsi="Times New Roman"/>
          <w:sz w:val="22"/>
          <w:szCs w:val="22"/>
        </w:rPr>
        <w:t xml:space="preserve">address information on its prepaid customers, </w:t>
      </w:r>
      <w:r w:rsidR="007D7BE8" w:rsidRPr="006B2038">
        <w:rPr>
          <w:rStyle w:val="documentbody1"/>
          <w:rFonts w:ascii="Times New Roman" w:hAnsi="Times New Roman"/>
          <w:sz w:val="22"/>
          <w:szCs w:val="22"/>
        </w:rPr>
        <w:t>it could not provide the required information to USAC</w:t>
      </w:r>
      <w:r w:rsidR="0079737D" w:rsidRPr="006B2038">
        <w:rPr>
          <w:rStyle w:val="documentbody1"/>
          <w:rFonts w:ascii="Times New Roman" w:hAnsi="Times New Roman"/>
          <w:sz w:val="22"/>
          <w:szCs w:val="22"/>
        </w:rPr>
        <w:t>.</w:t>
      </w:r>
      <w:r w:rsidR="007D7BE8" w:rsidRPr="006B2038">
        <w:rPr>
          <w:rStyle w:val="FootnoteReference"/>
          <w:sz w:val="22"/>
          <w:szCs w:val="22"/>
        </w:rPr>
        <w:footnoteReference w:id="45"/>
      </w:r>
      <w:r w:rsidR="0079737D" w:rsidRPr="006B2038">
        <w:rPr>
          <w:rStyle w:val="documentbody1"/>
          <w:rFonts w:ascii="Times New Roman" w:hAnsi="Times New Roman"/>
          <w:sz w:val="22"/>
          <w:szCs w:val="22"/>
        </w:rPr>
        <w:t xml:space="preserve">  USAC sought to recover </w:t>
      </w:r>
      <w:r w:rsidR="003F66FB" w:rsidRPr="006B2038">
        <w:rPr>
          <w:rStyle w:val="documentbody1"/>
          <w:rFonts w:ascii="Times New Roman" w:hAnsi="Times New Roman"/>
          <w:sz w:val="22"/>
          <w:szCs w:val="22"/>
        </w:rPr>
        <w:t>high-cost</w:t>
      </w:r>
      <w:r w:rsidR="0079737D" w:rsidRPr="006B2038">
        <w:rPr>
          <w:rStyle w:val="documentbody1"/>
          <w:rFonts w:ascii="Times New Roman" w:hAnsi="Times New Roman"/>
          <w:sz w:val="22"/>
          <w:szCs w:val="22"/>
        </w:rPr>
        <w:t xml:space="preserve"> support </w:t>
      </w:r>
      <w:r w:rsidR="003F66FB" w:rsidRPr="006B2038">
        <w:rPr>
          <w:rStyle w:val="documentbody1"/>
          <w:rFonts w:ascii="Times New Roman" w:hAnsi="Times New Roman"/>
          <w:sz w:val="22"/>
          <w:szCs w:val="22"/>
        </w:rPr>
        <w:t xml:space="preserve">for </w:t>
      </w:r>
      <w:r w:rsidR="0079737D" w:rsidRPr="006B2038">
        <w:rPr>
          <w:rStyle w:val="documentbody1"/>
          <w:rFonts w:ascii="Times New Roman" w:hAnsi="Times New Roman"/>
          <w:sz w:val="22"/>
          <w:szCs w:val="22"/>
        </w:rPr>
        <w:t>these prepaid lines</w:t>
      </w:r>
      <w:r w:rsidR="00B710AB" w:rsidRPr="006B2038">
        <w:rPr>
          <w:rStyle w:val="documentbody1"/>
          <w:rFonts w:ascii="Times New Roman" w:hAnsi="Times New Roman"/>
          <w:sz w:val="22"/>
          <w:szCs w:val="22"/>
        </w:rPr>
        <w:t xml:space="preserve">, </w:t>
      </w:r>
      <w:r w:rsidR="003F66FB" w:rsidRPr="006B2038">
        <w:rPr>
          <w:rStyle w:val="documentbody1"/>
          <w:rFonts w:ascii="Times New Roman" w:hAnsi="Times New Roman"/>
          <w:sz w:val="22"/>
          <w:szCs w:val="22"/>
        </w:rPr>
        <w:t>conclud</w:t>
      </w:r>
      <w:r w:rsidR="00EB14A2" w:rsidRPr="006B2038">
        <w:rPr>
          <w:rStyle w:val="documentbody1"/>
          <w:rFonts w:ascii="Times New Roman" w:hAnsi="Times New Roman"/>
          <w:sz w:val="22"/>
          <w:szCs w:val="22"/>
        </w:rPr>
        <w:t>ing</w:t>
      </w:r>
      <w:r w:rsidR="003F66FB" w:rsidRPr="006B2038">
        <w:rPr>
          <w:rStyle w:val="documentbody1"/>
          <w:rFonts w:ascii="Times New Roman" w:hAnsi="Times New Roman"/>
          <w:sz w:val="22"/>
          <w:szCs w:val="22"/>
        </w:rPr>
        <w:t xml:space="preserve"> </w:t>
      </w:r>
      <w:r w:rsidR="00B710AB" w:rsidRPr="006B2038">
        <w:rPr>
          <w:rStyle w:val="documentbody1"/>
          <w:rFonts w:ascii="Times New Roman" w:hAnsi="Times New Roman"/>
          <w:sz w:val="22"/>
          <w:szCs w:val="22"/>
        </w:rPr>
        <w:t>that the support had been improperly provided</w:t>
      </w:r>
      <w:r w:rsidR="0079737D" w:rsidRPr="006B2038">
        <w:rPr>
          <w:rStyle w:val="documentbody1"/>
          <w:rFonts w:ascii="Times New Roman" w:hAnsi="Times New Roman"/>
          <w:sz w:val="22"/>
          <w:szCs w:val="22"/>
        </w:rPr>
        <w:t>.</w:t>
      </w:r>
      <w:r w:rsidR="00894D54" w:rsidRPr="006B2038">
        <w:rPr>
          <w:rStyle w:val="FootnoteReference"/>
          <w:sz w:val="22"/>
          <w:szCs w:val="22"/>
        </w:rPr>
        <w:footnoteReference w:id="46"/>
      </w:r>
      <w:r w:rsidR="00CF5EB9" w:rsidRPr="006B2038">
        <w:rPr>
          <w:rStyle w:val="documentbody1"/>
          <w:rFonts w:ascii="Times New Roman" w:hAnsi="Times New Roman"/>
          <w:sz w:val="22"/>
          <w:szCs w:val="22"/>
        </w:rPr>
        <w:t xml:space="preserve">  </w:t>
      </w:r>
    </w:p>
    <w:p w:rsidR="00EB0549" w:rsidRPr="006B2038" w:rsidRDefault="009840AF"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We conclude in this instance</w:t>
      </w:r>
      <w:r w:rsidR="005727F4"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 xml:space="preserve">that it would be appropriate to </w:t>
      </w:r>
      <w:r w:rsidR="00AB69F8" w:rsidRPr="006B2038">
        <w:rPr>
          <w:rStyle w:val="documentbody1"/>
          <w:rFonts w:ascii="Times New Roman" w:hAnsi="Times New Roman"/>
          <w:sz w:val="22"/>
          <w:szCs w:val="22"/>
        </w:rPr>
        <w:t xml:space="preserve">provide a limited </w:t>
      </w:r>
      <w:r w:rsidRPr="006B2038">
        <w:rPr>
          <w:rStyle w:val="documentbody1"/>
          <w:rFonts w:ascii="Times New Roman" w:hAnsi="Times New Roman"/>
          <w:sz w:val="22"/>
          <w:szCs w:val="22"/>
        </w:rPr>
        <w:t>waive</w:t>
      </w:r>
      <w:r w:rsidR="00AB69F8" w:rsidRPr="006B2038">
        <w:rPr>
          <w:rStyle w:val="documentbody1"/>
          <w:rFonts w:ascii="Times New Roman" w:hAnsi="Times New Roman"/>
          <w:sz w:val="22"/>
          <w:szCs w:val="22"/>
        </w:rPr>
        <w:t>r of</w:t>
      </w:r>
      <w:r w:rsidRPr="006B2038">
        <w:rPr>
          <w:rStyle w:val="documentbody1"/>
          <w:rFonts w:ascii="Times New Roman" w:hAnsi="Times New Roman"/>
          <w:sz w:val="22"/>
          <w:szCs w:val="22"/>
        </w:rPr>
        <w:t xml:space="preserve"> the application of section 54.307(b) for the prepaid lines without billing addresses to the extent those lines were assigned to the PRTC study area, as </w:t>
      </w:r>
      <w:r w:rsidR="00344DCD" w:rsidRPr="006B2038">
        <w:rPr>
          <w:rStyle w:val="documentbody1"/>
          <w:rFonts w:ascii="Times New Roman" w:hAnsi="Times New Roman"/>
          <w:sz w:val="22"/>
          <w:szCs w:val="22"/>
        </w:rPr>
        <w:t xml:space="preserve">utilizing that approach </w:t>
      </w:r>
      <w:r w:rsidRPr="006B2038">
        <w:rPr>
          <w:rStyle w:val="documentbody1"/>
          <w:rFonts w:ascii="Times New Roman" w:hAnsi="Times New Roman"/>
          <w:sz w:val="22"/>
          <w:szCs w:val="22"/>
        </w:rPr>
        <w:t>result</w:t>
      </w:r>
      <w:r w:rsidR="0088213C" w:rsidRPr="006B2038">
        <w:rPr>
          <w:rStyle w:val="documentbody1"/>
          <w:rFonts w:ascii="Times New Roman" w:hAnsi="Times New Roman"/>
          <w:sz w:val="22"/>
          <w:szCs w:val="22"/>
        </w:rPr>
        <w:t>ed</w:t>
      </w:r>
      <w:r w:rsidRPr="006B2038">
        <w:rPr>
          <w:rStyle w:val="documentbody1"/>
          <w:rFonts w:ascii="Times New Roman" w:hAnsi="Times New Roman"/>
          <w:sz w:val="22"/>
          <w:szCs w:val="22"/>
        </w:rPr>
        <w:t xml:space="preserve"> in a lower support amount than otherwise would be the case.</w:t>
      </w:r>
      <w:r w:rsidR="00EB14A2" w:rsidRPr="006B2038">
        <w:rPr>
          <w:rStyle w:val="documentbody1"/>
          <w:rFonts w:ascii="Times New Roman" w:hAnsi="Times New Roman"/>
          <w:sz w:val="22"/>
          <w:szCs w:val="22"/>
        </w:rPr>
        <w:t xml:space="preserve">  </w:t>
      </w:r>
      <w:r w:rsidR="00EB14A2" w:rsidRPr="006B2038">
        <w:rPr>
          <w:szCs w:val="22"/>
        </w:rPr>
        <w:t xml:space="preserve">PR Wireless’s failure to collect billing addresses and its practice of assigning all subscribers to the PRTC study area actually resulted in less funding than if it had collected addresses and properly assigned subscribers to </w:t>
      </w:r>
      <w:r w:rsidR="00AB69F8" w:rsidRPr="006B2038">
        <w:rPr>
          <w:szCs w:val="22"/>
        </w:rPr>
        <w:t xml:space="preserve">either the </w:t>
      </w:r>
      <w:r w:rsidR="00EB14A2" w:rsidRPr="006B2038">
        <w:rPr>
          <w:szCs w:val="22"/>
        </w:rPr>
        <w:t>PRTC or PRTC-Central</w:t>
      </w:r>
      <w:r w:rsidR="00AB69F8" w:rsidRPr="006B2038">
        <w:rPr>
          <w:szCs w:val="22"/>
        </w:rPr>
        <w:t xml:space="preserve"> study area</w:t>
      </w:r>
      <w:r w:rsidR="00EB14A2" w:rsidRPr="006B2038">
        <w:rPr>
          <w:szCs w:val="22"/>
        </w:rPr>
        <w:t xml:space="preserve">.  We conclude this constitutes special circumstances justifying a waiver, and </w:t>
      </w:r>
      <w:r w:rsidR="00AB69F8" w:rsidRPr="006B2038">
        <w:rPr>
          <w:szCs w:val="22"/>
        </w:rPr>
        <w:t xml:space="preserve">that a limited waiver </w:t>
      </w:r>
      <w:r w:rsidR="00EB14A2" w:rsidRPr="006B2038">
        <w:rPr>
          <w:szCs w:val="22"/>
        </w:rPr>
        <w:t>advances the public interest.</w:t>
      </w:r>
      <w:r w:rsidR="002205AF" w:rsidRPr="006B2038">
        <w:rPr>
          <w:rStyle w:val="FootnoteReference"/>
          <w:sz w:val="22"/>
          <w:szCs w:val="22"/>
        </w:rPr>
        <w:footnoteReference w:id="47"/>
      </w:r>
      <w:r w:rsidR="002205AF"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 xml:space="preserve"> </w:t>
      </w:r>
      <w:r w:rsidR="008A52F5" w:rsidRPr="006B2038">
        <w:rPr>
          <w:rStyle w:val="documentbody1"/>
          <w:rFonts w:ascii="Times New Roman" w:hAnsi="Times New Roman"/>
          <w:sz w:val="22"/>
          <w:szCs w:val="22"/>
        </w:rPr>
        <w:t>We instruct</w:t>
      </w:r>
      <w:r w:rsidR="008A7C18" w:rsidRPr="006B2038">
        <w:rPr>
          <w:rStyle w:val="documentbody1"/>
          <w:rFonts w:ascii="Times New Roman" w:hAnsi="Times New Roman"/>
          <w:sz w:val="22"/>
          <w:szCs w:val="22"/>
        </w:rPr>
        <w:t xml:space="preserve"> </w:t>
      </w:r>
      <w:r w:rsidR="003837CC" w:rsidRPr="006B2038">
        <w:rPr>
          <w:rStyle w:val="documentbody1"/>
          <w:rFonts w:ascii="Times New Roman" w:hAnsi="Times New Roman"/>
          <w:sz w:val="22"/>
          <w:szCs w:val="22"/>
        </w:rPr>
        <w:t xml:space="preserve">USAC </w:t>
      </w:r>
      <w:r w:rsidR="008A7C18" w:rsidRPr="006B2038">
        <w:rPr>
          <w:rStyle w:val="documentbody1"/>
          <w:rFonts w:ascii="Times New Roman" w:hAnsi="Times New Roman"/>
          <w:sz w:val="22"/>
          <w:szCs w:val="22"/>
        </w:rPr>
        <w:t xml:space="preserve">to </w:t>
      </w:r>
      <w:r w:rsidR="0088213C" w:rsidRPr="006B2038">
        <w:rPr>
          <w:rStyle w:val="documentbody1"/>
          <w:rFonts w:ascii="Times New Roman" w:hAnsi="Times New Roman"/>
          <w:sz w:val="22"/>
          <w:szCs w:val="22"/>
        </w:rPr>
        <w:t xml:space="preserve">cease recovery actions for those </w:t>
      </w:r>
      <w:r w:rsidR="002205AF" w:rsidRPr="006B2038">
        <w:rPr>
          <w:rStyle w:val="documentbody1"/>
          <w:rFonts w:ascii="Times New Roman" w:hAnsi="Times New Roman"/>
          <w:sz w:val="22"/>
          <w:szCs w:val="22"/>
        </w:rPr>
        <w:t>lines lacking billing addresses</w:t>
      </w:r>
      <w:r w:rsidR="008A7C18" w:rsidRPr="006B2038">
        <w:rPr>
          <w:rStyle w:val="documentbody1"/>
          <w:rFonts w:ascii="Times New Roman" w:hAnsi="Times New Roman"/>
          <w:sz w:val="22"/>
          <w:szCs w:val="22"/>
        </w:rPr>
        <w:t xml:space="preserve">.  </w:t>
      </w:r>
    </w:p>
    <w:p w:rsidR="00493C15" w:rsidRPr="006B2038" w:rsidRDefault="00493C15" w:rsidP="00780950">
      <w:pPr>
        <w:pStyle w:val="ParaNum"/>
        <w:widowControl/>
        <w:rPr>
          <w:szCs w:val="22"/>
        </w:rPr>
      </w:pPr>
      <w:r w:rsidRPr="006B2038">
        <w:rPr>
          <w:i/>
          <w:szCs w:val="22"/>
        </w:rPr>
        <w:t xml:space="preserve">Cordova Request for Review or Waiver.  </w:t>
      </w:r>
      <w:r w:rsidRPr="006B2038">
        <w:rPr>
          <w:rStyle w:val="documentbody1"/>
          <w:rFonts w:ascii="Times New Roman" w:hAnsi="Times New Roman"/>
          <w:sz w:val="22"/>
          <w:szCs w:val="22"/>
        </w:rPr>
        <w:t>In</w:t>
      </w:r>
      <w:r w:rsidRPr="006B2038">
        <w:rPr>
          <w:szCs w:val="22"/>
        </w:rPr>
        <w:t xml:space="preserve"> 2011, in the course of a routine data </w:t>
      </w:r>
      <w:r w:rsidRPr="006B2038">
        <w:rPr>
          <w:rStyle w:val="documentbody1"/>
          <w:rFonts w:ascii="Times New Roman" w:hAnsi="Times New Roman"/>
          <w:sz w:val="22"/>
          <w:szCs w:val="22"/>
        </w:rPr>
        <w:t>validation</w:t>
      </w:r>
      <w:r w:rsidRPr="006B2038">
        <w:rPr>
          <w:szCs w:val="22"/>
        </w:rPr>
        <w:t xml:space="preserve"> of submitted line counts, USAC informed Cordova that a number of lines were ineligible for high-cost support.</w:t>
      </w:r>
      <w:r w:rsidRPr="006B2038">
        <w:rPr>
          <w:rStyle w:val="FootnoteReference"/>
          <w:sz w:val="22"/>
          <w:szCs w:val="22"/>
        </w:rPr>
        <w:footnoteReference w:id="48"/>
      </w:r>
      <w:r w:rsidRPr="006B2038">
        <w:rPr>
          <w:szCs w:val="22"/>
        </w:rPr>
        <w:t xml:space="preserve">  </w:t>
      </w:r>
      <w:r w:rsidRPr="006B2038">
        <w:rPr>
          <w:rStyle w:val="documentbody1"/>
          <w:rFonts w:ascii="Times New Roman" w:hAnsi="Times New Roman"/>
          <w:sz w:val="22"/>
          <w:szCs w:val="22"/>
        </w:rPr>
        <w:t>Cordova had initially reported a number of lines to USAC that had billing addresses outside of Cordova’s service area, which USAC rejected as ineligible for support.</w:t>
      </w:r>
      <w:r w:rsidRPr="006B2038">
        <w:rPr>
          <w:rStyle w:val="FootnoteReference"/>
          <w:sz w:val="22"/>
          <w:szCs w:val="22"/>
        </w:rPr>
        <w:footnoteReference w:id="49"/>
      </w:r>
      <w:r w:rsidRPr="006B2038">
        <w:rPr>
          <w:rStyle w:val="documentbody1"/>
          <w:rFonts w:ascii="Times New Roman" w:hAnsi="Times New Roman"/>
          <w:sz w:val="22"/>
          <w:szCs w:val="22"/>
        </w:rPr>
        <w:t xml:space="preserve">  Cordova subsequently provided USAC with local addresses for these lines; however, USAC continued to reject these lines, noting that Cordova had provided insufficient evidence that the local addresses were “actual billing addresses.”</w:t>
      </w:r>
      <w:r w:rsidRPr="006B2038">
        <w:rPr>
          <w:rStyle w:val="FootnoteReference"/>
          <w:sz w:val="22"/>
          <w:szCs w:val="22"/>
        </w:rPr>
        <w:footnoteReference w:id="50"/>
      </w:r>
      <w:r w:rsidRPr="006B2038">
        <w:rPr>
          <w:rStyle w:val="documentbody1"/>
          <w:rFonts w:ascii="Times New Roman" w:hAnsi="Times New Roman"/>
          <w:sz w:val="22"/>
          <w:szCs w:val="22"/>
        </w:rPr>
        <w:t xml:space="preserve">  </w:t>
      </w:r>
      <w:r w:rsidRPr="006B2038">
        <w:rPr>
          <w:szCs w:val="22"/>
        </w:rPr>
        <w:t>USAC also found that Cordova had requested support for “subscriber lines that had no activity or evidence of use.”</w:t>
      </w:r>
      <w:r w:rsidRPr="006B2038">
        <w:rPr>
          <w:rStyle w:val="FootnoteReference"/>
          <w:sz w:val="22"/>
          <w:szCs w:val="22"/>
        </w:rPr>
        <w:footnoteReference w:id="51"/>
      </w:r>
      <w:r w:rsidRPr="006B2038">
        <w:rPr>
          <w:szCs w:val="22"/>
        </w:rPr>
        <w:t xml:space="preserve">  USAC said that if the lines were working loops, “Cordova should be able to provide a year’s worth of usage to show the . . . use of the phone.”</w:t>
      </w:r>
      <w:r w:rsidRPr="006B2038">
        <w:rPr>
          <w:rStyle w:val="FootnoteReference"/>
          <w:sz w:val="22"/>
          <w:szCs w:val="22"/>
        </w:rPr>
        <w:footnoteReference w:id="52"/>
      </w:r>
      <w:r w:rsidRPr="006B2038">
        <w:rPr>
          <w:szCs w:val="22"/>
        </w:rPr>
        <w:t xml:space="preserve">  USAC determined that Cordova did not provide such sufficient evidence to make a showing of activity on the lines, and therefore USAC withheld support for the lines in question.</w:t>
      </w:r>
      <w:r w:rsidRPr="006B2038">
        <w:rPr>
          <w:rStyle w:val="FootnoteReference"/>
          <w:sz w:val="22"/>
          <w:szCs w:val="22"/>
        </w:rPr>
        <w:footnoteReference w:id="53"/>
      </w:r>
      <w:r w:rsidRPr="006B2038">
        <w:rPr>
          <w:szCs w:val="22"/>
        </w:rPr>
        <w:t xml:space="preserve">  Cordova requests review of USAC’s decision.</w:t>
      </w:r>
      <w:r w:rsidRPr="006B2038">
        <w:rPr>
          <w:rStyle w:val="FootnoteReference"/>
          <w:sz w:val="22"/>
          <w:szCs w:val="22"/>
        </w:rPr>
        <w:footnoteReference w:id="54"/>
      </w:r>
    </w:p>
    <w:p w:rsidR="00493C15" w:rsidRPr="006B2038" w:rsidRDefault="00493C15" w:rsidP="00780950">
      <w:pPr>
        <w:pStyle w:val="ParaNum"/>
        <w:widowControl/>
        <w:rPr>
          <w:szCs w:val="22"/>
        </w:rPr>
      </w:pPr>
      <w:r w:rsidRPr="006B2038">
        <w:rPr>
          <w:rStyle w:val="documentbody1"/>
          <w:rFonts w:ascii="Times New Roman" w:hAnsi="Times New Roman"/>
          <w:sz w:val="22"/>
          <w:szCs w:val="22"/>
        </w:rPr>
        <w:t xml:space="preserve">In its petition, Cordova notes that the customers </w:t>
      </w:r>
      <w:r w:rsidR="00344DCD" w:rsidRPr="006B2038">
        <w:rPr>
          <w:rStyle w:val="documentbody1"/>
          <w:rFonts w:ascii="Times New Roman" w:hAnsi="Times New Roman"/>
          <w:sz w:val="22"/>
          <w:szCs w:val="22"/>
        </w:rPr>
        <w:t xml:space="preserve">with </w:t>
      </w:r>
      <w:r w:rsidRPr="006B2038">
        <w:rPr>
          <w:rStyle w:val="documentbody1"/>
          <w:rFonts w:ascii="Times New Roman" w:hAnsi="Times New Roman"/>
          <w:sz w:val="22"/>
          <w:szCs w:val="22"/>
        </w:rPr>
        <w:t>non-local</w:t>
      </w:r>
      <w:r w:rsidR="00344DCD"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billing</w:t>
      </w:r>
      <w:r w:rsidR="00344DCD"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address</w:t>
      </w:r>
      <w:r w:rsidR="00344DCD" w:rsidRPr="006B2038">
        <w:rPr>
          <w:rStyle w:val="documentbody1"/>
          <w:rFonts w:ascii="Times New Roman" w:hAnsi="Times New Roman"/>
          <w:sz w:val="22"/>
          <w:szCs w:val="22"/>
        </w:rPr>
        <w:t>es</w:t>
      </w:r>
      <w:r w:rsidRPr="006B2038">
        <w:rPr>
          <w:rStyle w:val="documentbody1"/>
          <w:rFonts w:ascii="Times New Roman" w:hAnsi="Times New Roman"/>
          <w:sz w:val="22"/>
          <w:szCs w:val="22"/>
        </w:rPr>
        <w:t xml:space="preserve"> lines live or work in Cordova’s service area, use the service exclusively or almost exclusively within that area, and receive bills at </w:t>
      </w:r>
      <w:r w:rsidR="005727F4" w:rsidRPr="006B2038">
        <w:rPr>
          <w:rStyle w:val="documentbody1"/>
          <w:rFonts w:ascii="Times New Roman" w:hAnsi="Times New Roman"/>
          <w:sz w:val="22"/>
          <w:szCs w:val="22"/>
        </w:rPr>
        <w:t xml:space="preserve">local </w:t>
      </w:r>
      <w:r w:rsidRPr="006B2038">
        <w:rPr>
          <w:rStyle w:val="documentbody1"/>
          <w:rFonts w:ascii="Times New Roman" w:hAnsi="Times New Roman"/>
          <w:sz w:val="22"/>
          <w:szCs w:val="22"/>
        </w:rPr>
        <w:t>addresses within that area.</w:t>
      </w:r>
      <w:r w:rsidRPr="006B2038">
        <w:rPr>
          <w:rStyle w:val="FootnoteReference"/>
          <w:sz w:val="22"/>
          <w:szCs w:val="22"/>
        </w:rPr>
        <w:footnoteReference w:id="55"/>
      </w:r>
      <w:r w:rsidRPr="006B2038">
        <w:rPr>
          <w:rStyle w:val="documentbody1"/>
          <w:rFonts w:ascii="Times New Roman" w:hAnsi="Times New Roman"/>
          <w:sz w:val="22"/>
          <w:szCs w:val="22"/>
        </w:rPr>
        <w:t xml:space="preserve">  For various reasons of administrative convenience, these customers also requested that a copy of their bills be sent to non-local</w:t>
      </w:r>
      <w:r w:rsidR="005727F4" w:rsidRPr="006B2038">
        <w:rPr>
          <w:rStyle w:val="documentbody1"/>
          <w:rFonts w:ascii="Times New Roman" w:hAnsi="Times New Roman"/>
          <w:sz w:val="22"/>
          <w:szCs w:val="22"/>
        </w:rPr>
        <w:t xml:space="preserve"> billing</w:t>
      </w:r>
      <w:r w:rsidRPr="006B2038">
        <w:rPr>
          <w:rStyle w:val="documentbody1"/>
          <w:rFonts w:ascii="Times New Roman" w:hAnsi="Times New Roman"/>
          <w:sz w:val="22"/>
          <w:szCs w:val="22"/>
        </w:rPr>
        <w:t xml:space="preserve"> addresses.</w:t>
      </w:r>
      <w:r w:rsidRPr="006B2038">
        <w:rPr>
          <w:rStyle w:val="FootnoteReference"/>
          <w:sz w:val="22"/>
          <w:szCs w:val="22"/>
        </w:rPr>
        <w:footnoteReference w:id="56"/>
      </w:r>
      <w:r w:rsidRPr="006B2038">
        <w:rPr>
          <w:rStyle w:val="documentbody1"/>
          <w:rFonts w:ascii="Times New Roman" w:hAnsi="Times New Roman"/>
          <w:sz w:val="22"/>
          <w:szCs w:val="22"/>
        </w:rPr>
        <w:t xml:space="preserve">  Cordova requests we review USAC’s determination that these reported lines are ineligible for support, or in the alternative, that we grant a waiver to allow Cordova to receive support on these lines.</w:t>
      </w:r>
      <w:r w:rsidRPr="006B2038">
        <w:rPr>
          <w:rStyle w:val="FootnoteReference"/>
          <w:sz w:val="22"/>
          <w:szCs w:val="22"/>
        </w:rPr>
        <w:footnoteReference w:id="57"/>
      </w:r>
      <w:r w:rsidRPr="006B2038">
        <w:rPr>
          <w:rStyle w:val="documentbody1"/>
          <w:rFonts w:ascii="Times New Roman" w:hAnsi="Times New Roman"/>
          <w:sz w:val="22"/>
          <w:szCs w:val="22"/>
        </w:rPr>
        <w:t xml:space="preserve">  </w:t>
      </w:r>
      <w:r w:rsidRPr="006B2038">
        <w:rPr>
          <w:szCs w:val="22"/>
        </w:rPr>
        <w:t xml:space="preserve">Cordova also appeals USAC’s determination that a working loop must have activity in order to be eligible for high-cost support, arguing that no clear requirement for </w:t>
      </w:r>
      <w:r w:rsidR="00344DCD" w:rsidRPr="006B2038">
        <w:rPr>
          <w:szCs w:val="22"/>
        </w:rPr>
        <w:t xml:space="preserve">such </w:t>
      </w:r>
      <w:r w:rsidRPr="006B2038">
        <w:rPr>
          <w:szCs w:val="22"/>
        </w:rPr>
        <w:t>activity exists in the Commission’s rules.</w:t>
      </w:r>
      <w:r w:rsidRPr="006B2038">
        <w:rPr>
          <w:rStyle w:val="FootnoteReference"/>
          <w:sz w:val="22"/>
          <w:szCs w:val="22"/>
        </w:rPr>
        <w:footnoteReference w:id="58"/>
      </w:r>
      <w:r w:rsidR="006B4604" w:rsidRPr="006B2038">
        <w:rPr>
          <w:b/>
          <w:szCs w:val="22"/>
        </w:rPr>
        <w:t xml:space="preserve"> </w:t>
      </w:r>
    </w:p>
    <w:p w:rsidR="00493C15" w:rsidRPr="006B2038" w:rsidRDefault="00493C15" w:rsidP="00780950">
      <w:pPr>
        <w:pStyle w:val="ParaNum"/>
        <w:widowControl/>
        <w:rPr>
          <w:szCs w:val="22"/>
        </w:rPr>
      </w:pPr>
      <w:r w:rsidRPr="006B2038">
        <w:rPr>
          <w:szCs w:val="22"/>
        </w:rPr>
        <w:t>We grant Cordova’s request for review with respect to the disputed line counts for which it provided local addresses.</w:t>
      </w:r>
      <w:r w:rsidRPr="006B2038">
        <w:rPr>
          <w:rStyle w:val="FootnoteReference"/>
          <w:sz w:val="22"/>
          <w:szCs w:val="22"/>
        </w:rPr>
        <w:footnoteReference w:id="59"/>
      </w:r>
      <w:r w:rsidRPr="006B2038">
        <w:rPr>
          <w:szCs w:val="22"/>
        </w:rPr>
        <w:t xml:space="preserve">  We conclude that Cordova adequately met the requirements of section 54.307(b) </w:t>
      </w:r>
      <w:r w:rsidR="00731656" w:rsidRPr="006B2038">
        <w:rPr>
          <w:szCs w:val="22"/>
        </w:rPr>
        <w:t>by</w:t>
      </w:r>
      <w:r w:rsidRPr="006B2038">
        <w:rPr>
          <w:szCs w:val="22"/>
        </w:rPr>
        <w:t xml:space="preserve"> submitt</w:t>
      </w:r>
      <w:r w:rsidR="00731656" w:rsidRPr="006B2038">
        <w:rPr>
          <w:szCs w:val="22"/>
        </w:rPr>
        <w:t>ing</w:t>
      </w:r>
      <w:r w:rsidRPr="006B2038">
        <w:rPr>
          <w:szCs w:val="22"/>
        </w:rPr>
        <w:t xml:space="preserve"> local addresses for the lines in question.  The fact that copies of these bills were also sent to non-local</w:t>
      </w:r>
      <w:r w:rsidR="005727F4" w:rsidRPr="006B2038">
        <w:rPr>
          <w:szCs w:val="22"/>
        </w:rPr>
        <w:t xml:space="preserve"> billing</w:t>
      </w:r>
      <w:r w:rsidRPr="006B2038">
        <w:rPr>
          <w:szCs w:val="22"/>
        </w:rPr>
        <w:t xml:space="preserve"> addresses is immaterial.  The intent of the Commission in adopting the billing address requirement was to serve as </w:t>
      </w:r>
      <w:r w:rsidRPr="006B2038">
        <w:rPr>
          <w:i/>
          <w:szCs w:val="22"/>
        </w:rPr>
        <w:t>a proxy</w:t>
      </w:r>
      <w:r w:rsidRPr="006B2038">
        <w:rPr>
          <w:szCs w:val="22"/>
        </w:rPr>
        <w:t xml:space="preserve"> for where the service is actually used.  Based on Cordova’s representation that the subscribers in question live or operate in the Cordova service area, use Cordova wireless service in the area, and receive bills there, we conclude that the </w:t>
      </w:r>
      <w:r w:rsidR="00344DCD" w:rsidRPr="006B2038">
        <w:rPr>
          <w:szCs w:val="22"/>
        </w:rPr>
        <w:t xml:space="preserve">intent of the </w:t>
      </w:r>
      <w:r w:rsidRPr="006B2038">
        <w:rPr>
          <w:szCs w:val="22"/>
        </w:rPr>
        <w:t>Commission’s rule is satisfied.</w:t>
      </w:r>
      <w:r w:rsidRPr="006B2038">
        <w:rPr>
          <w:rStyle w:val="FootnoteReference"/>
          <w:sz w:val="22"/>
          <w:szCs w:val="22"/>
        </w:rPr>
        <w:footnoteReference w:id="60"/>
      </w:r>
      <w:r w:rsidRPr="006B2038">
        <w:rPr>
          <w:szCs w:val="22"/>
        </w:rPr>
        <w:t xml:space="preserve">  We therefore instruct USAC to accept Cordova’s reporting of local addresses to meet the customer billing address requirement, conditioned on Cordova providing an officer certification that this local address information is accurate to the best of his or her knowledge</w:t>
      </w:r>
      <w:r w:rsidR="00EB14A2" w:rsidRPr="006B2038">
        <w:rPr>
          <w:szCs w:val="22"/>
        </w:rPr>
        <w:t xml:space="preserve"> and that those local addresses reflect where customers actually use the service provided</w:t>
      </w:r>
      <w:r w:rsidRPr="006B2038">
        <w:rPr>
          <w:szCs w:val="22"/>
        </w:rPr>
        <w:t>.</w:t>
      </w:r>
      <w:r w:rsidRPr="006B2038">
        <w:rPr>
          <w:rStyle w:val="FootnoteReference"/>
          <w:sz w:val="22"/>
          <w:szCs w:val="22"/>
        </w:rPr>
        <w:footnoteReference w:id="61"/>
      </w:r>
      <w:r w:rsidR="006B4604" w:rsidRPr="006B2038">
        <w:rPr>
          <w:szCs w:val="22"/>
        </w:rPr>
        <w:t xml:space="preserve">  </w:t>
      </w:r>
    </w:p>
    <w:p w:rsidR="00493C15" w:rsidRPr="006B2038" w:rsidRDefault="00493C15" w:rsidP="00780950">
      <w:pPr>
        <w:pStyle w:val="ParaNum"/>
        <w:widowControl/>
        <w:rPr>
          <w:szCs w:val="22"/>
        </w:rPr>
      </w:pPr>
      <w:r w:rsidRPr="006B2038">
        <w:rPr>
          <w:szCs w:val="22"/>
        </w:rPr>
        <w:t xml:space="preserve">We </w:t>
      </w:r>
      <w:r w:rsidR="008160B6" w:rsidRPr="006B2038">
        <w:rPr>
          <w:rStyle w:val="documentbody1"/>
          <w:rFonts w:ascii="Times New Roman" w:hAnsi="Times New Roman"/>
          <w:sz w:val="22"/>
          <w:szCs w:val="22"/>
        </w:rPr>
        <w:t>do</w:t>
      </w:r>
      <w:r w:rsidR="008160B6" w:rsidRPr="006B2038">
        <w:rPr>
          <w:szCs w:val="22"/>
        </w:rPr>
        <w:t xml:space="preserve"> not address at this time </w:t>
      </w:r>
      <w:r w:rsidRPr="006B2038">
        <w:rPr>
          <w:szCs w:val="22"/>
        </w:rPr>
        <w:t xml:space="preserve">Cordova’s request for review </w:t>
      </w:r>
      <w:r w:rsidR="00801C4C" w:rsidRPr="006B2038">
        <w:rPr>
          <w:szCs w:val="22"/>
        </w:rPr>
        <w:t>of USAC’s decision to withhold support for certain lines on the ground that the lines had no usage</w:t>
      </w:r>
      <w:r w:rsidRPr="006B2038">
        <w:rPr>
          <w:szCs w:val="22"/>
        </w:rPr>
        <w:t xml:space="preserve">.  </w:t>
      </w:r>
      <w:r w:rsidR="00C65B13" w:rsidRPr="006B2038">
        <w:rPr>
          <w:szCs w:val="22"/>
        </w:rPr>
        <w:t>We caution ETCs</w:t>
      </w:r>
      <w:r w:rsidR="00644EFD" w:rsidRPr="006B2038">
        <w:rPr>
          <w:szCs w:val="22"/>
        </w:rPr>
        <w:t xml:space="preserve"> </w:t>
      </w:r>
      <w:r w:rsidR="00C65B13" w:rsidRPr="006B2038">
        <w:rPr>
          <w:szCs w:val="22"/>
        </w:rPr>
        <w:t>that to the extent there is evidence of waste, fraud, or abuse involving reported line counts, the Commission may take further action.</w:t>
      </w:r>
    </w:p>
    <w:p w:rsidR="00493C15" w:rsidRPr="006B2038" w:rsidRDefault="00493C15" w:rsidP="00780950">
      <w:pPr>
        <w:pStyle w:val="ParaNum"/>
        <w:widowControl/>
        <w:rPr>
          <w:rStyle w:val="documentbody1"/>
          <w:rFonts w:ascii="Times New Roman" w:hAnsi="Times New Roman"/>
          <w:sz w:val="22"/>
          <w:szCs w:val="22"/>
        </w:rPr>
      </w:pPr>
      <w:r w:rsidRPr="006B2038">
        <w:rPr>
          <w:szCs w:val="22"/>
        </w:rPr>
        <w:t xml:space="preserve">We </w:t>
      </w:r>
      <w:r w:rsidRPr="006B2038">
        <w:rPr>
          <w:rStyle w:val="documentbody1"/>
          <w:rFonts w:ascii="Times New Roman" w:hAnsi="Times New Roman"/>
          <w:sz w:val="22"/>
          <w:szCs w:val="22"/>
        </w:rPr>
        <w:t>remand</w:t>
      </w:r>
      <w:r w:rsidRPr="006B2038">
        <w:rPr>
          <w:szCs w:val="22"/>
        </w:rPr>
        <w:t xml:space="preserve"> this matter to USAC </w:t>
      </w:r>
      <w:r w:rsidR="008A52F5" w:rsidRPr="006B2038">
        <w:rPr>
          <w:szCs w:val="22"/>
        </w:rPr>
        <w:t xml:space="preserve">to determine which lines in Cordova’s appeal were considered ineligible due to lack of local billing addresses, </w:t>
      </w:r>
      <w:r w:rsidRPr="006B2038">
        <w:rPr>
          <w:szCs w:val="22"/>
        </w:rPr>
        <w:t xml:space="preserve">with instructions to calculate support </w:t>
      </w:r>
      <w:r w:rsidR="008A52F5" w:rsidRPr="006B2038">
        <w:rPr>
          <w:szCs w:val="22"/>
        </w:rPr>
        <w:t xml:space="preserve">for those lines </w:t>
      </w:r>
      <w:r w:rsidRPr="006B2038">
        <w:rPr>
          <w:szCs w:val="22"/>
        </w:rPr>
        <w:t>consistent with this Order</w:t>
      </w:r>
      <w:r w:rsidR="008A52F5" w:rsidRPr="006B2038">
        <w:rPr>
          <w:szCs w:val="22"/>
        </w:rPr>
        <w:t xml:space="preserve"> within 90 days of the release of this Order</w:t>
      </w:r>
      <w:r w:rsidRPr="006B2038">
        <w:rPr>
          <w:szCs w:val="22"/>
        </w:rPr>
        <w:t>.  As we grant Cordova’s request for review</w:t>
      </w:r>
      <w:r w:rsidR="008160B6" w:rsidRPr="006B2038">
        <w:rPr>
          <w:szCs w:val="22"/>
        </w:rPr>
        <w:t xml:space="preserve"> with respect to the line counts for which it provided local addresses</w:t>
      </w:r>
      <w:r w:rsidRPr="006B2038">
        <w:rPr>
          <w:szCs w:val="22"/>
        </w:rPr>
        <w:t xml:space="preserve">, we dismiss </w:t>
      </w:r>
      <w:r w:rsidR="008160B6" w:rsidRPr="006B2038">
        <w:rPr>
          <w:szCs w:val="22"/>
        </w:rPr>
        <w:t xml:space="preserve">that portion of </w:t>
      </w:r>
      <w:r w:rsidRPr="006B2038">
        <w:rPr>
          <w:szCs w:val="22"/>
        </w:rPr>
        <w:t>its petition for waiver as moot.</w:t>
      </w:r>
    </w:p>
    <w:p w:rsidR="001E2F56" w:rsidRPr="006B2038" w:rsidRDefault="001E2F56"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ASTAC Petition for Waiver</w:t>
      </w:r>
      <w:r w:rsidRPr="006B2038">
        <w:rPr>
          <w:rStyle w:val="documentbody1"/>
          <w:rFonts w:ascii="Times New Roman" w:hAnsi="Times New Roman"/>
          <w:sz w:val="22"/>
          <w:szCs w:val="22"/>
        </w:rPr>
        <w:t>.</w:t>
      </w:r>
      <w:r w:rsidR="00894D54" w:rsidRPr="006B2038">
        <w:rPr>
          <w:rStyle w:val="documentbody1"/>
          <w:rFonts w:ascii="Times New Roman" w:hAnsi="Times New Roman"/>
          <w:sz w:val="22"/>
          <w:szCs w:val="22"/>
        </w:rPr>
        <w:t xml:space="preserve">  ASTAC petitions for a waiver of the customer billing address requirement of </w:t>
      </w:r>
      <w:r w:rsidR="00A11746" w:rsidRPr="006B2038">
        <w:rPr>
          <w:rStyle w:val="documentbody1"/>
          <w:rFonts w:ascii="Times New Roman" w:hAnsi="Times New Roman"/>
          <w:sz w:val="22"/>
          <w:szCs w:val="22"/>
        </w:rPr>
        <w:t>section</w:t>
      </w:r>
      <w:r w:rsidR="00894D54" w:rsidRPr="006B2038">
        <w:rPr>
          <w:rStyle w:val="documentbody1"/>
          <w:rFonts w:ascii="Times New Roman" w:hAnsi="Times New Roman"/>
          <w:sz w:val="22"/>
          <w:szCs w:val="22"/>
        </w:rPr>
        <w:t xml:space="preserve"> 5</w:t>
      </w:r>
      <w:r w:rsidR="0087758C" w:rsidRPr="006B2038">
        <w:rPr>
          <w:rStyle w:val="documentbody1"/>
          <w:rFonts w:ascii="Times New Roman" w:hAnsi="Times New Roman"/>
          <w:sz w:val="22"/>
          <w:szCs w:val="22"/>
        </w:rPr>
        <w:t>4</w:t>
      </w:r>
      <w:r w:rsidR="00894D54" w:rsidRPr="006B2038">
        <w:rPr>
          <w:rStyle w:val="documentbody1"/>
          <w:rFonts w:ascii="Times New Roman" w:hAnsi="Times New Roman"/>
          <w:sz w:val="22"/>
          <w:szCs w:val="22"/>
        </w:rPr>
        <w:t xml:space="preserve">.307(b), requesting instead to use a primary place of use test.  </w:t>
      </w:r>
    </w:p>
    <w:p w:rsidR="00972EEF" w:rsidRPr="006B2038" w:rsidRDefault="00C1051C"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According to its petition, </w:t>
      </w:r>
      <w:r w:rsidR="0087758C" w:rsidRPr="006B2038">
        <w:rPr>
          <w:rStyle w:val="documentbody1"/>
          <w:rFonts w:ascii="Times New Roman" w:hAnsi="Times New Roman"/>
          <w:sz w:val="22"/>
          <w:szCs w:val="22"/>
        </w:rPr>
        <w:t xml:space="preserve">ASTAC provides mobile service </w:t>
      </w:r>
      <w:r w:rsidR="002E32A1" w:rsidRPr="006B2038">
        <w:rPr>
          <w:rStyle w:val="documentbody1"/>
          <w:rFonts w:ascii="Times New Roman" w:hAnsi="Times New Roman"/>
          <w:sz w:val="22"/>
          <w:szCs w:val="22"/>
        </w:rPr>
        <w:t>i</w:t>
      </w:r>
      <w:r w:rsidR="0087758C" w:rsidRPr="006B2038">
        <w:rPr>
          <w:rStyle w:val="documentbody1"/>
          <w:rFonts w:ascii="Times New Roman" w:hAnsi="Times New Roman"/>
          <w:sz w:val="22"/>
          <w:szCs w:val="22"/>
        </w:rPr>
        <w:t>n the North Slope</w:t>
      </w:r>
      <w:r w:rsidR="002E32A1" w:rsidRPr="006B2038">
        <w:rPr>
          <w:rStyle w:val="documentbody1"/>
          <w:rFonts w:ascii="Times New Roman" w:hAnsi="Times New Roman"/>
          <w:sz w:val="22"/>
          <w:szCs w:val="22"/>
        </w:rPr>
        <w:t xml:space="preserve"> region</w:t>
      </w:r>
      <w:r w:rsidR="0087758C" w:rsidRPr="006B2038">
        <w:rPr>
          <w:rStyle w:val="documentbody1"/>
          <w:rFonts w:ascii="Times New Roman" w:hAnsi="Times New Roman"/>
          <w:sz w:val="22"/>
          <w:szCs w:val="22"/>
        </w:rPr>
        <w:t xml:space="preserve"> </w:t>
      </w:r>
      <w:r w:rsidR="004C3C60" w:rsidRPr="006B2038">
        <w:rPr>
          <w:rStyle w:val="documentbody1"/>
          <w:rFonts w:ascii="Times New Roman" w:hAnsi="Times New Roman"/>
          <w:sz w:val="22"/>
          <w:szCs w:val="22"/>
        </w:rPr>
        <w:t>of</w:t>
      </w:r>
      <w:r w:rsidR="0087758C" w:rsidRPr="006B2038">
        <w:rPr>
          <w:rStyle w:val="documentbody1"/>
          <w:rFonts w:ascii="Times New Roman" w:hAnsi="Times New Roman"/>
          <w:sz w:val="22"/>
          <w:szCs w:val="22"/>
        </w:rPr>
        <w:t xml:space="preserve"> Alaska, primarily in support of oil industry</w:t>
      </w:r>
      <w:r w:rsidR="00EA310D" w:rsidRPr="006B2038">
        <w:rPr>
          <w:rStyle w:val="documentbody1"/>
          <w:rFonts w:ascii="Times New Roman" w:hAnsi="Times New Roman"/>
          <w:sz w:val="22"/>
          <w:szCs w:val="22"/>
        </w:rPr>
        <w:t xml:space="preserve"> companies</w:t>
      </w:r>
      <w:r w:rsidR="0087758C" w:rsidRPr="006B2038">
        <w:rPr>
          <w:rStyle w:val="documentbody1"/>
          <w:rFonts w:ascii="Times New Roman" w:hAnsi="Times New Roman"/>
          <w:sz w:val="22"/>
          <w:szCs w:val="22"/>
        </w:rPr>
        <w:t xml:space="preserve"> and </w:t>
      </w:r>
      <w:r w:rsidR="00EA310D" w:rsidRPr="006B2038">
        <w:rPr>
          <w:rStyle w:val="documentbody1"/>
          <w:rFonts w:ascii="Times New Roman" w:hAnsi="Times New Roman"/>
          <w:sz w:val="22"/>
          <w:szCs w:val="22"/>
        </w:rPr>
        <w:t>their</w:t>
      </w:r>
      <w:r w:rsidR="0087758C" w:rsidRPr="006B2038">
        <w:rPr>
          <w:rStyle w:val="documentbody1"/>
          <w:rFonts w:ascii="Times New Roman" w:hAnsi="Times New Roman"/>
          <w:sz w:val="22"/>
          <w:szCs w:val="22"/>
        </w:rPr>
        <w:t xml:space="preserve"> workers.</w:t>
      </w:r>
      <w:r w:rsidR="0087758C" w:rsidRPr="006B2038">
        <w:rPr>
          <w:rStyle w:val="FootnoteReference"/>
          <w:sz w:val="22"/>
          <w:szCs w:val="22"/>
        </w:rPr>
        <w:footnoteReference w:id="62"/>
      </w:r>
      <w:r w:rsidR="0087758C" w:rsidRPr="006B2038">
        <w:rPr>
          <w:rStyle w:val="documentbody1"/>
          <w:rFonts w:ascii="Times New Roman" w:hAnsi="Times New Roman"/>
          <w:sz w:val="22"/>
          <w:szCs w:val="22"/>
        </w:rPr>
        <w:t xml:space="preserve">  </w:t>
      </w:r>
      <w:r w:rsidR="002E32A1" w:rsidRPr="006B2038">
        <w:rPr>
          <w:rStyle w:val="documentbody1"/>
          <w:rFonts w:ascii="Times New Roman" w:hAnsi="Times New Roman"/>
          <w:sz w:val="22"/>
          <w:szCs w:val="22"/>
        </w:rPr>
        <w:t xml:space="preserve">Due to the harsh conditions in the North Slope region, many of these companies maintain only the personnel absolutely necessary to the </w:t>
      </w:r>
      <w:r w:rsidR="00EA310D" w:rsidRPr="006B2038">
        <w:rPr>
          <w:rStyle w:val="documentbody1"/>
          <w:rFonts w:ascii="Times New Roman" w:hAnsi="Times New Roman"/>
          <w:sz w:val="22"/>
          <w:szCs w:val="22"/>
        </w:rPr>
        <w:t xml:space="preserve">natural resource </w:t>
      </w:r>
      <w:r w:rsidR="002E32A1" w:rsidRPr="006B2038">
        <w:rPr>
          <w:rStyle w:val="documentbody1"/>
          <w:rFonts w:ascii="Times New Roman" w:hAnsi="Times New Roman"/>
          <w:sz w:val="22"/>
          <w:szCs w:val="22"/>
        </w:rPr>
        <w:t xml:space="preserve">extraction process in the area, while other functions such administration and accounting are handled in less costly and more hospitable locations, </w:t>
      </w:r>
      <w:r w:rsidR="003B26B3" w:rsidRPr="006B2038">
        <w:rPr>
          <w:rStyle w:val="documentbody1"/>
          <w:rFonts w:ascii="Times New Roman" w:hAnsi="Times New Roman"/>
          <w:sz w:val="22"/>
          <w:szCs w:val="22"/>
        </w:rPr>
        <w:t xml:space="preserve">such as </w:t>
      </w:r>
      <w:r w:rsidR="002E32A1" w:rsidRPr="006B2038">
        <w:rPr>
          <w:rStyle w:val="documentbody1"/>
          <w:rFonts w:ascii="Times New Roman" w:hAnsi="Times New Roman"/>
          <w:sz w:val="22"/>
          <w:szCs w:val="22"/>
        </w:rPr>
        <w:t xml:space="preserve">Fairbanks, Anchorage, or </w:t>
      </w:r>
      <w:r w:rsidR="003B26B3" w:rsidRPr="006B2038">
        <w:rPr>
          <w:rStyle w:val="documentbody1"/>
          <w:rFonts w:ascii="Times New Roman" w:hAnsi="Times New Roman"/>
          <w:sz w:val="22"/>
          <w:szCs w:val="22"/>
        </w:rPr>
        <w:t xml:space="preserve">even </w:t>
      </w:r>
      <w:r w:rsidR="002E32A1" w:rsidRPr="006B2038">
        <w:rPr>
          <w:rStyle w:val="documentbody1"/>
          <w:rFonts w:ascii="Times New Roman" w:hAnsi="Times New Roman"/>
          <w:sz w:val="22"/>
          <w:szCs w:val="22"/>
        </w:rPr>
        <w:t xml:space="preserve">the </w:t>
      </w:r>
      <w:r w:rsidR="004C3C60" w:rsidRPr="006B2038">
        <w:rPr>
          <w:rStyle w:val="documentbody1"/>
          <w:rFonts w:ascii="Times New Roman" w:hAnsi="Times New Roman"/>
          <w:sz w:val="22"/>
          <w:szCs w:val="22"/>
        </w:rPr>
        <w:t>contiguous</w:t>
      </w:r>
      <w:r w:rsidR="002E32A1" w:rsidRPr="006B2038">
        <w:rPr>
          <w:rStyle w:val="documentbody1"/>
          <w:rFonts w:ascii="Times New Roman" w:hAnsi="Times New Roman"/>
          <w:sz w:val="22"/>
          <w:szCs w:val="22"/>
        </w:rPr>
        <w:t xml:space="preserve"> United States</w:t>
      </w:r>
      <w:r w:rsidR="00C35484" w:rsidRPr="006B2038">
        <w:rPr>
          <w:rStyle w:val="documentbody1"/>
          <w:rFonts w:ascii="Times New Roman" w:hAnsi="Times New Roman"/>
          <w:sz w:val="22"/>
          <w:szCs w:val="22"/>
        </w:rPr>
        <w:t>.  ASTAC claims that while service is provided and used in the North Slope region, these other administrative offices are used as the</w:t>
      </w:r>
      <w:r w:rsidR="002E32A1" w:rsidRPr="006B2038">
        <w:rPr>
          <w:rStyle w:val="documentbody1"/>
          <w:rFonts w:ascii="Times New Roman" w:hAnsi="Times New Roman"/>
          <w:sz w:val="22"/>
          <w:szCs w:val="22"/>
        </w:rPr>
        <w:t xml:space="preserve"> billing </w:t>
      </w:r>
      <w:r w:rsidR="003837CC" w:rsidRPr="006B2038">
        <w:rPr>
          <w:rStyle w:val="documentbody1"/>
          <w:rFonts w:ascii="Times New Roman" w:hAnsi="Times New Roman"/>
          <w:sz w:val="22"/>
          <w:szCs w:val="22"/>
        </w:rPr>
        <w:t>addresses</w:t>
      </w:r>
      <w:r w:rsidR="002E32A1" w:rsidRPr="006B2038">
        <w:rPr>
          <w:rStyle w:val="documentbody1"/>
          <w:rFonts w:ascii="Times New Roman" w:hAnsi="Times New Roman"/>
          <w:sz w:val="22"/>
          <w:szCs w:val="22"/>
        </w:rPr>
        <w:t>.</w:t>
      </w:r>
      <w:r w:rsidR="002E32A1" w:rsidRPr="006B2038">
        <w:rPr>
          <w:rStyle w:val="FootnoteReference"/>
          <w:sz w:val="22"/>
          <w:szCs w:val="22"/>
        </w:rPr>
        <w:footnoteReference w:id="63"/>
      </w:r>
      <w:r w:rsidR="002E32A1" w:rsidRPr="006B2038">
        <w:rPr>
          <w:rStyle w:val="documentbody1"/>
          <w:rFonts w:ascii="Times New Roman" w:hAnsi="Times New Roman"/>
          <w:sz w:val="22"/>
          <w:szCs w:val="22"/>
        </w:rPr>
        <w:t xml:space="preserve">  However, these billing addresses fall outside of ASTAC’s service area, even though</w:t>
      </w:r>
      <w:r w:rsidR="00C35484" w:rsidRPr="006B2038">
        <w:rPr>
          <w:rStyle w:val="documentbody1"/>
          <w:rFonts w:ascii="Times New Roman" w:hAnsi="Times New Roman"/>
          <w:sz w:val="22"/>
          <w:szCs w:val="22"/>
        </w:rPr>
        <w:t>, ASTAC alleges,</w:t>
      </w:r>
      <w:r w:rsidR="002E32A1" w:rsidRPr="006B2038">
        <w:rPr>
          <w:rStyle w:val="documentbody1"/>
          <w:rFonts w:ascii="Times New Roman" w:hAnsi="Times New Roman"/>
          <w:sz w:val="22"/>
          <w:szCs w:val="22"/>
        </w:rPr>
        <w:t xml:space="preserve"> </w:t>
      </w:r>
      <w:r w:rsidR="004E57ED" w:rsidRPr="006B2038">
        <w:rPr>
          <w:rStyle w:val="documentbody1"/>
          <w:rFonts w:ascii="Times New Roman" w:hAnsi="Times New Roman"/>
          <w:sz w:val="22"/>
          <w:szCs w:val="22"/>
        </w:rPr>
        <w:t>the subscribers</w:t>
      </w:r>
      <w:r w:rsidR="002E32A1" w:rsidRPr="006B2038">
        <w:rPr>
          <w:rStyle w:val="documentbody1"/>
          <w:rFonts w:ascii="Times New Roman" w:hAnsi="Times New Roman"/>
          <w:sz w:val="22"/>
          <w:szCs w:val="22"/>
        </w:rPr>
        <w:t xml:space="preserve"> </w:t>
      </w:r>
      <w:r w:rsidR="004E57ED" w:rsidRPr="006B2038">
        <w:rPr>
          <w:rStyle w:val="documentbody1"/>
          <w:rFonts w:ascii="Times New Roman" w:hAnsi="Times New Roman"/>
          <w:sz w:val="22"/>
          <w:szCs w:val="22"/>
        </w:rPr>
        <w:t>make almost all their calls within ASTAC’s service area.</w:t>
      </w:r>
      <w:r w:rsidR="004E57ED" w:rsidRPr="006B2038">
        <w:rPr>
          <w:rStyle w:val="FootnoteReference"/>
          <w:sz w:val="22"/>
          <w:szCs w:val="22"/>
        </w:rPr>
        <w:footnoteReference w:id="64"/>
      </w:r>
    </w:p>
    <w:p w:rsidR="00FF75C6" w:rsidRPr="006B2038" w:rsidRDefault="00FF75C6"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Application of the Commission’s rules may be waived for good cause shown.</w:t>
      </w:r>
      <w:r w:rsidRPr="006B2038">
        <w:rPr>
          <w:rStyle w:val="FootnoteReference"/>
          <w:sz w:val="22"/>
          <w:szCs w:val="22"/>
        </w:rPr>
        <w:footnoteReference w:id="65"/>
      </w:r>
      <w:r w:rsidRPr="006B2038">
        <w:rPr>
          <w:rStyle w:val="documentbody1"/>
          <w:rFonts w:ascii="Times New Roman" w:hAnsi="Times New Roman"/>
          <w:sz w:val="22"/>
          <w:szCs w:val="22"/>
        </w:rPr>
        <w:t xml:space="preserve">  Waiver is appropriate where special circumstances warrant a deviation from the general rule, and such deviation will serve the public interest.</w:t>
      </w:r>
      <w:r w:rsidRPr="006B2038">
        <w:rPr>
          <w:rStyle w:val="FootnoteReference"/>
          <w:sz w:val="22"/>
          <w:szCs w:val="22"/>
        </w:rPr>
        <w:footnoteReference w:id="66"/>
      </w:r>
    </w:p>
    <w:p w:rsidR="00F26F5B" w:rsidRPr="006B2038" w:rsidRDefault="003B26B3"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We conclude it is reasonable for </w:t>
      </w:r>
      <w:r w:rsidR="00972EEF" w:rsidRPr="006B2038">
        <w:rPr>
          <w:rStyle w:val="documentbody1"/>
          <w:rFonts w:ascii="Times New Roman" w:hAnsi="Times New Roman"/>
          <w:sz w:val="22"/>
          <w:szCs w:val="22"/>
        </w:rPr>
        <w:t>ASTAC to use a place of primary use test rather than relying on customer billing addresses</w:t>
      </w:r>
      <w:r w:rsidRPr="006B2038">
        <w:rPr>
          <w:rStyle w:val="documentbody1"/>
          <w:rFonts w:ascii="Times New Roman" w:hAnsi="Times New Roman"/>
          <w:sz w:val="22"/>
          <w:szCs w:val="22"/>
        </w:rPr>
        <w:t xml:space="preserve"> when reporting line counts</w:t>
      </w:r>
      <w:r w:rsidR="00972EEF" w:rsidRPr="006B2038">
        <w:rPr>
          <w:rStyle w:val="documentbody1"/>
          <w:rFonts w:ascii="Times New Roman" w:hAnsi="Times New Roman"/>
          <w:sz w:val="22"/>
          <w:szCs w:val="22"/>
        </w:rPr>
        <w:t xml:space="preserve">.  </w:t>
      </w:r>
      <w:r w:rsidRPr="006B2038">
        <w:rPr>
          <w:rStyle w:val="documentbody1"/>
          <w:rFonts w:ascii="Times New Roman" w:hAnsi="Times New Roman"/>
          <w:sz w:val="22"/>
          <w:szCs w:val="22"/>
        </w:rPr>
        <w:t xml:space="preserve">Consistent with the </w:t>
      </w:r>
      <w:r w:rsidRPr="006B2038">
        <w:rPr>
          <w:rStyle w:val="documentbody1"/>
          <w:rFonts w:ascii="Times New Roman" w:hAnsi="Times New Roman"/>
          <w:i/>
          <w:sz w:val="22"/>
          <w:szCs w:val="22"/>
        </w:rPr>
        <w:t>Bristol Bay</w:t>
      </w:r>
      <w:r w:rsidRPr="006B2038">
        <w:rPr>
          <w:rStyle w:val="documentbody1"/>
          <w:rFonts w:ascii="Times New Roman" w:hAnsi="Times New Roman"/>
          <w:sz w:val="22"/>
          <w:szCs w:val="22"/>
        </w:rPr>
        <w:t xml:space="preserve"> precedent, </w:t>
      </w:r>
      <w:r w:rsidR="00FF75C6" w:rsidRPr="006B2038">
        <w:rPr>
          <w:rStyle w:val="documentbody1"/>
          <w:rFonts w:ascii="Times New Roman" w:hAnsi="Times New Roman"/>
          <w:sz w:val="22"/>
          <w:szCs w:val="22"/>
        </w:rPr>
        <w:t xml:space="preserve">we find that ASTAC has demonstrated good cause to waive the billing address requirement in section 54.307(b) of the Commission’s rules.  </w:t>
      </w:r>
      <w:r w:rsidR="00300BA6" w:rsidRPr="006B2038">
        <w:rPr>
          <w:rStyle w:val="documentbody1"/>
          <w:rFonts w:ascii="Times New Roman" w:hAnsi="Times New Roman"/>
          <w:sz w:val="22"/>
          <w:szCs w:val="22"/>
        </w:rPr>
        <w:t xml:space="preserve">The common practice of ASTAC customers to have bills sent to areas outside of where the service is actually used qualifies as special circumstances.  We further conclude that allowing ASTAC to use a primary place of use test in place of customer billing addresses advances the public interest, as this will result in high-cost funding flowing to areas where the service is actually used by ASTAC’s customers.  Therefore, </w:t>
      </w:r>
      <w:r w:rsidRPr="006B2038">
        <w:rPr>
          <w:rStyle w:val="documentbody1"/>
          <w:rFonts w:ascii="Times New Roman" w:hAnsi="Times New Roman"/>
          <w:sz w:val="22"/>
          <w:szCs w:val="22"/>
        </w:rPr>
        <w:t xml:space="preserve">we grant ASTAC’s petition. </w:t>
      </w:r>
    </w:p>
    <w:p w:rsidR="00E12127" w:rsidRPr="006B2038" w:rsidRDefault="0046385B"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GCI Request for Declaratory Ruling.</w:t>
      </w:r>
      <w:r w:rsidRPr="006B2038">
        <w:rPr>
          <w:rStyle w:val="documentbody1"/>
          <w:rFonts w:ascii="Times New Roman" w:hAnsi="Times New Roman"/>
          <w:sz w:val="22"/>
          <w:szCs w:val="22"/>
        </w:rPr>
        <w:t xml:space="preserve">  </w:t>
      </w:r>
      <w:r w:rsidR="000B5FC7" w:rsidRPr="006B2038">
        <w:rPr>
          <w:rStyle w:val="documentbody1"/>
          <w:rFonts w:ascii="Times New Roman" w:hAnsi="Times New Roman"/>
          <w:sz w:val="22"/>
          <w:szCs w:val="22"/>
        </w:rPr>
        <w:t xml:space="preserve">GCI filed a request for a declaratory ruling regarding two of its practices related to use of customer billing addresses under </w:t>
      </w:r>
      <w:r w:rsidR="004C3C60" w:rsidRPr="006B2038">
        <w:rPr>
          <w:rStyle w:val="documentbody1"/>
          <w:rFonts w:ascii="Times New Roman" w:hAnsi="Times New Roman"/>
          <w:sz w:val="22"/>
          <w:szCs w:val="22"/>
        </w:rPr>
        <w:t xml:space="preserve">section </w:t>
      </w:r>
      <w:r w:rsidR="000B5FC7" w:rsidRPr="006B2038">
        <w:rPr>
          <w:rStyle w:val="documentbody1"/>
          <w:rFonts w:ascii="Times New Roman" w:hAnsi="Times New Roman"/>
          <w:sz w:val="22"/>
          <w:szCs w:val="22"/>
        </w:rPr>
        <w:t>54.307(b).</w:t>
      </w:r>
      <w:r w:rsidR="00DD6FF0" w:rsidRPr="006B2038">
        <w:rPr>
          <w:rStyle w:val="FootnoteReference"/>
          <w:sz w:val="22"/>
          <w:szCs w:val="22"/>
        </w:rPr>
        <w:footnoteReference w:id="67"/>
      </w:r>
      <w:r w:rsidR="00E12127" w:rsidRPr="006B2038">
        <w:rPr>
          <w:rStyle w:val="documentbody1"/>
          <w:rFonts w:ascii="Times New Roman" w:hAnsi="Times New Roman"/>
          <w:sz w:val="22"/>
          <w:szCs w:val="22"/>
        </w:rPr>
        <w:t xml:space="preserve">  </w:t>
      </w:r>
      <w:r w:rsidR="0056079E" w:rsidRPr="006B2038">
        <w:rPr>
          <w:rStyle w:val="documentbody1"/>
          <w:rFonts w:ascii="Times New Roman" w:hAnsi="Times New Roman"/>
          <w:sz w:val="22"/>
          <w:szCs w:val="22"/>
        </w:rPr>
        <w:t>First, GCI requests a declaratory ruling on its use of billing addresses for prepaid customers.</w:t>
      </w:r>
      <w:r w:rsidR="0056079E" w:rsidRPr="006B2038">
        <w:rPr>
          <w:rStyle w:val="FootnoteReference"/>
          <w:sz w:val="22"/>
          <w:szCs w:val="22"/>
        </w:rPr>
        <w:footnoteReference w:id="68"/>
      </w:r>
      <w:r w:rsidR="0056079E" w:rsidRPr="006B2038">
        <w:rPr>
          <w:rStyle w:val="documentbody1"/>
          <w:rFonts w:ascii="Times New Roman" w:hAnsi="Times New Roman"/>
          <w:sz w:val="22"/>
          <w:szCs w:val="22"/>
        </w:rPr>
        <w:t xml:space="preserve">  Second, GCI requests a declaratory ruling for its </w:t>
      </w:r>
      <w:r w:rsidR="008646C1" w:rsidRPr="006B2038">
        <w:rPr>
          <w:rStyle w:val="documentbody1"/>
          <w:rFonts w:ascii="Times New Roman" w:hAnsi="Times New Roman"/>
          <w:sz w:val="22"/>
          <w:szCs w:val="22"/>
        </w:rPr>
        <w:t>reporting of</w:t>
      </w:r>
      <w:r w:rsidR="0056079E" w:rsidRPr="006B2038">
        <w:rPr>
          <w:rStyle w:val="documentbody1"/>
          <w:rFonts w:ascii="Times New Roman" w:hAnsi="Times New Roman"/>
          <w:sz w:val="22"/>
          <w:szCs w:val="22"/>
        </w:rPr>
        <w:t xml:space="preserve"> business customers with multiple service addresses but a single billing address.</w:t>
      </w:r>
      <w:r w:rsidR="0056079E" w:rsidRPr="006B2038">
        <w:rPr>
          <w:rStyle w:val="FootnoteReference"/>
          <w:sz w:val="22"/>
          <w:szCs w:val="22"/>
        </w:rPr>
        <w:footnoteReference w:id="69"/>
      </w:r>
      <w:r w:rsidR="0056079E" w:rsidRPr="006B2038">
        <w:rPr>
          <w:rStyle w:val="documentbody1"/>
          <w:rFonts w:ascii="Times New Roman" w:hAnsi="Times New Roman"/>
          <w:sz w:val="22"/>
          <w:szCs w:val="22"/>
        </w:rPr>
        <w:t xml:space="preserve">  </w:t>
      </w:r>
      <w:r w:rsidR="00E12127" w:rsidRPr="006B2038">
        <w:rPr>
          <w:rStyle w:val="documentbody1"/>
          <w:rFonts w:ascii="Times New Roman" w:hAnsi="Times New Roman"/>
          <w:sz w:val="22"/>
          <w:szCs w:val="22"/>
        </w:rPr>
        <w:t xml:space="preserve">We grant the request and clarify that GCI’s practices are consistent with </w:t>
      </w:r>
      <w:r w:rsidR="004C3C60" w:rsidRPr="006B2038">
        <w:rPr>
          <w:rStyle w:val="documentbody1"/>
          <w:rFonts w:ascii="Times New Roman" w:hAnsi="Times New Roman"/>
          <w:sz w:val="22"/>
          <w:szCs w:val="22"/>
        </w:rPr>
        <w:t>section</w:t>
      </w:r>
      <w:r w:rsidR="00E12127" w:rsidRPr="006B2038">
        <w:rPr>
          <w:rStyle w:val="documentbody1"/>
          <w:rFonts w:ascii="Times New Roman" w:hAnsi="Times New Roman"/>
          <w:sz w:val="22"/>
          <w:szCs w:val="22"/>
        </w:rPr>
        <w:t xml:space="preserve"> 54.307(b).</w:t>
      </w:r>
      <w:r w:rsidR="00DD6FF0" w:rsidRPr="006B2038">
        <w:rPr>
          <w:rStyle w:val="FootnoteReference"/>
          <w:sz w:val="22"/>
          <w:szCs w:val="22"/>
        </w:rPr>
        <w:footnoteReference w:id="70"/>
      </w:r>
    </w:p>
    <w:p w:rsidR="002B7890" w:rsidRPr="006B2038" w:rsidRDefault="00E12127"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GCI and its subsidiaries provi</w:t>
      </w:r>
      <w:r w:rsidR="008646C1" w:rsidRPr="006B2038">
        <w:rPr>
          <w:rStyle w:val="documentbody1"/>
          <w:rFonts w:ascii="Times New Roman" w:hAnsi="Times New Roman"/>
          <w:sz w:val="22"/>
          <w:szCs w:val="22"/>
        </w:rPr>
        <w:t>de wireless service in the high-</w:t>
      </w:r>
      <w:r w:rsidRPr="006B2038">
        <w:rPr>
          <w:rStyle w:val="documentbody1"/>
          <w:rFonts w:ascii="Times New Roman" w:hAnsi="Times New Roman"/>
          <w:sz w:val="22"/>
          <w:szCs w:val="22"/>
        </w:rPr>
        <w:t>cost areas of Alaska.</w:t>
      </w:r>
      <w:r w:rsidRPr="006B2038">
        <w:rPr>
          <w:rStyle w:val="FootnoteReference"/>
          <w:sz w:val="22"/>
          <w:szCs w:val="22"/>
        </w:rPr>
        <w:footnoteReference w:id="71"/>
      </w:r>
      <w:r w:rsidRPr="006B2038">
        <w:rPr>
          <w:rStyle w:val="documentbody1"/>
          <w:rFonts w:ascii="Times New Roman" w:hAnsi="Times New Roman"/>
          <w:sz w:val="22"/>
          <w:szCs w:val="22"/>
        </w:rPr>
        <w:t xml:space="preserve"> </w:t>
      </w:r>
      <w:r w:rsidR="005E78F0" w:rsidRPr="006B2038">
        <w:rPr>
          <w:rStyle w:val="documentbody1"/>
          <w:rFonts w:ascii="Times New Roman" w:hAnsi="Times New Roman"/>
          <w:sz w:val="22"/>
          <w:szCs w:val="22"/>
        </w:rPr>
        <w:t xml:space="preserve"> </w:t>
      </w:r>
      <w:r w:rsidR="009F3ECE" w:rsidRPr="006B2038">
        <w:rPr>
          <w:rStyle w:val="documentbody1"/>
          <w:rFonts w:ascii="Times New Roman" w:hAnsi="Times New Roman"/>
          <w:sz w:val="22"/>
          <w:szCs w:val="22"/>
        </w:rPr>
        <w:t>According to GCI, m</w:t>
      </w:r>
      <w:r w:rsidR="005E78F0" w:rsidRPr="006B2038">
        <w:rPr>
          <w:rStyle w:val="documentbody1"/>
          <w:rFonts w:ascii="Times New Roman" w:hAnsi="Times New Roman"/>
          <w:sz w:val="22"/>
          <w:szCs w:val="22"/>
        </w:rPr>
        <w:t>any of its customers are seasonal workers who travel to GCI’s service territory from other areas.</w:t>
      </w:r>
      <w:r w:rsidR="005E78F0" w:rsidRPr="006B2038">
        <w:rPr>
          <w:rStyle w:val="FootnoteReference"/>
          <w:sz w:val="22"/>
          <w:szCs w:val="22"/>
        </w:rPr>
        <w:footnoteReference w:id="72"/>
      </w:r>
      <w:r w:rsidR="005E78F0" w:rsidRPr="006B2038">
        <w:rPr>
          <w:rStyle w:val="documentbody1"/>
          <w:rFonts w:ascii="Times New Roman" w:hAnsi="Times New Roman"/>
          <w:sz w:val="22"/>
          <w:szCs w:val="22"/>
        </w:rPr>
        <w:t xml:space="preserve">  These customers frequently purchase prepaid wireless service to use while in the area.</w:t>
      </w:r>
      <w:r w:rsidR="005E78F0" w:rsidRPr="006B2038">
        <w:rPr>
          <w:rStyle w:val="FootnoteReference"/>
          <w:sz w:val="22"/>
          <w:szCs w:val="22"/>
        </w:rPr>
        <w:footnoteReference w:id="73"/>
      </w:r>
      <w:r w:rsidR="005E78F0" w:rsidRPr="006B2038">
        <w:rPr>
          <w:rStyle w:val="documentbody1"/>
          <w:rFonts w:ascii="Times New Roman" w:hAnsi="Times New Roman"/>
          <w:sz w:val="22"/>
          <w:szCs w:val="22"/>
        </w:rPr>
        <w:t xml:space="preserve">  Because customers prepay for service, there are no bills, and hence no billing addresses.  Instead, when a customer activates the service, GCI requests a local address, which is then submitted as the billing address for purposes of </w:t>
      </w:r>
      <w:r w:rsidR="004C3C60" w:rsidRPr="006B2038">
        <w:rPr>
          <w:rStyle w:val="documentbody1"/>
          <w:rFonts w:ascii="Times New Roman" w:hAnsi="Times New Roman"/>
          <w:sz w:val="22"/>
          <w:szCs w:val="22"/>
        </w:rPr>
        <w:t>section</w:t>
      </w:r>
      <w:r w:rsidR="005E78F0" w:rsidRPr="006B2038">
        <w:rPr>
          <w:rStyle w:val="documentbody1"/>
          <w:rFonts w:ascii="Times New Roman" w:hAnsi="Times New Roman"/>
          <w:sz w:val="22"/>
          <w:szCs w:val="22"/>
        </w:rPr>
        <w:t xml:space="preserve"> 54.307(b).</w:t>
      </w:r>
      <w:r w:rsidR="005E78F0" w:rsidRPr="006B2038">
        <w:rPr>
          <w:rStyle w:val="FootnoteReference"/>
          <w:sz w:val="22"/>
          <w:szCs w:val="22"/>
        </w:rPr>
        <w:footnoteReference w:id="74"/>
      </w:r>
      <w:r w:rsidR="005E78F0" w:rsidRPr="006B2038">
        <w:rPr>
          <w:rStyle w:val="documentbody1"/>
          <w:rFonts w:ascii="Times New Roman" w:hAnsi="Times New Roman"/>
          <w:sz w:val="22"/>
          <w:szCs w:val="22"/>
        </w:rPr>
        <w:t xml:space="preserve">  If the customer does not provide an address, GCI uses the address for the point of sale of the prepaid service.</w:t>
      </w:r>
      <w:r w:rsidR="005E78F0" w:rsidRPr="006B2038">
        <w:rPr>
          <w:rStyle w:val="FootnoteReference"/>
          <w:sz w:val="22"/>
          <w:szCs w:val="22"/>
        </w:rPr>
        <w:footnoteReference w:id="75"/>
      </w:r>
    </w:p>
    <w:p w:rsidR="00C356CF" w:rsidRPr="006B2038" w:rsidRDefault="002B7890"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GCI also provides wireless service to business customers.</w:t>
      </w:r>
      <w:r w:rsidR="00C356CF" w:rsidRPr="006B2038">
        <w:rPr>
          <w:rStyle w:val="FootnoteReference"/>
          <w:sz w:val="22"/>
          <w:szCs w:val="22"/>
        </w:rPr>
        <w:footnoteReference w:id="76"/>
      </w:r>
      <w:r w:rsidRPr="006B2038">
        <w:rPr>
          <w:rStyle w:val="documentbody1"/>
          <w:rFonts w:ascii="Times New Roman" w:hAnsi="Times New Roman"/>
          <w:sz w:val="22"/>
          <w:szCs w:val="22"/>
        </w:rPr>
        <w:t xml:space="preserve">  </w:t>
      </w:r>
      <w:r w:rsidR="009F3ECE" w:rsidRPr="006B2038">
        <w:rPr>
          <w:rStyle w:val="documentbody1"/>
          <w:rFonts w:ascii="Times New Roman" w:hAnsi="Times New Roman"/>
          <w:sz w:val="22"/>
          <w:szCs w:val="22"/>
        </w:rPr>
        <w:t>GCI notes that t</w:t>
      </w:r>
      <w:r w:rsidRPr="006B2038">
        <w:rPr>
          <w:rStyle w:val="documentbody1"/>
          <w:rFonts w:ascii="Times New Roman" w:hAnsi="Times New Roman"/>
          <w:sz w:val="22"/>
          <w:szCs w:val="22"/>
        </w:rPr>
        <w:t xml:space="preserve">hese business customers often have multiple locations where GCI provides service.  While GCI provides an invoice detailing charges and usage information to each respective service location, </w:t>
      </w:r>
      <w:r w:rsidR="00C356CF" w:rsidRPr="006B2038">
        <w:rPr>
          <w:rStyle w:val="documentbody1"/>
          <w:rFonts w:ascii="Times New Roman" w:hAnsi="Times New Roman"/>
          <w:sz w:val="22"/>
          <w:szCs w:val="22"/>
        </w:rPr>
        <w:t>the bill for service is often sent to a separate location, which is sometimes outside of GCI’s service area.</w:t>
      </w:r>
      <w:r w:rsidR="00C356CF" w:rsidRPr="006B2038">
        <w:rPr>
          <w:rStyle w:val="FootnoteReference"/>
          <w:sz w:val="22"/>
          <w:szCs w:val="22"/>
        </w:rPr>
        <w:footnoteReference w:id="77"/>
      </w:r>
      <w:r w:rsidR="00C356CF" w:rsidRPr="006B2038">
        <w:rPr>
          <w:rStyle w:val="documentbody1"/>
          <w:rFonts w:ascii="Times New Roman" w:hAnsi="Times New Roman"/>
          <w:sz w:val="22"/>
          <w:szCs w:val="22"/>
        </w:rPr>
        <w:t xml:space="preserve">  When submitting line count information for universal service purposes, GCI uses the addresses of the invoice locations rather than the single billing address location.</w:t>
      </w:r>
      <w:r w:rsidR="00C356CF" w:rsidRPr="006B2038">
        <w:rPr>
          <w:rStyle w:val="FootnoteReference"/>
          <w:sz w:val="22"/>
          <w:szCs w:val="22"/>
        </w:rPr>
        <w:footnoteReference w:id="78"/>
      </w:r>
      <w:r w:rsidR="00C356CF" w:rsidRPr="006B2038">
        <w:rPr>
          <w:rStyle w:val="documentbody1"/>
          <w:rFonts w:ascii="Times New Roman" w:hAnsi="Times New Roman"/>
          <w:sz w:val="22"/>
          <w:szCs w:val="22"/>
        </w:rPr>
        <w:t xml:space="preserve">  GCI argues that these invoice location</w:t>
      </w:r>
      <w:r w:rsidR="009F3ECE" w:rsidRPr="006B2038">
        <w:rPr>
          <w:rStyle w:val="documentbody1"/>
          <w:rFonts w:ascii="Times New Roman" w:hAnsi="Times New Roman"/>
          <w:sz w:val="22"/>
          <w:szCs w:val="22"/>
        </w:rPr>
        <w:t>s more closely reflect</w:t>
      </w:r>
      <w:r w:rsidR="00C356CF" w:rsidRPr="006B2038">
        <w:rPr>
          <w:rStyle w:val="documentbody1"/>
          <w:rFonts w:ascii="Times New Roman" w:hAnsi="Times New Roman"/>
          <w:sz w:val="22"/>
          <w:szCs w:val="22"/>
        </w:rPr>
        <w:t xml:space="preserve"> the point </w:t>
      </w:r>
      <w:r w:rsidR="008646C1" w:rsidRPr="006B2038">
        <w:rPr>
          <w:rStyle w:val="documentbody1"/>
          <w:rFonts w:ascii="Times New Roman" w:hAnsi="Times New Roman"/>
          <w:sz w:val="22"/>
          <w:szCs w:val="22"/>
        </w:rPr>
        <w:t xml:space="preserve">of service, and thus where high </w:t>
      </w:r>
      <w:r w:rsidR="00C356CF" w:rsidRPr="006B2038">
        <w:rPr>
          <w:rStyle w:val="documentbody1"/>
          <w:rFonts w:ascii="Times New Roman" w:hAnsi="Times New Roman"/>
          <w:sz w:val="22"/>
          <w:szCs w:val="22"/>
        </w:rPr>
        <w:t xml:space="preserve">cost support should be </w:t>
      </w:r>
      <w:r w:rsidR="00FD17DE" w:rsidRPr="006B2038">
        <w:rPr>
          <w:rStyle w:val="documentbody1"/>
          <w:rFonts w:ascii="Times New Roman" w:hAnsi="Times New Roman"/>
          <w:sz w:val="22"/>
          <w:szCs w:val="22"/>
        </w:rPr>
        <w:t>targeted</w:t>
      </w:r>
      <w:r w:rsidR="00C356CF" w:rsidRPr="006B2038">
        <w:rPr>
          <w:rStyle w:val="documentbody1"/>
          <w:rFonts w:ascii="Times New Roman" w:hAnsi="Times New Roman"/>
          <w:sz w:val="22"/>
          <w:szCs w:val="22"/>
        </w:rPr>
        <w:t>, while the official billing address is often just a billing center or company headquarters that has no correlation to service usage.</w:t>
      </w:r>
      <w:r w:rsidR="00C356CF" w:rsidRPr="006B2038">
        <w:rPr>
          <w:rStyle w:val="FootnoteReference"/>
          <w:sz w:val="22"/>
          <w:szCs w:val="22"/>
        </w:rPr>
        <w:footnoteReference w:id="79"/>
      </w:r>
    </w:p>
    <w:p w:rsidR="00123DC3" w:rsidRPr="006B2038" w:rsidRDefault="00C356CF"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We clarify that both of the above practices are acceptable under </w:t>
      </w:r>
      <w:r w:rsidR="004C3C60" w:rsidRPr="006B2038">
        <w:rPr>
          <w:rStyle w:val="documentbody1"/>
          <w:rFonts w:ascii="Times New Roman" w:hAnsi="Times New Roman"/>
          <w:sz w:val="22"/>
          <w:szCs w:val="22"/>
        </w:rPr>
        <w:t>section</w:t>
      </w:r>
      <w:r w:rsidRPr="006B2038">
        <w:rPr>
          <w:rStyle w:val="documentbody1"/>
          <w:rFonts w:ascii="Times New Roman" w:hAnsi="Times New Roman"/>
          <w:sz w:val="22"/>
          <w:szCs w:val="22"/>
        </w:rPr>
        <w:t xml:space="preserve"> 54.307(b).</w:t>
      </w:r>
      <w:r w:rsidR="00AA56B0" w:rsidRPr="006B2038">
        <w:rPr>
          <w:rStyle w:val="documentbody1"/>
          <w:rFonts w:ascii="Times New Roman" w:hAnsi="Times New Roman"/>
          <w:sz w:val="22"/>
          <w:szCs w:val="22"/>
        </w:rPr>
        <w:t xml:space="preserve">  </w:t>
      </w:r>
      <w:r w:rsidR="00123DC3" w:rsidRPr="006B2038">
        <w:rPr>
          <w:rStyle w:val="documentbody1"/>
          <w:rFonts w:ascii="Times New Roman" w:hAnsi="Times New Roman"/>
          <w:sz w:val="22"/>
          <w:szCs w:val="22"/>
        </w:rPr>
        <w:t xml:space="preserve">GCI’s practice provides a workable substitute for using billing addresses for prepaid customers. </w:t>
      </w:r>
      <w:r w:rsidR="00476B29" w:rsidRPr="006B2038">
        <w:rPr>
          <w:rStyle w:val="documentbody1"/>
          <w:rFonts w:ascii="Times New Roman" w:hAnsi="Times New Roman"/>
          <w:sz w:val="22"/>
          <w:szCs w:val="22"/>
        </w:rPr>
        <w:t xml:space="preserve"> </w:t>
      </w:r>
      <w:r w:rsidR="00012C8D" w:rsidRPr="006B2038">
        <w:rPr>
          <w:rStyle w:val="documentbody1"/>
          <w:rFonts w:ascii="Times New Roman" w:hAnsi="Times New Roman"/>
          <w:sz w:val="22"/>
          <w:szCs w:val="22"/>
        </w:rPr>
        <w:t>W</w:t>
      </w:r>
      <w:r w:rsidR="00123DC3" w:rsidRPr="006B2038">
        <w:rPr>
          <w:rStyle w:val="documentbody1"/>
          <w:rFonts w:ascii="Times New Roman" w:hAnsi="Times New Roman"/>
          <w:sz w:val="22"/>
          <w:szCs w:val="22"/>
        </w:rPr>
        <w:t xml:space="preserve">e approve of GCI’s current methodology.  </w:t>
      </w:r>
    </w:p>
    <w:p w:rsidR="00883DDE" w:rsidRPr="006B2038" w:rsidRDefault="00883DDE"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 xml:space="preserve">In a letter supporting GCI’s request for a declaratory ruling, AT&amp;T requested approval for a third method of locating prepaid wireless customers.  Under AT&amp;T’s </w:t>
      </w:r>
      <w:r w:rsidR="00FD17DE" w:rsidRPr="006B2038">
        <w:rPr>
          <w:rStyle w:val="documentbody1"/>
          <w:rFonts w:ascii="Times New Roman" w:hAnsi="Times New Roman"/>
          <w:sz w:val="22"/>
          <w:szCs w:val="22"/>
        </w:rPr>
        <w:t xml:space="preserve">proposed </w:t>
      </w:r>
      <w:r w:rsidRPr="006B2038">
        <w:rPr>
          <w:rStyle w:val="documentbody1"/>
          <w:rFonts w:ascii="Times New Roman" w:hAnsi="Times New Roman"/>
          <w:sz w:val="22"/>
          <w:szCs w:val="22"/>
        </w:rPr>
        <w:t>method, a carrier could report prepaid wireless customers based on the location of the cell site most frequently used by the customer during the relevant quarter.</w:t>
      </w:r>
      <w:r w:rsidRPr="006B2038">
        <w:rPr>
          <w:rStyle w:val="FootnoteReference"/>
          <w:sz w:val="22"/>
          <w:szCs w:val="22"/>
        </w:rPr>
        <w:footnoteReference w:id="80"/>
      </w:r>
      <w:r w:rsidRPr="006B2038">
        <w:rPr>
          <w:rStyle w:val="documentbody1"/>
          <w:rFonts w:ascii="Times New Roman" w:hAnsi="Times New Roman"/>
          <w:sz w:val="22"/>
          <w:szCs w:val="22"/>
        </w:rPr>
        <w:t xml:space="preserve">  We find that this method </w:t>
      </w:r>
      <w:r w:rsidR="003B26B3" w:rsidRPr="006B2038">
        <w:rPr>
          <w:rStyle w:val="documentbody1"/>
          <w:rFonts w:ascii="Times New Roman" w:hAnsi="Times New Roman"/>
          <w:sz w:val="22"/>
          <w:szCs w:val="22"/>
        </w:rPr>
        <w:t xml:space="preserve">also </w:t>
      </w:r>
      <w:r w:rsidRPr="006B2038">
        <w:rPr>
          <w:rStyle w:val="documentbody1"/>
          <w:rFonts w:ascii="Times New Roman" w:hAnsi="Times New Roman"/>
          <w:sz w:val="22"/>
          <w:szCs w:val="22"/>
        </w:rPr>
        <w:t xml:space="preserve">would provide an accurate indication of the location where service is received.  Thus, in addition to the methods GCI articulated in its request for a declaratory ruling, a carrier may also </w:t>
      </w:r>
      <w:r w:rsidR="008646C1" w:rsidRPr="006B2038">
        <w:rPr>
          <w:rStyle w:val="documentbody1"/>
          <w:rFonts w:ascii="Times New Roman" w:hAnsi="Times New Roman"/>
          <w:sz w:val="22"/>
          <w:szCs w:val="22"/>
        </w:rPr>
        <w:t>meet</w:t>
      </w:r>
      <w:r w:rsidR="004C3C60" w:rsidRPr="006B2038">
        <w:rPr>
          <w:rStyle w:val="documentbody1"/>
          <w:rFonts w:ascii="Times New Roman" w:hAnsi="Times New Roman"/>
          <w:sz w:val="22"/>
          <w:szCs w:val="22"/>
        </w:rPr>
        <w:t xml:space="preserve"> the requirements of section 54.307(b) by </w:t>
      </w:r>
      <w:r w:rsidRPr="006B2038">
        <w:rPr>
          <w:rStyle w:val="documentbody1"/>
          <w:rFonts w:ascii="Times New Roman" w:hAnsi="Times New Roman"/>
          <w:sz w:val="22"/>
          <w:szCs w:val="22"/>
        </w:rPr>
        <w:t>report</w:t>
      </w:r>
      <w:r w:rsidR="004C3C60" w:rsidRPr="006B2038">
        <w:rPr>
          <w:rStyle w:val="documentbody1"/>
          <w:rFonts w:ascii="Times New Roman" w:hAnsi="Times New Roman"/>
          <w:sz w:val="22"/>
          <w:szCs w:val="22"/>
        </w:rPr>
        <w:t>ing</w:t>
      </w:r>
      <w:r w:rsidRPr="006B2038">
        <w:rPr>
          <w:rStyle w:val="documentbody1"/>
          <w:rFonts w:ascii="Times New Roman" w:hAnsi="Times New Roman"/>
          <w:sz w:val="22"/>
          <w:szCs w:val="22"/>
        </w:rPr>
        <w:t xml:space="preserve"> the</w:t>
      </w:r>
      <w:r w:rsidR="008646C1" w:rsidRPr="006B2038">
        <w:rPr>
          <w:rStyle w:val="documentbody1"/>
          <w:rFonts w:ascii="Times New Roman" w:hAnsi="Times New Roman"/>
          <w:sz w:val="22"/>
          <w:szCs w:val="22"/>
        </w:rPr>
        <w:t xml:space="preserve"> location of the</w:t>
      </w:r>
      <w:r w:rsidRPr="006B2038">
        <w:rPr>
          <w:rStyle w:val="documentbody1"/>
          <w:rFonts w:ascii="Times New Roman" w:hAnsi="Times New Roman"/>
          <w:sz w:val="22"/>
          <w:szCs w:val="22"/>
        </w:rPr>
        <w:t xml:space="preserve"> cell site most frequently used by the customer during the relevant quarter.</w:t>
      </w:r>
    </w:p>
    <w:p w:rsidR="00012C8D" w:rsidRPr="006B2038" w:rsidRDefault="00123DC3" w:rsidP="00780950">
      <w:pPr>
        <w:pStyle w:val="ParaNum"/>
        <w:widowControl/>
        <w:rPr>
          <w:rStyle w:val="documentbody1"/>
          <w:rFonts w:ascii="Times New Roman" w:hAnsi="Times New Roman"/>
          <w:sz w:val="22"/>
          <w:szCs w:val="22"/>
        </w:rPr>
      </w:pPr>
      <w:r w:rsidRPr="006B2038">
        <w:rPr>
          <w:rStyle w:val="documentbody1"/>
          <w:rFonts w:ascii="Times New Roman" w:hAnsi="Times New Roman"/>
          <w:sz w:val="22"/>
          <w:szCs w:val="22"/>
        </w:rPr>
        <w:t>We also approve of GCI’s use of invoice addresses in reporting high</w:t>
      </w:r>
      <w:r w:rsidR="008646C1" w:rsidRPr="006B2038">
        <w:rPr>
          <w:rStyle w:val="documentbody1"/>
          <w:rFonts w:ascii="Times New Roman" w:hAnsi="Times New Roman"/>
          <w:sz w:val="22"/>
          <w:szCs w:val="22"/>
        </w:rPr>
        <w:t>-</w:t>
      </w:r>
      <w:r w:rsidRPr="006B2038">
        <w:rPr>
          <w:rStyle w:val="documentbody1"/>
          <w:rFonts w:ascii="Times New Roman" w:hAnsi="Times New Roman"/>
          <w:sz w:val="22"/>
          <w:szCs w:val="22"/>
        </w:rPr>
        <w:t xml:space="preserve">cost support locations.  The purpose of using a billing address was to provide a reasonable surrogate </w:t>
      </w:r>
      <w:r w:rsidR="003B26B3" w:rsidRPr="006B2038">
        <w:rPr>
          <w:rStyle w:val="documentbody1"/>
          <w:rFonts w:ascii="Times New Roman" w:hAnsi="Times New Roman"/>
          <w:sz w:val="22"/>
          <w:szCs w:val="22"/>
        </w:rPr>
        <w:t xml:space="preserve">for </w:t>
      </w:r>
      <w:r w:rsidRPr="006B2038">
        <w:rPr>
          <w:rStyle w:val="documentbody1"/>
          <w:rFonts w:ascii="Times New Roman" w:hAnsi="Times New Roman"/>
          <w:sz w:val="22"/>
          <w:szCs w:val="22"/>
        </w:rPr>
        <w:t>the actual location of use for wireless service.</w:t>
      </w:r>
      <w:r w:rsidRPr="006B2038">
        <w:rPr>
          <w:rStyle w:val="FootnoteReference"/>
          <w:sz w:val="22"/>
          <w:szCs w:val="22"/>
        </w:rPr>
        <w:footnoteReference w:id="81"/>
      </w:r>
      <w:r w:rsidRPr="006B2038">
        <w:rPr>
          <w:rStyle w:val="documentbody1"/>
          <w:rFonts w:ascii="Times New Roman" w:hAnsi="Times New Roman"/>
          <w:sz w:val="22"/>
          <w:szCs w:val="22"/>
        </w:rPr>
        <w:t xml:space="preserve">  In the circumstances described by GCI, the invoice address serves this function.  For customers that </w:t>
      </w:r>
      <w:r w:rsidR="00012C8D" w:rsidRPr="006B2038">
        <w:rPr>
          <w:rStyle w:val="documentbody1"/>
          <w:rFonts w:ascii="Times New Roman" w:hAnsi="Times New Roman"/>
          <w:sz w:val="22"/>
          <w:szCs w:val="22"/>
        </w:rPr>
        <w:t>have</w:t>
      </w:r>
      <w:r w:rsidRPr="006B2038">
        <w:rPr>
          <w:rStyle w:val="documentbody1"/>
          <w:rFonts w:ascii="Times New Roman" w:hAnsi="Times New Roman"/>
          <w:sz w:val="22"/>
          <w:szCs w:val="22"/>
        </w:rPr>
        <w:t xml:space="preserve"> multiple service addresses and receive invoices at those addresses, carriers may report those invoice addresses under </w:t>
      </w:r>
      <w:r w:rsidR="004C3C60" w:rsidRPr="006B2038">
        <w:rPr>
          <w:rStyle w:val="documentbody1"/>
          <w:rFonts w:ascii="Times New Roman" w:hAnsi="Times New Roman"/>
          <w:sz w:val="22"/>
          <w:szCs w:val="22"/>
        </w:rPr>
        <w:t>section</w:t>
      </w:r>
      <w:r w:rsidRPr="006B2038">
        <w:rPr>
          <w:rStyle w:val="documentbody1"/>
          <w:rFonts w:ascii="Times New Roman" w:hAnsi="Times New Roman"/>
          <w:sz w:val="22"/>
          <w:szCs w:val="22"/>
        </w:rPr>
        <w:t xml:space="preserve"> 54.307(b)</w:t>
      </w:r>
      <w:r w:rsidR="00012C8D" w:rsidRPr="006B2038">
        <w:rPr>
          <w:rStyle w:val="documentbody1"/>
          <w:rFonts w:ascii="Times New Roman" w:hAnsi="Times New Roman"/>
          <w:sz w:val="22"/>
          <w:szCs w:val="22"/>
        </w:rPr>
        <w:t xml:space="preserve"> as the “billing address,”</w:t>
      </w:r>
      <w:r w:rsidRPr="006B2038">
        <w:rPr>
          <w:rStyle w:val="documentbody1"/>
          <w:rFonts w:ascii="Times New Roman" w:hAnsi="Times New Roman"/>
          <w:sz w:val="22"/>
          <w:szCs w:val="22"/>
        </w:rPr>
        <w:t xml:space="preserve"> rather than using </w:t>
      </w:r>
      <w:r w:rsidR="00012C8D" w:rsidRPr="006B2038">
        <w:rPr>
          <w:rStyle w:val="documentbody1"/>
          <w:rFonts w:ascii="Times New Roman" w:hAnsi="Times New Roman"/>
          <w:sz w:val="22"/>
          <w:szCs w:val="22"/>
        </w:rPr>
        <w:t>the address to which the</w:t>
      </w:r>
      <w:r w:rsidR="000E77F3" w:rsidRPr="006B2038">
        <w:rPr>
          <w:rStyle w:val="documentbody1"/>
          <w:rFonts w:ascii="Times New Roman" w:hAnsi="Times New Roman"/>
          <w:sz w:val="22"/>
          <w:szCs w:val="22"/>
        </w:rPr>
        <w:t xml:space="preserve"> actual</w:t>
      </w:r>
      <w:r w:rsidR="00012C8D" w:rsidRPr="006B2038">
        <w:rPr>
          <w:rStyle w:val="documentbody1"/>
          <w:rFonts w:ascii="Times New Roman" w:hAnsi="Times New Roman"/>
          <w:sz w:val="22"/>
          <w:szCs w:val="22"/>
        </w:rPr>
        <w:t xml:space="preserve"> request for payment is sent.</w:t>
      </w:r>
    </w:p>
    <w:p w:rsidR="00557EB7" w:rsidRPr="006B2038" w:rsidRDefault="00851318" w:rsidP="00780950">
      <w:pPr>
        <w:pStyle w:val="ParaNum"/>
        <w:widowControl/>
        <w:rPr>
          <w:rStyle w:val="documentbody1"/>
          <w:rFonts w:ascii="Times New Roman" w:hAnsi="Times New Roman"/>
          <w:sz w:val="22"/>
          <w:szCs w:val="22"/>
        </w:rPr>
      </w:pPr>
      <w:r w:rsidRPr="006B2038">
        <w:rPr>
          <w:rStyle w:val="documentbody1"/>
          <w:rFonts w:ascii="Times New Roman" w:hAnsi="Times New Roman"/>
          <w:i/>
          <w:sz w:val="22"/>
          <w:szCs w:val="22"/>
        </w:rPr>
        <w:t xml:space="preserve">Mobi PCS/Cricket Petition for </w:t>
      </w:r>
      <w:r w:rsidR="001A3E3C" w:rsidRPr="006B2038">
        <w:rPr>
          <w:rStyle w:val="documentbody1"/>
          <w:rFonts w:ascii="Times New Roman" w:hAnsi="Times New Roman"/>
          <w:i/>
          <w:sz w:val="22"/>
          <w:szCs w:val="22"/>
        </w:rPr>
        <w:t>Guidance.</w:t>
      </w:r>
      <w:r w:rsidR="00EF37B5" w:rsidRPr="006B2038">
        <w:rPr>
          <w:rStyle w:val="FootnoteReference"/>
          <w:sz w:val="22"/>
          <w:szCs w:val="22"/>
        </w:rPr>
        <w:footnoteReference w:id="82"/>
      </w:r>
      <w:r w:rsidR="001A3E3C" w:rsidRPr="006B2038">
        <w:rPr>
          <w:rStyle w:val="documentbody1"/>
          <w:rFonts w:ascii="Times New Roman" w:hAnsi="Times New Roman"/>
          <w:sz w:val="22"/>
          <w:szCs w:val="22"/>
        </w:rPr>
        <w:t xml:space="preserve">  </w:t>
      </w:r>
      <w:r w:rsidR="003B40A9" w:rsidRPr="006B2038">
        <w:rPr>
          <w:rStyle w:val="documentbody1"/>
          <w:rFonts w:ascii="Times New Roman" w:hAnsi="Times New Roman"/>
          <w:sz w:val="22"/>
          <w:szCs w:val="22"/>
        </w:rPr>
        <w:t xml:space="preserve">Mobi PCS and Cricket request that we provide guidance to USAC regarding the billing address requirement of </w:t>
      </w:r>
      <w:r w:rsidR="004C3C60" w:rsidRPr="006B2038">
        <w:rPr>
          <w:rStyle w:val="documentbody1"/>
          <w:rFonts w:ascii="Times New Roman" w:hAnsi="Times New Roman"/>
          <w:sz w:val="22"/>
          <w:szCs w:val="22"/>
        </w:rPr>
        <w:t>section</w:t>
      </w:r>
      <w:r w:rsidR="003B40A9" w:rsidRPr="006B2038">
        <w:rPr>
          <w:rStyle w:val="documentbody1"/>
          <w:rFonts w:ascii="Times New Roman" w:hAnsi="Times New Roman"/>
          <w:sz w:val="22"/>
          <w:szCs w:val="22"/>
        </w:rPr>
        <w:t xml:space="preserve"> 54.307(b).</w:t>
      </w:r>
      <w:r w:rsidR="008D13E3" w:rsidRPr="006B2038">
        <w:rPr>
          <w:rStyle w:val="FootnoteReference"/>
          <w:sz w:val="22"/>
          <w:szCs w:val="22"/>
        </w:rPr>
        <w:footnoteReference w:id="83"/>
      </w:r>
      <w:r w:rsidR="003B40A9" w:rsidRPr="006B2038">
        <w:rPr>
          <w:rStyle w:val="documentbody1"/>
          <w:rFonts w:ascii="Times New Roman" w:hAnsi="Times New Roman"/>
          <w:sz w:val="22"/>
          <w:szCs w:val="22"/>
        </w:rPr>
        <w:t xml:space="preserve">  </w:t>
      </w:r>
      <w:r w:rsidR="003C157C" w:rsidRPr="006B2038">
        <w:rPr>
          <w:rStyle w:val="documentbody1"/>
          <w:rFonts w:ascii="Times New Roman" w:hAnsi="Times New Roman"/>
          <w:sz w:val="22"/>
          <w:szCs w:val="22"/>
        </w:rPr>
        <w:t>As discussed in this order, a</w:t>
      </w:r>
      <w:r w:rsidR="00557EB7" w:rsidRPr="006B2038">
        <w:rPr>
          <w:rStyle w:val="documentbody1"/>
          <w:rFonts w:ascii="Times New Roman" w:hAnsi="Times New Roman"/>
          <w:sz w:val="22"/>
          <w:szCs w:val="22"/>
        </w:rPr>
        <w:t xml:space="preserve">n ETC can use the physical address of the post office and assign all P.O. boxes from that post office to the proper </w:t>
      </w:r>
      <w:r w:rsidR="008160B6" w:rsidRPr="006B2038">
        <w:rPr>
          <w:rStyle w:val="documentbody1"/>
          <w:rFonts w:ascii="Times New Roman" w:hAnsi="Times New Roman"/>
          <w:sz w:val="22"/>
          <w:szCs w:val="22"/>
        </w:rPr>
        <w:t xml:space="preserve">incumbent </w:t>
      </w:r>
      <w:r w:rsidR="00557EB7" w:rsidRPr="006B2038">
        <w:rPr>
          <w:rStyle w:val="documentbody1"/>
          <w:rFonts w:ascii="Times New Roman" w:hAnsi="Times New Roman"/>
          <w:sz w:val="22"/>
          <w:szCs w:val="22"/>
        </w:rPr>
        <w:t xml:space="preserve">LEC.  </w:t>
      </w:r>
      <w:r w:rsidR="002B1CBF" w:rsidRPr="006B2038">
        <w:rPr>
          <w:rStyle w:val="documentbody1"/>
          <w:rFonts w:ascii="Times New Roman" w:hAnsi="Times New Roman"/>
          <w:sz w:val="22"/>
          <w:szCs w:val="22"/>
        </w:rPr>
        <w:t xml:space="preserve">Alternatively, </w:t>
      </w:r>
      <w:r w:rsidR="003053E8" w:rsidRPr="006B2038">
        <w:rPr>
          <w:rStyle w:val="documentbody1"/>
          <w:rFonts w:ascii="Times New Roman" w:hAnsi="Times New Roman"/>
          <w:sz w:val="22"/>
          <w:szCs w:val="22"/>
        </w:rPr>
        <w:t>carriers</w:t>
      </w:r>
      <w:r w:rsidR="002B1CBF" w:rsidRPr="006B2038">
        <w:rPr>
          <w:rStyle w:val="documentbody1"/>
          <w:rFonts w:ascii="Times New Roman" w:hAnsi="Times New Roman"/>
          <w:sz w:val="22"/>
          <w:szCs w:val="22"/>
        </w:rPr>
        <w:t xml:space="preserve"> could use the centroid of the ZIP code, a method we approved of above</w:t>
      </w:r>
      <w:r w:rsidR="00C01C2D" w:rsidRPr="006B2038">
        <w:rPr>
          <w:rStyle w:val="documentbody1"/>
          <w:rFonts w:ascii="Times New Roman" w:hAnsi="Times New Roman"/>
          <w:sz w:val="22"/>
          <w:szCs w:val="22"/>
        </w:rPr>
        <w:t xml:space="preserve"> with regards to AT&amp;T’s petition</w:t>
      </w:r>
      <w:r w:rsidR="002B1CBF" w:rsidRPr="006B2038">
        <w:rPr>
          <w:rStyle w:val="documentbody1"/>
          <w:rFonts w:ascii="Times New Roman" w:hAnsi="Times New Roman"/>
          <w:sz w:val="22"/>
          <w:szCs w:val="22"/>
        </w:rPr>
        <w:t>.</w:t>
      </w:r>
    </w:p>
    <w:p w:rsidR="006D4DAD" w:rsidRPr="006B2038" w:rsidRDefault="00557EB7" w:rsidP="00780950">
      <w:pPr>
        <w:pStyle w:val="ParaNum"/>
        <w:widowControl/>
        <w:rPr>
          <w:color w:val="000000"/>
          <w:szCs w:val="22"/>
        </w:rPr>
      </w:pPr>
      <w:r w:rsidRPr="006B2038">
        <w:rPr>
          <w:rStyle w:val="documentbody1"/>
          <w:rFonts w:ascii="Times New Roman" w:hAnsi="Times New Roman"/>
          <w:sz w:val="22"/>
          <w:szCs w:val="22"/>
        </w:rPr>
        <w:t xml:space="preserve">Where more than one </w:t>
      </w:r>
      <w:r w:rsidR="00420C2C" w:rsidRPr="006B2038">
        <w:rPr>
          <w:rStyle w:val="documentbody1"/>
          <w:rFonts w:ascii="Times New Roman" w:hAnsi="Times New Roman"/>
          <w:sz w:val="22"/>
          <w:szCs w:val="22"/>
        </w:rPr>
        <w:t xml:space="preserve">incumbent </w:t>
      </w:r>
      <w:r w:rsidRPr="006B2038">
        <w:rPr>
          <w:rStyle w:val="documentbody1"/>
          <w:rFonts w:ascii="Times New Roman" w:hAnsi="Times New Roman"/>
          <w:sz w:val="22"/>
          <w:szCs w:val="22"/>
        </w:rPr>
        <w:t xml:space="preserve">LEC serves a region, petitioners recommend asking customers </w:t>
      </w:r>
      <w:r w:rsidR="002B1CBF" w:rsidRPr="006B2038">
        <w:rPr>
          <w:rStyle w:val="documentbody1"/>
          <w:rFonts w:ascii="Times New Roman" w:hAnsi="Times New Roman"/>
          <w:sz w:val="22"/>
          <w:szCs w:val="22"/>
        </w:rPr>
        <w:t xml:space="preserve">to identify their </w:t>
      </w:r>
      <w:r w:rsidR="00420C2C" w:rsidRPr="006B2038">
        <w:rPr>
          <w:rStyle w:val="documentbody1"/>
          <w:rFonts w:ascii="Times New Roman" w:hAnsi="Times New Roman"/>
          <w:sz w:val="22"/>
          <w:szCs w:val="22"/>
        </w:rPr>
        <w:t xml:space="preserve">incumbent </w:t>
      </w:r>
      <w:r w:rsidR="002B1CBF" w:rsidRPr="006B2038">
        <w:rPr>
          <w:rStyle w:val="documentbody1"/>
          <w:rFonts w:ascii="Times New Roman" w:hAnsi="Times New Roman"/>
          <w:sz w:val="22"/>
          <w:szCs w:val="22"/>
        </w:rPr>
        <w:t xml:space="preserve">LEC.  </w:t>
      </w:r>
      <w:r w:rsidR="00D92A07" w:rsidRPr="006B2038">
        <w:rPr>
          <w:rStyle w:val="documentbody1"/>
          <w:rFonts w:ascii="Times New Roman" w:hAnsi="Times New Roman"/>
          <w:sz w:val="22"/>
          <w:szCs w:val="22"/>
        </w:rPr>
        <w:t>While</w:t>
      </w:r>
      <w:r w:rsidR="002B1CBF" w:rsidRPr="006B2038">
        <w:rPr>
          <w:rStyle w:val="documentbody1"/>
          <w:rFonts w:ascii="Times New Roman" w:hAnsi="Times New Roman"/>
          <w:sz w:val="22"/>
          <w:szCs w:val="22"/>
        </w:rPr>
        <w:t xml:space="preserve"> customers may not know who their </w:t>
      </w:r>
      <w:r w:rsidR="00420C2C" w:rsidRPr="006B2038">
        <w:rPr>
          <w:rStyle w:val="documentbody1"/>
          <w:rFonts w:ascii="Times New Roman" w:hAnsi="Times New Roman"/>
          <w:sz w:val="22"/>
          <w:szCs w:val="22"/>
        </w:rPr>
        <w:t>incumbent</w:t>
      </w:r>
      <w:r w:rsidR="00846FDC" w:rsidRPr="006B2038">
        <w:rPr>
          <w:rStyle w:val="documentbody1"/>
          <w:rFonts w:ascii="Times New Roman" w:hAnsi="Times New Roman"/>
          <w:sz w:val="22"/>
          <w:szCs w:val="22"/>
        </w:rPr>
        <w:t xml:space="preserve"> </w:t>
      </w:r>
      <w:r w:rsidR="002B1CBF" w:rsidRPr="006B2038">
        <w:rPr>
          <w:rStyle w:val="documentbody1"/>
          <w:rFonts w:ascii="Times New Roman" w:hAnsi="Times New Roman"/>
          <w:sz w:val="22"/>
          <w:szCs w:val="22"/>
        </w:rPr>
        <w:t>LEC is</w:t>
      </w:r>
      <w:r w:rsidR="00D92A07" w:rsidRPr="006B2038">
        <w:rPr>
          <w:rStyle w:val="documentbody1"/>
          <w:rFonts w:ascii="Times New Roman" w:hAnsi="Times New Roman"/>
          <w:sz w:val="22"/>
          <w:szCs w:val="22"/>
        </w:rPr>
        <w:t>,</w:t>
      </w:r>
      <w:r w:rsidR="002B1CBF" w:rsidRPr="006B2038">
        <w:rPr>
          <w:rStyle w:val="FootnoteReference"/>
          <w:sz w:val="22"/>
          <w:szCs w:val="22"/>
        </w:rPr>
        <w:footnoteReference w:id="84"/>
      </w:r>
      <w:r w:rsidR="002B1CBF" w:rsidRPr="006B2038">
        <w:rPr>
          <w:rStyle w:val="documentbody1"/>
          <w:rFonts w:ascii="Times New Roman" w:hAnsi="Times New Roman"/>
          <w:sz w:val="22"/>
          <w:szCs w:val="22"/>
        </w:rPr>
        <w:t xml:space="preserve"> </w:t>
      </w:r>
      <w:r w:rsidR="003C157C" w:rsidRPr="006B2038">
        <w:rPr>
          <w:rStyle w:val="documentbody1"/>
          <w:rFonts w:ascii="Times New Roman" w:hAnsi="Times New Roman"/>
          <w:sz w:val="22"/>
          <w:szCs w:val="22"/>
        </w:rPr>
        <w:t xml:space="preserve">we conclude that to the extent customers are able to identify their </w:t>
      </w:r>
      <w:r w:rsidR="00420C2C" w:rsidRPr="006B2038">
        <w:rPr>
          <w:rStyle w:val="documentbody1"/>
          <w:rFonts w:ascii="Times New Roman" w:hAnsi="Times New Roman"/>
          <w:sz w:val="22"/>
          <w:szCs w:val="22"/>
        </w:rPr>
        <w:t xml:space="preserve">incumbent </w:t>
      </w:r>
      <w:r w:rsidR="003C157C" w:rsidRPr="006B2038">
        <w:rPr>
          <w:rStyle w:val="documentbody1"/>
          <w:rFonts w:ascii="Times New Roman" w:hAnsi="Times New Roman"/>
          <w:sz w:val="22"/>
          <w:szCs w:val="22"/>
        </w:rPr>
        <w:t>LEC, t</w:t>
      </w:r>
      <w:r w:rsidR="00D92A07" w:rsidRPr="006B2038">
        <w:rPr>
          <w:rStyle w:val="documentbody1"/>
          <w:rFonts w:ascii="Times New Roman" w:hAnsi="Times New Roman"/>
          <w:sz w:val="22"/>
          <w:szCs w:val="22"/>
        </w:rPr>
        <w:t xml:space="preserve">his </w:t>
      </w:r>
      <w:r w:rsidR="003C157C" w:rsidRPr="006B2038">
        <w:rPr>
          <w:rStyle w:val="documentbody1"/>
          <w:rFonts w:ascii="Times New Roman" w:hAnsi="Times New Roman"/>
          <w:sz w:val="22"/>
          <w:szCs w:val="22"/>
        </w:rPr>
        <w:t xml:space="preserve">also </w:t>
      </w:r>
      <w:r w:rsidR="00D92A07" w:rsidRPr="006B2038">
        <w:rPr>
          <w:rStyle w:val="documentbody1"/>
          <w:rFonts w:ascii="Times New Roman" w:hAnsi="Times New Roman"/>
          <w:sz w:val="22"/>
          <w:szCs w:val="22"/>
        </w:rPr>
        <w:t xml:space="preserve">would be an acceptable method to assign customers to a particular study area.  </w:t>
      </w:r>
      <w:r w:rsidR="003C157C" w:rsidRPr="006B2038">
        <w:rPr>
          <w:rStyle w:val="documentbody1"/>
          <w:rFonts w:ascii="Times New Roman" w:hAnsi="Times New Roman"/>
          <w:sz w:val="22"/>
          <w:szCs w:val="22"/>
        </w:rPr>
        <w:t xml:space="preserve">We note, however, that </w:t>
      </w:r>
      <w:r w:rsidR="002B1CBF" w:rsidRPr="006B2038">
        <w:rPr>
          <w:rStyle w:val="documentbody1"/>
          <w:rFonts w:ascii="Times New Roman" w:hAnsi="Times New Roman"/>
          <w:sz w:val="22"/>
          <w:szCs w:val="22"/>
        </w:rPr>
        <w:t xml:space="preserve">if an ETC is going to go through the process of requesting additional information from the customer, it </w:t>
      </w:r>
      <w:r w:rsidR="003C157C" w:rsidRPr="006B2038">
        <w:rPr>
          <w:rStyle w:val="documentbody1"/>
          <w:rFonts w:ascii="Times New Roman" w:hAnsi="Times New Roman"/>
          <w:sz w:val="22"/>
          <w:szCs w:val="22"/>
        </w:rPr>
        <w:t xml:space="preserve">also </w:t>
      </w:r>
      <w:r w:rsidR="000E77F3" w:rsidRPr="006B2038">
        <w:rPr>
          <w:rStyle w:val="documentbody1"/>
          <w:rFonts w:ascii="Times New Roman" w:hAnsi="Times New Roman"/>
          <w:sz w:val="22"/>
          <w:szCs w:val="22"/>
        </w:rPr>
        <w:t>could</w:t>
      </w:r>
      <w:r w:rsidR="002B1CBF" w:rsidRPr="006B2038">
        <w:rPr>
          <w:rStyle w:val="documentbody1"/>
          <w:rFonts w:ascii="Times New Roman" w:hAnsi="Times New Roman"/>
          <w:sz w:val="22"/>
          <w:szCs w:val="22"/>
        </w:rPr>
        <w:t xml:space="preserve"> simply request a home address or service address and use that in place of the P.O. box address.</w:t>
      </w:r>
      <w:r w:rsidR="006D4DAD" w:rsidRPr="006B2038">
        <w:rPr>
          <w:szCs w:val="22"/>
        </w:rPr>
        <w:t xml:space="preserve"> </w:t>
      </w:r>
    </w:p>
    <w:p w:rsidR="003C157C" w:rsidRPr="006B2038" w:rsidRDefault="00C72BF3" w:rsidP="00780950">
      <w:pPr>
        <w:pStyle w:val="ParaNum"/>
        <w:widowControl/>
        <w:rPr>
          <w:szCs w:val="22"/>
        </w:rPr>
      </w:pPr>
      <w:r w:rsidRPr="006B2038">
        <w:rPr>
          <w:rStyle w:val="documentbody1"/>
          <w:rFonts w:ascii="Times New Roman" w:hAnsi="Times New Roman"/>
          <w:sz w:val="22"/>
          <w:szCs w:val="22"/>
        </w:rPr>
        <w:t>T</w:t>
      </w:r>
      <w:r w:rsidR="00EF37B5" w:rsidRPr="006B2038">
        <w:rPr>
          <w:rStyle w:val="documentbody1"/>
          <w:rFonts w:ascii="Times New Roman" w:hAnsi="Times New Roman"/>
          <w:sz w:val="22"/>
          <w:szCs w:val="22"/>
        </w:rPr>
        <w:t>he</w:t>
      </w:r>
      <w:r w:rsidR="00EF37B5" w:rsidRPr="006B2038">
        <w:rPr>
          <w:szCs w:val="22"/>
        </w:rPr>
        <w:t xml:space="preserve"> </w:t>
      </w:r>
      <w:r w:rsidR="003C157C" w:rsidRPr="006B2038">
        <w:rPr>
          <w:szCs w:val="22"/>
        </w:rPr>
        <w:t xml:space="preserve">decisions </w:t>
      </w:r>
      <w:r w:rsidR="005671D6" w:rsidRPr="006B2038">
        <w:rPr>
          <w:szCs w:val="22"/>
        </w:rPr>
        <w:t>in this Order</w:t>
      </w:r>
      <w:r w:rsidR="00EF37B5" w:rsidRPr="006B2038">
        <w:rPr>
          <w:szCs w:val="22"/>
        </w:rPr>
        <w:t xml:space="preserve"> should provide sufficient guidance to USAC on how we interpret </w:t>
      </w:r>
      <w:r w:rsidR="00A20EA0" w:rsidRPr="006B2038">
        <w:rPr>
          <w:szCs w:val="22"/>
        </w:rPr>
        <w:t xml:space="preserve">current </w:t>
      </w:r>
      <w:r w:rsidR="00EF37B5" w:rsidRPr="006B2038">
        <w:rPr>
          <w:szCs w:val="22"/>
        </w:rPr>
        <w:t>section 54.</w:t>
      </w:r>
      <w:r w:rsidRPr="006B2038">
        <w:rPr>
          <w:szCs w:val="22"/>
        </w:rPr>
        <w:t>307</w:t>
      </w:r>
      <w:r w:rsidR="00EF37B5" w:rsidRPr="006B2038">
        <w:rPr>
          <w:szCs w:val="22"/>
        </w:rPr>
        <w:t xml:space="preserve"> without the need for a separate guidance letter.</w:t>
      </w:r>
      <w:r w:rsidRPr="006B2038">
        <w:rPr>
          <w:szCs w:val="22"/>
        </w:rPr>
        <w:t xml:space="preserve">  </w:t>
      </w:r>
    </w:p>
    <w:p w:rsidR="001E59A3" w:rsidRPr="006B2038" w:rsidRDefault="001E59A3" w:rsidP="00780950">
      <w:pPr>
        <w:pStyle w:val="Heading1"/>
        <w:widowControl/>
        <w:rPr>
          <w:rFonts w:ascii="Times New Roman" w:hAnsi="Times New Roman"/>
          <w:szCs w:val="22"/>
        </w:rPr>
      </w:pPr>
      <w:r w:rsidRPr="006B2038">
        <w:rPr>
          <w:rStyle w:val="documentbody1"/>
          <w:rFonts w:ascii="Times New Roman" w:hAnsi="Times New Roman"/>
          <w:sz w:val="22"/>
          <w:szCs w:val="22"/>
        </w:rPr>
        <w:t>ORDERING CLAUSES</w:t>
      </w:r>
    </w:p>
    <w:p w:rsidR="00D736B3" w:rsidRPr="006B2038" w:rsidRDefault="001E59A3" w:rsidP="00780950">
      <w:pPr>
        <w:pStyle w:val="ParaNum"/>
        <w:widowControl/>
        <w:rPr>
          <w:rStyle w:val="StyleNumberedparagraphs11ptChar"/>
          <w:szCs w:val="22"/>
        </w:rPr>
      </w:pPr>
      <w:r w:rsidRPr="006B2038">
        <w:rPr>
          <w:rStyle w:val="StyleNumberedparagraphs11ptChar"/>
          <w:szCs w:val="22"/>
        </w:rPr>
        <w:t xml:space="preserve">ACCORDINGLY, IT IS ORDERED that, </w:t>
      </w:r>
      <w:r w:rsidR="00083F23" w:rsidRPr="006B2038">
        <w:rPr>
          <w:rStyle w:val="documentbody1"/>
          <w:rFonts w:ascii="Times New Roman" w:hAnsi="Times New Roman"/>
          <w:sz w:val="22"/>
          <w:szCs w:val="22"/>
        </w:rPr>
        <w:t>pursuant</w:t>
      </w:r>
      <w:r w:rsidR="00083F23" w:rsidRPr="006B2038">
        <w:rPr>
          <w:rStyle w:val="StyleNumberedparagraphs11ptChar"/>
          <w:szCs w:val="22"/>
        </w:rPr>
        <w:t xml:space="preserve"> to the authority contained in sections 1-4 and 254 of the Communications Act of 1934, as amended, 47 U.S.C. §§ 151-154 and 254, and section</w:t>
      </w:r>
      <w:r w:rsidR="00951290" w:rsidRPr="006B2038">
        <w:rPr>
          <w:rStyle w:val="StyleNumberedparagraphs11ptChar"/>
          <w:szCs w:val="22"/>
        </w:rPr>
        <w:t xml:space="preserve">s </w:t>
      </w:r>
      <w:r w:rsidR="00A3506A" w:rsidRPr="006B2038">
        <w:rPr>
          <w:rStyle w:val="StyleNumberedparagraphs11ptChar"/>
          <w:szCs w:val="22"/>
        </w:rPr>
        <w:t xml:space="preserve">0.91, </w:t>
      </w:r>
      <w:r w:rsidR="00420C2C" w:rsidRPr="006B2038">
        <w:rPr>
          <w:rStyle w:val="StyleNumberedparagraphs11ptChar"/>
          <w:szCs w:val="22"/>
        </w:rPr>
        <w:t>0</w:t>
      </w:r>
      <w:r w:rsidR="00A3506A" w:rsidRPr="006B2038">
        <w:rPr>
          <w:rStyle w:val="StyleNumberedparagraphs11ptChar"/>
          <w:szCs w:val="22"/>
        </w:rPr>
        <w:t xml:space="preserve">.291, </w:t>
      </w:r>
      <w:r w:rsidR="00951290" w:rsidRPr="006B2038">
        <w:rPr>
          <w:rStyle w:val="StyleNumberedparagraphs11ptChar"/>
          <w:szCs w:val="22"/>
        </w:rPr>
        <w:t xml:space="preserve">1.2, </w:t>
      </w:r>
      <w:r w:rsidR="00083F23" w:rsidRPr="006B2038">
        <w:rPr>
          <w:rStyle w:val="StyleNumberedparagraphs11ptChar"/>
          <w:szCs w:val="22"/>
        </w:rPr>
        <w:t>1.3</w:t>
      </w:r>
      <w:r w:rsidR="00951290" w:rsidRPr="006B2038">
        <w:rPr>
          <w:rStyle w:val="StyleNumberedparagraphs11ptChar"/>
          <w:szCs w:val="22"/>
        </w:rPr>
        <w:t>, and 54.722</w:t>
      </w:r>
      <w:r w:rsidR="00083F23" w:rsidRPr="006B2038">
        <w:rPr>
          <w:rStyle w:val="StyleNumberedparagraphs11ptChar"/>
          <w:szCs w:val="22"/>
        </w:rPr>
        <w:t xml:space="preserve"> of the Commission’s rules, 47 C.F.R. §</w:t>
      </w:r>
      <w:r w:rsidR="00951290" w:rsidRPr="006B2038">
        <w:rPr>
          <w:rStyle w:val="StyleNumberedparagraphs11ptChar"/>
          <w:szCs w:val="22"/>
        </w:rPr>
        <w:t xml:space="preserve">§ </w:t>
      </w:r>
      <w:r w:rsidR="00A3506A" w:rsidRPr="006B2038">
        <w:rPr>
          <w:rStyle w:val="StyleNumberedparagraphs11ptChar"/>
          <w:szCs w:val="22"/>
        </w:rPr>
        <w:t xml:space="preserve">0.91, 0.291, </w:t>
      </w:r>
      <w:r w:rsidR="00951290" w:rsidRPr="006B2038">
        <w:rPr>
          <w:rStyle w:val="StyleNumberedparagraphs11ptChar"/>
          <w:szCs w:val="22"/>
        </w:rPr>
        <w:t xml:space="preserve">1.2, </w:t>
      </w:r>
      <w:r w:rsidR="00083F23" w:rsidRPr="006B2038">
        <w:rPr>
          <w:rStyle w:val="StyleNumberedparagraphs11ptChar"/>
          <w:szCs w:val="22"/>
        </w:rPr>
        <w:t>1.3</w:t>
      </w:r>
      <w:r w:rsidR="00951290" w:rsidRPr="006B2038">
        <w:rPr>
          <w:rStyle w:val="StyleNumberedparagraphs11ptChar"/>
          <w:szCs w:val="22"/>
        </w:rPr>
        <w:t>, and 54.722</w:t>
      </w:r>
      <w:r w:rsidR="00C61850" w:rsidRPr="006B2038">
        <w:rPr>
          <w:rStyle w:val="StyleNumberedparagraphs11ptChar"/>
          <w:szCs w:val="22"/>
        </w:rPr>
        <w:t xml:space="preserve">, </w:t>
      </w:r>
      <w:r w:rsidRPr="006B2038">
        <w:rPr>
          <w:rStyle w:val="StyleNumberedparagraphs11ptChar"/>
          <w:szCs w:val="22"/>
        </w:rPr>
        <w:t>tha</w:t>
      </w:r>
      <w:r w:rsidR="00DF4C33" w:rsidRPr="006B2038">
        <w:rPr>
          <w:rStyle w:val="StyleNumberedparagraphs11ptChar"/>
          <w:szCs w:val="22"/>
        </w:rPr>
        <w:t>t the Requests for Review</w:t>
      </w:r>
      <w:r w:rsidR="00D736B3" w:rsidRPr="006B2038">
        <w:rPr>
          <w:rStyle w:val="StyleNumberedparagraphs11ptChar"/>
          <w:szCs w:val="22"/>
        </w:rPr>
        <w:t>,</w:t>
      </w:r>
      <w:r w:rsidRPr="006B2038">
        <w:rPr>
          <w:rStyle w:val="StyleNumberedparagraphs11ptChar"/>
          <w:szCs w:val="22"/>
        </w:rPr>
        <w:t xml:space="preserve"> </w:t>
      </w:r>
      <w:r w:rsidR="00D736B3" w:rsidRPr="006B2038">
        <w:rPr>
          <w:rStyle w:val="StyleNumberedparagraphs11ptChar"/>
          <w:szCs w:val="22"/>
        </w:rPr>
        <w:t>Petitions</w:t>
      </w:r>
      <w:r w:rsidRPr="006B2038">
        <w:rPr>
          <w:rStyle w:val="StyleNumberedparagraphs11ptChar"/>
          <w:szCs w:val="22"/>
        </w:rPr>
        <w:t xml:space="preserve"> for Waiver</w:t>
      </w:r>
      <w:r w:rsidR="00D736B3" w:rsidRPr="006B2038">
        <w:rPr>
          <w:rStyle w:val="StyleNumberedparagraphs11ptChar"/>
          <w:szCs w:val="22"/>
        </w:rPr>
        <w:t xml:space="preserve">, </w:t>
      </w:r>
      <w:r w:rsidR="008E7562" w:rsidRPr="006B2038">
        <w:rPr>
          <w:rStyle w:val="StyleNumberedparagraphs11ptChar"/>
          <w:szCs w:val="22"/>
        </w:rPr>
        <w:t xml:space="preserve">and </w:t>
      </w:r>
      <w:r w:rsidR="00D736B3" w:rsidRPr="006B2038">
        <w:rPr>
          <w:rStyle w:val="StyleNumberedparagraphs11ptChar"/>
          <w:szCs w:val="22"/>
        </w:rPr>
        <w:t>Request for Declaratory Ruling</w:t>
      </w:r>
      <w:r w:rsidRPr="006B2038">
        <w:rPr>
          <w:rStyle w:val="StyleNumberedparagraphs11ptChar"/>
          <w:szCs w:val="22"/>
        </w:rPr>
        <w:t xml:space="preserve"> by the Petitioners as listed in </w:t>
      </w:r>
      <w:r w:rsidR="00E27620" w:rsidRPr="006B2038">
        <w:rPr>
          <w:rStyle w:val="StyleNumberedparagraphs11ptChar"/>
          <w:szCs w:val="22"/>
        </w:rPr>
        <w:t xml:space="preserve">the </w:t>
      </w:r>
      <w:r w:rsidR="008A52F5" w:rsidRPr="006B2038">
        <w:rPr>
          <w:rStyle w:val="StyleNumberedparagraphs11ptChar"/>
          <w:szCs w:val="22"/>
        </w:rPr>
        <w:t>Appendix</w:t>
      </w:r>
      <w:r w:rsidRPr="006B2038">
        <w:rPr>
          <w:rStyle w:val="StyleNumberedparagraphs11ptChar"/>
          <w:szCs w:val="22"/>
        </w:rPr>
        <w:t xml:space="preserve"> ARE GRANTE</w:t>
      </w:r>
      <w:r w:rsidR="00D736B3" w:rsidRPr="006B2038">
        <w:rPr>
          <w:rStyle w:val="StyleNumberedparagraphs11ptChar"/>
          <w:szCs w:val="22"/>
        </w:rPr>
        <w:t>D</w:t>
      </w:r>
      <w:r w:rsidR="002C6424" w:rsidRPr="006B2038">
        <w:rPr>
          <w:rStyle w:val="StyleNumberedparagraphs11ptChar"/>
          <w:szCs w:val="22"/>
        </w:rPr>
        <w:t xml:space="preserve"> to the extent described above.</w:t>
      </w:r>
    </w:p>
    <w:p w:rsidR="00F323BC" w:rsidRPr="006B2038" w:rsidRDefault="00F323BC" w:rsidP="00780950">
      <w:pPr>
        <w:pStyle w:val="ParaNum"/>
        <w:widowControl/>
        <w:rPr>
          <w:rStyle w:val="StyleNumberedparagraphs11ptChar"/>
          <w:szCs w:val="22"/>
        </w:rPr>
      </w:pPr>
      <w:r w:rsidRPr="006B2038">
        <w:rPr>
          <w:rStyle w:val="StyleNumberedparagraphs11ptChar"/>
          <w:szCs w:val="22"/>
        </w:rPr>
        <w:t xml:space="preserve">IT IS FURTHER ORDERED </w:t>
      </w:r>
      <w:r w:rsidRPr="006B2038">
        <w:rPr>
          <w:color w:val="000000"/>
          <w:szCs w:val="22"/>
        </w:rPr>
        <w:t>that</w:t>
      </w:r>
      <w:r w:rsidRPr="006B2038">
        <w:rPr>
          <w:rStyle w:val="StyleNumberedparagraphs11ptChar"/>
          <w:szCs w:val="22"/>
        </w:rPr>
        <w:t xml:space="preserve">, </w:t>
      </w:r>
      <w:r w:rsidRPr="006B2038">
        <w:rPr>
          <w:rStyle w:val="documentbody1"/>
          <w:rFonts w:ascii="Times New Roman" w:hAnsi="Times New Roman"/>
          <w:sz w:val="22"/>
          <w:szCs w:val="22"/>
        </w:rPr>
        <w:t>pursuant</w:t>
      </w:r>
      <w:r w:rsidRPr="006B2038">
        <w:rPr>
          <w:rStyle w:val="StyleNumberedparagraphs11ptChar"/>
          <w:szCs w:val="22"/>
        </w:rPr>
        <w:t xml:space="preserve"> to the authority contained in sections 1-4 and 254 of the Communications Act of 1934, as amended, 47 U.S.C. §§ 1</w:t>
      </w:r>
      <w:r w:rsidR="00951290" w:rsidRPr="006B2038">
        <w:rPr>
          <w:rStyle w:val="StyleNumberedparagraphs11ptChar"/>
          <w:szCs w:val="22"/>
        </w:rPr>
        <w:t>51-154 and 254, and section</w:t>
      </w:r>
      <w:r w:rsidRPr="006B2038">
        <w:rPr>
          <w:rStyle w:val="StyleNumberedparagraphs11ptChar"/>
          <w:szCs w:val="22"/>
        </w:rPr>
        <w:t xml:space="preserve"> </w:t>
      </w:r>
      <w:r w:rsidR="00D70906" w:rsidRPr="006B2038">
        <w:rPr>
          <w:rStyle w:val="StyleNumberedparagraphs11ptChar"/>
          <w:szCs w:val="22"/>
        </w:rPr>
        <w:t xml:space="preserve">0.91, 0.291, and </w:t>
      </w:r>
      <w:r w:rsidRPr="006B2038">
        <w:rPr>
          <w:rStyle w:val="StyleNumberedparagraphs11ptChar"/>
          <w:szCs w:val="22"/>
        </w:rPr>
        <w:t xml:space="preserve">1.3 of the Commission’s rules, </w:t>
      </w:r>
      <w:r w:rsidR="002C6424" w:rsidRPr="006B2038">
        <w:rPr>
          <w:rStyle w:val="StyleNumberedparagraphs11ptChar"/>
          <w:szCs w:val="22"/>
        </w:rPr>
        <w:t xml:space="preserve">47 C.F.R. § </w:t>
      </w:r>
      <w:r w:rsidR="00D70906" w:rsidRPr="006B2038">
        <w:rPr>
          <w:rStyle w:val="StyleNumberedparagraphs11ptChar"/>
          <w:szCs w:val="22"/>
        </w:rPr>
        <w:t xml:space="preserve">0.91, 0.291, </w:t>
      </w:r>
      <w:r w:rsidR="002C6424" w:rsidRPr="006B2038">
        <w:rPr>
          <w:rStyle w:val="StyleNumberedparagraphs11ptChar"/>
          <w:szCs w:val="22"/>
        </w:rPr>
        <w:t xml:space="preserve">1.3, </w:t>
      </w:r>
      <w:r w:rsidRPr="006B2038">
        <w:rPr>
          <w:rStyle w:val="StyleNumberedparagraphs11ptChar"/>
          <w:szCs w:val="22"/>
        </w:rPr>
        <w:t>the petition</w:t>
      </w:r>
      <w:r w:rsidR="00572BE7" w:rsidRPr="006B2038">
        <w:rPr>
          <w:rStyle w:val="StyleNumberedparagraphs11ptChar"/>
          <w:szCs w:val="22"/>
        </w:rPr>
        <w:t>s</w:t>
      </w:r>
      <w:r w:rsidRPr="006B2038">
        <w:rPr>
          <w:rStyle w:val="StyleNumberedparagraphs11ptChar"/>
          <w:szCs w:val="22"/>
        </w:rPr>
        <w:t xml:space="preserve"> </w:t>
      </w:r>
      <w:r w:rsidR="002C607D" w:rsidRPr="006B2038">
        <w:rPr>
          <w:rStyle w:val="StyleNumberedparagraphs11ptChar"/>
          <w:szCs w:val="22"/>
        </w:rPr>
        <w:t xml:space="preserve">for waiver </w:t>
      </w:r>
      <w:r w:rsidR="00951290" w:rsidRPr="006B2038">
        <w:rPr>
          <w:rStyle w:val="StyleNumberedparagraphs11ptChar"/>
          <w:szCs w:val="22"/>
        </w:rPr>
        <w:t>filed by ACS Wireless, Inc.</w:t>
      </w:r>
      <w:r w:rsidR="002B680F" w:rsidRPr="006B2038">
        <w:rPr>
          <w:rStyle w:val="StyleNumberedparagraphs11ptChar"/>
          <w:szCs w:val="22"/>
        </w:rPr>
        <w:t xml:space="preserve"> and</w:t>
      </w:r>
      <w:r w:rsidR="00951290" w:rsidRPr="006B2038">
        <w:rPr>
          <w:rStyle w:val="StyleNumberedparagraphs11ptChar"/>
          <w:szCs w:val="22"/>
        </w:rPr>
        <w:t xml:space="preserve"> Cordova Wireless Telecommunications, LLC</w:t>
      </w:r>
      <w:r w:rsidR="00572BE7" w:rsidRPr="006B2038">
        <w:rPr>
          <w:rStyle w:val="StyleNumberedparagraphs11ptChar"/>
          <w:szCs w:val="22"/>
        </w:rPr>
        <w:t xml:space="preserve"> ARE</w:t>
      </w:r>
      <w:r w:rsidRPr="006B2038">
        <w:rPr>
          <w:rStyle w:val="StyleNumberedparagraphs11ptChar"/>
          <w:szCs w:val="22"/>
        </w:rPr>
        <w:t xml:space="preserve"> DISMISSED AS MOOT</w:t>
      </w:r>
      <w:r w:rsidR="002C6424" w:rsidRPr="006B2038">
        <w:rPr>
          <w:rStyle w:val="StyleNumberedparagraphs11ptChar"/>
          <w:szCs w:val="22"/>
        </w:rPr>
        <w:t xml:space="preserve"> to the extent described above</w:t>
      </w:r>
      <w:r w:rsidRPr="006B2038">
        <w:rPr>
          <w:rStyle w:val="StyleNumberedparagraphs11ptChar"/>
          <w:szCs w:val="22"/>
        </w:rPr>
        <w:t>.</w:t>
      </w:r>
    </w:p>
    <w:p w:rsidR="00FD7131" w:rsidRPr="006B2038" w:rsidRDefault="008E7562" w:rsidP="00780950">
      <w:pPr>
        <w:pStyle w:val="ParaNum"/>
        <w:widowControl/>
        <w:rPr>
          <w:rStyle w:val="StyleNumberedparagraphs11ptChar"/>
          <w:szCs w:val="22"/>
        </w:rPr>
      </w:pPr>
      <w:r w:rsidRPr="006B2038">
        <w:rPr>
          <w:rStyle w:val="StyleNumberedparagraphs11ptChar"/>
          <w:szCs w:val="22"/>
        </w:rPr>
        <w:t xml:space="preserve">IT IS FURTHER ORDERED that, </w:t>
      </w:r>
      <w:r w:rsidRPr="006B2038">
        <w:rPr>
          <w:rStyle w:val="documentbody1"/>
          <w:rFonts w:ascii="Times New Roman" w:hAnsi="Times New Roman"/>
          <w:sz w:val="22"/>
          <w:szCs w:val="22"/>
        </w:rPr>
        <w:t>pursuant</w:t>
      </w:r>
      <w:r w:rsidRPr="006B2038">
        <w:rPr>
          <w:rStyle w:val="StyleNumberedparagraphs11ptChar"/>
          <w:szCs w:val="22"/>
        </w:rPr>
        <w:t xml:space="preserve"> to the authority contained in section </w:t>
      </w:r>
      <w:r w:rsidR="004F3FF6" w:rsidRPr="006B2038">
        <w:rPr>
          <w:rStyle w:val="StyleNumberedparagraphs11ptChar"/>
          <w:szCs w:val="22"/>
        </w:rPr>
        <w:t xml:space="preserve">0.91, 0.291, and </w:t>
      </w:r>
      <w:r w:rsidRPr="006B2038">
        <w:rPr>
          <w:rStyle w:val="StyleNumberedparagraphs11ptChar"/>
          <w:szCs w:val="22"/>
        </w:rPr>
        <w:t xml:space="preserve">54.702 of the Commission’s rules, 47 C.F.R. </w:t>
      </w:r>
      <w:r w:rsidR="004F3FF6" w:rsidRPr="006B2038">
        <w:rPr>
          <w:rStyle w:val="StyleNumberedparagraphs11ptChar"/>
          <w:szCs w:val="22"/>
        </w:rPr>
        <w:t>§</w:t>
      </w:r>
      <w:r w:rsidRPr="006B2038">
        <w:rPr>
          <w:rStyle w:val="StyleNumberedparagraphs11ptChar"/>
          <w:szCs w:val="22"/>
        </w:rPr>
        <w:t xml:space="preserve">§ </w:t>
      </w:r>
      <w:r w:rsidR="004F3FF6" w:rsidRPr="006B2038">
        <w:rPr>
          <w:rStyle w:val="StyleNumberedparagraphs11ptChar"/>
          <w:szCs w:val="22"/>
        </w:rPr>
        <w:t xml:space="preserve">0.91, 0.291, </w:t>
      </w:r>
      <w:r w:rsidRPr="006B2038">
        <w:rPr>
          <w:rStyle w:val="StyleNumberedparagraphs11ptChar"/>
          <w:szCs w:val="22"/>
        </w:rPr>
        <w:t>54.702, the petition</w:t>
      </w:r>
      <w:r w:rsidR="002C607D" w:rsidRPr="006B2038">
        <w:rPr>
          <w:rStyle w:val="StyleNumberedparagraphs11ptChar"/>
          <w:szCs w:val="22"/>
        </w:rPr>
        <w:t xml:space="preserve"> for guidance to the Universal Service Administrative Company</w:t>
      </w:r>
      <w:r w:rsidRPr="006B2038">
        <w:rPr>
          <w:rStyle w:val="StyleNumberedparagraphs11ptChar"/>
          <w:szCs w:val="22"/>
        </w:rPr>
        <w:t xml:space="preserve"> filed by Mobi PCS, Inc. and Cricket Communications, Inc. IS </w:t>
      </w:r>
      <w:r w:rsidR="003C157C" w:rsidRPr="006B2038">
        <w:rPr>
          <w:rStyle w:val="StyleNumberedparagraphs11ptChar"/>
          <w:szCs w:val="22"/>
        </w:rPr>
        <w:t>GRANTED to the extent described above.</w:t>
      </w:r>
    </w:p>
    <w:p w:rsidR="00255203" w:rsidRPr="006B2038" w:rsidRDefault="00194F2D" w:rsidP="005E7DCA">
      <w:pPr>
        <w:pStyle w:val="ParaNum"/>
        <w:widowControl/>
        <w:spacing w:after="240"/>
        <w:rPr>
          <w:rStyle w:val="StyleNumberedparagraphs11ptChar"/>
          <w:szCs w:val="22"/>
        </w:rPr>
      </w:pPr>
      <w:r w:rsidRPr="006B2038">
        <w:rPr>
          <w:szCs w:val="22"/>
        </w:rPr>
        <w:t xml:space="preserve">IT IS </w:t>
      </w:r>
      <w:r w:rsidRPr="006B2038">
        <w:rPr>
          <w:rStyle w:val="StyleNumberedparagraphs11ptChar"/>
          <w:szCs w:val="22"/>
        </w:rPr>
        <w:t>FURTHER</w:t>
      </w:r>
      <w:r w:rsidRPr="006B2038">
        <w:rPr>
          <w:szCs w:val="22"/>
        </w:rPr>
        <w:t xml:space="preserve"> ORDERED that</w:t>
      </w:r>
      <w:r w:rsidR="00176715" w:rsidRPr="006B2038">
        <w:rPr>
          <w:szCs w:val="22"/>
        </w:rPr>
        <w:t xml:space="preserve">, </w:t>
      </w:r>
      <w:r w:rsidR="00176715" w:rsidRPr="006B2038">
        <w:rPr>
          <w:rStyle w:val="documentbody1"/>
          <w:rFonts w:ascii="Times New Roman" w:hAnsi="Times New Roman"/>
          <w:sz w:val="22"/>
          <w:szCs w:val="22"/>
        </w:rPr>
        <w:t>pursuant</w:t>
      </w:r>
      <w:r w:rsidR="00176715" w:rsidRPr="006B2038">
        <w:rPr>
          <w:szCs w:val="22"/>
        </w:rPr>
        <w:t xml:space="preserve"> to section 1.102(b)(1) of the Commission's rules, 47 C.F.R. § 1.102(b)(1),</w:t>
      </w:r>
      <w:r w:rsidRPr="006B2038">
        <w:rPr>
          <w:szCs w:val="22"/>
        </w:rPr>
        <w:t xml:space="preserve"> this Order SHALL BE EFFECTIVE upon release.</w:t>
      </w:r>
    </w:p>
    <w:p w:rsidR="00305DCD" w:rsidRPr="006B2038" w:rsidRDefault="001E59A3" w:rsidP="00780950">
      <w:pPr>
        <w:widowControl/>
        <w:rPr>
          <w:szCs w:val="22"/>
        </w:rPr>
      </w:pPr>
      <w:r w:rsidRPr="006B2038">
        <w:rPr>
          <w:szCs w:val="22"/>
        </w:rPr>
        <w:tab/>
      </w:r>
      <w:r w:rsidRPr="006B2038">
        <w:rPr>
          <w:szCs w:val="22"/>
        </w:rPr>
        <w:tab/>
      </w:r>
      <w:r w:rsidRPr="006B2038">
        <w:rPr>
          <w:szCs w:val="22"/>
        </w:rPr>
        <w:tab/>
      </w:r>
      <w:r w:rsidRPr="006B2038">
        <w:rPr>
          <w:szCs w:val="22"/>
        </w:rPr>
        <w:tab/>
      </w:r>
      <w:r w:rsidR="00540240" w:rsidRPr="006B2038">
        <w:rPr>
          <w:szCs w:val="22"/>
        </w:rPr>
        <w:tab/>
      </w:r>
      <w:r w:rsidR="00330FCC" w:rsidRPr="006B2038">
        <w:rPr>
          <w:szCs w:val="22"/>
        </w:rPr>
        <w:tab/>
      </w:r>
      <w:r w:rsidR="00305DCD" w:rsidRPr="006B2038">
        <w:rPr>
          <w:szCs w:val="22"/>
        </w:rPr>
        <w:t>FEDERAL COMMUNICATIONS COMMISSION</w:t>
      </w:r>
    </w:p>
    <w:p w:rsidR="00305DCD" w:rsidRDefault="00305DCD" w:rsidP="00780950">
      <w:pPr>
        <w:keepNext/>
        <w:keepLines/>
        <w:widowControl/>
        <w:ind w:left="3600"/>
        <w:outlineLvl w:val="0"/>
        <w:rPr>
          <w:szCs w:val="22"/>
        </w:rPr>
      </w:pPr>
    </w:p>
    <w:p w:rsidR="005E7DCA" w:rsidRPr="006B2038" w:rsidRDefault="005E7DCA" w:rsidP="00780950">
      <w:pPr>
        <w:keepNext/>
        <w:keepLines/>
        <w:widowControl/>
        <w:ind w:left="3600"/>
        <w:outlineLvl w:val="0"/>
        <w:rPr>
          <w:szCs w:val="22"/>
        </w:rPr>
      </w:pPr>
    </w:p>
    <w:p w:rsidR="00305DCD" w:rsidRPr="006B2038" w:rsidRDefault="00305DCD" w:rsidP="00780950">
      <w:pPr>
        <w:keepNext/>
        <w:keepLines/>
        <w:widowControl/>
        <w:ind w:left="3600"/>
        <w:outlineLvl w:val="0"/>
        <w:rPr>
          <w:szCs w:val="22"/>
        </w:rPr>
      </w:pPr>
    </w:p>
    <w:p w:rsidR="0073633B" w:rsidRPr="006B2038" w:rsidRDefault="0073633B" w:rsidP="00780950">
      <w:pPr>
        <w:keepNext/>
        <w:keepLines/>
        <w:widowControl/>
        <w:ind w:left="3600"/>
        <w:outlineLvl w:val="0"/>
        <w:rPr>
          <w:szCs w:val="22"/>
        </w:rPr>
      </w:pPr>
    </w:p>
    <w:p w:rsidR="00305DCD" w:rsidRPr="006B2038" w:rsidRDefault="00A57EC8" w:rsidP="00780950">
      <w:pPr>
        <w:keepNext/>
        <w:keepLines/>
        <w:widowControl/>
        <w:ind w:left="3600" w:firstLine="720"/>
        <w:outlineLvl w:val="0"/>
        <w:rPr>
          <w:szCs w:val="22"/>
        </w:rPr>
      </w:pPr>
      <w:r w:rsidRPr="006B2038">
        <w:rPr>
          <w:szCs w:val="22"/>
        </w:rPr>
        <w:t>Carol E. Mattey</w:t>
      </w:r>
    </w:p>
    <w:p w:rsidR="00A3506A" w:rsidRPr="006B2038" w:rsidRDefault="00A57EC8" w:rsidP="00780950">
      <w:pPr>
        <w:keepNext/>
        <w:keepLines/>
        <w:widowControl/>
        <w:ind w:left="3600" w:firstLine="720"/>
        <w:outlineLvl w:val="0"/>
        <w:rPr>
          <w:szCs w:val="22"/>
        </w:rPr>
      </w:pPr>
      <w:r w:rsidRPr="006B2038">
        <w:rPr>
          <w:szCs w:val="22"/>
        </w:rPr>
        <w:t xml:space="preserve">Acting </w:t>
      </w:r>
      <w:r w:rsidR="00A3506A" w:rsidRPr="006B2038">
        <w:rPr>
          <w:szCs w:val="22"/>
        </w:rPr>
        <w:t>Chief</w:t>
      </w:r>
    </w:p>
    <w:p w:rsidR="00C61850" w:rsidRPr="006B2038" w:rsidRDefault="00A3506A" w:rsidP="00780950">
      <w:pPr>
        <w:keepNext/>
        <w:keepLines/>
        <w:widowControl/>
        <w:ind w:left="3600" w:firstLine="720"/>
        <w:outlineLvl w:val="0"/>
        <w:rPr>
          <w:szCs w:val="22"/>
        </w:rPr>
      </w:pPr>
      <w:r w:rsidRPr="006B2038">
        <w:rPr>
          <w:szCs w:val="22"/>
        </w:rPr>
        <w:t>Wireline Competition Bureau</w:t>
      </w:r>
    </w:p>
    <w:p w:rsidR="00154ADA" w:rsidRPr="006B2038" w:rsidRDefault="009372CC" w:rsidP="00780950">
      <w:pPr>
        <w:widowControl/>
        <w:ind w:right="-180"/>
        <w:jc w:val="center"/>
        <w:rPr>
          <w:b/>
          <w:szCs w:val="22"/>
        </w:rPr>
      </w:pPr>
      <w:r w:rsidRPr="006B2038">
        <w:rPr>
          <w:b/>
          <w:szCs w:val="22"/>
        </w:rPr>
        <w:br w:type="page"/>
      </w:r>
    </w:p>
    <w:p w:rsidR="003170EC" w:rsidRPr="006B2038" w:rsidRDefault="0073633B" w:rsidP="00780950">
      <w:pPr>
        <w:widowControl/>
        <w:ind w:right="-180"/>
        <w:jc w:val="center"/>
        <w:rPr>
          <w:b/>
          <w:szCs w:val="22"/>
        </w:rPr>
      </w:pPr>
      <w:r w:rsidRPr="006B2038">
        <w:rPr>
          <w:b/>
          <w:szCs w:val="22"/>
        </w:rPr>
        <w:t>A</w:t>
      </w:r>
      <w:r w:rsidR="002813C7" w:rsidRPr="006B2038">
        <w:rPr>
          <w:b/>
          <w:szCs w:val="22"/>
        </w:rPr>
        <w:t>PPENDIX</w:t>
      </w:r>
    </w:p>
    <w:p w:rsidR="002813C7" w:rsidRPr="006B2038" w:rsidRDefault="002813C7" w:rsidP="00780950">
      <w:pPr>
        <w:widowControl/>
        <w:ind w:right="-180"/>
        <w:jc w:val="center"/>
        <w:rPr>
          <w:b/>
          <w:szCs w:val="22"/>
        </w:rPr>
      </w:pPr>
    </w:p>
    <w:p w:rsidR="003006B0" w:rsidRPr="006B2038" w:rsidRDefault="00D736B3" w:rsidP="00780950">
      <w:pPr>
        <w:widowControl/>
        <w:ind w:right="-180"/>
        <w:jc w:val="center"/>
        <w:rPr>
          <w:b/>
          <w:szCs w:val="22"/>
        </w:rPr>
      </w:pPr>
      <w:r w:rsidRPr="006B2038">
        <w:rPr>
          <w:b/>
          <w:szCs w:val="22"/>
        </w:rPr>
        <w:t xml:space="preserve">Petitions Granted </w:t>
      </w:r>
    </w:p>
    <w:p w:rsidR="002813C7" w:rsidRPr="006B2038" w:rsidRDefault="002813C7" w:rsidP="00780950">
      <w:pPr>
        <w:widowControl/>
        <w:ind w:right="-180"/>
        <w:jc w:val="center"/>
        <w:rPr>
          <w:b/>
          <w:szCs w:val="22"/>
        </w:rPr>
      </w:pPr>
    </w:p>
    <w:p w:rsidR="003170EC" w:rsidRPr="006B2038" w:rsidRDefault="003170EC" w:rsidP="00780950">
      <w:pPr>
        <w:widowControl/>
        <w:ind w:right="-180"/>
        <w:rPr>
          <w:szCs w:val="22"/>
        </w:rPr>
      </w:pPr>
      <w:r w:rsidRPr="006B2038">
        <w:rPr>
          <w:b/>
          <w:szCs w:val="22"/>
        </w:rPr>
        <w:tab/>
      </w:r>
      <w:r w:rsidRPr="006B2038">
        <w:rPr>
          <w:b/>
          <w:szCs w:val="22"/>
        </w:rPr>
        <w:tab/>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610"/>
        <w:gridCol w:w="2790"/>
      </w:tblGrid>
      <w:tr w:rsidR="000D0564" w:rsidRPr="006B2038" w:rsidTr="000A7987">
        <w:trPr>
          <w:trHeight w:val="748"/>
        </w:trPr>
        <w:tc>
          <w:tcPr>
            <w:tcW w:w="3618" w:type="dxa"/>
            <w:shd w:val="clear" w:color="auto" w:fill="auto"/>
          </w:tcPr>
          <w:p w:rsidR="000D0564" w:rsidRPr="006B2038" w:rsidRDefault="000D0564" w:rsidP="00780950">
            <w:pPr>
              <w:widowControl/>
              <w:ind w:right="-180"/>
              <w:jc w:val="center"/>
              <w:rPr>
                <w:b/>
                <w:snapToGrid/>
                <w:szCs w:val="22"/>
              </w:rPr>
            </w:pPr>
            <w:r w:rsidRPr="006B2038">
              <w:rPr>
                <w:b/>
                <w:szCs w:val="22"/>
              </w:rPr>
              <w:t>Applicant</w:t>
            </w:r>
          </w:p>
        </w:tc>
        <w:tc>
          <w:tcPr>
            <w:tcW w:w="2610" w:type="dxa"/>
            <w:shd w:val="clear" w:color="auto" w:fill="auto"/>
          </w:tcPr>
          <w:p w:rsidR="000D0564" w:rsidRPr="006B2038" w:rsidRDefault="002C6424" w:rsidP="00780950">
            <w:pPr>
              <w:widowControl/>
              <w:ind w:left="72" w:right="-108"/>
              <w:jc w:val="center"/>
              <w:rPr>
                <w:szCs w:val="22"/>
              </w:rPr>
            </w:pPr>
            <w:r w:rsidRPr="006B2038">
              <w:rPr>
                <w:b/>
                <w:szCs w:val="22"/>
              </w:rPr>
              <w:t>Audit</w:t>
            </w:r>
            <w:r w:rsidR="000D0564" w:rsidRPr="006B2038">
              <w:rPr>
                <w:b/>
                <w:szCs w:val="22"/>
              </w:rPr>
              <w:t xml:space="preserve"> Number</w:t>
            </w:r>
          </w:p>
        </w:tc>
        <w:tc>
          <w:tcPr>
            <w:tcW w:w="2790" w:type="dxa"/>
            <w:shd w:val="clear" w:color="auto" w:fill="auto"/>
          </w:tcPr>
          <w:p w:rsidR="000D0564" w:rsidRPr="006B2038" w:rsidRDefault="000D0564" w:rsidP="00780950">
            <w:pPr>
              <w:widowControl/>
              <w:ind w:right="-180"/>
              <w:rPr>
                <w:szCs w:val="22"/>
              </w:rPr>
            </w:pPr>
            <w:r w:rsidRPr="006B2038">
              <w:rPr>
                <w:b/>
                <w:szCs w:val="22"/>
              </w:rPr>
              <w:t xml:space="preserve">  Type of Appeal</w:t>
            </w:r>
          </w:p>
        </w:tc>
      </w:tr>
      <w:tr w:rsidR="00D736B3" w:rsidRPr="006B2038" w:rsidTr="000A7987">
        <w:trPr>
          <w:trHeight w:val="196"/>
        </w:trPr>
        <w:tc>
          <w:tcPr>
            <w:tcW w:w="3618" w:type="dxa"/>
            <w:shd w:val="clear" w:color="auto" w:fill="auto"/>
          </w:tcPr>
          <w:p w:rsidR="00D736B3" w:rsidRPr="006B2038" w:rsidRDefault="00D736B3" w:rsidP="00780950">
            <w:pPr>
              <w:widowControl/>
              <w:ind w:right="-180"/>
              <w:rPr>
                <w:szCs w:val="22"/>
              </w:rPr>
            </w:pPr>
            <w:r w:rsidRPr="006B2038">
              <w:rPr>
                <w:szCs w:val="22"/>
              </w:rPr>
              <w:t>ACS Wireless, Inc.</w:t>
            </w:r>
          </w:p>
          <w:p w:rsidR="00D736B3" w:rsidRPr="006B2038" w:rsidRDefault="00D736B3" w:rsidP="00780950">
            <w:pPr>
              <w:widowControl/>
              <w:ind w:right="-180"/>
              <w:rPr>
                <w:snapToGrid/>
                <w:szCs w:val="22"/>
              </w:rPr>
            </w:pPr>
          </w:p>
        </w:tc>
        <w:tc>
          <w:tcPr>
            <w:tcW w:w="2610" w:type="dxa"/>
            <w:shd w:val="clear" w:color="auto" w:fill="auto"/>
          </w:tcPr>
          <w:p w:rsidR="00D736B3" w:rsidRPr="006B2038" w:rsidRDefault="00D736B3" w:rsidP="00780950">
            <w:pPr>
              <w:widowControl/>
              <w:jc w:val="center"/>
              <w:rPr>
                <w:szCs w:val="22"/>
              </w:rPr>
            </w:pPr>
            <w:r w:rsidRPr="006B2038">
              <w:rPr>
                <w:szCs w:val="22"/>
              </w:rPr>
              <w:t>N/A</w:t>
            </w:r>
          </w:p>
        </w:tc>
        <w:tc>
          <w:tcPr>
            <w:tcW w:w="2790" w:type="dxa"/>
            <w:shd w:val="clear" w:color="auto" w:fill="auto"/>
          </w:tcPr>
          <w:p w:rsidR="00D736B3" w:rsidRPr="006B2038" w:rsidRDefault="00D736B3" w:rsidP="00780950">
            <w:pPr>
              <w:widowControl/>
              <w:ind w:right="-180"/>
              <w:rPr>
                <w:szCs w:val="22"/>
              </w:rPr>
            </w:pPr>
            <w:r w:rsidRPr="006B2038">
              <w:rPr>
                <w:szCs w:val="22"/>
              </w:rPr>
              <w:t>Request for Review/Petition for Waiver</w:t>
            </w:r>
          </w:p>
          <w:p w:rsidR="00D736B3" w:rsidRPr="006B2038" w:rsidRDefault="00D736B3" w:rsidP="00780950">
            <w:pPr>
              <w:widowControl/>
              <w:ind w:right="-180"/>
              <w:rPr>
                <w:snapToGrid/>
                <w:szCs w:val="22"/>
              </w:rPr>
            </w:pPr>
          </w:p>
        </w:tc>
      </w:tr>
      <w:tr w:rsidR="002B680F" w:rsidRPr="006B2038" w:rsidTr="000A7987">
        <w:trPr>
          <w:trHeight w:val="196"/>
        </w:trPr>
        <w:tc>
          <w:tcPr>
            <w:tcW w:w="3618" w:type="dxa"/>
            <w:shd w:val="clear" w:color="auto" w:fill="auto"/>
          </w:tcPr>
          <w:p w:rsidR="002B680F" w:rsidRPr="006B2038" w:rsidRDefault="002B680F" w:rsidP="00780950">
            <w:pPr>
              <w:widowControl/>
              <w:ind w:right="-180"/>
              <w:rPr>
                <w:szCs w:val="22"/>
              </w:rPr>
            </w:pPr>
            <w:r w:rsidRPr="006B2038">
              <w:rPr>
                <w:szCs w:val="22"/>
              </w:rPr>
              <w:t>Arctic Slope Telephone Association Cooperative</w:t>
            </w:r>
          </w:p>
        </w:tc>
        <w:tc>
          <w:tcPr>
            <w:tcW w:w="2610" w:type="dxa"/>
            <w:shd w:val="clear" w:color="auto" w:fill="auto"/>
          </w:tcPr>
          <w:p w:rsidR="002B680F" w:rsidRPr="006B2038" w:rsidRDefault="002B680F" w:rsidP="00780950">
            <w:pPr>
              <w:widowControl/>
              <w:jc w:val="center"/>
              <w:rPr>
                <w:szCs w:val="22"/>
              </w:rPr>
            </w:pPr>
            <w:r w:rsidRPr="006B2038">
              <w:rPr>
                <w:szCs w:val="22"/>
              </w:rPr>
              <w:t>N/A</w:t>
            </w:r>
          </w:p>
        </w:tc>
        <w:tc>
          <w:tcPr>
            <w:tcW w:w="2790" w:type="dxa"/>
            <w:shd w:val="clear" w:color="auto" w:fill="auto"/>
          </w:tcPr>
          <w:p w:rsidR="002B680F" w:rsidRPr="006B2038" w:rsidRDefault="002B680F" w:rsidP="00780950">
            <w:pPr>
              <w:widowControl/>
              <w:ind w:right="-180"/>
              <w:rPr>
                <w:szCs w:val="22"/>
              </w:rPr>
            </w:pPr>
            <w:r w:rsidRPr="006B2038">
              <w:rPr>
                <w:szCs w:val="22"/>
              </w:rPr>
              <w:t>Petition for Waiver</w:t>
            </w:r>
          </w:p>
        </w:tc>
      </w:tr>
      <w:tr w:rsidR="00D736B3" w:rsidRPr="006B2038" w:rsidTr="000A7987">
        <w:trPr>
          <w:trHeight w:val="196"/>
        </w:trPr>
        <w:tc>
          <w:tcPr>
            <w:tcW w:w="3618" w:type="dxa"/>
            <w:shd w:val="clear" w:color="auto" w:fill="auto"/>
          </w:tcPr>
          <w:p w:rsidR="00D736B3" w:rsidRPr="006B2038" w:rsidRDefault="00D736B3" w:rsidP="00780950">
            <w:pPr>
              <w:widowControl/>
              <w:rPr>
                <w:szCs w:val="22"/>
              </w:rPr>
            </w:pPr>
            <w:r w:rsidRPr="006B2038">
              <w:rPr>
                <w:szCs w:val="22"/>
              </w:rPr>
              <w:t xml:space="preserve">Centennial Caldwell Cellular Corp. (AT&amp;T, Inc.) </w:t>
            </w:r>
          </w:p>
          <w:p w:rsidR="00D736B3" w:rsidRPr="006B2038" w:rsidRDefault="00D736B3" w:rsidP="00780950">
            <w:pPr>
              <w:widowControl/>
              <w:rPr>
                <w:snapToGrid/>
                <w:szCs w:val="22"/>
              </w:rPr>
            </w:pPr>
          </w:p>
        </w:tc>
        <w:tc>
          <w:tcPr>
            <w:tcW w:w="2610" w:type="dxa"/>
            <w:shd w:val="clear" w:color="auto" w:fill="auto"/>
          </w:tcPr>
          <w:p w:rsidR="00D736B3" w:rsidRPr="006B2038" w:rsidRDefault="00D736B3" w:rsidP="00780950">
            <w:pPr>
              <w:widowControl/>
              <w:jc w:val="center"/>
              <w:rPr>
                <w:szCs w:val="22"/>
              </w:rPr>
            </w:pPr>
            <w:r w:rsidRPr="006B2038">
              <w:rPr>
                <w:szCs w:val="22"/>
              </w:rPr>
              <w:t xml:space="preserve">HC-2008-079 </w:t>
            </w:r>
          </w:p>
        </w:tc>
        <w:tc>
          <w:tcPr>
            <w:tcW w:w="2790" w:type="dxa"/>
            <w:shd w:val="clear" w:color="auto" w:fill="auto"/>
          </w:tcPr>
          <w:p w:rsidR="00D736B3" w:rsidRPr="006B2038" w:rsidRDefault="00D736B3" w:rsidP="00780950">
            <w:pPr>
              <w:widowControl/>
              <w:ind w:right="-180"/>
              <w:rPr>
                <w:szCs w:val="22"/>
              </w:rPr>
            </w:pPr>
            <w:r w:rsidRPr="006B2038">
              <w:rPr>
                <w:szCs w:val="22"/>
              </w:rPr>
              <w:t>Request for Review</w:t>
            </w:r>
          </w:p>
        </w:tc>
      </w:tr>
      <w:tr w:rsidR="00D736B3" w:rsidRPr="006B2038" w:rsidTr="000A7987">
        <w:trPr>
          <w:trHeight w:val="196"/>
        </w:trPr>
        <w:tc>
          <w:tcPr>
            <w:tcW w:w="3618" w:type="dxa"/>
            <w:shd w:val="clear" w:color="auto" w:fill="auto"/>
          </w:tcPr>
          <w:p w:rsidR="00D736B3" w:rsidRPr="006B2038" w:rsidRDefault="00D736B3" w:rsidP="00780950">
            <w:pPr>
              <w:widowControl/>
              <w:ind w:right="-180"/>
              <w:rPr>
                <w:szCs w:val="22"/>
              </w:rPr>
            </w:pPr>
            <w:r w:rsidRPr="006B2038">
              <w:rPr>
                <w:szCs w:val="22"/>
              </w:rPr>
              <w:t>Centennial Beauregard Cellular LLC (AT&amp;T, Inc.)</w:t>
            </w:r>
          </w:p>
          <w:p w:rsidR="00D736B3" w:rsidRPr="006B2038" w:rsidRDefault="00D736B3" w:rsidP="00780950">
            <w:pPr>
              <w:widowControl/>
              <w:ind w:right="-180"/>
              <w:rPr>
                <w:snapToGrid/>
                <w:szCs w:val="22"/>
              </w:rPr>
            </w:pPr>
          </w:p>
        </w:tc>
        <w:tc>
          <w:tcPr>
            <w:tcW w:w="2610" w:type="dxa"/>
            <w:shd w:val="clear" w:color="auto" w:fill="auto"/>
          </w:tcPr>
          <w:p w:rsidR="00D736B3" w:rsidRPr="006B2038" w:rsidRDefault="00D736B3" w:rsidP="00780950">
            <w:pPr>
              <w:widowControl/>
              <w:ind w:left="-18" w:right="-18"/>
              <w:jc w:val="center"/>
              <w:rPr>
                <w:szCs w:val="22"/>
              </w:rPr>
            </w:pPr>
            <w:r w:rsidRPr="006B2038">
              <w:rPr>
                <w:szCs w:val="22"/>
              </w:rPr>
              <w:t>HC-2008-078</w:t>
            </w:r>
          </w:p>
          <w:p w:rsidR="00D736B3" w:rsidRPr="006B2038" w:rsidRDefault="00D736B3" w:rsidP="00780950">
            <w:pPr>
              <w:widowControl/>
              <w:ind w:left="-18" w:right="-18"/>
              <w:jc w:val="center"/>
              <w:rPr>
                <w:szCs w:val="22"/>
              </w:rPr>
            </w:pPr>
            <w:r w:rsidRPr="006B2038">
              <w:rPr>
                <w:szCs w:val="22"/>
              </w:rPr>
              <w:t>HC-2007-074/HC-FL-014</w:t>
            </w:r>
          </w:p>
        </w:tc>
        <w:tc>
          <w:tcPr>
            <w:tcW w:w="2790" w:type="dxa"/>
            <w:shd w:val="clear" w:color="auto" w:fill="auto"/>
          </w:tcPr>
          <w:p w:rsidR="00D736B3" w:rsidRPr="006B2038" w:rsidRDefault="00D736B3" w:rsidP="00780950">
            <w:pPr>
              <w:widowControl/>
              <w:ind w:right="-180"/>
              <w:rPr>
                <w:szCs w:val="22"/>
              </w:rPr>
            </w:pPr>
            <w:r w:rsidRPr="006B2038">
              <w:rPr>
                <w:szCs w:val="22"/>
              </w:rPr>
              <w:t>Request for Review</w:t>
            </w:r>
          </w:p>
          <w:p w:rsidR="00D736B3" w:rsidRPr="006B2038" w:rsidRDefault="00D736B3" w:rsidP="00780950">
            <w:pPr>
              <w:widowControl/>
              <w:ind w:right="-180"/>
              <w:rPr>
                <w:b/>
                <w:snapToGrid/>
                <w:szCs w:val="22"/>
              </w:rPr>
            </w:pPr>
          </w:p>
        </w:tc>
      </w:tr>
      <w:tr w:rsidR="00D736B3" w:rsidRPr="006B2038" w:rsidTr="000A7987">
        <w:trPr>
          <w:trHeight w:val="196"/>
        </w:trPr>
        <w:tc>
          <w:tcPr>
            <w:tcW w:w="3618" w:type="dxa"/>
            <w:shd w:val="clear" w:color="auto" w:fill="auto"/>
          </w:tcPr>
          <w:p w:rsidR="00D736B3" w:rsidRPr="006B2038" w:rsidRDefault="00D736B3" w:rsidP="00780950">
            <w:pPr>
              <w:widowControl/>
              <w:ind w:right="-180"/>
              <w:rPr>
                <w:szCs w:val="22"/>
              </w:rPr>
            </w:pPr>
            <w:r w:rsidRPr="006B2038">
              <w:rPr>
                <w:szCs w:val="22"/>
              </w:rPr>
              <w:t>Centennial Cellular Tri-State Operating Partnership (AT&amp;T, Inc.)</w:t>
            </w:r>
          </w:p>
          <w:p w:rsidR="00D736B3" w:rsidRPr="006B2038" w:rsidRDefault="00D736B3" w:rsidP="00780950">
            <w:pPr>
              <w:widowControl/>
              <w:ind w:right="-180"/>
              <w:rPr>
                <w:snapToGrid/>
                <w:szCs w:val="22"/>
              </w:rPr>
            </w:pPr>
          </w:p>
        </w:tc>
        <w:tc>
          <w:tcPr>
            <w:tcW w:w="2610" w:type="dxa"/>
            <w:shd w:val="clear" w:color="auto" w:fill="auto"/>
          </w:tcPr>
          <w:p w:rsidR="00D736B3" w:rsidRPr="006B2038" w:rsidRDefault="00D736B3" w:rsidP="00780950">
            <w:pPr>
              <w:widowControl/>
              <w:jc w:val="center"/>
              <w:rPr>
                <w:szCs w:val="22"/>
              </w:rPr>
            </w:pPr>
            <w:r w:rsidRPr="006B2038">
              <w:rPr>
                <w:szCs w:val="22"/>
              </w:rPr>
              <w:t>HC-2008-080</w:t>
            </w:r>
          </w:p>
        </w:tc>
        <w:tc>
          <w:tcPr>
            <w:tcW w:w="2790" w:type="dxa"/>
            <w:shd w:val="clear" w:color="auto" w:fill="auto"/>
          </w:tcPr>
          <w:p w:rsidR="00D736B3" w:rsidRPr="006B2038" w:rsidRDefault="00D736B3" w:rsidP="00780950">
            <w:pPr>
              <w:widowControl/>
              <w:ind w:right="-180"/>
              <w:rPr>
                <w:szCs w:val="22"/>
              </w:rPr>
            </w:pPr>
            <w:r w:rsidRPr="006B2038">
              <w:rPr>
                <w:szCs w:val="22"/>
              </w:rPr>
              <w:t>Request for Review</w:t>
            </w:r>
          </w:p>
          <w:p w:rsidR="00D736B3" w:rsidRPr="006B2038" w:rsidRDefault="00D736B3" w:rsidP="00780950">
            <w:pPr>
              <w:widowControl/>
              <w:ind w:right="-180"/>
              <w:rPr>
                <w:b/>
                <w:snapToGrid/>
                <w:szCs w:val="22"/>
              </w:rPr>
            </w:pPr>
          </w:p>
        </w:tc>
      </w:tr>
      <w:tr w:rsidR="00D736B3" w:rsidRPr="006B2038" w:rsidTr="000A7987">
        <w:trPr>
          <w:trHeight w:val="196"/>
        </w:trPr>
        <w:tc>
          <w:tcPr>
            <w:tcW w:w="3618" w:type="dxa"/>
            <w:shd w:val="clear" w:color="auto" w:fill="auto"/>
          </w:tcPr>
          <w:p w:rsidR="00D736B3" w:rsidRPr="006B2038" w:rsidRDefault="00D736B3" w:rsidP="00780950">
            <w:pPr>
              <w:widowControl/>
              <w:autoSpaceDE w:val="0"/>
              <w:autoSpaceDN w:val="0"/>
              <w:adjustRightInd w:val="0"/>
              <w:rPr>
                <w:szCs w:val="22"/>
              </w:rPr>
            </w:pPr>
            <w:r w:rsidRPr="006B2038">
              <w:rPr>
                <w:szCs w:val="22"/>
              </w:rPr>
              <w:t>Centennial Lafayette Communications LLC (AT&amp;T, Inc.)</w:t>
            </w:r>
          </w:p>
          <w:p w:rsidR="00D736B3" w:rsidRPr="006B2038" w:rsidRDefault="00D736B3" w:rsidP="00780950">
            <w:pPr>
              <w:widowControl/>
              <w:autoSpaceDE w:val="0"/>
              <w:autoSpaceDN w:val="0"/>
              <w:adjustRightInd w:val="0"/>
              <w:rPr>
                <w:snapToGrid/>
                <w:szCs w:val="22"/>
              </w:rPr>
            </w:pPr>
          </w:p>
        </w:tc>
        <w:tc>
          <w:tcPr>
            <w:tcW w:w="2610" w:type="dxa"/>
            <w:shd w:val="clear" w:color="auto" w:fill="auto"/>
          </w:tcPr>
          <w:p w:rsidR="00D736B3" w:rsidRPr="006B2038" w:rsidRDefault="00D736B3" w:rsidP="00780950">
            <w:pPr>
              <w:widowControl/>
              <w:jc w:val="center"/>
              <w:rPr>
                <w:szCs w:val="22"/>
              </w:rPr>
            </w:pPr>
            <w:r w:rsidRPr="006B2038">
              <w:rPr>
                <w:szCs w:val="22"/>
              </w:rPr>
              <w:t>HC-2008-081</w:t>
            </w:r>
          </w:p>
        </w:tc>
        <w:tc>
          <w:tcPr>
            <w:tcW w:w="2790" w:type="dxa"/>
            <w:shd w:val="clear" w:color="auto" w:fill="auto"/>
          </w:tcPr>
          <w:p w:rsidR="00D736B3" w:rsidRPr="006B2038" w:rsidRDefault="00D736B3" w:rsidP="00780950">
            <w:pPr>
              <w:widowControl/>
              <w:ind w:right="-180"/>
              <w:rPr>
                <w:szCs w:val="22"/>
              </w:rPr>
            </w:pPr>
            <w:r w:rsidRPr="006B2038">
              <w:rPr>
                <w:szCs w:val="22"/>
              </w:rPr>
              <w:t>Request for Review</w:t>
            </w:r>
          </w:p>
          <w:p w:rsidR="00D736B3" w:rsidRPr="006B2038" w:rsidRDefault="00D736B3" w:rsidP="00780950">
            <w:pPr>
              <w:widowControl/>
              <w:ind w:right="-180"/>
              <w:rPr>
                <w:b/>
                <w:snapToGrid/>
                <w:szCs w:val="22"/>
              </w:rPr>
            </w:pPr>
          </w:p>
        </w:tc>
      </w:tr>
      <w:tr w:rsidR="007F0EBC" w:rsidRPr="006B2038" w:rsidTr="000A7987">
        <w:trPr>
          <w:trHeight w:val="196"/>
        </w:trPr>
        <w:tc>
          <w:tcPr>
            <w:tcW w:w="3618" w:type="dxa"/>
            <w:shd w:val="clear" w:color="auto" w:fill="auto"/>
          </w:tcPr>
          <w:p w:rsidR="007F0EBC" w:rsidRPr="006B2038" w:rsidRDefault="007F0EBC" w:rsidP="00780950">
            <w:pPr>
              <w:widowControl/>
              <w:autoSpaceDE w:val="0"/>
              <w:autoSpaceDN w:val="0"/>
              <w:adjustRightInd w:val="0"/>
              <w:rPr>
                <w:szCs w:val="22"/>
              </w:rPr>
            </w:pPr>
            <w:r w:rsidRPr="006B2038">
              <w:rPr>
                <w:szCs w:val="22"/>
              </w:rPr>
              <w:t>Centennial Puerto Rico Operations Corporation (AT&amp;T, Inc.)</w:t>
            </w:r>
          </w:p>
        </w:tc>
        <w:tc>
          <w:tcPr>
            <w:tcW w:w="2610" w:type="dxa"/>
            <w:shd w:val="clear" w:color="auto" w:fill="auto"/>
          </w:tcPr>
          <w:p w:rsidR="007F0EBC" w:rsidRPr="006B2038" w:rsidRDefault="007F0EBC" w:rsidP="00780950">
            <w:pPr>
              <w:widowControl/>
              <w:jc w:val="center"/>
              <w:rPr>
                <w:szCs w:val="22"/>
              </w:rPr>
            </w:pPr>
            <w:r w:rsidRPr="006B2038">
              <w:rPr>
                <w:szCs w:val="22"/>
              </w:rPr>
              <w:t>HC-2008BE082</w:t>
            </w:r>
          </w:p>
        </w:tc>
        <w:tc>
          <w:tcPr>
            <w:tcW w:w="2790" w:type="dxa"/>
            <w:shd w:val="clear" w:color="auto" w:fill="auto"/>
          </w:tcPr>
          <w:p w:rsidR="007F0EBC" w:rsidRPr="006B2038" w:rsidRDefault="007F0EBC" w:rsidP="00780950">
            <w:pPr>
              <w:widowControl/>
              <w:ind w:right="-180"/>
              <w:rPr>
                <w:szCs w:val="22"/>
              </w:rPr>
            </w:pPr>
            <w:r w:rsidRPr="006B2038">
              <w:rPr>
                <w:szCs w:val="22"/>
              </w:rPr>
              <w:t>Request for Review</w:t>
            </w:r>
          </w:p>
        </w:tc>
      </w:tr>
      <w:tr w:rsidR="004C4558" w:rsidRPr="006B2038" w:rsidTr="000A7987">
        <w:trPr>
          <w:trHeight w:val="196"/>
        </w:trPr>
        <w:tc>
          <w:tcPr>
            <w:tcW w:w="3618" w:type="dxa"/>
            <w:shd w:val="clear" w:color="auto" w:fill="auto"/>
          </w:tcPr>
          <w:p w:rsidR="004C4558" w:rsidRPr="006B2038" w:rsidRDefault="004C4558" w:rsidP="00780950">
            <w:pPr>
              <w:widowControl/>
              <w:autoSpaceDE w:val="0"/>
              <w:autoSpaceDN w:val="0"/>
              <w:adjustRightInd w:val="0"/>
              <w:rPr>
                <w:szCs w:val="22"/>
              </w:rPr>
            </w:pPr>
            <w:r w:rsidRPr="006B2038">
              <w:rPr>
                <w:szCs w:val="22"/>
              </w:rPr>
              <w:t>Cordova Wireless Communications LLC</w:t>
            </w:r>
            <w:r w:rsidR="00A57EC8" w:rsidRPr="006B2038">
              <w:rPr>
                <w:rStyle w:val="FootnoteReference"/>
                <w:sz w:val="22"/>
                <w:szCs w:val="22"/>
              </w:rPr>
              <w:footnoteReference w:id="85"/>
            </w:r>
            <w:r w:rsidR="007F0EBC" w:rsidRPr="006B2038">
              <w:rPr>
                <w:szCs w:val="22"/>
              </w:rPr>
              <w:t xml:space="preserve"> </w:t>
            </w:r>
          </w:p>
        </w:tc>
        <w:tc>
          <w:tcPr>
            <w:tcW w:w="2610" w:type="dxa"/>
            <w:shd w:val="clear" w:color="auto" w:fill="auto"/>
          </w:tcPr>
          <w:p w:rsidR="004C4558" w:rsidRPr="006B2038" w:rsidRDefault="004C4558" w:rsidP="00780950">
            <w:pPr>
              <w:widowControl/>
              <w:jc w:val="center"/>
              <w:rPr>
                <w:szCs w:val="22"/>
              </w:rPr>
            </w:pPr>
            <w:r w:rsidRPr="006B2038">
              <w:rPr>
                <w:szCs w:val="22"/>
              </w:rPr>
              <w:t>N/A</w:t>
            </w:r>
          </w:p>
        </w:tc>
        <w:tc>
          <w:tcPr>
            <w:tcW w:w="2790" w:type="dxa"/>
            <w:shd w:val="clear" w:color="auto" w:fill="auto"/>
          </w:tcPr>
          <w:p w:rsidR="004C4558" w:rsidRPr="006B2038" w:rsidRDefault="004C4558" w:rsidP="00780950">
            <w:pPr>
              <w:widowControl/>
              <w:ind w:right="-180"/>
              <w:rPr>
                <w:szCs w:val="22"/>
              </w:rPr>
            </w:pPr>
            <w:r w:rsidRPr="006B2038">
              <w:rPr>
                <w:szCs w:val="22"/>
              </w:rPr>
              <w:t>Request for Review</w:t>
            </w:r>
          </w:p>
        </w:tc>
      </w:tr>
      <w:tr w:rsidR="007F0EBC" w:rsidRPr="006B2038" w:rsidTr="000A7987">
        <w:trPr>
          <w:trHeight w:val="196"/>
        </w:trPr>
        <w:tc>
          <w:tcPr>
            <w:tcW w:w="3618" w:type="dxa"/>
            <w:shd w:val="clear" w:color="auto" w:fill="auto"/>
          </w:tcPr>
          <w:p w:rsidR="007F0EBC" w:rsidRPr="006B2038" w:rsidRDefault="007F0EBC" w:rsidP="00780950">
            <w:pPr>
              <w:widowControl/>
              <w:autoSpaceDE w:val="0"/>
              <w:autoSpaceDN w:val="0"/>
              <w:adjustRightInd w:val="0"/>
              <w:rPr>
                <w:szCs w:val="22"/>
              </w:rPr>
            </w:pPr>
            <w:r w:rsidRPr="006B2038">
              <w:rPr>
                <w:szCs w:val="22"/>
              </w:rPr>
              <w:t>Dobson Cellular Systems, Inc.</w:t>
            </w:r>
            <w:r w:rsidR="007D4C01" w:rsidRPr="006B2038">
              <w:rPr>
                <w:szCs w:val="22"/>
              </w:rPr>
              <w:t xml:space="preserve"> (AT&amp;T Inc.)</w:t>
            </w:r>
          </w:p>
        </w:tc>
        <w:tc>
          <w:tcPr>
            <w:tcW w:w="2610" w:type="dxa"/>
            <w:shd w:val="clear" w:color="auto" w:fill="auto"/>
          </w:tcPr>
          <w:p w:rsidR="007F0EBC" w:rsidRPr="006B2038" w:rsidRDefault="007F0EBC" w:rsidP="00780950">
            <w:pPr>
              <w:widowControl/>
              <w:jc w:val="center"/>
              <w:rPr>
                <w:szCs w:val="22"/>
              </w:rPr>
            </w:pPr>
            <w:r w:rsidRPr="006B2038">
              <w:rPr>
                <w:szCs w:val="22"/>
              </w:rPr>
              <w:t>N/A</w:t>
            </w:r>
          </w:p>
        </w:tc>
        <w:tc>
          <w:tcPr>
            <w:tcW w:w="2790" w:type="dxa"/>
            <w:shd w:val="clear" w:color="auto" w:fill="auto"/>
          </w:tcPr>
          <w:p w:rsidR="007F0EBC" w:rsidRPr="006B2038" w:rsidRDefault="007F0EBC" w:rsidP="00780950">
            <w:pPr>
              <w:widowControl/>
              <w:ind w:right="-180"/>
              <w:rPr>
                <w:szCs w:val="22"/>
              </w:rPr>
            </w:pPr>
            <w:r w:rsidRPr="006B2038">
              <w:rPr>
                <w:szCs w:val="22"/>
              </w:rPr>
              <w:t>Request for Review</w:t>
            </w:r>
          </w:p>
        </w:tc>
      </w:tr>
      <w:tr w:rsidR="008A52F5" w:rsidRPr="006B2038" w:rsidTr="000A7987">
        <w:trPr>
          <w:trHeight w:val="196"/>
        </w:trPr>
        <w:tc>
          <w:tcPr>
            <w:tcW w:w="3618" w:type="dxa"/>
            <w:shd w:val="clear" w:color="auto" w:fill="auto"/>
          </w:tcPr>
          <w:p w:rsidR="008A52F5" w:rsidRPr="006B2038" w:rsidRDefault="008A52F5" w:rsidP="00780950">
            <w:pPr>
              <w:widowControl/>
              <w:autoSpaceDE w:val="0"/>
              <w:autoSpaceDN w:val="0"/>
              <w:adjustRightInd w:val="0"/>
              <w:rPr>
                <w:szCs w:val="22"/>
              </w:rPr>
            </w:pPr>
            <w:r w:rsidRPr="006B2038">
              <w:rPr>
                <w:szCs w:val="22"/>
              </w:rPr>
              <w:t>General Communications, Inc.</w:t>
            </w:r>
          </w:p>
        </w:tc>
        <w:tc>
          <w:tcPr>
            <w:tcW w:w="2610" w:type="dxa"/>
            <w:shd w:val="clear" w:color="auto" w:fill="auto"/>
          </w:tcPr>
          <w:p w:rsidR="008A52F5" w:rsidRPr="006B2038" w:rsidRDefault="008A52F5" w:rsidP="00780950">
            <w:pPr>
              <w:widowControl/>
              <w:jc w:val="center"/>
              <w:rPr>
                <w:szCs w:val="22"/>
              </w:rPr>
            </w:pPr>
            <w:r w:rsidRPr="006B2038">
              <w:rPr>
                <w:szCs w:val="22"/>
              </w:rPr>
              <w:t>N/A</w:t>
            </w:r>
          </w:p>
        </w:tc>
        <w:tc>
          <w:tcPr>
            <w:tcW w:w="2790" w:type="dxa"/>
            <w:shd w:val="clear" w:color="auto" w:fill="auto"/>
          </w:tcPr>
          <w:p w:rsidR="008A52F5" w:rsidRPr="006B2038" w:rsidRDefault="008A52F5" w:rsidP="00780950">
            <w:pPr>
              <w:widowControl/>
              <w:ind w:right="-180"/>
              <w:rPr>
                <w:szCs w:val="22"/>
              </w:rPr>
            </w:pPr>
            <w:r w:rsidRPr="006B2038">
              <w:rPr>
                <w:szCs w:val="22"/>
              </w:rPr>
              <w:t>Request for Declaratory Ruling</w:t>
            </w:r>
          </w:p>
        </w:tc>
      </w:tr>
      <w:tr w:rsidR="008A52F5" w:rsidRPr="006B2038" w:rsidTr="000A7987">
        <w:trPr>
          <w:trHeight w:val="196"/>
        </w:trPr>
        <w:tc>
          <w:tcPr>
            <w:tcW w:w="3618" w:type="dxa"/>
            <w:shd w:val="clear" w:color="auto" w:fill="auto"/>
          </w:tcPr>
          <w:p w:rsidR="008A52F5" w:rsidRPr="006B2038" w:rsidRDefault="008A52F5" w:rsidP="00780950">
            <w:pPr>
              <w:widowControl/>
              <w:autoSpaceDE w:val="0"/>
              <w:autoSpaceDN w:val="0"/>
              <w:adjustRightInd w:val="0"/>
              <w:rPr>
                <w:szCs w:val="22"/>
              </w:rPr>
            </w:pPr>
            <w:r w:rsidRPr="006B2038">
              <w:rPr>
                <w:szCs w:val="22"/>
              </w:rPr>
              <w:t>Michiana Metronet Inc. (AT&amp;T, Inc.)</w:t>
            </w:r>
          </w:p>
          <w:p w:rsidR="008A52F5" w:rsidRPr="006B2038" w:rsidRDefault="008A52F5" w:rsidP="00780950">
            <w:pPr>
              <w:widowControl/>
              <w:ind w:right="-180"/>
              <w:rPr>
                <w:snapToGrid/>
                <w:szCs w:val="22"/>
              </w:rPr>
            </w:pPr>
          </w:p>
        </w:tc>
        <w:tc>
          <w:tcPr>
            <w:tcW w:w="2610" w:type="dxa"/>
            <w:shd w:val="clear" w:color="auto" w:fill="auto"/>
          </w:tcPr>
          <w:p w:rsidR="008A52F5" w:rsidRPr="006B2038" w:rsidRDefault="008A52F5" w:rsidP="00780950">
            <w:pPr>
              <w:widowControl/>
              <w:jc w:val="center"/>
              <w:rPr>
                <w:szCs w:val="22"/>
              </w:rPr>
            </w:pPr>
            <w:r w:rsidRPr="006B2038">
              <w:rPr>
                <w:szCs w:val="22"/>
              </w:rPr>
              <w:t>HC-2008-095</w:t>
            </w:r>
          </w:p>
        </w:tc>
        <w:tc>
          <w:tcPr>
            <w:tcW w:w="2790" w:type="dxa"/>
            <w:shd w:val="clear" w:color="auto" w:fill="auto"/>
          </w:tcPr>
          <w:p w:rsidR="008A52F5" w:rsidRPr="006B2038" w:rsidRDefault="008A52F5" w:rsidP="00780950">
            <w:pPr>
              <w:widowControl/>
              <w:ind w:right="-180"/>
              <w:rPr>
                <w:szCs w:val="22"/>
              </w:rPr>
            </w:pPr>
            <w:r w:rsidRPr="006B2038">
              <w:rPr>
                <w:szCs w:val="22"/>
              </w:rPr>
              <w:t>Request for Review</w:t>
            </w:r>
          </w:p>
          <w:p w:rsidR="008A52F5" w:rsidRPr="006B2038" w:rsidRDefault="008A52F5" w:rsidP="00780950">
            <w:pPr>
              <w:widowControl/>
              <w:ind w:right="-180"/>
              <w:rPr>
                <w:b/>
                <w:snapToGrid/>
                <w:szCs w:val="22"/>
              </w:rPr>
            </w:pPr>
          </w:p>
        </w:tc>
      </w:tr>
      <w:tr w:rsidR="008A52F5" w:rsidRPr="006B2038" w:rsidTr="000A7987">
        <w:trPr>
          <w:trHeight w:val="196"/>
        </w:trPr>
        <w:tc>
          <w:tcPr>
            <w:tcW w:w="3618" w:type="dxa"/>
            <w:shd w:val="clear" w:color="auto" w:fill="auto"/>
          </w:tcPr>
          <w:p w:rsidR="008A52F5" w:rsidRPr="006B2038" w:rsidRDefault="008A52F5" w:rsidP="00780950">
            <w:pPr>
              <w:widowControl/>
              <w:autoSpaceDE w:val="0"/>
              <w:autoSpaceDN w:val="0"/>
              <w:adjustRightInd w:val="0"/>
              <w:rPr>
                <w:szCs w:val="22"/>
              </w:rPr>
            </w:pPr>
            <w:r w:rsidRPr="006B2038">
              <w:rPr>
                <w:szCs w:val="22"/>
              </w:rPr>
              <w:t>New Cingular Wireless PCS, LLC (AT&amp;T, Inc.)</w:t>
            </w:r>
          </w:p>
        </w:tc>
        <w:tc>
          <w:tcPr>
            <w:tcW w:w="2610" w:type="dxa"/>
            <w:shd w:val="clear" w:color="auto" w:fill="auto"/>
          </w:tcPr>
          <w:p w:rsidR="008A52F5" w:rsidRPr="006B2038" w:rsidRDefault="008A52F5" w:rsidP="00780950">
            <w:pPr>
              <w:widowControl/>
              <w:jc w:val="center"/>
              <w:rPr>
                <w:szCs w:val="22"/>
              </w:rPr>
            </w:pPr>
            <w:r w:rsidRPr="006B2038">
              <w:rPr>
                <w:szCs w:val="22"/>
              </w:rPr>
              <w:t>N/A</w:t>
            </w:r>
          </w:p>
        </w:tc>
        <w:tc>
          <w:tcPr>
            <w:tcW w:w="2790" w:type="dxa"/>
            <w:shd w:val="clear" w:color="auto" w:fill="auto"/>
          </w:tcPr>
          <w:p w:rsidR="008A52F5" w:rsidRPr="006B2038" w:rsidRDefault="008A52F5" w:rsidP="00780950">
            <w:pPr>
              <w:widowControl/>
              <w:ind w:right="-180"/>
              <w:rPr>
                <w:szCs w:val="22"/>
              </w:rPr>
            </w:pPr>
            <w:r w:rsidRPr="006B2038">
              <w:rPr>
                <w:szCs w:val="22"/>
              </w:rPr>
              <w:t>Request for Review</w:t>
            </w:r>
          </w:p>
        </w:tc>
      </w:tr>
      <w:tr w:rsidR="008A52F5" w:rsidRPr="006B2038" w:rsidTr="000A7987">
        <w:trPr>
          <w:trHeight w:val="196"/>
        </w:trPr>
        <w:tc>
          <w:tcPr>
            <w:tcW w:w="3618" w:type="dxa"/>
            <w:shd w:val="clear" w:color="auto" w:fill="auto"/>
          </w:tcPr>
          <w:p w:rsidR="008A52F5" w:rsidRPr="006B2038" w:rsidRDefault="008A52F5" w:rsidP="00780950">
            <w:pPr>
              <w:widowControl/>
              <w:rPr>
                <w:szCs w:val="22"/>
              </w:rPr>
            </w:pPr>
            <w:r w:rsidRPr="006B2038">
              <w:rPr>
                <w:szCs w:val="22"/>
              </w:rPr>
              <w:t>PR Wireless, Inc.</w:t>
            </w:r>
          </w:p>
          <w:p w:rsidR="008A52F5" w:rsidRPr="006B2038" w:rsidRDefault="008A52F5" w:rsidP="00780950">
            <w:pPr>
              <w:widowControl/>
              <w:rPr>
                <w:snapToGrid/>
                <w:szCs w:val="22"/>
              </w:rPr>
            </w:pPr>
          </w:p>
        </w:tc>
        <w:tc>
          <w:tcPr>
            <w:tcW w:w="2610" w:type="dxa"/>
            <w:shd w:val="clear" w:color="auto" w:fill="auto"/>
          </w:tcPr>
          <w:p w:rsidR="008A52F5" w:rsidRPr="006B2038" w:rsidRDefault="008A52F5" w:rsidP="00780950">
            <w:pPr>
              <w:widowControl/>
              <w:jc w:val="center"/>
              <w:rPr>
                <w:szCs w:val="22"/>
              </w:rPr>
            </w:pPr>
            <w:r w:rsidRPr="006B2038">
              <w:rPr>
                <w:szCs w:val="22"/>
              </w:rPr>
              <w:t>HC-2008-324</w:t>
            </w:r>
          </w:p>
          <w:p w:rsidR="008A52F5" w:rsidRPr="006B2038" w:rsidRDefault="008A52F5" w:rsidP="00780950">
            <w:pPr>
              <w:widowControl/>
              <w:jc w:val="center"/>
              <w:rPr>
                <w:snapToGrid/>
                <w:szCs w:val="22"/>
              </w:rPr>
            </w:pPr>
          </w:p>
        </w:tc>
        <w:tc>
          <w:tcPr>
            <w:tcW w:w="2790" w:type="dxa"/>
            <w:shd w:val="clear" w:color="auto" w:fill="auto"/>
          </w:tcPr>
          <w:p w:rsidR="008A52F5" w:rsidRPr="006B2038" w:rsidRDefault="008A52F5" w:rsidP="00780950">
            <w:pPr>
              <w:widowControl/>
              <w:ind w:right="-180"/>
              <w:rPr>
                <w:szCs w:val="22"/>
              </w:rPr>
            </w:pPr>
            <w:r w:rsidRPr="006B2038">
              <w:rPr>
                <w:szCs w:val="22"/>
              </w:rPr>
              <w:t>Request for Review</w:t>
            </w:r>
          </w:p>
        </w:tc>
      </w:tr>
    </w:tbl>
    <w:p w:rsidR="00D736B3" w:rsidRPr="006B2038" w:rsidRDefault="00D736B3" w:rsidP="00780950">
      <w:pPr>
        <w:widowControl/>
        <w:ind w:right="-180"/>
        <w:jc w:val="center"/>
        <w:rPr>
          <w:szCs w:val="22"/>
        </w:rPr>
      </w:pPr>
    </w:p>
    <w:p w:rsidR="00176715" w:rsidRPr="006B2038" w:rsidRDefault="00176715" w:rsidP="00780950">
      <w:pPr>
        <w:widowControl/>
        <w:ind w:right="-180"/>
        <w:jc w:val="center"/>
        <w:rPr>
          <w:b/>
          <w:szCs w:val="22"/>
        </w:rPr>
      </w:pPr>
    </w:p>
    <w:p w:rsidR="00644EFD" w:rsidRPr="006B2038" w:rsidRDefault="00644EFD" w:rsidP="00780950">
      <w:pPr>
        <w:widowControl/>
        <w:ind w:right="-180"/>
        <w:jc w:val="center"/>
        <w:rPr>
          <w:b/>
          <w:szCs w:val="22"/>
        </w:rPr>
      </w:pPr>
    </w:p>
    <w:p w:rsidR="00644EFD" w:rsidRPr="006B2038" w:rsidRDefault="00644EFD" w:rsidP="00780950">
      <w:pPr>
        <w:widowControl/>
        <w:ind w:right="-180"/>
        <w:jc w:val="center"/>
        <w:rPr>
          <w:b/>
          <w:szCs w:val="22"/>
        </w:rPr>
      </w:pPr>
    </w:p>
    <w:p w:rsidR="00644EFD" w:rsidRPr="006B2038" w:rsidRDefault="00644EFD" w:rsidP="00780950">
      <w:pPr>
        <w:widowControl/>
        <w:ind w:right="-180"/>
        <w:jc w:val="center"/>
        <w:rPr>
          <w:b/>
          <w:szCs w:val="22"/>
        </w:rPr>
      </w:pPr>
    </w:p>
    <w:p w:rsidR="00644EFD" w:rsidRPr="006B2038" w:rsidRDefault="00644EFD" w:rsidP="00780950">
      <w:pPr>
        <w:widowControl/>
        <w:ind w:right="-180"/>
        <w:jc w:val="center"/>
        <w:rPr>
          <w:b/>
          <w:szCs w:val="22"/>
        </w:rPr>
      </w:pPr>
    </w:p>
    <w:p w:rsidR="00644EFD" w:rsidRPr="006B2038" w:rsidRDefault="00644EFD" w:rsidP="00780950">
      <w:pPr>
        <w:widowControl/>
        <w:ind w:right="-180"/>
        <w:jc w:val="center"/>
        <w:rPr>
          <w:b/>
          <w:szCs w:val="22"/>
        </w:rPr>
      </w:pPr>
    </w:p>
    <w:p w:rsidR="00176715" w:rsidRPr="006B2038" w:rsidRDefault="00176715" w:rsidP="00780950">
      <w:pPr>
        <w:widowControl/>
        <w:ind w:right="-180"/>
        <w:jc w:val="center"/>
        <w:rPr>
          <w:b/>
          <w:szCs w:val="22"/>
        </w:rPr>
      </w:pPr>
    </w:p>
    <w:p w:rsidR="00176715" w:rsidRPr="006B2038" w:rsidRDefault="00176715" w:rsidP="00780950">
      <w:pPr>
        <w:widowControl/>
        <w:ind w:right="-180"/>
        <w:jc w:val="center"/>
        <w:rPr>
          <w:b/>
          <w:szCs w:val="22"/>
        </w:rPr>
      </w:pPr>
    </w:p>
    <w:p w:rsidR="009372CC" w:rsidRPr="006B2038" w:rsidRDefault="009372CC" w:rsidP="00780950">
      <w:pPr>
        <w:widowControl/>
        <w:ind w:right="-180"/>
        <w:jc w:val="center"/>
        <w:rPr>
          <w:b/>
          <w:szCs w:val="22"/>
        </w:rPr>
      </w:pPr>
    </w:p>
    <w:sectPr w:rsidR="009372CC" w:rsidRPr="006B2038" w:rsidSect="00C20933">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26" w:rsidRDefault="000C5A26">
      <w:r>
        <w:separator/>
      </w:r>
    </w:p>
  </w:endnote>
  <w:endnote w:type="continuationSeparator" w:id="0">
    <w:p w:rsidR="000C5A26" w:rsidRDefault="000C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E0" w:rsidRDefault="00C859E0" w:rsidP="005C6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9E0" w:rsidRDefault="00C85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E0" w:rsidRPr="00E537F2" w:rsidRDefault="00C859E0" w:rsidP="003413FA">
    <w:pPr>
      <w:pStyle w:val="Footer"/>
      <w:framePr w:wrap="around" w:vAnchor="text" w:hAnchor="margin" w:xAlign="center" w:y="1"/>
      <w:jc w:val="center"/>
      <w:rPr>
        <w:rStyle w:val="PageNumber"/>
        <w:szCs w:val="22"/>
      </w:rPr>
    </w:pPr>
    <w:r w:rsidRPr="00E537F2">
      <w:rPr>
        <w:rStyle w:val="PageNumber"/>
        <w:szCs w:val="22"/>
      </w:rPr>
      <w:fldChar w:fldCharType="begin"/>
    </w:r>
    <w:r w:rsidRPr="00E537F2">
      <w:rPr>
        <w:rStyle w:val="PageNumber"/>
        <w:szCs w:val="22"/>
      </w:rPr>
      <w:instrText xml:space="preserve">PAGE  </w:instrText>
    </w:r>
    <w:r w:rsidRPr="00E537F2">
      <w:rPr>
        <w:rStyle w:val="PageNumber"/>
        <w:szCs w:val="22"/>
      </w:rPr>
      <w:fldChar w:fldCharType="separate"/>
    </w:r>
    <w:r w:rsidR="004346C3">
      <w:rPr>
        <w:rStyle w:val="PageNumber"/>
        <w:noProof/>
        <w:szCs w:val="22"/>
      </w:rPr>
      <w:t>2</w:t>
    </w:r>
    <w:r w:rsidRPr="00E537F2">
      <w:rPr>
        <w:rStyle w:val="PageNumber"/>
        <w:szCs w:val="22"/>
      </w:rPr>
      <w:fldChar w:fldCharType="end"/>
    </w:r>
  </w:p>
  <w:p w:rsidR="00C859E0" w:rsidRPr="00D84A28" w:rsidRDefault="00C859E0" w:rsidP="00D22507">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B4" w:rsidRDefault="0093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26" w:rsidRDefault="000C5A26">
      <w:r>
        <w:separator/>
      </w:r>
    </w:p>
  </w:footnote>
  <w:footnote w:type="continuationSeparator" w:id="0">
    <w:p w:rsidR="000C5A26" w:rsidRPr="002813C7" w:rsidRDefault="000C5A26">
      <w:pPr>
        <w:rPr>
          <w:sz w:val="20"/>
        </w:rPr>
      </w:pPr>
      <w:r w:rsidRPr="002813C7">
        <w:rPr>
          <w:sz w:val="20"/>
        </w:rPr>
        <w:t xml:space="preserve">(Continued from previous page) </w:t>
      </w:r>
      <w:r w:rsidRPr="002813C7">
        <w:rPr>
          <w:sz w:val="20"/>
        </w:rPr>
        <w:separator/>
      </w:r>
    </w:p>
  </w:footnote>
  <w:footnote w:type="continuationNotice" w:id="1">
    <w:p w:rsidR="000C5A26" w:rsidRPr="002813C7" w:rsidRDefault="000C5A26" w:rsidP="002813C7">
      <w:pPr>
        <w:jc w:val="right"/>
        <w:rPr>
          <w:sz w:val="20"/>
        </w:rPr>
      </w:pPr>
      <w:r>
        <w:rPr>
          <w:sz w:val="20"/>
        </w:rPr>
        <w:t>(continued…)</w:t>
      </w:r>
    </w:p>
  </w:footnote>
  <w:footnote w:id="2">
    <w:p w:rsidR="00C859E0" w:rsidRPr="006B2038" w:rsidRDefault="00C859E0" w:rsidP="006B2038">
      <w:pPr>
        <w:pStyle w:val="FootnoteText"/>
        <w:rPr>
          <w:i/>
        </w:rPr>
      </w:pPr>
      <w:r w:rsidRPr="006B2038">
        <w:rPr>
          <w:rStyle w:val="FootnoteReference"/>
        </w:rPr>
        <w:footnoteRef/>
      </w:r>
      <w:r w:rsidRPr="006B2038">
        <w:t xml:space="preserve"> </w:t>
      </w:r>
      <w:r w:rsidRPr="006B2038">
        <w:rPr>
          <w:i/>
        </w:rPr>
        <w:t xml:space="preserve">See </w:t>
      </w:r>
      <w:r w:rsidRPr="006B2038">
        <w:t xml:space="preserve">Appendix.  In this Order, we use the term “appeals” to refer generically to requests for review of </w:t>
      </w:r>
      <w:r w:rsidRPr="006B2038">
        <w:rPr>
          <w:rStyle w:val="StyleNumberedparagraphs11ptChar"/>
          <w:sz w:val="20"/>
        </w:rPr>
        <w:t xml:space="preserve">Universal Service Administrative Company (USAC) </w:t>
      </w:r>
      <w:r w:rsidRPr="006B2038">
        <w:t xml:space="preserve">decisions, petitions for waivers related to such decisions, and requests for a declaratory ruling or issuance of guidance to USAC.  We will refer to all of these parties as Petitioners.  </w:t>
      </w:r>
    </w:p>
  </w:footnote>
  <w:footnote w:id="3">
    <w:p w:rsidR="00C859E0" w:rsidRPr="006B2038" w:rsidRDefault="00C859E0" w:rsidP="006B2038">
      <w:pPr>
        <w:pStyle w:val="FootnoteText"/>
      </w:pPr>
      <w:r w:rsidRPr="006B2038">
        <w:rPr>
          <w:rStyle w:val="FootnoteReference"/>
        </w:rPr>
        <w:footnoteRef/>
      </w:r>
      <w:r w:rsidRPr="006B2038">
        <w:rPr>
          <w:i/>
        </w:rPr>
        <w:t xml:space="preserve"> See Connect America Fund et al.</w:t>
      </w:r>
      <w:r w:rsidRPr="006B2038">
        <w:t>, WC Docket No. 10-90 et al., Report and Order and Further Notice of Proposed Rulemaking, 26 FCC 17663, 17825, para. 498 (2011) (</w:t>
      </w:r>
      <w:r w:rsidRPr="006B2038">
        <w:rPr>
          <w:i/>
        </w:rPr>
        <w:t>USF/ICC Transformation Order</w:t>
      </w:r>
      <w:r w:rsidRPr="006B2038">
        <w:t xml:space="preserve">), </w:t>
      </w:r>
      <w:r w:rsidRPr="006B2038">
        <w:rPr>
          <w:i/>
        </w:rPr>
        <w:t xml:space="preserve">aff’d </w:t>
      </w:r>
      <w:r w:rsidRPr="006B2038">
        <w:t>753 F.3d 1015 (10th Cir. 2014)</w:t>
      </w:r>
      <w:r w:rsidRPr="006B2038">
        <w:rPr>
          <w:iCs/>
        </w:rPr>
        <w:t>.</w:t>
      </w:r>
    </w:p>
  </w:footnote>
  <w:footnote w:id="4">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See id. </w:t>
      </w:r>
      <w:r w:rsidRPr="006B2038">
        <w:t xml:space="preserve">at 17663, 17825-30, paras. 498-511.  CETC support generally is now frozen on a study area basis and subject to a phase down, with the exception of support for CETCs serving the remote areas of Alaska.  </w:t>
      </w:r>
      <w:r w:rsidRPr="006B2038">
        <w:rPr>
          <w:i/>
        </w:rPr>
        <w:t xml:space="preserve">Id. </w:t>
      </w:r>
      <w:r w:rsidRPr="006B2038">
        <w:t xml:space="preserve">at 17830-32, paras. 513-19, 47 C.F.R. § 54.307(e)(3).  Recently, the Commission proposed to freeze CETC support for carriers serving the remote areas of Alaska as of December 31, 2014.  The Commission also proposed to remove the requirement for such CETCs to report line count information.  </w:t>
      </w:r>
      <w:r w:rsidRPr="006B2038">
        <w:rPr>
          <w:i/>
        </w:rPr>
        <w:t>Connect America Fund et al.</w:t>
      </w:r>
      <w:r w:rsidRPr="006B2038">
        <w:t>, WC Docket No. 10-90 et al., Report and Order et al., FCC 14-54, para. 256 (rel. Jun. 10, 2014) (</w:t>
      </w:r>
      <w:r w:rsidRPr="006B2038">
        <w:rPr>
          <w:i/>
        </w:rPr>
        <w:t>Connect America Fund</w:t>
      </w:r>
      <w:r w:rsidRPr="006B2038">
        <w:t xml:space="preserve"> </w:t>
      </w:r>
      <w:r w:rsidRPr="006B2038">
        <w:rPr>
          <w:i/>
        </w:rPr>
        <w:t>Order/FNPRM</w:t>
      </w:r>
      <w:r w:rsidRPr="006B2038">
        <w:t>).  The Commission proposed to eliminate section 54.307(b) and to renumber and revise section 54.307(e) of the current rules.</w:t>
      </w:r>
    </w:p>
  </w:footnote>
  <w:footnote w:id="5">
    <w:p w:rsidR="00C859E0" w:rsidRPr="006B2038" w:rsidRDefault="00C859E0" w:rsidP="006B2038">
      <w:pPr>
        <w:pStyle w:val="FootnoteText"/>
      </w:pPr>
      <w:r w:rsidRPr="006B2038">
        <w:rPr>
          <w:rStyle w:val="FootnoteReference"/>
        </w:rPr>
        <w:footnoteRef/>
      </w:r>
      <w:r w:rsidRPr="006B2038">
        <w:t xml:space="preserve"> 47 C.F.R. § 54.307(a).</w:t>
      </w:r>
    </w:p>
  </w:footnote>
  <w:footnote w:id="6">
    <w:p w:rsidR="00C859E0" w:rsidRPr="006B2038" w:rsidRDefault="00C859E0" w:rsidP="006B2038">
      <w:pPr>
        <w:pStyle w:val="FootnoteText"/>
      </w:pPr>
      <w:r w:rsidRPr="006B2038">
        <w:rPr>
          <w:rStyle w:val="FootnoteReference"/>
        </w:rPr>
        <w:footnoteRef/>
      </w:r>
      <w:r w:rsidRPr="006B2038">
        <w:t xml:space="preserve"> 47 C.F.R. § 54.307(b).</w:t>
      </w:r>
    </w:p>
  </w:footnote>
  <w:footnote w:id="7">
    <w:p w:rsidR="00C859E0" w:rsidRPr="006B2038" w:rsidRDefault="00C859E0" w:rsidP="006B2038">
      <w:pPr>
        <w:spacing w:after="120"/>
        <w:rPr>
          <w:sz w:val="20"/>
        </w:rPr>
      </w:pPr>
      <w:r w:rsidRPr="006B2038">
        <w:rPr>
          <w:rStyle w:val="FootnoteReference"/>
        </w:rPr>
        <w:footnoteRef/>
      </w:r>
      <w:r w:rsidRPr="006B2038">
        <w:rPr>
          <w:sz w:val="20"/>
        </w:rPr>
        <w:t xml:space="preserve"> </w:t>
      </w:r>
      <w:r w:rsidRPr="006B2038">
        <w:rPr>
          <w:i/>
          <w:sz w:val="20"/>
        </w:rPr>
        <w:t xml:space="preserve">See </w:t>
      </w:r>
      <w:hyperlink r:id="rId1" w:anchor="213054#213054" w:history="1">
        <w:r w:rsidR="009319B4" w:rsidRPr="009319B4">
          <w:rPr>
            <w:rStyle w:val="Hyperlink"/>
          </w:rPr>
          <w:t>http://fjallfoss.fcc.gov/edocs_public/Query.do;jsessionid=QXpDfpHR6f8PnXnhdMcdJbmmfZ3v92lZgpR00NJQ3PKYBVvlLx3h!-1597281469!-1646612613?numberFld=01-157&amp;numberFld2=&amp;docket=&amp;dateFld=&amp;docTitleDesc= - 213054#213054</w:t>
        </w:r>
      </w:hyperlink>
      <w:r w:rsidRPr="006B2038">
        <w:rPr>
          <w:i/>
          <w:sz w:val="20"/>
        </w:rPr>
        <w:t>Federal-State Joint Board on Universal Service, Multi-Association Group (MAG) Plan for Regulation of Interstate Services of Non-Price Cap Incumbent Local Exchange Carriers and Interexchange Carriers</w:t>
      </w:r>
      <w:r w:rsidRPr="006B2038">
        <w:rPr>
          <w:sz w:val="20"/>
        </w:rPr>
        <w:t>, CC Docket Nos. 96-45, 00-256, Fourteenth Report and Order, Twenty-Second Order on Reconsideration, and Further Notice of Proposed Rulemaking in CC Docket No. 96-45, and Report and Order in CC Docket No. 00-256, 16 FCC Rcd 11244, 11314-15, para. 181 (2001) (</w:t>
      </w:r>
      <w:r w:rsidRPr="006B2038">
        <w:rPr>
          <w:i/>
          <w:sz w:val="20"/>
        </w:rPr>
        <w:t>Joint Board on Universal Service Order</w:t>
      </w:r>
      <w:r w:rsidRPr="006B2038">
        <w:rPr>
          <w:sz w:val="20"/>
        </w:rPr>
        <w:t>).</w:t>
      </w:r>
    </w:p>
  </w:footnote>
  <w:footnote w:id="8">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See id. </w:t>
      </w:r>
      <w:r w:rsidRPr="006B2038">
        <w:t>at 11316, para. 184 n.438.</w:t>
      </w:r>
    </w:p>
  </w:footnote>
  <w:footnote w:id="9">
    <w:p w:rsidR="00C859E0" w:rsidRPr="006B2038" w:rsidRDefault="00C859E0" w:rsidP="006B2038">
      <w:pPr>
        <w:pStyle w:val="FootnoteText"/>
      </w:pPr>
      <w:r w:rsidRPr="006B2038">
        <w:rPr>
          <w:rStyle w:val="FootnoteReference"/>
        </w:rPr>
        <w:footnoteRef/>
      </w:r>
      <w:r w:rsidRPr="006B2038">
        <w:t xml:space="preserve"> </w:t>
      </w:r>
      <w:r w:rsidRPr="006B2038">
        <w:rPr>
          <w:rStyle w:val="documentbody1"/>
          <w:rFonts w:ascii="Times New Roman" w:hAnsi="Times New Roman"/>
          <w:sz w:val="20"/>
          <w:szCs w:val="20"/>
        </w:rPr>
        <w:t xml:space="preserve">The Bureau previously granted a waiver of section 54.307(b) to a CETC in Alaska.  In 2006, Bristol Bay Cellular Partnership filed a petition seeking waiver from the customer billing address requirements of section 54.307(b).  </w:t>
      </w:r>
      <w:r w:rsidRPr="006B2038">
        <w:t xml:space="preserve">Bristol Bay Cellular Partnership Petition for Waiver, CC Docket No. 96-45 (filed Nov. 13, 2006).  </w:t>
      </w:r>
      <w:r w:rsidRPr="006B2038">
        <w:rPr>
          <w:rStyle w:val="documentbody1"/>
          <w:rFonts w:ascii="Times New Roman" w:hAnsi="Times New Roman"/>
          <w:sz w:val="20"/>
          <w:szCs w:val="20"/>
        </w:rPr>
        <w:t xml:space="preserve">Bristol Bay offered mobile service in rural Alaska.  Roughly two-thirds of Bristol Bay’s customers had billing addresses outside of its ETC designated service area.  The Bureau granted Bristol Bay’s request that it be allowed to use the customer primary place of use rather than the customer billing address for purposes of reporting its line counts to determine high-cost support.  The Bureau recognized that unlike the majority of carriers, Bristol Bay’s customer billing addresses differed significantly from the place of primary use of the service.  Furthermore, the fact that Bristol Bay did not offer roaming service prevented the company from “gaming the system” by attempting to receive support for customers it served outside the service area for which it was designated an ETC.  </w:t>
      </w:r>
      <w:r w:rsidRPr="006B2038">
        <w:rPr>
          <w:i/>
        </w:rPr>
        <w:t>Federal-State Joint Board on Universal Service, Bristol Bay Cellular Partnership Petition for Waiver of the Federal Communications Commission’s Rules Concerning the Administration of the Universal Service Fund</w:t>
      </w:r>
      <w:r w:rsidRPr="006B2038">
        <w:t xml:space="preserve">, CC Docket No. 96-45, Order, 22 FCC Rcd 21500, 21501-02, para. 5 (Wireline Comp. Bur. 2007).  </w:t>
      </w:r>
    </w:p>
  </w:footnote>
  <w:footnote w:id="10">
    <w:p w:rsidR="00C859E0" w:rsidRPr="006B2038" w:rsidRDefault="00C859E0" w:rsidP="006B2038">
      <w:pPr>
        <w:pStyle w:val="FootnoteText"/>
      </w:pPr>
      <w:r w:rsidRPr="006B2038">
        <w:rPr>
          <w:rStyle w:val="FootnoteReference"/>
        </w:rPr>
        <w:footnoteRef/>
      </w:r>
      <w:r w:rsidRPr="006B2038">
        <w:t xml:space="preserve"> ACS Wireless Request for Review and Petition for Waiver, CC Docket No. 96-45, WC Docket No. 05-337 (filed Jan. 17, 2012).</w:t>
      </w:r>
    </w:p>
  </w:footnote>
  <w:footnote w:id="11">
    <w:p w:rsidR="00C859E0" w:rsidRPr="006B2038" w:rsidRDefault="00C859E0" w:rsidP="006B2038">
      <w:pPr>
        <w:pStyle w:val="FootnoteText"/>
      </w:pPr>
      <w:r w:rsidRPr="006B2038">
        <w:rPr>
          <w:rStyle w:val="FootnoteReference"/>
        </w:rPr>
        <w:footnoteRef/>
      </w:r>
      <w:r w:rsidRPr="006B2038">
        <w:t xml:space="preserve"> </w:t>
      </w:r>
      <w:r w:rsidRPr="006B2038">
        <w:rPr>
          <w:rStyle w:val="StyleNumberedparagraphs11ptChar"/>
          <w:color w:val="000000"/>
          <w:sz w:val="20"/>
        </w:rPr>
        <w:t xml:space="preserve">Request for Review by AT&amp;T of Decision of the Universal Service Administrator, CC Docket No. 96-45, WC Docket No. 05-337 (filed June 22, 2012) (AT&amp;T June 22 Request for Review); </w:t>
      </w:r>
      <w:r w:rsidRPr="006B2038">
        <w:t>Request for Review by AT&amp;T of Decision of the Universal Service Administrator, CC Docket No. 96-45 et al. (filed Apr. 16, 2013) (AT&amp;T April 16 Request for Review)</w:t>
      </w:r>
      <w:r w:rsidRPr="006B2038">
        <w:rPr>
          <w:rStyle w:val="StyleNumberedparagraphs11ptChar"/>
          <w:color w:val="000000"/>
          <w:sz w:val="20"/>
        </w:rPr>
        <w:t>.  AT&amp;T requests review on behalf of eight of its subsidiaries: Centennial Beauregard Cellular LLC, Centennial Caldwell Cellular Corporation, Centennial Cellular Tri-State Operating Partnership, Centennial Lafayette Communications LLC, Centennial Puerto Rico Operations Corporation, Dobson Cellular Systems, Inc., Michiana Metronet, Inc., and New Cingular Wireless PCS, LLC.</w:t>
      </w:r>
    </w:p>
  </w:footnote>
  <w:footnote w:id="12">
    <w:p w:rsidR="00C859E0" w:rsidRPr="006B2038" w:rsidRDefault="00C859E0" w:rsidP="006B2038">
      <w:pPr>
        <w:pStyle w:val="FootnoteText"/>
      </w:pPr>
      <w:r w:rsidRPr="006B2038">
        <w:rPr>
          <w:rStyle w:val="FootnoteReference"/>
        </w:rPr>
        <w:footnoteRef/>
      </w:r>
      <w:r w:rsidRPr="006B2038">
        <w:t xml:space="preserve"> Request for Review by Cordova Wireless Communications, LLC of a Decision of the Universal Service Administrator, CC Docket No. 96-45, WC Docket No. 05-337 (filed July 5, 2013) (Cordova Petition).</w:t>
      </w:r>
    </w:p>
  </w:footnote>
  <w:footnote w:id="13">
    <w:p w:rsidR="00C859E0" w:rsidRPr="006B2038" w:rsidRDefault="00C859E0" w:rsidP="006B2038">
      <w:pPr>
        <w:pStyle w:val="FootnoteText"/>
      </w:pPr>
      <w:r w:rsidRPr="006B2038">
        <w:rPr>
          <w:rStyle w:val="FootnoteReference"/>
        </w:rPr>
        <w:footnoteRef/>
      </w:r>
      <w:r w:rsidRPr="006B2038">
        <w:t xml:space="preserve"> Request for Review by PR Wireless, Inc., of a Decision of the Universal Service Administrator, CC Docket Nos. 96-45, 03-109 (filed Apr. 5, 2010).</w:t>
      </w:r>
    </w:p>
  </w:footnote>
  <w:footnote w:id="14">
    <w:p w:rsidR="00C859E0" w:rsidRPr="006B2038" w:rsidRDefault="00C859E0" w:rsidP="006B2038">
      <w:pPr>
        <w:pStyle w:val="FootnoteText"/>
      </w:pPr>
      <w:r w:rsidRPr="006B2038">
        <w:rPr>
          <w:rStyle w:val="FootnoteReference"/>
        </w:rPr>
        <w:footnoteRef/>
      </w:r>
      <w:r w:rsidRPr="006B2038">
        <w:t xml:space="preserve"> </w:t>
      </w:r>
      <w:r w:rsidRPr="006B2038">
        <w:rPr>
          <w:rStyle w:val="documentbody1"/>
          <w:rFonts w:ascii="Times New Roman" w:hAnsi="Times New Roman"/>
          <w:sz w:val="20"/>
          <w:szCs w:val="20"/>
        </w:rPr>
        <w:t xml:space="preserve">We review these appeals of USAC decisions de novo. </w:t>
      </w:r>
      <w:r w:rsidRPr="006B2038">
        <w:t>47 C.F.R. § 54.723(a).</w:t>
      </w:r>
    </w:p>
  </w:footnote>
  <w:footnote w:id="15">
    <w:p w:rsidR="00C859E0" w:rsidRPr="006B2038" w:rsidRDefault="00C859E0" w:rsidP="006B2038">
      <w:pPr>
        <w:pStyle w:val="FootnoteText"/>
      </w:pPr>
      <w:r w:rsidRPr="006B2038">
        <w:rPr>
          <w:rStyle w:val="FootnoteReference"/>
        </w:rPr>
        <w:footnoteRef/>
      </w:r>
      <w:r w:rsidRPr="006B2038">
        <w:t xml:space="preserve"> ACS Wireless Request for Review and Petition for Waiver.</w:t>
      </w:r>
    </w:p>
  </w:footnote>
  <w:footnote w:id="16">
    <w:p w:rsidR="00C859E0" w:rsidRPr="006B2038" w:rsidRDefault="00C859E0" w:rsidP="006B2038">
      <w:pPr>
        <w:pStyle w:val="FootnoteText"/>
      </w:pPr>
      <w:r w:rsidRPr="006B2038">
        <w:rPr>
          <w:rStyle w:val="FootnoteReference"/>
        </w:rPr>
        <w:footnoteRef/>
      </w:r>
      <w:r w:rsidRPr="006B2038">
        <w:t xml:space="preserve"> ASTAC Wireless LLC Petition for Waiver of Section 54.307(b) of the Commission’s Rules, CC Docket No. 96-45 (filed Jan. 31, 2008).</w:t>
      </w:r>
    </w:p>
  </w:footnote>
  <w:footnote w:id="17">
    <w:p w:rsidR="00C859E0" w:rsidRPr="006B2038" w:rsidRDefault="00C859E0" w:rsidP="006B2038">
      <w:pPr>
        <w:pStyle w:val="FootnoteText"/>
      </w:pPr>
      <w:r w:rsidRPr="006B2038">
        <w:rPr>
          <w:rStyle w:val="FootnoteReference"/>
        </w:rPr>
        <w:footnoteRef/>
      </w:r>
      <w:r w:rsidRPr="006B2038">
        <w:t xml:space="preserve"> Cordova Petition at 7-11.</w:t>
      </w:r>
    </w:p>
  </w:footnote>
  <w:footnote w:id="18">
    <w:p w:rsidR="00C859E0" w:rsidRPr="006B2038" w:rsidRDefault="00C859E0" w:rsidP="006B2038">
      <w:pPr>
        <w:pStyle w:val="FootnoteText"/>
      </w:pPr>
      <w:r w:rsidRPr="006B2038">
        <w:rPr>
          <w:rStyle w:val="FootnoteReference"/>
        </w:rPr>
        <w:footnoteRef/>
      </w:r>
      <w:r w:rsidRPr="006B2038">
        <w:t xml:space="preserve"> Letter from John T. Nakahata, General Counsel, GCI, to Dana Shaffer, Bureau Chief, Wireline Competition Bureau, Federal Communications Commission, CC Docket No. 96-45 (filed Jan. 26, 2009) (GCI Petition).</w:t>
      </w:r>
    </w:p>
  </w:footnote>
  <w:footnote w:id="19">
    <w:p w:rsidR="00C859E0" w:rsidRPr="006B2038" w:rsidRDefault="00C859E0" w:rsidP="006B2038">
      <w:pPr>
        <w:pStyle w:val="FootnoteText"/>
      </w:pPr>
      <w:r w:rsidRPr="006B2038">
        <w:rPr>
          <w:rStyle w:val="FootnoteReference"/>
        </w:rPr>
        <w:footnoteRef/>
      </w:r>
      <w:r w:rsidRPr="006B2038">
        <w:t xml:space="preserve"> Mobi PCS, Inc. and Cricket Communications, Inc. Petition Requesting the Federal Communications Commission to Provide Guidance to the Universal Service Administrative Company, CC Docket 96-45 (filed May 29, 2009) (Mobi PCS/Cricket Petition).  Subsequent to the filing of this petition, Cricket’s parent company Leap Wireless was acquired by AT&amp;T.</w:t>
      </w:r>
    </w:p>
  </w:footnote>
  <w:footnote w:id="20">
    <w:p w:rsidR="00C859E0" w:rsidRPr="006B2038" w:rsidRDefault="00C859E0" w:rsidP="006B2038">
      <w:pPr>
        <w:pStyle w:val="FootnoteText"/>
      </w:pPr>
      <w:r w:rsidRPr="006B2038">
        <w:rPr>
          <w:rStyle w:val="FootnoteReference"/>
        </w:rPr>
        <w:footnoteRef/>
      </w:r>
      <w:r w:rsidRPr="006B2038">
        <w:t xml:space="preserve"> </w:t>
      </w:r>
      <w:r w:rsidRPr="006B2038">
        <w:rPr>
          <w:i/>
        </w:rPr>
        <w:t>See Joint Board on Universal Service Order</w:t>
      </w:r>
      <w:r w:rsidRPr="006B2038">
        <w:t>, 16 FCC Rcd</w:t>
      </w:r>
      <w:r w:rsidRPr="006B2038">
        <w:rPr>
          <w:i/>
        </w:rPr>
        <w:t xml:space="preserve"> </w:t>
      </w:r>
      <w:r w:rsidRPr="006B2038">
        <w:t>at 11316, para. 184 n.438.</w:t>
      </w:r>
    </w:p>
  </w:footnote>
  <w:footnote w:id="21">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See Connect America Fund Order/FNPRM </w:t>
      </w:r>
      <w:r w:rsidRPr="006B2038">
        <w:t xml:space="preserve">at para. 256 n. 470 (“In situations where customer billing addresses misrepresent actual usage of mobile service, competitive ETCs may use an alternative method to assign a customer location consistent with the Commission’s objective of identifying where customers are actually using the mobile service.”).  We do not articulate an exhaustive list of every possible alternate method that may be acceptable.  Given that line count reporting only continues to apply for certain carriers in Alaska, and the Commission has proposed to eliminate even those reports, we do not expect many new situations may arise in the future.  </w:t>
      </w:r>
    </w:p>
  </w:footnote>
  <w:footnote w:id="22">
    <w:p w:rsidR="00C859E0" w:rsidRPr="006B2038" w:rsidRDefault="00C859E0" w:rsidP="006B2038">
      <w:pPr>
        <w:pStyle w:val="FootnoteText"/>
      </w:pPr>
      <w:r w:rsidRPr="006B2038">
        <w:rPr>
          <w:rStyle w:val="FootnoteReference"/>
        </w:rPr>
        <w:footnoteRef/>
      </w:r>
      <w:r w:rsidRPr="006B2038">
        <w:t xml:space="preserve"> ACS Wireless Request for Review and Petition for Waiver at 1.</w:t>
      </w:r>
    </w:p>
  </w:footnote>
  <w:footnote w:id="23">
    <w:p w:rsidR="00C859E0" w:rsidRPr="006B2038" w:rsidRDefault="00C859E0" w:rsidP="006B2038">
      <w:pPr>
        <w:pStyle w:val="FootnoteText"/>
      </w:pPr>
      <w:r w:rsidRPr="006B2038">
        <w:rPr>
          <w:rStyle w:val="FootnoteReference"/>
        </w:rPr>
        <w:footnoteRef/>
      </w:r>
      <w:r w:rsidRPr="006B2038">
        <w:t xml:space="preserve"> </w:t>
      </w:r>
      <w:r w:rsidRPr="006B2038">
        <w:rPr>
          <w:i/>
        </w:rPr>
        <w:t>Id.</w:t>
      </w:r>
    </w:p>
  </w:footnote>
  <w:footnote w:id="24">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4.</w:t>
      </w:r>
    </w:p>
  </w:footnote>
  <w:footnote w:id="25">
    <w:p w:rsidR="00C859E0" w:rsidRPr="006B2038" w:rsidRDefault="00C859E0" w:rsidP="006B2038">
      <w:pPr>
        <w:pStyle w:val="FootnoteText"/>
      </w:pPr>
      <w:r w:rsidRPr="006B2038">
        <w:rPr>
          <w:rStyle w:val="FootnoteReference"/>
        </w:rPr>
        <w:footnoteRef/>
      </w:r>
      <w:r w:rsidRPr="006B2038">
        <w:t xml:space="preserve"> </w:t>
      </w:r>
      <w:r w:rsidRPr="006B2038">
        <w:rPr>
          <w:i/>
        </w:rPr>
        <w:t>Id.</w:t>
      </w:r>
    </w:p>
  </w:footnote>
  <w:footnote w:id="26">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5.</w:t>
      </w:r>
    </w:p>
  </w:footnote>
  <w:footnote w:id="27">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5-6.</w:t>
      </w:r>
    </w:p>
  </w:footnote>
  <w:footnote w:id="28">
    <w:p w:rsidR="00C859E0" w:rsidRPr="006B2038" w:rsidRDefault="00C859E0" w:rsidP="006B2038">
      <w:pPr>
        <w:pStyle w:val="FootnoteText"/>
      </w:pPr>
      <w:r w:rsidRPr="006B2038">
        <w:rPr>
          <w:rStyle w:val="FootnoteReference"/>
        </w:rPr>
        <w:footnoteRef/>
      </w:r>
      <w:r w:rsidRPr="006B2038">
        <w:t xml:space="preserve"> </w:t>
      </w:r>
      <w:r w:rsidRPr="006B2038">
        <w:rPr>
          <w:i/>
        </w:rPr>
        <w:t>Id.</w:t>
      </w:r>
      <w:r w:rsidRPr="006B2038">
        <w:t xml:space="preserve">; </w:t>
      </w:r>
      <w:r w:rsidRPr="006B2038">
        <w:rPr>
          <w:i/>
        </w:rPr>
        <w:t xml:space="preserve">see also id. </w:t>
      </w:r>
      <w:r w:rsidRPr="006B2038">
        <w:t xml:space="preserve">at Exhibit A. </w:t>
      </w:r>
    </w:p>
  </w:footnote>
  <w:footnote w:id="29">
    <w:p w:rsidR="00C859E0" w:rsidRPr="006B2038" w:rsidRDefault="00C859E0" w:rsidP="006B2038">
      <w:pPr>
        <w:pStyle w:val="FootnoteText"/>
      </w:pPr>
      <w:r w:rsidRPr="006B2038">
        <w:rPr>
          <w:rStyle w:val="FootnoteReference"/>
        </w:rPr>
        <w:footnoteRef/>
      </w:r>
      <w:r w:rsidRPr="006B2038">
        <w:t xml:space="preserve"> </w:t>
      </w:r>
      <w:r w:rsidRPr="006B2038">
        <w:rPr>
          <w:i/>
        </w:rPr>
        <w:t>Id.</w:t>
      </w:r>
      <w:r w:rsidRPr="006B2038">
        <w:t xml:space="preserve"> at 6.</w:t>
      </w:r>
    </w:p>
  </w:footnote>
  <w:footnote w:id="30">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See </w:t>
      </w:r>
      <w:hyperlink r:id="rId2" w:anchor="213054#213054" w:history="1">
        <w:r w:rsidR="009319B4" w:rsidRPr="009319B4">
          <w:rPr>
            <w:rStyle w:val="Hyperlink"/>
            <w:snapToGrid w:val="0"/>
            <w:kern w:val="28"/>
            <w:sz w:val="22"/>
          </w:rPr>
          <w:t>http://fjallfoss.fcc.gov/edocs_public/Query.do;jsessionid=QXpDfpHR6f8PnXnhdMcdJbmmfZ3v92lZgpR00NJQ3PKYBVvlLx3h!-1597281469!-1646612613?numberFld=01-157&amp;numberFld2=&amp;docket=&amp;dateFld=&amp;docTitleDesc= - 213054#213054</w:t>
        </w:r>
      </w:hyperlink>
      <w:r w:rsidRPr="006B2038">
        <w:rPr>
          <w:i/>
        </w:rPr>
        <w:t>Joint Board on Universal Service Order</w:t>
      </w:r>
      <w:r w:rsidRPr="006B2038">
        <w:t>, 16 FCC Rcd at 13114-15, para. 180-82.</w:t>
      </w:r>
    </w:p>
  </w:footnote>
  <w:footnote w:id="31">
    <w:p w:rsidR="00C859E0" w:rsidRPr="006B2038" w:rsidRDefault="00C859E0" w:rsidP="006B2038">
      <w:pPr>
        <w:pStyle w:val="FootnoteText"/>
      </w:pPr>
      <w:r w:rsidRPr="006B2038">
        <w:rPr>
          <w:rStyle w:val="FootnoteReference"/>
        </w:rPr>
        <w:footnoteRef/>
      </w:r>
      <w:r w:rsidRPr="006B2038">
        <w:t xml:space="preserve"> ACS Wireless Request for Review and Petition for Waiver at 6.</w:t>
      </w:r>
    </w:p>
  </w:footnote>
  <w:footnote w:id="32">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11.</w:t>
      </w:r>
    </w:p>
  </w:footnote>
  <w:footnote w:id="33">
    <w:p w:rsidR="00C859E0" w:rsidRPr="006B2038" w:rsidRDefault="00C859E0" w:rsidP="006B2038">
      <w:pPr>
        <w:pStyle w:val="FootnoteText"/>
      </w:pPr>
      <w:r w:rsidRPr="006B2038">
        <w:rPr>
          <w:rStyle w:val="FootnoteReference"/>
        </w:rPr>
        <w:footnoteRef/>
      </w:r>
      <w:r w:rsidRPr="006B2038">
        <w:t xml:space="preserve"> </w:t>
      </w:r>
      <w:r w:rsidRPr="006B2038">
        <w:rPr>
          <w:rStyle w:val="StyleNumberedparagraphs11ptChar"/>
          <w:color w:val="000000"/>
          <w:sz w:val="20"/>
        </w:rPr>
        <w:t>AT&amp;T June 22 Request for Review at 1-2; AT&amp;T April 16 Request for Review at 1-2.  The subsidiary companies that were audited are Centennial Beauregard Cellular LLC, Centennial Caldwell Cellular Corporation, Centennial Cellular Tri-State Operating Partnership, Centennial Lafayette Communications LLC, Centennial Puerto Rico Operations Corporation, and Michiana Metronet, Inc.  The subsidiary companies that were subject to line count validations are Dobson Cellular Systems, Inc. and New Cingular Wireless PCS, LLC.  Hereinafter, these are collectively referred to as “the subsidiary companies.”  The audits in question related to filings made between 2006 and 2008.</w:t>
      </w:r>
    </w:p>
  </w:footnote>
  <w:footnote w:id="34">
    <w:p w:rsidR="00C859E0" w:rsidRPr="006B2038" w:rsidRDefault="00C859E0" w:rsidP="006B2038">
      <w:pPr>
        <w:pStyle w:val="FootnoteText"/>
      </w:pPr>
      <w:r w:rsidRPr="006B2038">
        <w:rPr>
          <w:rStyle w:val="FootnoteReference"/>
        </w:rPr>
        <w:footnoteRef/>
      </w:r>
      <w:r w:rsidRPr="006B2038">
        <w:t xml:space="preserve"> AT&amp;T June 22 Request for Review</w:t>
      </w:r>
      <w:r w:rsidRPr="006B2038">
        <w:rPr>
          <w:i/>
        </w:rPr>
        <w:t xml:space="preserve"> </w:t>
      </w:r>
      <w:r w:rsidRPr="006B2038">
        <w:t>at 5; AT&amp;T April 16 Request for Review at 4.</w:t>
      </w:r>
    </w:p>
  </w:footnote>
  <w:footnote w:id="35">
    <w:p w:rsidR="00C859E0" w:rsidRPr="006B2038" w:rsidRDefault="00C859E0" w:rsidP="006B2038">
      <w:pPr>
        <w:pStyle w:val="FootnoteText"/>
      </w:pPr>
      <w:r w:rsidRPr="006B2038">
        <w:rPr>
          <w:rStyle w:val="FootnoteReference"/>
        </w:rPr>
        <w:footnoteRef/>
      </w:r>
      <w:r w:rsidRPr="006B2038">
        <w:t xml:space="preserve"> AT&amp;T June 22 Request for Review</w:t>
      </w:r>
      <w:r w:rsidRPr="006B2038">
        <w:rPr>
          <w:i/>
        </w:rPr>
        <w:t xml:space="preserve"> </w:t>
      </w:r>
      <w:r w:rsidRPr="006B2038">
        <w:t>at 6; AT&amp;T April 16 Request for Review at 4.</w:t>
      </w:r>
    </w:p>
  </w:footnote>
  <w:footnote w:id="36">
    <w:p w:rsidR="00C859E0" w:rsidRPr="006B2038" w:rsidRDefault="00C859E0" w:rsidP="006B2038">
      <w:pPr>
        <w:pStyle w:val="FootnoteText"/>
      </w:pPr>
      <w:r w:rsidRPr="006B2038">
        <w:rPr>
          <w:rStyle w:val="FootnoteReference"/>
        </w:rPr>
        <w:footnoteRef/>
      </w:r>
      <w:r w:rsidRPr="006B2038">
        <w:t xml:space="preserve"> AT&amp;T June 22 Request for Review</w:t>
      </w:r>
      <w:r w:rsidRPr="006B2038">
        <w:rPr>
          <w:i/>
        </w:rPr>
        <w:t xml:space="preserve"> </w:t>
      </w:r>
      <w:r w:rsidRPr="006B2038">
        <w:t>at 6; AT&amp;T April 16 Request for Review at 4.</w:t>
      </w:r>
    </w:p>
  </w:footnote>
  <w:footnote w:id="37">
    <w:p w:rsidR="00C859E0" w:rsidRPr="006B2038" w:rsidRDefault="00C859E0" w:rsidP="006B2038">
      <w:pPr>
        <w:pStyle w:val="FootnoteText"/>
      </w:pPr>
      <w:r w:rsidRPr="006B2038">
        <w:rPr>
          <w:rStyle w:val="FootnoteReference"/>
        </w:rPr>
        <w:footnoteRef/>
      </w:r>
      <w:r w:rsidRPr="006B2038">
        <w:t xml:space="preserve"> AT&amp;T June 22 Request for Review</w:t>
      </w:r>
      <w:r w:rsidRPr="006B2038">
        <w:rPr>
          <w:i/>
        </w:rPr>
        <w:t xml:space="preserve"> </w:t>
      </w:r>
      <w:r w:rsidRPr="006B2038">
        <w:t>at 6-7; AT&amp;T April 16 Request for Review at 2.</w:t>
      </w:r>
    </w:p>
  </w:footnote>
  <w:footnote w:id="38">
    <w:p w:rsidR="00C859E0" w:rsidRPr="006B2038" w:rsidRDefault="00C859E0" w:rsidP="006B2038">
      <w:pPr>
        <w:pStyle w:val="FootnoteText"/>
      </w:pPr>
      <w:r w:rsidRPr="006B2038">
        <w:rPr>
          <w:rStyle w:val="FootnoteReference"/>
        </w:rPr>
        <w:footnoteRef/>
      </w:r>
      <w:r w:rsidRPr="006B2038">
        <w:t xml:space="preserve"> </w:t>
      </w:r>
      <w:r w:rsidRPr="006B2038">
        <w:rPr>
          <w:i/>
        </w:rPr>
        <w:t>See</w:t>
      </w:r>
      <w:r w:rsidRPr="006B2038">
        <w:t xml:space="preserve"> AT&amp;T June 22 Request for Review</w:t>
      </w:r>
      <w:r w:rsidRPr="006B2038">
        <w:rPr>
          <w:i/>
        </w:rPr>
        <w:t xml:space="preserve"> </w:t>
      </w:r>
      <w:r w:rsidRPr="006B2038">
        <w:t xml:space="preserve">at 8; AT&amp;T April 16 Request for Review at 7-8.  As a practical matter, most lines would end up assigned to the same ETC study area whether the post office address or the centroid of the ZIP code is used.  Following USAC’s determination, AT&amp;T changed the reported addresses for its P.O. box-based mobile subscribers for one of its subsidiary companies, manually obtaining the post office street addresses.  According to AT&amp;T, this process resulted in a 0.8% reduction in line counts.  </w:t>
      </w:r>
      <w:r w:rsidRPr="006B2038">
        <w:rPr>
          <w:i/>
        </w:rPr>
        <w:t xml:space="preserve">See </w:t>
      </w:r>
      <w:r w:rsidRPr="006B2038">
        <w:t xml:space="preserve">AT&amp;T April 16 </w:t>
      </w:r>
      <w:r w:rsidRPr="006B2038">
        <w:rPr>
          <w:rStyle w:val="StyleNumberedparagraphs11ptChar"/>
          <w:color w:val="000000"/>
          <w:sz w:val="20"/>
        </w:rPr>
        <w:t xml:space="preserve">Request for Review at 6-7.  Assembling a list of every post office address into a single database would be no small undertaking.  As of 2011, there were over 35,000 post offices in the United States.  </w:t>
      </w:r>
      <w:r w:rsidRPr="006B2038">
        <w:rPr>
          <w:rStyle w:val="StyleNumberedparagraphs11ptChar"/>
          <w:smallCaps/>
          <w:color w:val="000000"/>
          <w:sz w:val="20"/>
        </w:rPr>
        <w:t>U.S. Postal Serv., 2011 Annual Report to Congress</w:t>
      </w:r>
      <w:r w:rsidRPr="006B2038">
        <w:rPr>
          <w:rStyle w:val="StyleNumberedparagraphs11ptChar"/>
          <w:color w:val="000000"/>
          <w:sz w:val="20"/>
        </w:rPr>
        <w:t xml:space="preserve">, 23 (2011). </w:t>
      </w:r>
    </w:p>
  </w:footnote>
  <w:footnote w:id="39">
    <w:p w:rsidR="00C859E0" w:rsidRPr="006B2038" w:rsidRDefault="00C859E0" w:rsidP="006B2038">
      <w:pPr>
        <w:pStyle w:val="FootnoteText"/>
      </w:pPr>
      <w:r w:rsidRPr="006B2038">
        <w:rPr>
          <w:rStyle w:val="FootnoteReference"/>
        </w:rPr>
        <w:footnoteRef/>
      </w:r>
      <w:r w:rsidRPr="006B2038">
        <w:t xml:space="preserve"> </w:t>
      </w:r>
      <w:r w:rsidRPr="006B2038">
        <w:rPr>
          <w:i/>
        </w:rPr>
        <w:t>See</w:t>
      </w:r>
      <w:hyperlink r:id="rId3" w:anchor="213054#213054" w:history="1">
        <w:r w:rsidR="009319B4" w:rsidRPr="009319B4">
          <w:rPr>
            <w:rStyle w:val="Hyperlink"/>
            <w:snapToGrid w:val="0"/>
            <w:kern w:val="28"/>
            <w:sz w:val="22"/>
          </w:rPr>
          <w:t>http://fjallfoss.fcc.gov/edocs_public/Query.do;jsessionid=QXpDfpHR6f8PnXnhdMcdJbmmfZ3v92lZgpR00NJQ3PKYBVvlLx3h!-1597281469!-1646612613?numberFld=01-157&amp;numberFld2=&amp;docket=&amp;dateFld=&amp;docTitleDesc= - 213054#213054</w:t>
        </w:r>
      </w:hyperlink>
      <w:r w:rsidRPr="006B2038">
        <w:rPr>
          <w:i/>
        </w:rPr>
        <w:t xml:space="preserve"> Joint Board on Universal Service Order</w:t>
      </w:r>
      <w:r w:rsidRPr="006B2038">
        <w:t>, 16 FCC Rcd at 13114-15, para. 181-82.</w:t>
      </w:r>
    </w:p>
  </w:footnote>
  <w:footnote w:id="40">
    <w:p w:rsidR="00C859E0" w:rsidRPr="006B2038" w:rsidRDefault="00C859E0" w:rsidP="006B2038">
      <w:pPr>
        <w:pStyle w:val="FootnoteText"/>
      </w:pPr>
      <w:r w:rsidRPr="006B2038">
        <w:rPr>
          <w:rStyle w:val="FootnoteReference"/>
        </w:rPr>
        <w:footnoteRef/>
      </w:r>
      <w:r w:rsidRPr="006B2038">
        <w:t xml:space="preserve"> Request for Review by PR Wireless, Inc., of a Decision of the Universal Service Administrator at 2-3.</w:t>
      </w:r>
    </w:p>
  </w:footnote>
  <w:footnote w:id="41">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2.</w:t>
      </w:r>
    </w:p>
  </w:footnote>
  <w:footnote w:id="42">
    <w:p w:rsidR="00C859E0" w:rsidRPr="006B2038" w:rsidRDefault="00C859E0" w:rsidP="006B2038">
      <w:pPr>
        <w:pStyle w:val="FootnoteText"/>
      </w:pPr>
      <w:r w:rsidRPr="006B2038">
        <w:rPr>
          <w:rStyle w:val="FootnoteReference"/>
        </w:rPr>
        <w:footnoteRef/>
      </w:r>
      <w:r w:rsidRPr="006B2038">
        <w:t xml:space="preserve"> </w:t>
      </w:r>
      <w:r w:rsidRPr="006B2038">
        <w:rPr>
          <w:i/>
        </w:rPr>
        <w:t>See id.</w:t>
      </w:r>
      <w:r w:rsidRPr="006B2038">
        <w:t xml:space="preserve"> at 2, 5-6.</w:t>
      </w:r>
    </w:p>
  </w:footnote>
  <w:footnote w:id="43">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2.</w:t>
      </w:r>
    </w:p>
  </w:footnote>
  <w:footnote w:id="44">
    <w:p w:rsidR="00C859E0" w:rsidRPr="006B2038" w:rsidRDefault="00C859E0" w:rsidP="006B2038">
      <w:pPr>
        <w:pStyle w:val="FootnoteText"/>
      </w:pPr>
      <w:r w:rsidRPr="006B2038">
        <w:rPr>
          <w:rStyle w:val="FootnoteReference"/>
        </w:rPr>
        <w:footnoteRef/>
      </w:r>
      <w:r w:rsidRPr="006B2038">
        <w:t xml:space="preserve"> </w:t>
      </w:r>
      <w:r w:rsidRPr="006B2038">
        <w:rPr>
          <w:i/>
        </w:rPr>
        <w:t>Id.</w:t>
      </w:r>
    </w:p>
  </w:footnote>
  <w:footnote w:id="45">
    <w:p w:rsidR="00C859E0" w:rsidRPr="006B2038" w:rsidRDefault="00C859E0" w:rsidP="006B2038">
      <w:pPr>
        <w:pStyle w:val="FootnoteText"/>
      </w:pPr>
      <w:r w:rsidRPr="006B2038">
        <w:rPr>
          <w:rStyle w:val="FootnoteReference"/>
        </w:rPr>
        <w:footnoteRef/>
      </w:r>
      <w:r w:rsidRPr="006B2038">
        <w:t xml:space="preserve"> While not specifically articulated, PR Wireless’s petition implies that any prepaid customer lacking a billing address was assigned to the PRTC study area.</w:t>
      </w:r>
    </w:p>
  </w:footnote>
  <w:footnote w:id="46">
    <w:p w:rsidR="00C859E0" w:rsidRPr="006B2038" w:rsidRDefault="00C859E0" w:rsidP="006B2038">
      <w:pPr>
        <w:pStyle w:val="FootnoteText"/>
      </w:pPr>
      <w:r w:rsidRPr="006B2038">
        <w:rPr>
          <w:rStyle w:val="FootnoteReference"/>
        </w:rPr>
        <w:footnoteRef/>
      </w:r>
      <w:r w:rsidRPr="006B2038">
        <w:t xml:space="preserve"> Request for Review by PR Wireless, Inc., of a Decision of the Universal Service Administrator at 2.  </w:t>
      </w:r>
      <w:r w:rsidRPr="006B2038">
        <w:rPr>
          <w:rStyle w:val="documentbody1"/>
          <w:rFonts w:ascii="Times New Roman" w:hAnsi="Times New Roman"/>
          <w:sz w:val="20"/>
          <w:szCs w:val="20"/>
        </w:rPr>
        <w:t xml:space="preserve">It appears that USAC’s primary ground for withholding funding was not that the prepaid customers were assigned to the wrong study area, but that no billing address was provided. </w:t>
      </w:r>
      <w:r w:rsidRPr="006B2038">
        <w:t xml:space="preserve"> </w:t>
      </w:r>
      <w:r w:rsidRPr="006B2038">
        <w:rPr>
          <w:i/>
        </w:rPr>
        <w:t xml:space="preserve">Id. </w:t>
      </w:r>
      <w:r w:rsidRPr="006B2038">
        <w:t xml:space="preserve">at 2 (“In the final report issued February 26, 2010, USAC made a finding that PR Wireless ‘could not provide a corresponding address for prepaid wireless customers included in reported access line on High Cost filings.’ . . . USAC determined that the entire amount of support paid on those lines was ‘improper.’”).  </w:t>
      </w:r>
      <w:r w:rsidRPr="006B2038">
        <w:rPr>
          <w:rStyle w:val="documentbody1"/>
          <w:rFonts w:ascii="Times New Roman" w:hAnsi="Times New Roman"/>
          <w:sz w:val="20"/>
          <w:szCs w:val="20"/>
        </w:rPr>
        <w:t xml:space="preserve">PR Wireless disputes the recovery of support on the grounds that the support was not improperly provided.  </w:t>
      </w:r>
      <w:r w:rsidRPr="006B2038">
        <w:rPr>
          <w:i/>
        </w:rPr>
        <w:t>Id</w:t>
      </w:r>
      <w:r w:rsidRPr="006B2038">
        <w:t xml:space="preserve">.  </w:t>
      </w:r>
      <w:r w:rsidRPr="006B2038">
        <w:rPr>
          <w:rStyle w:val="documentbody1"/>
          <w:rFonts w:ascii="Times New Roman" w:hAnsi="Times New Roman"/>
          <w:sz w:val="20"/>
          <w:szCs w:val="20"/>
        </w:rPr>
        <w:t xml:space="preserve">PRTC receives a lower level of support than PRTC-Central.  Thus, it argues that any error in placing prepaid customers in the PRTC rather than PRTC-Central study area could have only resulted in less support being paid to PR Wireless than it was due.  </w:t>
      </w:r>
      <w:r w:rsidRPr="006B2038">
        <w:rPr>
          <w:i/>
        </w:rPr>
        <w:t xml:space="preserve">Id. </w:t>
      </w:r>
      <w:r w:rsidRPr="006B2038">
        <w:t>at 3-4.</w:t>
      </w:r>
    </w:p>
  </w:footnote>
  <w:footnote w:id="47">
    <w:p w:rsidR="00C859E0" w:rsidRPr="006B2038" w:rsidRDefault="00C859E0" w:rsidP="006B2038">
      <w:pPr>
        <w:pStyle w:val="FootnoteText"/>
      </w:pPr>
      <w:r w:rsidRPr="006B2038">
        <w:rPr>
          <w:rStyle w:val="FootnoteReference"/>
        </w:rPr>
        <w:footnoteRef/>
      </w:r>
      <w:r w:rsidRPr="006B2038">
        <w:t xml:space="preserve"> </w:t>
      </w:r>
      <w:r w:rsidRPr="006B2038">
        <w:rPr>
          <w:i/>
        </w:rPr>
        <w:t>See Northeast Cellular Telephone Co. v. FCC</w:t>
      </w:r>
      <w:r w:rsidRPr="006B2038">
        <w:t>, 897 F.2d 1164, 1166 (D.C. Cir. 1990) (</w:t>
      </w:r>
      <w:r w:rsidRPr="006B2038">
        <w:rPr>
          <w:i/>
        </w:rPr>
        <w:t>Northeast Cellular</w:t>
      </w:r>
      <w:r w:rsidRPr="006B2038">
        <w:t>) (citing</w:t>
      </w:r>
      <w:r w:rsidRPr="006B2038">
        <w:rPr>
          <w:i/>
        </w:rPr>
        <w:t xml:space="preserve"> WAIT Radio v. FCC</w:t>
      </w:r>
      <w:r w:rsidRPr="006B2038">
        <w:t xml:space="preserve">, 418 F.2d 1153, 1159 (D.C. Cir. 1969)). </w:t>
      </w:r>
    </w:p>
  </w:footnote>
  <w:footnote w:id="48">
    <w:p w:rsidR="00C859E0" w:rsidRPr="006B2038" w:rsidRDefault="00C859E0" w:rsidP="006B2038">
      <w:pPr>
        <w:pStyle w:val="FootnoteText"/>
      </w:pPr>
      <w:r w:rsidRPr="006B2038">
        <w:rPr>
          <w:rStyle w:val="FootnoteReference"/>
        </w:rPr>
        <w:footnoteRef/>
      </w:r>
      <w:r w:rsidRPr="006B2038">
        <w:t xml:space="preserve"> Cordova Petition at 3.</w:t>
      </w:r>
    </w:p>
  </w:footnote>
  <w:footnote w:id="49">
    <w:p w:rsidR="00C859E0" w:rsidRPr="006B2038" w:rsidRDefault="00C859E0" w:rsidP="006B2038">
      <w:pPr>
        <w:pStyle w:val="FootnoteText"/>
      </w:pPr>
      <w:r w:rsidRPr="006B2038">
        <w:rPr>
          <w:rStyle w:val="FootnoteReference"/>
        </w:rPr>
        <w:footnoteRef/>
      </w:r>
      <w:r w:rsidRPr="006B2038">
        <w:rPr>
          <w:i/>
        </w:rPr>
        <w:t xml:space="preserve"> Id.</w:t>
      </w:r>
      <w:r w:rsidRPr="006B2038">
        <w:t xml:space="preserve"> at 3-4.</w:t>
      </w:r>
    </w:p>
  </w:footnote>
  <w:footnote w:id="50">
    <w:p w:rsidR="00C859E0" w:rsidRPr="006B2038" w:rsidRDefault="00C859E0" w:rsidP="006B2038">
      <w:pPr>
        <w:pStyle w:val="FootnoteText"/>
      </w:pPr>
      <w:r w:rsidRPr="006B2038">
        <w:rPr>
          <w:rStyle w:val="FootnoteReference"/>
        </w:rPr>
        <w:footnoteRef/>
      </w:r>
      <w:r w:rsidRPr="006B2038">
        <w:rPr>
          <w:i/>
        </w:rPr>
        <w:t xml:space="preserve"> Id.</w:t>
      </w:r>
    </w:p>
  </w:footnote>
  <w:footnote w:id="51">
    <w:p w:rsidR="00C859E0" w:rsidRPr="006B2038" w:rsidRDefault="00C859E0" w:rsidP="006B2038">
      <w:pPr>
        <w:pStyle w:val="FootnoteText"/>
      </w:pPr>
      <w:r w:rsidRPr="006B2038">
        <w:rPr>
          <w:rStyle w:val="FootnoteReference"/>
        </w:rPr>
        <w:footnoteRef/>
      </w:r>
      <w:r w:rsidRPr="006B2038">
        <w:rPr>
          <w:i/>
        </w:rPr>
        <w:t xml:space="preserve"> </w:t>
      </w:r>
      <w:r w:rsidRPr="006B2038">
        <w:t>USAC Decision on Appeal of the 2010 Competitive Eligible Telecommunications Carriers Line Count Validation for High Cost Program Beneficiary Cordova Wireless Communications, 2 (May 13, 2013) (provided as Exhibit A to Cordova Petition).</w:t>
      </w:r>
    </w:p>
  </w:footnote>
  <w:footnote w:id="52">
    <w:p w:rsidR="00C859E0" w:rsidRPr="006B2038" w:rsidRDefault="00C859E0" w:rsidP="006B2038">
      <w:pPr>
        <w:pStyle w:val="FootnoteText"/>
      </w:pPr>
      <w:r w:rsidRPr="006B2038">
        <w:rPr>
          <w:rStyle w:val="FootnoteReference"/>
        </w:rPr>
        <w:footnoteRef/>
      </w:r>
      <w:r w:rsidRPr="006B2038">
        <w:rPr>
          <w:i/>
        </w:rPr>
        <w:t xml:space="preserve"> Id. </w:t>
      </w:r>
      <w:r w:rsidRPr="006B2038">
        <w:t>at 3.</w:t>
      </w:r>
    </w:p>
  </w:footnote>
  <w:footnote w:id="53">
    <w:p w:rsidR="00C859E0" w:rsidRPr="006B2038" w:rsidRDefault="00C859E0" w:rsidP="006B2038">
      <w:pPr>
        <w:pStyle w:val="FootnoteText"/>
      </w:pPr>
      <w:r w:rsidRPr="006B2038">
        <w:rPr>
          <w:rStyle w:val="FootnoteReference"/>
        </w:rPr>
        <w:footnoteRef/>
      </w:r>
      <w:r w:rsidRPr="006B2038">
        <w:rPr>
          <w:i/>
        </w:rPr>
        <w:t xml:space="preserve"> </w:t>
      </w:r>
      <w:r w:rsidRPr="006B2038">
        <w:t>Cordova Petition</w:t>
      </w:r>
      <w:r w:rsidRPr="006B2038">
        <w:rPr>
          <w:i/>
        </w:rPr>
        <w:t xml:space="preserve"> </w:t>
      </w:r>
      <w:r w:rsidRPr="006B2038">
        <w:t>at 3-4.</w:t>
      </w:r>
    </w:p>
  </w:footnote>
  <w:footnote w:id="54">
    <w:p w:rsidR="00C859E0" w:rsidRPr="006B2038" w:rsidRDefault="00C859E0" w:rsidP="006B2038">
      <w:pPr>
        <w:pStyle w:val="FootnoteText"/>
      </w:pPr>
      <w:r w:rsidRPr="006B2038">
        <w:rPr>
          <w:rStyle w:val="FootnoteReference"/>
        </w:rPr>
        <w:footnoteRef/>
      </w:r>
      <w:r w:rsidRPr="006B2038">
        <w:rPr>
          <w:i/>
        </w:rPr>
        <w:t xml:space="preserve"> Id. </w:t>
      </w:r>
      <w:r w:rsidRPr="006B2038">
        <w:t xml:space="preserve">at 1.  </w:t>
      </w:r>
    </w:p>
  </w:footnote>
  <w:footnote w:id="55">
    <w:p w:rsidR="00C859E0" w:rsidRPr="006B2038" w:rsidRDefault="00C859E0" w:rsidP="006B2038">
      <w:pPr>
        <w:pStyle w:val="FootnoteText"/>
      </w:pPr>
      <w:r w:rsidRPr="006B2038">
        <w:rPr>
          <w:rStyle w:val="FootnoteReference"/>
        </w:rPr>
        <w:footnoteRef/>
      </w:r>
      <w:r w:rsidRPr="006B2038">
        <w:rPr>
          <w:i/>
        </w:rPr>
        <w:t xml:space="preserve"> Id. </w:t>
      </w:r>
      <w:r w:rsidRPr="006B2038">
        <w:t>at 4-5.</w:t>
      </w:r>
    </w:p>
  </w:footnote>
  <w:footnote w:id="56">
    <w:p w:rsidR="00C859E0" w:rsidRPr="006B2038" w:rsidRDefault="00C859E0" w:rsidP="006B2038">
      <w:pPr>
        <w:pStyle w:val="FootnoteText"/>
      </w:pPr>
      <w:r w:rsidRPr="006B2038">
        <w:rPr>
          <w:rStyle w:val="FootnoteReference"/>
        </w:rPr>
        <w:footnoteRef/>
      </w:r>
      <w:r w:rsidRPr="006B2038">
        <w:rPr>
          <w:i/>
        </w:rPr>
        <w:t xml:space="preserve"> Id.  </w:t>
      </w:r>
      <w:r w:rsidRPr="006B2038">
        <w:t>Customers included organizations that wanted copies of bills sent to central billing offices as well as itinerant residents that requested that copies of bills be sent to their permanent addresses.</w:t>
      </w:r>
    </w:p>
  </w:footnote>
  <w:footnote w:id="57">
    <w:p w:rsidR="00C859E0" w:rsidRPr="006B2038" w:rsidRDefault="00C859E0" w:rsidP="006B2038">
      <w:pPr>
        <w:pStyle w:val="FootnoteText"/>
      </w:pPr>
      <w:r w:rsidRPr="006B2038">
        <w:rPr>
          <w:rStyle w:val="FootnoteReference"/>
        </w:rPr>
        <w:footnoteRef/>
      </w:r>
      <w:r w:rsidRPr="006B2038">
        <w:rPr>
          <w:i/>
        </w:rPr>
        <w:t xml:space="preserve"> Id. </w:t>
      </w:r>
      <w:r w:rsidRPr="006B2038">
        <w:t>at 7-11.</w:t>
      </w:r>
    </w:p>
  </w:footnote>
  <w:footnote w:id="58">
    <w:p w:rsidR="00C859E0" w:rsidRPr="006B2038" w:rsidRDefault="00C859E0" w:rsidP="006B2038">
      <w:pPr>
        <w:pStyle w:val="FootnoteText"/>
      </w:pPr>
      <w:r w:rsidRPr="006B2038">
        <w:rPr>
          <w:rStyle w:val="FootnoteReference"/>
        </w:rPr>
        <w:footnoteRef/>
      </w:r>
      <w:r w:rsidRPr="006B2038">
        <w:rPr>
          <w:i/>
        </w:rPr>
        <w:t xml:space="preserve"> See id. </w:t>
      </w:r>
      <w:r w:rsidRPr="006B2038">
        <w:t>at 12.</w:t>
      </w:r>
    </w:p>
  </w:footnote>
  <w:footnote w:id="59">
    <w:p w:rsidR="00C859E0" w:rsidRPr="006B2038" w:rsidRDefault="00C859E0" w:rsidP="006B2038">
      <w:pPr>
        <w:pStyle w:val="FootnoteText"/>
      </w:pPr>
      <w:r w:rsidRPr="006B2038">
        <w:rPr>
          <w:rStyle w:val="FootnoteReference"/>
        </w:rPr>
        <w:footnoteRef/>
      </w:r>
      <w:r w:rsidRPr="006B2038">
        <w:t xml:space="preserve"> In light of this action, we dismiss </w:t>
      </w:r>
      <w:r w:rsidR="00905EF5" w:rsidRPr="006B2038">
        <w:t xml:space="preserve">the relevant portion of </w:t>
      </w:r>
      <w:r w:rsidRPr="006B2038">
        <w:t>Cordova’s petition for waiver as moot.</w:t>
      </w:r>
    </w:p>
  </w:footnote>
  <w:footnote w:id="60">
    <w:p w:rsidR="00C859E0" w:rsidRPr="006B2038" w:rsidRDefault="00C859E0" w:rsidP="006B2038">
      <w:pPr>
        <w:pStyle w:val="FootnoteText"/>
      </w:pPr>
      <w:r w:rsidRPr="006B2038">
        <w:rPr>
          <w:rStyle w:val="FootnoteReference"/>
        </w:rPr>
        <w:footnoteRef/>
      </w:r>
      <w:r w:rsidRPr="006B2038">
        <w:t xml:space="preserve"> </w:t>
      </w:r>
      <w:r w:rsidR="00905EF5" w:rsidRPr="006B2038">
        <w:rPr>
          <w:i/>
        </w:rPr>
        <w:t>Id.</w:t>
      </w:r>
      <w:r w:rsidRPr="006B2038">
        <w:t xml:space="preserve"> at 4.  </w:t>
      </w:r>
    </w:p>
  </w:footnote>
  <w:footnote w:id="61">
    <w:p w:rsidR="00C859E0" w:rsidRPr="006B2038" w:rsidRDefault="00C859E0" w:rsidP="006B2038">
      <w:pPr>
        <w:pStyle w:val="FootnoteText"/>
      </w:pPr>
      <w:r w:rsidRPr="006B2038">
        <w:rPr>
          <w:rStyle w:val="FootnoteReference"/>
        </w:rPr>
        <w:footnoteRef/>
      </w:r>
      <w:r w:rsidRPr="006B2038">
        <w:t xml:space="preserve"> FCC Form 525, which is used by CETCs to report line count information, already includes a requirement for an officer of the submitting carrier to certify that the information contained in the report is accurate to the best of his or her knowledge.  Therefore, it should pose only a minimal burden for Cordova to make that certification again in regards to its supplemental submission of local addresses. </w:t>
      </w:r>
    </w:p>
  </w:footnote>
  <w:footnote w:id="62">
    <w:p w:rsidR="00C859E0" w:rsidRPr="006B2038" w:rsidRDefault="00C859E0" w:rsidP="006B2038">
      <w:pPr>
        <w:pStyle w:val="FootnoteText"/>
      </w:pPr>
      <w:r w:rsidRPr="006B2038">
        <w:rPr>
          <w:rStyle w:val="FootnoteReference"/>
        </w:rPr>
        <w:footnoteRef/>
      </w:r>
      <w:r w:rsidRPr="006B2038">
        <w:t xml:space="preserve"> ASTAC Wireless LLC Petition for Waiver of Section 54.307(b) of the Commission’s Rules at 1.</w:t>
      </w:r>
    </w:p>
  </w:footnote>
  <w:footnote w:id="63">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3.</w:t>
      </w:r>
    </w:p>
  </w:footnote>
  <w:footnote w:id="64">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3-4.</w:t>
      </w:r>
    </w:p>
  </w:footnote>
  <w:footnote w:id="65">
    <w:p w:rsidR="00C859E0" w:rsidRPr="006B2038" w:rsidRDefault="00C859E0" w:rsidP="006B2038">
      <w:pPr>
        <w:pStyle w:val="FootnoteText"/>
      </w:pPr>
      <w:r w:rsidRPr="006B2038">
        <w:rPr>
          <w:rStyle w:val="FootnoteReference"/>
        </w:rPr>
        <w:footnoteRef/>
      </w:r>
      <w:r w:rsidRPr="006B2038">
        <w:t xml:space="preserve"> 47 C.F.R. § 1.3.</w:t>
      </w:r>
    </w:p>
  </w:footnote>
  <w:footnote w:id="66">
    <w:p w:rsidR="00C859E0" w:rsidRPr="006B2038" w:rsidRDefault="00C859E0" w:rsidP="006B2038">
      <w:pPr>
        <w:pStyle w:val="FootnoteText"/>
      </w:pPr>
      <w:r w:rsidRPr="006B2038">
        <w:rPr>
          <w:rStyle w:val="FootnoteReference"/>
        </w:rPr>
        <w:footnoteRef/>
      </w:r>
      <w:r w:rsidRPr="006B2038">
        <w:t xml:space="preserve"> </w:t>
      </w:r>
      <w:r w:rsidRPr="006B2038">
        <w:rPr>
          <w:i/>
        </w:rPr>
        <w:t>Northeast Cellular</w:t>
      </w:r>
      <w:r w:rsidRPr="006B2038">
        <w:t>, 897 F.2d at 1166.</w:t>
      </w:r>
    </w:p>
  </w:footnote>
  <w:footnote w:id="67">
    <w:p w:rsidR="00C859E0" w:rsidRPr="006B2038" w:rsidRDefault="00C859E0" w:rsidP="006B2038">
      <w:pPr>
        <w:pStyle w:val="FootnoteText"/>
      </w:pPr>
      <w:r w:rsidRPr="006B2038">
        <w:rPr>
          <w:rStyle w:val="FootnoteReference"/>
        </w:rPr>
        <w:footnoteRef/>
      </w:r>
      <w:r w:rsidRPr="006B2038">
        <w:t xml:space="preserve"> GCI Petition at 1.</w:t>
      </w:r>
    </w:p>
  </w:footnote>
  <w:footnote w:id="68">
    <w:p w:rsidR="00C859E0" w:rsidRPr="006B2038" w:rsidRDefault="00C859E0" w:rsidP="006B2038">
      <w:pPr>
        <w:pStyle w:val="FootnoteText"/>
      </w:pPr>
      <w:r w:rsidRPr="006B2038">
        <w:rPr>
          <w:rStyle w:val="FootnoteReference"/>
        </w:rPr>
        <w:footnoteRef/>
      </w:r>
      <w:r w:rsidRPr="006B2038">
        <w:t xml:space="preserve"> </w:t>
      </w:r>
      <w:r w:rsidRPr="006B2038">
        <w:rPr>
          <w:i/>
        </w:rPr>
        <w:t>Id.</w:t>
      </w:r>
      <w:r w:rsidRPr="006B2038">
        <w:t xml:space="preserve"> at 3-4.</w:t>
      </w:r>
    </w:p>
  </w:footnote>
  <w:footnote w:id="69">
    <w:p w:rsidR="00C859E0" w:rsidRPr="006B2038" w:rsidRDefault="00C859E0" w:rsidP="006B2038">
      <w:pPr>
        <w:pStyle w:val="FootnoteText"/>
      </w:pPr>
      <w:r w:rsidRPr="006B2038">
        <w:rPr>
          <w:rStyle w:val="FootnoteReference"/>
        </w:rPr>
        <w:footnoteRef/>
      </w:r>
      <w:r w:rsidRPr="006B2038">
        <w:t xml:space="preserve"> </w:t>
      </w:r>
      <w:r w:rsidRPr="006B2038">
        <w:rPr>
          <w:i/>
        </w:rPr>
        <w:t>Id.</w:t>
      </w:r>
      <w:r w:rsidRPr="006B2038">
        <w:t xml:space="preserve"> at 5.</w:t>
      </w:r>
    </w:p>
  </w:footnote>
  <w:footnote w:id="70">
    <w:p w:rsidR="00C859E0" w:rsidRPr="006B2038" w:rsidRDefault="00C859E0" w:rsidP="006B2038">
      <w:pPr>
        <w:pStyle w:val="FootnoteText"/>
      </w:pPr>
      <w:r w:rsidRPr="006B2038">
        <w:rPr>
          <w:rStyle w:val="FootnoteReference"/>
        </w:rPr>
        <w:footnoteRef/>
      </w:r>
      <w:r w:rsidRPr="006B2038">
        <w:t xml:space="preserve"> </w:t>
      </w:r>
      <w:r w:rsidRPr="006B2038">
        <w:rPr>
          <w:rStyle w:val="documentbody1"/>
          <w:rFonts w:ascii="Times New Roman" w:hAnsi="Times New Roman"/>
          <w:sz w:val="20"/>
          <w:szCs w:val="20"/>
        </w:rPr>
        <w:t>The Commission may provide a declaratory ruling, either upon petition or on its own motion, to terminate a controversy or remove uncertainty.  47 C.F.R. § 1.2.</w:t>
      </w:r>
    </w:p>
  </w:footnote>
  <w:footnote w:id="71">
    <w:p w:rsidR="00C859E0" w:rsidRPr="006B2038" w:rsidRDefault="00C859E0" w:rsidP="006B2038">
      <w:pPr>
        <w:pStyle w:val="FootnoteText"/>
      </w:pPr>
      <w:r w:rsidRPr="006B2038">
        <w:rPr>
          <w:rStyle w:val="FootnoteReference"/>
        </w:rPr>
        <w:footnoteRef/>
      </w:r>
      <w:r w:rsidRPr="006B2038">
        <w:t xml:space="preserve"> GCI Petition at 3.</w:t>
      </w:r>
    </w:p>
  </w:footnote>
  <w:footnote w:id="72">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p>
  </w:footnote>
  <w:footnote w:id="73">
    <w:p w:rsidR="00C859E0" w:rsidRPr="006B2038" w:rsidRDefault="00C859E0" w:rsidP="006B2038">
      <w:pPr>
        <w:pStyle w:val="FootnoteText"/>
      </w:pPr>
      <w:r w:rsidRPr="006B2038">
        <w:rPr>
          <w:rStyle w:val="FootnoteReference"/>
        </w:rPr>
        <w:footnoteRef/>
      </w:r>
      <w:r w:rsidRPr="006B2038">
        <w:t xml:space="preserve"> </w:t>
      </w:r>
      <w:r w:rsidRPr="006B2038">
        <w:rPr>
          <w:i/>
        </w:rPr>
        <w:t>Id.</w:t>
      </w:r>
      <w:r w:rsidRPr="006B2038">
        <w:t xml:space="preserve"> </w:t>
      </w:r>
    </w:p>
  </w:footnote>
  <w:footnote w:id="74">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p>
  </w:footnote>
  <w:footnote w:id="75">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4.</w:t>
      </w:r>
    </w:p>
  </w:footnote>
  <w:footnote w:id="76">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at 5.</w:t>
      </w:r>
    </w:p>
  </w:footnote>
  <w:footnote w:id="77">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Id. </w:t>
      </w:r>
      <w:r w:rsidRPr="006B2038">
        <w:t xml:space="preserve">at 5. For example, a business customer might receive service from GCI for multiple branch offices it maintains in Alaska.  GCI would send an invoice to each of these branch offices.  However, the business customer could have the bill sent to its central accounting department located in the contiguous United States. </w:t>
      </w:r>
    </w:p>
  </w:footnote>
  <w:footnote w:id="78">
    <w:p w:rsidR="00C859E0" w:rsidRPr="006B2038" w:rsidRDefault="00C859E0" w:rsidP="006B2038">
      <w:pPr>
        <w:pStyle w:val="FootnoteText"/>
      </w:pPr>
      <w:r w:rsidRPr="006B2038">
        <w:rPr>
          <w:rStyle w:val="FootnoteReference"/>
        </w:rPr>
        <w:footnoteRef/>
      </w:r>
      <w:r w:rsidRPr="006B2038">
        <w:t xml:space="preserve"> </w:t>
      </w:r>
      <w:r w:rsidRPr="006B2038">
        <w:rPr>
          <w:i/>
        </w:rPr>
        <w:t>Id.</w:t>
      </w:r>
    </w:p>
  </w:footnote>
  <w:footnote w:id="79">
    <w:p w:rsidR="00C859E0" w:rsidRPr="006B2038" w:rsidRDefault="00C859E0" w:rsidP="006B2038">
      <w:pPr>
        <w:pStyle w:val="FootnoteText"/>
      </w:pPr>
      <w:r w:rsidRPr="006B2038">
        <w:rPr>
          <w:rStyle w:val="FootnoteReference"/>
        </w:rPr>
        <w:footnoteRef/>
      </w:r>
      <w:r w:rsidRPr="006B2038">
        <w:t xml:space="preserve"> </w:t>
      </w:r>
      <w:r w:rsidRPr="006B2038">
        <w:rPr>
          <w:i/>
        </w:rPr>
        <w:t>Id.</w:t>
      </w:r>
    </w:p>
  </w:footnote>
  <w:footnote w:id="80">
    <w:p w:rsidR="00C859E0" w:rsidRPr="006B2038" w:rsidRDefault="00C859E0" w:rsidP="006B2038">
      <w:pPr>
        <w:pStyle w:val="FootnoteText"/>
      </w:pPr>
      <w:r w:rsidRPr="006B2038">
        <w:rPr>
          <w:rStyle w:val="FootnoteReference"/>
        </w:rPr>
        <w:footnoteRef/>
      </w:r>
      <w:r w:rsidRPr="006B2038">
        <w:t xml:space="preserve"> Letter from Cathy Carpino, AT&amp;T, to Marlene H. Dortch, Secretary, Federal Communications Commission, WC Docket No. 05-337 (filed Sept. 23, 2009). </w:t>
      </w:r>
    </w:p>
  </w:footnote>
  <w:footnote w:id="81">
    <w:p w:rsidR="00C859E0" w:rsidRPr="006B2038" w:rsidRDefault="00C859E0" w:rsidP="006B2038">
      <w:pPr>
        <w:pStyle w:val="FootnoteText"/>
      </w:pPr>
      <w:r w:rsidRPr="006B2038">
        <w:rPr>
          <w:rStyle w:val="FootnoteReference"/>
        </w:rPr>
        <w:footnoteRef/>
      </w:r>
      <w:r w:rsidRPr="006B2038">
        <w:t xml:space="preserve"> </w:t>
      </w:r>
      <w:r w:rsidRPr="006B2038">
        <w:rPr>
          <w:i/>
        </w:rPr>
        <w:t>See Joint Board on Universal Service Order</w:t>
      </w:r>
      <w:r w:rsidRPr="006B2038">
        <w:t>, 16 FCC Rcd at 13114, para. 180.</w:t>
      </w:r>
    </w:p>
  </w:footnote>
  <w:footnote w:id="82">
    <w:p w:rsidR="00C859E0" w:rsidRPr="006B2038" w:rsidRDefault="00C859E0" w:rsidP="006B2038">
      <w:pPr>
        <w:pStyle w:val="FootnoteText"/>
      </w:pPr>
      <w:r w:rsidRPr="006B2038">
        <w:rPr>
          <w:rStyle w:val="FootnoteReference"/>
        </w:rPr>
        <w:footnoteRef/>
      </w:r>
      <w:r w:rsidRPr="006B2038">
        <w:t xml:space="preserve"> Smith Bagley filed comments to the Mobi/PCS petition, noting that a USAC audit had taken issue with Smith Bagley’s reporting of customer billing addresses for P.O. boxes, as Smith Bagley used the centroid of the ZIP code to plot such addresses.  </w:t>
      </w:r>
      <w:r w:rsidRPr="006B2038">
        <w:rPr>
          <w:i/>
        </w:rPr>
        <w:t xml:space="preserve">See </w:t>
      </w:r>
      <w:r w:rsidRPr="006B2038">
        <w:t xml:space="preserve">Letter from David A. LaFuria, Smith Bagley, Inc., to Marlene H. Dortch, Secretary, Federal Communications Commission, CC Docket No. 96-45 et al. (filed March 12, 2010).  As Smith Bagley’s situation is substantially identical to that of AT&amp;T, discussed above, its letter does not raise new issues that would require separate consideration in this Order.  </w:t>
      </w:r>
    </w:p>
  </w:footnote>
  <w:footnote w:id="83">
    <w:p w:rsidR="00C859E0" w:rsidRPr="006B2038" w:rsidRDefault="00C859E0" w:rsidP="006B2038">
      <w:pPr>
        <w:pStyle w:val="FootnoteText"/>
      </w:pPr>
      <w:r w:rsidRPr="006B2038">
        <w:rPr>
          <w:rStyle w:val="FootnoteReference"/>
        </w:rPr>
        <w:footnoteRef/>
      </w:r>
      <w:r w:rsidRPr="006B2038">
        <w:t xml:space="preserve"> Mobi PCS/Cricket Petition at 1.</w:t>
      </w:r>
    </w:p>
  </w:footnote>
  <w:footnote w:id="84">
    <w:p w:rsidR="00C859E0" w:rsidRPr="006B2038" w:rsidRDefault="00C859E0" w:rsidP="006B2038">
      <w:pPr>
        <w:pStyle w:val="FootnoteText"/>
      </w:pPr>
      <w:r w:rsidRPr="006B2038">
        <w:rPr>
          <w:rStyle w:val="FootnoteReference"/>
        </w:rPr>
        <w:footnoteRef/>
      </w:r>
      <w:r w:rsidRPr="006B2038">
        <w:t xml:space="preserve"> </w:t>
      </w:r>
      <w:r w:rsidRPr="006B2038">
        <w:rPr>
          <w:i/>
        </w:rPr>
        <w:t xml:space="preserve">See </w:t>
      </w:r>
      <w:r w:rsidRPr="006B2038">
        <w:t>Letter from David A. LaFuria, Smith Bagley, Inc., to Marlene H. Dortch, Secretary, Federal Communications Commission, CC Docket No. 96-45, at 4 (filed Aug. 20, 2009).</w:t>
      </w:r>
    </w:p>
  </w:footnote>
  <w:footnote w:id="85">
    <w:p w:rsidR="00C859E0" w:rsidRPr="006B2038" w:rsidRDefault="00C859E0" w:rsidP="006B2038">
      <w:pPr>
        <w:pStyle w:val="FootnoteText"/>
      </w:pPr>
      <w:r w:rsidRPr="006B2038">
        <w:rPr>
          <w:rStyle w:val="FootnoteReference"/>
        </w:rPr>
        <w:footnoteRef/>
      </w:r>
      <w:r w:rsidRPr="006B2038">
        <w:t xml:space="preserve"> Granted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B4" w:rsidRDefault="00931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E0" w:rsidRDefault="006B2038" w:rsidP="00154ADA">
    <w:pPr>
      <w:pStyle w:val="FirstPageHeader"/>
      <w:tabs>
        <w:tab w:val="clear" w:pos="4320"/>
        <w:tab w:val="clear" w:pos="8640"/>
        <w:tab w:val="center" w:pos="4680"/>
        <w:tab w:val="right" w:pos="9360"/>
      </w:tabs>
      <w:rPr>
        <w:b w:val="0"/>
        <w:u w:val="thick"/>
      </w:rPr>
    </w:pPr>
    <w:r>
      <w:rPr>
        <w:u w:val="single"/>
      </w:rPr>
      <w:tab/>
    </w:r>
    <w:r w:rsidR="00C859E0" w:rsidRPr="00897F5D">
      <w:rPr>
        <w:u w:val="single"/>
      </w:rPr>
      <w:t>Federal Communications Commission</w:t>
    </w:r>
    <w:r w:rsidR="00C859E0" w:rsidRPr="00897F5D">
      <w:rPr>
        <w:u w:val="single"/>
      </w:rPr>
      <w:tab/>
      <w:t xml:space="preserve">  </w:t>
    </w:r>
    <w:r w:rsidR="00C859E0">
      <w:rPr>
        <w:u w:val="single"/>
      </w:rPr>
      <w:t>DA</w:t>
    </w:r>
    <w:r w:rsidR="00C859E0" w:rsidRPr="00897F5D">
      <w:rPr>
        <w:u w:val="single"/>
      </w:rPr>
      <w:t xml:space="preserve"> </w:t>
    </w:r>
    <w:r w:rsidRPr="006B2038">
      <w:rPr>
        <w:u w:val="single"/>
      </w:rPr>
      <w:t>14-1075</w:t>
    </w:r>
  </w:p>
  <w:p w:rsidR="00C859E0" w:rsidRDefault="00C859E0" w:rsidP="00C61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E0" w:rsidRDefault="00C859E0" w:rsidP="00BB74D3">
    <w:pPr>
      <w:pStyle w:val="FirstPageHeader"/>
      <w:tabs>
        <w:tab w:val="clear" w:pos="4320"/>
        <w:tab w:val="clear" w:pos="8640"/>
        <w:tab w:val="center" w:pos="4680"/>
        <w:tab w:val="right" w:pos="9360"/>
      </w:tabs>
      <w:rPr>
        <w:b w:val="0"/>
        <w:u w:val="thick"/>
      </w:rPr>
    </w:pPr>
    <w:r w:rsidRPr="00897F5D">
      <w:rPr>
        <w:u w:val="single"/>
      </w:rPr>
      <w:tab/>
      <w:t>Federal Communications Commission</w:t>
    </w:r>
    <w:r w:rsidRPr="00897F5D">
      <w:rPr>
        <w:u w:val="single"/>
      </w:rPr>
      <w:tab/>
      <w:t xml:space="preserve">  </w:t>
    </w:r>
    <w:r>
      <w:rPr>
        <w:u w:val="single"/>
      </w:rPr>
      <w:t>DA</w:t>
    </w:r>
    <w:r w:rsidRPr="00897F5D">
      <w:rPr>
        <w:u w:val="single"/>
      </w:rPr>
      <w:t xml:space="preserve"> </w:t>
    </w:r>
    <w:r w:rsidR="006B2038" w:rsidRPr="006B2038">
      <w:rPr>
        <w:u w:val="single"/>
      </w:rPr>
      <w:t>14-1075</w:t>
    </w:r>
  </w:p>
  <w:p w:rsidR="00C859E0" w:rsidRDefault="00C859E0" w:rsidP="00C61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CF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37B9"/>
    <w:multiLevelType w:val="singleLevel"/>
    <w:tmpl w:val="CF7A11E0"/>
    <w:lvl w:ilvl="0">
      <w:start w:val="1"/>
      <w:numFmt w:val="decimal"/>
      <w:lvlText w:val="%1."/>
      <w:lvlJc w:val="left"/>
      <w:pPr>
        <w:tabs>
          <w:tab w:val="num" w:pos="1080"/>
        </w:tabs>
        <w:ind w:left="0" w:firstLine="72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1CF40AF"/>
    <w:multiLevelType w:val="hybridMultilevel"/>
    <w:tmpl w:val="79089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F14366"/>
    <w:multiLevelType w:val="hybridMultilevel"/>
    <w:tmpl w:val="B50AA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6D83D08"/>
    <w:multiLevelType w:val="multilevel"/>
    <w:tmpl w:val="21A6660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260"/>
        </w:tabs>
        <w:ind w:left="180" w:firstLine="72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540621"/>
    <w:multiLevelType w:val="singleLevel"/>
    <w:tmpl w:val="0409000F"/>
    <w:lvl w:ilvl="0">
      <w:start w:val="1"/>
      <w:numFmt w:val="decimal"/>
      <w:lvlText w:val="%1."/>
      <w:lvlJc w:val="left"/>
      <w:pPr>
        <w:tabs>
          <w:tab w:val="num" w:pos="360"/>
        </w:tabs>
        <w:ind w:left="360" w:hanging="36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8"/>
  </w:num>
  <w:num w:numId="3">
    <w:abstractNumId w:val="8"/>
  </w:num>
  <w:num w:numId="4">
    <w:abstractNumId w:val="8"/>
  </w:num>
  <w:num w:numId="5">
    <w:abstractNumId w:val="8"/>
  </w:num>
  <w:num w:numId="6">
    <w:abstractNumId w:val="6"/>
  </w:num>
  <w:num w:numId="7">
    <w:abstractNumId w:val="3"/>
  </w:num>
  <w:num w:numId="8">
    <w:abstractNumId w:val="9"/>
  </w:num>
  <w:num w:numId="9">
    <w:abstractNumId w:val="8"/>
  </w:num>
  <w:num w:numId="10">
    <w:abstractNumId w:val="8"/>
  </w:num>
  <w:num w:numId="11">
    <w:abstractNumId w:val="8"/>
  </w:num>
  <w:num w:numId="12">
    <w:abstractNumId w:val="8"/>
  </w:num>
  <w:num w:numId="13">
    <w:abstractNumId w:val="12"/>
  </w:num>
  <w:num w:numId="14">
    <w:abstractNumId w:val="8"/>
  </w:num>
  <w:num w:numId="15">
    <w:abstractNumId w:val="8"/>
  </w:num>
  <w:num w:numId="16">
    <w:abstractNumId w:val="0"/>
  </w:num>
  <w:num w:numId="17">
    <w:abstractNumId w:val="4"/>
  </w:num>
  <w:num w:numId="18">
    <w:abstractNumId w:val="7"/>
  </w:num>
  <w:num w:numId="19">
    <w:abstractNumId w:val="11"/>
  </w:num>
  <w:num w:numId="20">
    <w:abstractNumId w:val="5"/>
  </w:num>
  <w:num w:numId="21">
    <w:abstractNumId w:val="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31"/>
    <w:rsid w:val="00000A11"/>
    <w:rsid w:val="00001C28"/>
    <w:rsid w:val="000030EB"/>
    <w:rsid w:val="00010665"/>
    <w:rsid w:val="00012C8D"/>
    <w:rsid w:val="00016091"/>
    <w:rsid w:val="000160DF"/>
    <w:rsid w:val="0001719A"/>
    <w:rsid w:val="0002119F"/>
    <w:rsid w:val="0002371F"/>
    <w:rsid w:val="00023FF9"/>
    <w:rsid w:val="00024A3A"/>
    <w:rsid w:val="00026D68"/>
    <w:rsid w:val="00030223"/>
    <w:rsid w:val="00036396"/>
    <w:rsid w:val="000370F6"/>
    <w:rsid w:val="000370F7"/>
    <w:rsid w:val="00050993"/>
    <w:rsid w:val="0005275C"/>
    <w:rsid w:val="00055FDE"/>
    <w:rsid w:val="00060FD7"/>
    <w:rsid w:val="00061F5D"/>
    <w:rsid w:val="00063744"/>
    <w:rsid w:val="0006490D"/>
    <w:rsid w:val="000659DF"/>
    <w:rsid w:val="0006780F"/>
    <w:rsid w:val="00071A38"/>
    <w:rsid w:val="00075FDB"/>
    <w:rsid w:val="00082FB0"/>
    <w:rsid w:val="00083292"/>
    <w:rsid w:val="00083F23"/>
    <w:rsid w:val="00085006"/>
    <w:rsid w:val="000851F9"/>
    <w:rsid w:val="000854AA"/>
    <w:rsid w:val="00090BE2"/>
    <w:rsid w:val="000910A8"/>
    <w:rsid w:val="00093FB5"/>
    <w:rsid w:val="0009621D"/>
    <w:rsid w:val="0009691A"/>
    <w:rsid w:val="000A1AEB"/>
    <w:rsid w:val="000A2BF8"/>
    <w:rsid w:val="000A3AB7"/>
    <w:rsid w:val="000A5420"/>
    <w:rsid w:val="000A58D8"/>
    <w:rsid w:val="000A7987"/>
    <w:rsid w:val="000B0090"/>
    <w:rsid w:val="000B06B3"/>
    <w:rsid w:val="000B09B6"/>
    <w:rsid w:val="000B20CE"/>
    <w:rsid w:val="000B5FC7"/>
    <w:rsid w:val="000B69DA"/>
    <w:rsid w:val="000B756F"/>
    <w:rsid w:val="000B7EEE"/>
    <w:rsid w:val="000C1332"/>
    <w:rsid w:val="000C2233"/>
    <w:rsid w:val="000C2982"/>
    <w:rsid w:val="000C5A26"/>
    <w:rsid w:val="000C6BEA"/>
    <w:rsid w:val="000C6C88"/>
    <w:rsid w:val="000D0564"/>
    <w:rsid w:val="000E04BB"/>
    <w:rsid w:val="000E1925"/>
    <w:rsid w:val="000E2E56"/>
    <w:rsid w:val="000E73B1"/>
    <w:rsid w:val="000E75D6"/>
    <w:rsid w:val="000E77F3"/>
    <w:rsid w:val="000F28C4"/>
    <w:rsid w:val="000F38DD"/>
    <w:rsid w:val="000F3FDB"/>
    <w:rsid w:val="000F4FE0"/>
    <w:rsid w:val="000F66B1"/>
    <w:rsid w:val="00102CE4"/>
    <w:rsid w:val="001033F0"/>
    <w:rsid w:val="001041F2"/>
    <w:rsid w:val="001044E2"/>
    <w:rsid w:val="00112D52"/>
    <w:rsid w:val="00123DC3"/>
    <w:rsid w:val="00124824"/>
    <w:rsid w:val="00130493"/>
    <w:rsid w:val="001314E5"/>
    <w:rsid w:val="0013266D"/>
    <w:rsid w:val="001327DD"/>
    <w:rsid w:val="00136F76"/>
    <w:rsid w:val="00140C21"/>
    <w:rsid w:val="00141497"/>
    <w:rsid w:val="0014374E"/>
    <w:rsid w:val="00145A1B"/>
    <w:rsid w:val="00147708"/>
    <w:rsid w:val="00150F76"/>
    <w:rsid w:val="00154ADA"/>
    <w:rsid w:val="00155907"/>
    <w:rsid w:val="00156E16"/>
    <w:rsid w:val="001601DE"/>
    <w:rsid w:val="001645DE"/>
    <w:rsid w:val="0017167E"/>
    <w:rsid w:val="00171AC0"/>
    <w:rsid w:val="0017242D"/>
    <w:rsid w:val="00173EA8"/>
    <w:rsid w:val="0017439C"/>
    <w:rsid w:val="00174D96"/>
    <w:rsid w:val="00176715"/>
    <w:rsid w:val="00183359"/>
    <w:rsid w:val="00184CAD"/>
    <w:rsid w:val="001858E8"/>
    <w:rsid w:val="001866BE"/>
    <w:rsid w:val="00187879"/>
    <w:rsid w:val="00191013"/>
    <w:rsid w:val="00194F2D"/>
    <w:rsid w:val="00197DE9"/>
    <w:rsid w:val="001A320A"/>
    <w:rsid w:val="001A3C00"/>
    <w:rsid w:val="001A3E3C"/>
    <w:rsid w:val="001A4334"/>
    <w:rsid w:val="001A70AD"/>
    <w:rsid w:val="001B18C9"/>
    <w:rsid w:val="001B4310"/>
    <w:rsid w:val="001B43AB"/>
    <w:rsid w:val="001B4818"/>
    <w:rsid w:val="001B53DB"/>
    <w:rsid w:val="001B5728"/>
    <w:rsid w:val="001B57F9"/>
    <w:rsid w:val="001B6FD1"/>
    <w:rsid w:val="001B74E3"/>
    <w:rsid w:val="001C18C6"/>
    <w:rsid w:val="001C1948"/>
    <w:rsid w:val="001C2C30"/>
    <w:rsid w:val="001C5756"/>
    <w:rsid w:val="001C60E9"/>
    <w:rsid w:val="001C7DA2"/>
    <w:rsid w:val="001D5438"/>
    <w:rsid w:val="001D5C50"/>
    <w:rsid w:val="001E2F56"/>
    <w:rsid w:val="001E4907"/>
    <w:rsid w:val="001E59A3"/>
    <w:rsid w:val="001F17B5"/>
    <w:rsid w:val="001F1FCB"/>
    <w:rsid w:val="001F6448"/>
    <w:rsid w:val="0020007B"/>
    <w:rsid w:val="002128C1"/>
    <w:rsid w:val="00213447"/>
    <w:rsid w:val="00216E13"/>
    <w:rsid w:val="002205AF"/>
    <w:rsid w:val="00221C93"/>
    <w:rsid w:val="00222078"/>
    <w:rsid w:val="00222287"/>
    <w:rsid w:val="00223CD9"/>
    <w:rsid w:val="00225D77"/>
    <w:rsid w:val="00225E2D"/>
    <w:rsid w:val="0022678D"/>
    <w:rsid w:val="00230B29"/>
    <w:rsid w:val="0023186B"/>
    <w:rsid w:val="002329B4"/>
    <w:rsid w:val="00233794"/>
    <w:rsid w:val="002343BB"/>
    <w:rsid w:val="00236D23"/>
    <w:rsid w:val="00236EB6"/>
    <w:rsid w:val="002405FC"/>
    <w:rsid w:val="00240F1B"/>
    <w:rsid w:val="002430DD"/>
    <w:rsid w:val="00245568"/>
    <w:rsid w:val="00255203"/>
    <w:rsid w:val="00255548"/>
    <w:rsid w:val="002559C8"/>
    <w:rsid w:val="0025794D"/>
    <w:rsid w:val="00263554"/>
    <w:rsid w:val="00265299"/>
    <w:rsid w:val="00266DFE"/>
    <w:rsid w:val="002702C7"/>
    <w:rsid w:val="00275811"/>
    <w:rsid w:val="00275DD8"/>
    <w:rsid w:val="002813C7"/>
    <w:rsid w:val="00282928"/>
    <w:rsid w:val="00284B55"/>
    <w:rsid w:val="002868B9"/>
    <w:rsid w:val="00287312"/>
    <w:rsid w:val="00287616"/>
    <w:rsid w:val="00287648"/>
    <w:rsid w:val="00293F6E"/>
    <w:rsid w:val="002976F6"/>
    <w:rsid w:val="002A2504"/>
    <w:rsid w:val="002A3948"/>
    <w:rsid w:val="002A3F7A"/>
    <w:rsid w:val="002A6B39"/>
    <w:rsid w:val="002A704C"/>
    <w:rsid w:val="002B006A"/>
    <w:rsid w:val="002B1CBF"/>
    <w:rsid w:val="002B2635"/>
    <w:rsid w:val="002B2740"/>
    <w:rsid w:val="002B42CC"/>
    <w:rsid w:val="002B680F"/>
    <w:rsid w:val="002B73F1"/>
    <w:rsid w:val="002B7890"/>
    <w:rsid w:val="002C15FD"/>
    <w:rsid w:val="002C3884"/>
    <w:rsid w:val="002C42D0"/>
    <w:rsid w:val="002C48D8"/>
    <w:rsid w:val="002C5023"/>
    <w:rsid w:val="002C607D"/>
    <w:rsid w:val="002C6424"/>
    <w:rsid w:val="002D12F8"/>
    <w:rsid w:val="002D209D"/>
    <w:rsid w:val="002D633E"/>
    <w:rsid w:val="002D7B05"/>
    <w:rsid w:val="002E1401"/>
    <w:rsid w:val="002E32A1"/>
    <w:rsid w:val="002E4975"/>
    <w:rsid w:val="002E4ACE"/>
    <w:rsid w:val="002E50A1"/>
    <w:rsid w:val="002E749F"/>
    <w:rsid w:val="003006B0"/>
    <w:rsid w:val="003009C6"/>
    <w:rsid w:val="00300BA6"/>
    <w:rsid w:val="00304D63"/>
    <w:rsid w:val="003053E8"/>
    <w:rsid w:val="00305DCD"/>
    <w:rsid w:val="00307B50"/>
    <w:rsid w:val="00310C67"/>
    <w:rsid w:val="003170EC"/>
    <w:rsid w:val="003214EB"/>
    <w:rsid w:val="00323B4F"/>
    <w:rsid w:val="00324161"/>
    <w:rsid w:val="00324D2F"/>
    <w:rsid w:val="00330FCC"/>
    <w:rsid w:val="00333259"/>
    <w:rsid w:val="0033518F"/>
    <w:rsid w:val="00335285"/>
    <w:rsid w:val="003369F6"/>
    <w:rsid w:val="0034105C"/>
    <w:rsid w:val="003413FA"/>
    <w:rsid w:val="00341C9E"/>
    <w:rsid w:val="00342037"/>
    <w:rsid w:val="0034247E"/>
    <w:rsid w:val="0034377F"/>
    <w:rsid w:val="00344DCD"/>
    <w:rsid w:val="00350A21"/>
    <w:rsid w:val="003515C3"/>
    <w:rsid w:val="00351E48"/>
    <w:rsid w:val="00352058"/>
    <w:rsid w:val="00353B0F"/>
    <w:rsid w:val="00354834"/>
    <w:rsid w:val="003561E4"/>
    <w:rsid w:val="00360189"/>
    <w:rsid w:val="00360427"/>
    <w:rsid w:val="00360C74"/>
    <w:rsid w:val="00361BB1"/>
    <w:rsid w:val="00362ED3"/>
    <w:rsid w:val="00363BAF"/>
    <w:rsid w:val="00370A70"/>
    <w:rsid w:val="0037155D"/>
    <w:rsid w:val="003729C5"/>
    <w:rsid w:val="00374CF1"/>
    <w:rsid w:val="00375A06"/>
    <w:rsid w:val="003837CC"/>
    <w:rsid w:val="00385C1F"/>
    <w:rsid w:val="00386D9D"/>
    <w:rsid w:val="00391FA7"/>
    <w:rsid w:val="003950DE"/>
    <w:rsid w:val="003A2C31"/>
    <w:rsid w:val="003B26B3"/>
    <w:rsid w:val="003B40A9"/>
    <w:rsid w:val="003B7491"/>
    <w:rsid w:val="003C157C"/>
    <w:rsid w:val="003D1C9F"/>
    <w:rsid w:val="003D2518"/>
    <w:rsid w:val="003D453A"/>
    <w:rsid w:val="003E3CA3"/>
    <w:rsid w:val="003E45EF"/>
    <w:rsid w:val="003E7300"/>
    <w:rsid w:val="003F0EAF"/>
    <w:rsid w:val="003F2B35"/>
    <w:rsid w:val="003F4FBB"/>
    <w:rsid w:val="003F66FB"/>
    <w:rsid w:val="00401920"/>
    <w:rsid w:val="004027C3"/>
    <w:rsid w:val="00404081"/>
    <w:rsid w:val="004041CC"/>
    <w:rsid w:val="00404832"/>
    <w:rsid w:val="004062B3"/>
    <w:rsid w:val="00406ABF"/>
    <w:rsid w:val="00406B1B"/>
    <w:rsid w:val="00416EF2"/>
    <w:rsid w:val="00420C2C"/>
    <w:rsid w:val="004224F6"/>
    <w:rsid w:val="0042279C"/>
    <w:rsid w:val="004230FC"/>
    <w:rsid w:val="00425062"/>
    <w:rsid w:val="00430C19"/>
    <w:rsid w:val="00431529"/>
    <w:rsid w:val="004325C5"/>
    <w:rsid w:val="004346C3"/>
    <w:rsid w:val="00435535"/>
    <w:rsid w:val="00436255"/>
    <w:rsid w:val="00445023"/>
    <w:rsid w:val="00445534"/>
    <w:rsid w:val="00446C38"/>
    <w:rsid w:val="00447752"/>
    <w:rsid w:val="00452FF6"/>
    <w:rsid w:val="004545BB"/>
    <w:rsid w:val="004569F4"/>
    <w:rsid w:val="00457928"/>
    <w:rsid w:val="00462E52"/>
    <w:rsid w:val="0046385B"/>
    <w:rsid w:val="004643FF"/>
    <w:rsid w:val="00465B7C"/>
    <w:rsid w:val="00466A77"/>
    <w:rsid w:val="00467888"/>
    <w:rsid w:val="00474EBB"/>
    <w:rsid w:val="0047557B"/>
    <w:rsid w:val="00476B29"/>
    <w:rsid w:val="00477619"/>
    <w:rsid w:val="00481051"/>
    <w:rsid w:val="00482E7F"/>
    <w:rsid w:val="0048379F"/>
    <w:rsid w:val="00493C15"/>
    <w:rsid w:val="00493D56"/>
    <w:rsid w:val="0049637A"/>
    <w:rsid w:val="00497B68"/>
    <w:rsid w:val="004A2C63"/>
    <w:rsid w:val="004A3F5F"/>
    <w:rsid w:val="004A49FB"/>
    <w:rsid w:val="004A69D8"/>
    <w:rsid w:val="004B344E"/>
    <w:rsid w:val="004C3C60"/>
    <w:rsid w:val="004C4558"/>
    <w:rsid w:val="004C59A9"/>
    <w:rsid w:val="004C6421"/>
    <w:rsid w:val="004D2515"/>
    <w:rsid w:val="004D2A18"/>
    <w:rsid w:val="004D3581"/>
    <w:rsid w:val="004D5432"/>
    <w:rsid w:val="004E57ED"/>
    <w:rsid w:val="004F086E"/>
    <w:rsid w:val="004F1FAA"/>
    <w:rsid w:val="004F3ACF"/>
    <w:rsid w:val="004F3FF6"/>
    <w:rsid w:val="004F743B"/>
    <w:rsid w:val="004F7519"/>
    <w:rsid w:val="00500045"/>
    <w:rsid w:val="00501D1E"/>
    <w:rsid w:val="005028FC"/>
    <w:rsid w:val="0050429E"/>
    <w:rsid w:val="00506AB5"/>
    <w:rsid w:val="00506F40"/>
    <w:rsid w:val="0050790A"/>
    <w:rsid w:val="0051230C"/>
    <w:rsid w:val="00513846"/>
    <w:rsid w:val="005201AD"/>
    <w:rsid w:val="00524DA2"/>
    <w:rsid w:val="00526396"/>
    <w:rsid w:val="00533376"/>
    <w:rsid w:val="00535315"/>
    <w:rsid w:val="00537E41"/>
    <w:rsid w:val="00540240"/>
    <w:rsid w:val="00540AF9"/>
    <w:rsid w:val="00541A8D"/>
    <w:rsid w:val="005427BB"/>
    <w:rsid w:val="00542DF5"/>
    <w:rsid w:val="00543391"/>
    <w:rsid w:val="00544FB0"/>
    <w:rsid w:val="005471F3"/>
    <w:rsid w:val="00547676"/>
    <w:rsid w:val="00553749"/>
    <w:rsid w:val="00556B76"/>
    <w:rsid w:val="00557EB7"/>
    <w:rsid w:val="0056079E"/>
    <w:rsid w:val="00563A96"/>
    <w:rsid w:val="00564722"/>
    <w:rsid w:val="00565551"/>
    <w:rsid w:val="005667FD"/>
    <w:rsid w:val="00566B70"/>
    <w:rsid w:val="005671D6"/>
    <w:rsid w:val="005727F4"/>
    <w:rsid w:val="005729DE"/>
    <w:rsid w:val="00572BE7"/>
    <w:rsid w:val="005731C0"/>
    <w:rsid w:val="00573D64"/>
    <w:rsid w:val="0057641D"/>
    <w:rsid w:val="00580122"/>
    <w:rsid w:val="00580EE0"/>
    <w:rsid w:val="0058215E"/>
    <w:rsid w:val="005825C8"/>
    <w:rsid w:val="00583FEA"/>
    <w:rsid w:val="00586053"/>
    <w:rsid w:val="0058617B"/>
    <w:rsid w:val="005867AB"/>
    <w:rsid w:val="00587285"/>
    <w:rsid w:val="00590953"/>
    <w:rsid w:val="0059483E"/>
    <w:rsid w:val="00594CD6"/>
    <w:rsid w:val="005951FE"/>
    <w:rsid w:val="00597B96"/>
    <w:rsid w:val="005A1352"/>
    <w:rsid w:val="005A4F6B"/>
    <w:rsid w:val="005A7EA5"/>
    <w:rsid w:val="005B11DE"/>
    <w:rsid w:val="005B3235"/>
    <w:rsid w:val="005B5EBB"/>
    <w:rsid w:val="005B7A1F"/>
    <w:rsid w:val="005B7B4F"/>
    <w:rsid w:val="005C3430"/>
    <w:rsid w:val="005C6185"/>
    <w:rsid w:val="005C6855"/>
    <w:rsid w:val="005C6CCF"/>
    <w:rsid w:val="005C78A6"/>
    <w:rsid w:val="005D1186"/>
    <w:rsid w:val="005D3115"/>
    <w:rsid w:val="005D5292"/>
    <w:rsid w:val="005D54FC"/>
    <w:rsid w:val="005D61F9"/>
    <w:rsid w:val="005E4AFC"/>
    <w:rsid w:val="005E78F0"/>
    <w:rsid w:val="005E7DCA"/>
    <w:rsid w:val="005F08D8"/>
    <w:rsid w:val="005F15F5"/>
    <w:rsid w:val="005F2690"/>
    <w:rsid w:val="005F3934"/>
    <w:rsid w:val="005F4CF0"/>
    <w:rsid w:val="005F555F"/>
    <w:rsid w:val="00600D9C"/>
    <w:rsid w:val="006018A1"/>
    <w:rsid w:val="0060205A"/>
    <w:rsid w:val="0060279B"/>
    <w:rsid w:val="00603879"/>
    <w:rsid w:val="00603B00"/>
    <w:rsid w:val="00607C6A"/>
    <w:rsid w:val="00612828"/>
    <w:rsid w:val="00613162"/>
    <w:rsid w:val="0061399E"/>
    <w:rsid w:val="00615A91"/>
    <w:rsid w:val="00621B69"/>
    <w:rsid w:val="00625F8B"/>
    <w:rsid w:val="00632210"/>
    <w:rsid w:val="00632CF8"/>
    <w:rsid w:val="0063304E"/>
    <w:rsid w:val="00633A0D"/>
    <w:rsid w:val="0063597B"/>
    <w:rsid w:val="006414EA"/>
    <w:rsid w:val="00643DEF"/>
    <w:rsid w:val="00644EFD"/>
    <w:rsid w:val="00646662"/>
    <w:rsid w:val="00646C16"/>
    <w:rsid w:val="00646C24"/>
    <w:rsid w:val="00652771"/>
    <w:rsid w:val="00653619"/>
    <w:rsid w:val="00655114"/>
    <w:rsid w:val="00656EB3"/>
    <w:rsid w:val="00660B1B"/>
    <w:rsid w:val="006630FB"/>
    <w:rsid w:val="006653B2"/>
    <w:rsid w:val="00666E66"/>
    <w:rsid w:val="006722A7"/>
    <w:rsid w:val="0067454B"/>
    <w:rsid w:val="00676052"/>
    <w:rsid w:val="00676A19"/>
    <w:rsid w:val="006827EE"/>
    <w:rsid w:val="00683EEF"/>
    <w:rsid w:val="00686497"/>
    <w:rsid w:val="00692DBE"/>
    <w:rsid w:val="00694665"/>
    <w:rsid w:val="006A09D8"/>
    <w:rsid w:val="006A70BB"/>
    <w:rsid w:val="006B109B"/>
    <w:rsid w:val="006B2038"/>
    <w:rsid w:val="006B4604"/>
    <w:rsid w:val="006B4A74"/>
    <w:rsid w:val="006B5EE5"/>
    <w:rsid w:val="006B6C08"/>
    <w:rsid w:val="006C18BD"/>
    <w:rsid w:val="006C2239"/>
    <w:rsid w:val="006C256C"/>
    <w:rsid w:val="006C4983"/>
    <w:rsid w:val="006C5ACB"/>
    <w:rsid w:val="006D1094"/>
    <w:rsid w:val="006D1EB3"/>
    <w:rsid w:val="006D34AC"/>
    <w:rsid w:val="006D3C83"/>
    <w:rsid w:val="006D4241"/>
    <w:rsid w:val="006D455F"/>
    <w:rsid w:val="006D4DAD"/>
    <w:rsid w:val="006D7857"/>
    <w:rsid w:val="006E3AC0"/>
    <w:rsid w:val="006E57FA"/>
    <w:rsid w:val="006F07C9"/>
    <w:rsid w:val="006F10D4"/>
    <w:rsid w:val="006F47BD"/>
    <w:rsid w:val="006F5380"/>
    <w:rsid w:val="006F6F20"/>
    <w:rsid w:val="00711644"/>
    <w:rsid w:val="00711D33"/>
    <w:rsid w:val="0071489E"/>
    <w:rsid w:val="00714C32"/>
    <w:rsid w:val="00714E12"/>
    <w:rsid w:val="00730427"/>
    <w:rsid w:val="00731656"/>
    <w:rsid w:val="00731DA7"/>
    <w:rsid w:val="0073633B"/>
    <w:rsid w:val="007406C9"/>
    <w:rsid w:val="00742087"/>
    <w:rsid w:val="0074250D"/>
    <w:rsid w:val="007434C9"/>
    <w:rsid w:val="00747BDA"/>
    <w:rsid w:val="00750457"/>
    <w:rsid w:val="00750851"/>
    <w:rsid w:val="00751B5B"/>
    <w:rsid w:val="00752768"/>
    <w:rsid w:val="00756782"/>
    <w:rsid w:val="00770752"/>
    <w:rsid w:val="00780950"/>
    <w:rsid w:val="00781218"/>
    <w:rsid w:val="007817EA"/>
    <w:rsid w:val="0078231B"/>
    <w:rsid w:val="00784532"/>
    <w:rsid w:val="00784E97"/>
    <w:rsid w:val="007911BB"/>
    <w:rsid w:val="00793B21"/>
    <w:rsid w:val="0079737D"/>
    <w:rsid w:val="007A00EF"/>
    <w:rsid w:val="007A1A5F"/>
    <w:rsid w:val="007B1DA5"/>
    <w:rsid w:val="007B34DD"/>
    <w:rsid w:val="007B4AF5"/>
    <w:rsid w:val="007C4282"/>
    <w:rsid w:val="007C513D"/>
    <w:rsid w:val="007C5461"/>
    <w:rsid w:val="007C7B13"/>
    <w:rsid w:val="007D03DB"/>
    <w:rsid w:val="007D438F"/>
    <w:rsid w:val="007D4C01"/>
    <w:rsid w:val="007D6E27"/>
    <w:rsid w:val="007D7023"/>
    <w:rsid w:val="007D7BE8"/>
    <w:rsid w:val="007E1CE3"/>
    <w:rsid w:val="007E2DE3"/>
    <w:rsid w:val="007F0EBC"/>
    <w:rsid w:val="007F0F79"/>
    <w:rsid w:val="007F78D3"/>
    <w:rsid w:val="007F7E16"/>
    <w:rsid w:val="00801C4C"/>
    <w:rsid w:val="00803601"/>
    <w:rsid w:val="00811609"/>
    <w:rsid w:val="00813C26"/>
    <w:rsid w:val="008160B6"/>
    <w:rsid w:val="008161CC"/>
    <w:rsid w:val="008209D2"/>
    <w:rsid w:val="0082162B"/>
    <w:rsid w:val="00824A7C"/>
    <w:rsid w:val="00827D84"/>
    <w:rsid w:val="00830545"/>
    <w:rsid w:val="00831421"/>
    <w:rsid w:val="00831DFE"/>
    <w:rsid w:val="00834ECB"/>
    <w:rsid w:val="0083561E"/>
    <w:rsid w:val="0083784E"/>
    <w:rsid w:val="00842EE3"/>
    <w:rsid w:val="00846FDC"/>
    <w:rsid w:val="00847542"/>
    <w:rsid w:val="00851318"/>
    <w:rsid w:val="00854940"/>
    <w:rsid w:val="00855741"/>
    <w:rsid w:val="00860C3E"/>
    <w:rsid w:val="00861884"/>
    <w:rsid w:val="00861909"/>
    <w:rsid w:val="008646C1"/>
    <w:rsid w:val="00864E80"/>
    <w:rsid w:val="0086534D"/>
    <w:rsid w:val="00866409"/>
    <w:rsid w:val="00866F9C"/>
    <w:rsid w:val="00870218"/>
    <w:rsid w:val="00870B5F"/>
    <w:rsid w:val="0087102E"/>
    <w:rsid w:val="00871DAD"/>
    <w:rsid w:val="00872371"/>
    <w:rsid w:val="00872971"/>
    <w:rsid w:val="00873B4E"/>
    <w:rsid w:val="0087448D"/>
    <w:rsid w:val="0087758C"/>
    <w:rsid w:val="00877A44"/>
    <w:rsid w:val="00880E35"/>
    <w:rsid w:val="008815C2"/>
    <w:rsid w:val="0088213C"/>
    <w:rsid w:val="008837D6"/>
    <w:rsid w:val="00883DDE"/>
    <w:rsid w:val="00884E6A"/>
    <w:rsid w:val="0088641A"/>
    <w:rsid w:val="0089192C"/>
    <w:rsid w:val="00892207"/>
    <w:rsid w:val="00894D54"/>
    <w:rsid w:val="00895956"/>
    <w:rsid w:val="008979D7"/>
    <w:rsid w:val="00897F5D"/>
    <w:rsid w:val="008A01D4"/>
    <w:rsid w:val="008A0504"/>
    <w:rsid w:val="008A1AD3"/>
    <w:rsid w:val="008A4BC3"/>
    <w:rsid w:val="008A52F5"/>
    <w:rsid w:val="008A5FE9"/>
    <w:rsid w:val="008A75B1"/>
    <w:rsid w:val="008A7C18"/>
    <w:rsid w:val="008B2F58"/>
    <w:rsid w:val="008B4042"/>
    <w:rsid w:val="008B44D0"/>
    <w:rsid w:val="008C0B11"/>
    <w:rsid w:val="008C194C"/>
    <w:rsid w:val="008C6945"/>
    <w:rsid w:val="008D13E3"/>
    <w:rsid w:val="008D1A30"/>
    <w:rsid w:val="008D201E"/>
    <w:rsid w:val="008D6CCC"/>
    <w:rsid w:val="008E7562"/>
    <w:rsid w:val="008E7E65"/>
    <w:rsid w:val="008F2F76"/>
    <w:rsid w:val="008F5643"/>
    <w:rsid w:val="008F57C0"/>
    <w:rsid w:val="008F7E64"/>
    <w:rsid w:val="00902B0F"/>
    <w:rsid w:val="00904692"/>
    <w:rsid w:val="00905EF5"/>
    <w:rsid w:val="009137E3"/>
    <w:rsid w:val="00916053"/>
    <w:rsid w:val="00916634"/>
    <w:rsid w:val="009173DF"/>
    <w:rsid w:val="009258A7"/>
    <w:rsid w:val="00927667"/>
    <w:rsid w:val="009319B4"/>
    <w:rsid w:val="00931AD4"/>
    <w:rsid w:val="0093254D"/>
    <w:rsid w:val="0093523F"/>
    <w:rsid w:val="00935C11"/>
    <w:rsid w:val="009372CC"/>
    <w:rsid w:val="00940F84"/>
    <w:rsid w:val="009460F4"/>
    <w:rsid w:val="009461F0"/>
    <w:rsid w:val="00947733"/>
    <w:rsid w:val="00951290"/>
    <w:rsid w:val="009567A4"/>
    <w:rsid w:val="00957137"/>
    <w:rsid w:val="00960492"/>
    <w:rsid w:val="00962D98"/>
    <w:rsid w:val="00963974"/>
    <w:rsid w:val="0097034C"/>
    <w:rsid w:val="00972EEF"/>
    <w:rsid w:val="00975690"/>
    <w:rsid w:val="00977884"/>
    <w:rsid w:val="009806EB"/>
    <w:rsid w:val="00980740"/>
    <w:rsid w:val="009828DF"/>
    <w:rsid w:val="009840AF"/>
    <w:rsid w:val="00984C41"/>
    <w:rsid w:val="00985DF0"/>
    <w:rsid w:val="00985F59"/>
    <w:rsid w:val="009861D4"/>
    <w:rsid w:val="00987FA8"/>
    <w:rsid w:val="009914BA"/>
    <w:rsid w:val="00993B88"/>
    <w:rsid w:val="009948FD"/>
    <w:rsid w:val="009958B6"/>
    <w:rsid w:val="009966BE"/>
    <w:rsid w:val="009A2045"/>
    <w:rsid w:val="009A7A25"/>
    <w:rsid w:val="009B2F23"/>
    <w:rsid w:val="009B2F87"/>
    <w:rsid w:val="009B3939"/>
    <w:rsid w:val="009B4134"/>
    <w:rsid w:val="009B6332"/>
    <w:rsid w:val="009B78E1"/>
    <w:rsid w:val="009C0506"/>
    <w:rsid w:val="009C1A74"/>
    <w:rsid w:val="009C2883"/>
    <w:rsid w:val="009C51F7"/>
    <w:rsid w:val="009C5B2A"/>
    <w:rsid w:val="009D002A"/>
    <w:rsid w:val="009D0E3F"/>
    <w:rsid w:val="009D4FA3"/>
    <w:rsid w:val="009D5FBE"/>
    <w:rsid w:val="009D69A8"/>
    <w:rsid w:val="009D74D5"/>
    <w:rsid w:val="009D7D6B"/>
    <w:rsid w:val="009E40B3"/>
    <w:rsid w:val="009E44D4"/>
    <w:rsid w:val="009E624D"/>
    <w:rsid w:val="009E69DC"/>
    <w:rsid w:val="009E7B5A"/>
    <w:rsid w:val="009F3387"/>
    <w:rsid w:val="009F3ECE"/>
    <w:rsid w:val="009F4904"/>
    <w:rsid w:val="009F5544"/>
    <w:rsid w:val="00A00185"/>
    <w:rsid w:val="00A01075"/>
    <w:rsid w:val="00A014AC"/>
    <w:rsid w:val="00A025F8"/>
    <w:rsid w:val="00A04CD2"/>
    <w:rsid w:val="00A05057"/>
    <w:rsid w:val="00A05128"/>
    <w:rsid w:val="00A0571F"/>
    <w:rsid w:val="00A10366"/>
    <w:rsid w:val="00A11746"/>
    <w:rsid w:val="00A11D8D"/>
    <w:rsid w:val="00A207F7"/>
    <w:rsid w:val="00A20EA0"/>
    <w:rsid w:val="00A21325"/>
    <w:rsid w:val="00A218AA"/>
    <w:rsid w:val="00A21AD4"/>
    <w:rsid w:val="00A225B1"/>
    <w:rsid w:val="00A23A7A"/>
    <w:rsid w:val="00A24208"/>
    <w:rsid w:val="00A27B2D"/>
    <w:rsid w:val="00A3506A"/>
    <w:rsid w:val="00A363D2"/>
    <w:rsid w:val="00A363F6"/>
    <w:rsid w:val="00A40A1E"/>
    <w:rsid w:val="00A410C6"/>
    <w:rsid w:val="00A44A51"/>
    <w:rsid w:val="00A47F0F"/>
    <w:rsid w:val="00A509A4"/>
    <w:rsid w:val="00A54FEE"/>
    <w:rsid w:val="00A5601D"/>
    <w:rsid w:val="00A5766D"/>
    <w:rsid w:val="00A57EC8"/>
    <w:rsid w:val="00A618C0"/>
    <w:rsid w:val="00A63D2D"/>
    <w:rsid w:val="00A668EA"/>
    <w:rsid w:val="00A67B58"/>
    <w:rsid w:val="00A70181"/>
    <w:rsid w:val="00A72409"/>
    <w:rsid w:val="00A77098"/>
    <w:rsid w:val="00A805E5"/>
    <w:rsid w:val="00A82089"/>
    <w:rsid w:val="00A84C19"/>
    <w:rsid w:val="00A855AB"/>
    <w:rsid w:val="00A875F9"/>
    <w:rsid w:val="00A96096"/>
    <w:rsid w:val="00AA56B0"/>
    <w:rsid w:val="00AA5F5C"/>
    <w:rsid w:val="00AA7A3D"/>
    <w:rsid w:val="00AA7E4B"/>
    <w:rsid w:val="00AB2074"/>
    <w:rsid w:val="00AB2536"/>
    <w:rsid w:val="00AB3564"/>
    <w:rsid w:val="00AB476A"/>
    <w:rsid w:val="00AB69F8"/>
    <w:rsid w:val="00AC0764"/>
    <w:rsid w:val="00AC251C"/>
    <w:rsid w:val="00AD2620"/>
    <w:rsid w:val="00AD39B1"/>
    <w:rsid w:val="00AE3EF9"/>
    <w:rsid w:val="00AE53B4"/>
    <w:rsid w:val="00AF14DA"/>
    <w:rsid w:val="00AF1F15"/>
    <w:rsid w:val="00AF2286"/>
    <w:rsid w:val="00AF29D7"/>
    <w:rsid w:val="00AF4ABB"/>
    <w:rsid w:val="00AF5CD1"/>
    <w:rsid w:val="00B01BEE"/>
    <w:rsid w:val="00B020D6"/>
    <w:rsid w:val="00B14F8F"/>
    <w:rsid w:val="00B15178"/>
    <w:rsid w:val="00B20B2D"/>
    <w:rsid w:val="00B223C6"/>
    <w:rsid w:val="00B2242D"/>
    <w:rsid w:val="00B2471E"/>
    <w:rsid w:val="00B33C43"/>
    <w:rsid w:val="00B37801"/>
    <w:rsid w:val="00B46CC4"/>
    <w:rsid w:val="00B46CD8"/>
    <w:rsid w:val="00B47AEF"/>
    <w:rsid w:val="00B538E7"/>
    <w:rsid w:val="00B53D6B"/>
    <w:rsid w:val="00B5546A"/>
    <w:rsid w:val="00B61968"/>
    <w:rsid w:val="00B61EC0"/>
    <w:rsid w:val="00B61F0B"/>
    <w:rsid w:val="00B6275D"/>
    <w:rsid w:val="00B629BB"/>
    <w:rsid w:val="00B62B0A"/>
    <w:rsid w:val="00B65341"/>
    <w:rsid w:val="00B710AB"/>
    <w:rsid w:val="00B756E8"/>
    <w:rsid w:val="00B8129F"/>
    <w:rsid w:val="00B84490"/>
    <w:rsid w:val="00B84C6D"/>
    <w:rsid w:val="00BA2CE7"/>
    <w:rsid w:val="00BA3C31"/>
    <w:rsid w:val="00BA539B"/>
    <w:rsid w:val="00BA6B6F"/>
    <w:rsid w:val="00BB0CE4"/>
    <w:rsid w:val="00BB101D"/>
    <w:rsid w:val="00BB4399"/>
    <w:rsid w:val="00BB6509"/>
    <w:rsid w:val="00BB74D3"/>
    <w:rsid w:val="00BC0585"/>
    <w:rsid w:val="00BC1297"/>
    <w:rsid w:val="00BC481C"/>
    <w:rsid w:val="00BC561F"/>
    <w:rsid w:val="00BD127E"/>
    <w:rsid w:val="00BD14AA"/>
    <w:rsid w:val="00BD1FA7"/>
    <w:rsid w:val="00BD611D"/>
    <w:rsid w:val="00BE0528"/>
    <w:rsid w:val="00BE1AC7"/>
    <w:rsid w:val="00BE1C51"/>
    <w:rsid w:val="00BE26CE"/>
    <w:rsid w:val="00BE43BF"/>
    <w:rsid w:val="00BE5C10"/>
    <w:rsid w:val="00BE6043"/>
    <w:rsid w:val="00BE60E7"/>
    <w:rsid w:val="00BF19C4"/>
    <w:rsid w:val="00BF538C"/>
    <w:rsid w:val="00C00E9C"/>
    <w:rsid w:val="00C012A3"/>
    <w:rsid w:val="00C01C2D"/>
    <w:rsid w:val="00C06805"/>
    <w:rsid w:val="00C07CE6"/>
    <w:rsid w:val="00C1051C"/>
    <w:rsid w:val="00C111DF"/>
    <w:rsid w:val="00C14D63"/>
    <w:rsid w:val="00C20933"/>
    <w:rsid w:val="00C22122"/>
    <w:rsid w:val="00C223B2"/>
    <w:rsid w:val="00C227B2"/>
    <w:rsid w:val="00C22B18"/>
    <w:rsid w:val="00C23CA9"/>
    <w:rsid w:val="00C2494F"/>
    <w:rsid w:val="00C31260"/>
    <w:rsid w:val="00C3228D"/>
    <w:rsid w:val="00C35484"/>
    <w:rsid w:val="00C356CF"/>
    <w:rsid w:val="00C36853"/>
    <w:rsid w:val="00C4105A"/>
    <w:rsid w:val="00C466E8"/>
    <w:rsid w:val="00C51BF7"/>
    <w:rsid w:val="00C51FD0"/>
    <w:rsid w:val="00C52017"/>
    <w:rsid w:val="00C52661"/>
    <w:rsid w:val="00C53CB1"/>
    <w:rsid w:val="00C54D16"/>
    <w:rsid w:val="00C54D26"/>
    <w:rsid w:val="00C55709"/>
    <w:rsid w:val="00C55D1F"/>
    <w:rsid w:val="00C60959"/>
    <w:rsid w:val="00C61850"/>
    <w:rsid w:val="00C61DA0"/>
    <w:rsid w:val="00C65B13"/>
    <w:rsid w:val="00C65C07"/>
    <w:rsid w:val="00C6716C"/>
    <w:rsid w:val="00C67684"/>
    <w:rsid w:val="00C72BF3"/>
    <w:rsid w:val="00C738AF"/>
    <w:rsid w:val="00C75DC0"/>
    <w:rsid w:val="00C77879"/>
    <w:rsid w:val="00C801D7"/>
    <w:rsid w:val="00C803F0"/>
    <w:rsid w:val="00C859E0"/>
    <w:rsid w:val="00C864E7"/>
    <w:rsid w:val="00C87F84"/>
    <w:rsid w:val="00C910AB"/>
    <w:rsid w:val="00C96031"/>
    <w:rsid w:val="00CA378F"/>
    <w:rsid w:val="00CA4655"/>
    <w:rsid w:val="00CA61D4"/>
    <w:rsid w:val="00CB041D"/>
    <w:rsid w:val="00CB143A"/>
    <w:rsid w:val="00CB42AE"/>
    <w:rsid w:val="00CC054B"/>
    <w:rsid w:val="00CC0A2E"/>
    <w:rsid w:val="00CC1C83"/>
    <w:rsid w:val="00CC3C8D"/>
    <w:rsid w:val="00CC5754"/>
    <w:rsid w:val="00CD07B5"/>
    <w:rsid w:val="00CD258D"/>
    <w:rsid w:val="00CD29E4"/>
    <w:rsid w:val="00CD2A6E"/>
    <w:rsid w:val="00CD2ECA"/>
    <w:rsid w:val="00CE1198"/>
    <w:rsid w:val="00CE1744"/>
    <w:rsid w:val="00CE40D7"/>
    <w:rsid w:val="00CF0D24"/>
    <w:rsid w:val="00CF20F7"/>
    <w:rsid w:val="00CF5EB9"/>
    <w:rsid w:val="00D010D3"/>
    <w:rsid w:val="00D01BD2"/>
    <w:rsid w:val="00D067A1"/>
    <w:rsid w:val="00D147D4"/>
    <w:rsid w:val="00D1491D"/>
    <w:rsid w:val="00D20239"/>
    <w:rsid w:val="00D2180D"/>
    <w:rsid w:val="00D21DC6"/>
    <w:rsid w:val="00D22507"/>
    <w:rsid w:val="00D24047"/>
    <w:rsid w:val="00D25DBA"/>
    <w:rsid w:val="00D26E33"/>
    <w:rsid w:val="00D356D5"/>
    <w:rsid w:val="00D3599C"/>
    <w:rsid w:val="00D36B0A"/>
    <w:rsid w:val="00D372CD"/>
    <w:rsid w:val="00D40364"/>
    <w:rsid w:val="00D452FB"/>
    <w:rsid w:val="00D45D01"/>
    <w:rsid w:val="00D45F51"/>
    <w:rsid w:val="00D4623B"/>
    <w:rsid w:val="00D47AA7"/>
    <w:rsid w:val="00D50FD9"/>
    <w:rsid w:val="00D5327C"/>
    <w:rsid w:val="00D54574"/>
    <w:rsid w:val="00D561F7"/>
    <w:rsid w:val="00D576F5"/>
    <w:rsid w:val="00D5776A"/>
    <w:rsid w:val="00D60818"/>
    <w:rsid w:val="00D63436"/>
    <w:rsid w:val="00D6420F"/>
    <w:rsid w:val="00D642C4"/>
    <w:rsid w:val="00D70906"/>
    <w:rsid w:val="00D7151D"/>
    <w:rsid w:val="00D71E89"/>
    <w:rsid w:val="00D736B3"/>
    <w:rsid w:val="00D774E8"/>
    <w:rsid w:val="00D809A0"/>
    <w:rsid w:val="00D809AA"/>
    <w:rsid w:val="00D81A55"/>
    <w:rsid w:val="00D84A28"/>
    <w:rsid w:val="00D87571"/>
    <w:rsid w:val="00D87605"/>
    <w:rsid w:val="00D907E7"/>
    <w:rsid w:val="00D90E2C"/>
    <w:rsid w:val="00D90E59"/>
    <w:rsid w:val="00D91E78"/>
    <w:rsid w:val="00D92A07"/>
    <w:rsid w:val="00D9654D"/>
    <w:rsid w:val="00DA48C5"/>
    <w:rsid w:val="00DA78BE"/>
    <w:rsid w:val="00DB5EEB"/>
    <w:rsid w:val="00DB6396"/>
    <w:rsid w:val="00DB6E33"/>
    <w:rsid w:val="00DC1FC4"/>
    <w:rsid w:val="00DC2B35"/>
    <w:rsid w:val="00DC2B59"/>
    <w:rsid w:val="00DC3CFA"/>
    <w:rsid w:val="00DD2CCA"/>
    <w:rsid w:val="00DD58DD"/>
    <w:rsid w:val="00DD6FF0"/>
    <w:rsid w:val="00DD7E77"/>
    <w:rsid w:val="00DE259C"/>
    <w:rsid w:val="00DE2C32"/>
    <w:rsid w:val="00DE46AA"/>
    <w:rsid w:val="00DF060E"/>
    <w:rsid w:val="00DF2557"/>
    <w:rsid w:val="00DF3831"/>
    <w:rsid w:val="00DF4C33"/>
    <w:rsid w:val="00DF73E3"/>
    <w:rsid w:val="00E0112B"/>
    <w:rsid w:val="00E013C8"/>
    <w:rsid w:val="00E02AB3"/>
    <w:rsid w:val="00E04490"/>
    <w:rsid w:val="00E04DA7"/>
    <w:rsid w:val="00E05519"/>
    <w:rsid w:val="00E12127"/>
    <w:rsid w:val="00E123D8"/>
    <w:rsid w:val="00E13BA6"/>
    <w:rsid w:val="00E15FAC"/>
    <w:rsid w:val="00E164DE"/>
    <w:rsid w:val="00E16824"/>
    <w:rsid w:val="00E16C84"/>
    <w:rsid w:val="00E21DC5"/>
    <w:rsid w:val="00E23B0A"/>
    <w:rsid w:val="00E23F1C"/>
    <w:rsid w:val="00E27620"/>
    <w:rsid w:val="00E3150C"/>
    <w:rsid w:val="00E335AB"/>
    <w:rsid w:val="00E33AD7"/>
    <w:rsid w:val="00E33F02"/>
    <w:rsid w:val="00E356A0"/>
    <w:rsid w:val="00E37BBA"/>
    <w:rsid w:val="00E42103"/>
    <w:rsid w:val="00E4276A"/>
    <w:rsid w:val="00E471DB"/>
    <w:rsid w:val="00E474CE"/>
    <w:rsid w:val="00E47759"/>
    <w:rsid w:val="00E47C65"/>
    <w:rsid w:val="00E50653"/>
    <w:rsid w:val="00E50A72"/>
    <w:rsid w:val="00E52D96"/>
    <w:rsid w:val="00E537F2"/>
    <w:rsid w:val="00E61F6E"/>
    <w:rsid w:val="00E70621"/>
    <w:rsid w:val="00E76C8B"/>
    <w:rsid w:val="00E76E45"/>
    <w:rsid w:val="00E87B10"/>
    <w:rsid w:val="00E87F28"/>
    <w:rsid w:val="00E9059C"/>
    <w:rsid w:val="00E92434"/>
    <w:rsid w:val="00E9569D"/>
    <w:rsid w:val="00E974CF"/>
    <w:rsid w:val="00E97F3D"/>
    <w:rsid w:val="00EA1610"/>
    <w:rsid w:val="00EA1887"/>
    <w:rsid w:val="00EA310D"/>
    <w:rsid w:val="00EA5F28"/>
    <w:rsid w:val="00EB04A6"/>
    <w:rsid w:val="00EB0549"/>
    <w:rsid w:val="00EB0D39"/>
    <w:rsid w:val="00EB14A2"/>
    <w:rsid w:val="00EB1F3C"/>
    <w:rsid w:val="00EB2616"/>
    <w:rsid w:val="00EB41FF"/>
    <w:rsid w:val="00EC2095"/>
    <w:rsid w:val="00EC2D58"/>
    <w:rsid w:val="00EC4177"/>
    <w:rsid w:val="00ED24E9"/>
    <w:rsid w:val="00ED45D0"/>
    <w:rsid w:val="00ED5E65"/>
    <w:rsid w:val="00ED609B"/>
    <w:rsid w:val="00ED68EB"/>
    <w:rsid w:val="00ED696C"/>
    <w:rsid w:val="00EE453D"/>
    <w:rsid w:val="00EE467B"/>
    <w:rsid w:val="00EF14BB"/>
    <w:rsid w:val="00EF2000"/>
    <w:rsid w:val="00EF2182"/>
    <w:rsid w:val="00EF2E6B"/>
    <w:rsid w:val="00EF37B5"/>
    <w:rsid w:val="00EF3C40"/>
    <w:rsid w:val="00EF45D7"/>
    <w:rsid w:val="00F00237"/>
    <w:rsid w:val="00F01A1A"/>
    <w:rsid w:val="00F05372"/>
    <w:rsid w:val="00F0643A"/>
    <w:rsid w:val="00F07A56"/>
    <w:rsid w:val="00F07C72"/>
    <w:rsid w:val="00F11A5C"/>
    <w:rsid w:val="00F1349E"/>
    <w:rsid w:val="00F14241"/>
    <w:rsid w:val="00F16A70"/>
    <w:rsid w:val="00F17247"/>
    <w:rsid w:val="00F21080"/>
    <w:rsid w:val="00F256D9"/>
    <w:rsid w:val="00F26F5B"/>
    <w:rsid w:val="00F27B79"/>
    <w:rsid w:val="00F31EAF"/>
    <w:rsid w:val="00F323BC"/>
    <w:rsid w:val="00F32734"/>
    <w:rsid w:val="00F33DCF"/>
    <w:rsid w:val="00F366D7"/>
    <w:rsid w:val="00F37E9E"/>
    <w:rsid w:val="00F40206"/>
    <w:rsid w:val="00F4136B"/>
    <w:rsid w:val="00F42556"/>
    <w:rsid w:val="00F43297"/>
    <w:rsid w:val="00F433EA"/>
    <w:rsid w:val="00F43DC2"/>
    <w:rsid w:val="00F505A5"/>
    <w:rsid w:val="00F54E65"/>
    <w:rsid w:val="00F60280"/>
    <w:rsid w:val="00F62704"/>
    <w:rsid w:val="00F67BC2"/>
    <w:rsid w:val="00F75ECC"/>
    <w:rsid w:val="00F774F5"/>
    <w:rsid w:val="00F83AD0"/>
    <w:rsid w:val="00F8495C"/>
    <w:rsid w:val="00F93F3D"/>
    <w:rsid w:val="00F9465A"/>
    <w:rsid w:val="00FA0D8E"/>
    <w:rsid w:val="00FA0E83"/>
    <w:rsid w:val="00FA18E0"/>
    <w:rsid w:val="00FA35CA"/>
    <w:rsid w:val="00FB437B"/>
    <w:rsid w:val="00FB5253"/>
    <w:rsid w:val="00FC1E74"/>
    <w:rsid w:val="00FC2C70"/>
    <w:rsid w:val="00FC3A05"/>
    <w:rsid w:val="00FC499D"/>
    <w:rsid w:val="00FC502A"/>
    <w:rsid w:val="00FD14FE"/>
    <w:rsid w:val="00FD17DE"/>
    <w:rsid w:val="00FD34BD"/>
    <w:rsid w:val="00FD6264"/>
    <w:rsid w:val="00FD7131"/>
    <w:rsid w:val="00FE0E8A"/>
    <w:rsid w:val="00FE4506"/>
    <w:rsid w:val="00FE46B7"/>
    <w:rsid w:val="00FE4A22"/>
    <w:rsid w:val="00FF102E"/>
    <w:rsid w:val="00FF1505"/>
    <w:rsid w:val="00FF2FEA"/>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C3"/>
    <w:pPr>
      <w:widowControl w:val="0"/>
    </w:pPr>
    <w:rPr>
      <w:snapToGrid w:val="0"/>
      <w:kern w:val="28"/>
      <w:sz w:val="22"/>
    </w:rPr>
  </w:style>
  <w:style w:type="paragraph" w:styleId="Heading1">
    <w:name w:val="heading 1"/>
    <w:basedOn w:val="Normal"/>
    <w:next w:val="ParaNum"/>
    <w:qFormat/>
    <w:rsid w:val="004346C3"/>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46C3"/>
    <w:pPr>
      <w:keepNext/>
      <w:numPr>
        <w:ilvl w:val="1"/>
        <w:numId w:val="18"/>
      </w:numPr>
      <w:spacing w:after="120"/>
      <w:outlineLvl w:val="1"/>
    </w:pPr>
    <w:rPr>
      <w:b/>
    </w:rPr>
  </w:style>
  <w:style w:type="paragraph" w:styleId="Heading3">
    <w:name w:val="heading 3"/>
    <w:basedOn w:val="Normal"/>
    <w:next w:val="ParaNum"/>
    <w:qFormat/>
    <w:rsid w:val="004346C3"/>
    <w:pPr>
      <w:keepNext/>
      <w:numPr>
        <w:ilvl w:val="2"/>
        <w:numId w:val="18"/>
      </w:numPr>
      <w:tabs>
        <w:tab w:val="left" w:pos="2160"/>
      </w:tabs>
      <w:spacing w:after="120"/>
      <w:outlineLvl w:val="2"/>
    </w:pPr>
    <w:rPr>
      <w:b/>
    </w:rPr>
  </w:style>
  <w:style w:type="paragraph" w:styleId="Heading4">
    <w:name w:val="heading 4"/>
    <w:basedOn w:val="Normal"/>
    <w:next w:val="ParaNum"/>
    <w:qFormat/>
    <w:rsid w:val="004346C3"/>
    <w:pPr>
      <w:keepNext/>
      <w:numPr>
        <w:ilvl w:val="3"/>
        <w:numId w:val="18"/>
      </w:numPr>
      <w:tabs>
        <w:tab w:val="left" w:pos="2880"/>
      </w:tabs>
      <w:spacing w:after="120"/>
      <w:outlineLvl w:val="3"/>
    </w:pPr>
    <w:rPr>
      <w:b/>
    </w:rPr>
  </w:style>
  <w:style w:type="paragraph" w:styleId="Heading5">
    <w:name w:val="heading 5"/>
    <w:basedOn w:val="Normal"/>
    <w:next w:val="ParaNum"/>
    <w:qFormat/>
    <w:rsid w:val="004346C3"/>
    <w:pPr>
      <w:keepNext/>
      <w:numPr>
        <w:ilvl w:val="4"/>
        <w:numId w:val="18"/>
      </w:numPr>
      <w:tabs>
        <w:tab w:val="left" w:pos="3600"/>
      </w:tabs>
      <w:suppressAutoHyphens/>
      <w:spacing w:after="120"/>
      <w:outlineLvl w:val="4"/>
    </w:pPr>
    <w:rPr>
      <w:b/>
    </w:rPr>
  </w:style>
  <w:style w:type="paragraph" w:styleId="Heading6">
    <w:name w:val="heading 6"/>
    <w:basedOn w:val="Normal"/>
    <w:next w:val="ParaNum"/>
    <w:qFormat/>
    <w:rsid w:val="004346C3"/>
    <w:pPr>
      <w:numPr>
        <w:ilvl w:val="5"/>
        <w:numId w:val="18"/>
      </w:numPr>
      <w:tabs>
        <w:tab w:val="left" w:pos="4320"/>
      </w:tabs>
      <w:spacing w:after="120"/>
      <w:outlineLvl w:val="5"/>
    </w:pPr>
    <w:rPr>
      <w:b/>
    </w:rPr>
  </w:style>
  <w:style w:type="paragraph" w:styleId="Heading7">
    <w:name w:val="heading 7"/>
    <w:basedOn w:val="Normal"/>
    <w:next w:val="ParaNum"/>
    <w:qFormat/>
    <w:rsid w:val="004346C3"/>
    <w:pPr>
      <w:numPr>
        <w:ilvl w:val="6"/>
        <w:numId w:val="18"/>
      </w:numPr>
      <w:tabs>
        <w:tab w:val="left" w:pos="5040"/>
      </w:tabs>
      <w:spacing w:after="120"/>
      <w:ind w:left="5040" w:hanging="720"/>
      <w:outlineLvl w:val="6"/>
    </w:pPr>
    <w:rPr>
      <w:b/>
    </w:rPr>
  </w:style>
  <w:style w:type="paragraph" w:styleId="Heading8">
    <w:name w:val="heading 8"/>
    <w:basedOn w:val="Normal"/>
    <w:next w:val="ParaNum"/>
    <w:qFormat/>
    <w:rsid w:val="004346C3"/>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qFormat/>
    <w:rsid w:val="004346C3"/>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4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6C3"/>
  </w:style>
  <w:style w:type="paragraph" w:styleId="Header">
    <w:name w:val="header"/>
    <w:basedOn w:val="Normal"/>
    <w:autoRedefine/>
    <w:rsid w:val="004346C3"/>
    <w:pPr>
      <w:tabs>
        <w:tab w:val="center" w:pos="4680"/>
        <w:tab w:val="right" w:pos="9360"/>
      </w:tabs>
    </w:pPr>
    <w:rPr>
      <w:b/>
    </w:rPr>
  </w:style>
  <w:style w:type="paragraph" w:styleId="Footer">
    <w:name w:val="footer"/>
    <w:basedOn w:val="Normal"/>
    <w:rsid w:val="004346C3"/>
    <w:pPr>
      <w:tabs>
        <w:tab w:val="center" w:pos="4320"/>
        <w:tab w:val="right" w:pos="8640"/>
      </w:tabs>
    </w:pPr>
  </w:style>
  <w:style w:type="character" w:styleId="PageNumber">
    <w:name w:val="page number"/>
    <w:basedOn w:val="DefaultParagraphFont"/>
    <w:rsid w:val="004346C3"/>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paragraph" w:customStyle="1" w:styleId="Numberedparagraphs">
    <w:name w:val="Numbered paragraphs"/>
    <w:basedOn w:val="Normal"/>
    <w:pPr>
      <w:numPr>
        <w:ilvl w:val="2"/>
        <w:numId w:val="4"/>
      </w:numPr>
      <w:tabs>
        <w:tab w:val="left" w:pos="1440"/>
      </w:tabs>
      <w:spacing w:after="220"/>
    </w:pPr>
    <w:rPr>
      <w:sz w:val="24"/>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4346C3"/>
    <w:pPr>
      <w:spacing w:after="120"/>
    </w:pPr>
  </w:style>
  <w:style w:type="character" w:styleId="FootnoteReference">
    <w:name w:val="footnote reference"/>
    <w:rsid w:val="004346C3"/>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uiPriority w:val="99"/>
    <w:rPr>
      <w:rFonts w:ascii="Verdana" w:hAnsi="Verdana" w:hint="default"/>
      <w:sz w:val="19"/>
      <w:szCs w:val="19"/>
    </w:rPr>
  </w:style>
  <w:style w:type="character" w:customStyle="1" w:styleId="searchterm1">
    <w:name w:val="searchterm1"/>
    <w:rPr>
      <w:b/>
      <w:bCs/>
      <w:shd w:val="clear" w:color="auto" w:fill="FFFF00"/>
    </w:rPr>
  </w:style>
  <w:style w:type="character" w:styleId="Hyperlink">
    <w:name w:val="Hyperlink"/>
    <w:rsid w:val="004346C3"/>
    <w:rPr>
      <w:color w:val="0000FF"/>
      <w:u w:val="single"/>
    </w:rPr>
  </w:style>
  <w:style w:type="character" w:customStyle="1" w:styleId="StyleNumberedparagraphs11ptChar">
    <w:name w:val="Style Numbered paragraphs + 11 pt Char"/>
    <w:rsid w:val="00A77098"/>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156E16"/>
  </w:style>
  <w:style w:type="character" w:customStyle="1" w:styleId="StyleFootnoteReference10pt">
    <w:name w:val="Style Footnote Reference + 10 pt"/>
    <w:rsid w:val="00FD34BD"/>
    <w:rPr>
      <w:rFonts w:ascii="Times New Roman" w:hAnsi="Times New Roman"/>
      <w:sz w:val="22"/>
      <w:vertAlign w:val="superscript"/>
    </w:rPr>
  </w:style>
  <w:style w:type="character" w:customStyle="1" w:styleId="FootnoteTextChar2Char1Char">
    <w:name w:val="Footnote Text Char2 Char1 Char"/>
    <w:aliases w:val="Footnote Text Char1 Char Char Char2,Footnote Text Char2 Char1 Char Char Char Char,Footnote Text Char1 Char Char Char2 Char Char Char,Footnote Text Char2 Char1 Char Char1,Footnote Text Char1 Char Char Char2 Char1"/>
    <w:rsid w:val="00BB0CE4"/>
    <w:rPr>
      <w:sz w:val="24"/>
      <w:lang w:val="en-US" w:eastAsia="en-US" w:bidi="ar-SA"/>
    </w:rPr>
  </w:style>
  <w:style w:type="table" w:styleId="TableGrid">
    <w:name w:val="Table Grid"/>
    <w:basedOn w:val="TableNormal"/>
    <w:rsid w:val="0031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CharCharCharCharChar">
    <w:name w:val="Footnote Text Char1 Char Char Char Char Char Char"/>
    <w:rPr>
      <w:lang w:val="en-US" w:eastAsia="en-US" w:bidi="ar-SA"/>
    </w:rPr>
  </w:style>
  <w:style w:type="character" w:styleId="Strong">
    <w:name w:val="Strong"/>
    <w:qFormat/>
    <w:rsid w:val="00D63436"/>
    <w:rPr>
      <w:b/>
      <w:bCs/>
    </w:rPr>
  </w:style>
  <w:style w:type="paragraph" w:styleId="NormalWeb">
    <w:name w:val="Normal (Web)"/>
    <w:basedOn w:val="Normal"/>
    <w:rsid w:val="00D63436"/>
    <w:pPr>
      <w:spacing w:after="150"/>
    </w:pPr>
    <w:rPr>
      <w:szCs w:val="24"/>
    </w:rPr>
  </w:style>
  <w:style w:type="character" w:styleId="FollowedHyperlink">
    <w:name w:val="FollowedHyperlink"/>
    <w:rsid w:val="00F05372"/>
    <w:rPr>
      <w:color w:val="800080"/>
      <w:u w:val="single"/>
    </w:rPr>
  </w:style>
  <w:style w:type="character" w:styleId="CommentReference">
    <w:name w:val="annotation reference"/>
    <w:semiHidden/>
    <w:rsid w:val="00CF5EB9"/>
    <w:rPr>
      <w:sz w:val="16"/>
      <w:szCs w:val="16"/>
    </w:rPr>
  </w:style>
  <w:style w:type="paragraph" w:styleId="CommentText">
    <w:name w:val="annotation text"/>
    <w:basedOn w:val="Normal"/>
    <w:semiHidden/>
    <w:rsid w:val="00CF5EB9"/>
    <w:rPr>
      <w:sz w:val="20"/>
    </w:rPr>
  </w:style>
  <w:style w:type="paragraph" w:styleId="CommentSubject">
    <w:name w:val="annotation subject"/>
    <w:basedOn w:val="CommentText"/>
    <w:next w:val="CommentText"/>
    <w:semiHidden/>
    <w:rsid w:val="00CF5EB9"/>
    <w:rPr>
      <w:b/>
      <w:bCs/>
    </w:rPr>
  </w:style>
  <w:style w:type="paragraph" w:customStyle="1" w:styleId="ParaNum">
    <w:name w:val="ParaNum"/>
    <w:basedOn w:val="Normal"/>
    <w:rsid w:val="004346C3"/>
    <w:pPr>
      <w:numPr>
        <w:numId w:val="13"/>
      </w:numPr>
      <w:tabs>
        <w:tab w:val="clear" w:pos="1080"/>
        <w:tab w:val="num" w:pos="1440"/>
      </w:tabs>
      <w:spacing w:after="120"/>
    </w:pPr>
  </w:style>
  <w:style w:type="character" w:styleId="Emphasis">
    <w:name w:val="Emphasis"/>
    <w:uiPriority w:val="99"/>
    <w:qFormat/>
    <w:rsid w:val="00984C41"/>
    <w:rPr>
      <w:rFonts w:cs="Times New Roman"/>
      <w:i/>
    </w:rPr>
  </w:style>
  <w:style w:type="paragraph" w:customStyle="1" w:styleId="ColorfulShading-Accent11">
    <w:name w:val="Colorful Shading - Accent 11"/>
    <w:hidden/>
    <w:uiPriority w:val="99"/>
    <w:semiHidden/>
    <w:rsid w:val="00BD127E"/>
    <w:rPr>
      <w:sz w:val="24"/>
    </w:rPr>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uiPriority w:val="99"/>
    <w:locked/>
    <w:rsid w:val="00493C15"/>
    <w:rPr>
      <w:lang w:val="en-US" w:eastAsia="en-US"/>
    </w:rPr>
  </w:style>
  <w:style w:type="paragraph" w:styleId="EndnoteText">
    <w:name w:val="endnote text"/>
    <w:basedOn w:val="Normal"/>
    <w:link w:val="EndnoteTextChar"/>
    <w:rsid w:val="004346C3"/>
    <w:rPr>
      <w:sz w:val="20"/>
    </w:rPr>
  </w:style>
  <w:style w:type="character" w:customStyle="1" w:styleId="EndnoteTextChar">
    <w:name w:val="Endnote Text Char"/>
    <w:link w:val="EndnoteText"/>
    <w:rsid w:val="00AF5CD1"/>
    <w:rPr>
      <w:snapToGrid w:val="0"/>
      <w:kern w:val="28"/>
    </w:rPr>
  </w:style>
  <w:style w:type="character" w:styleId="EndnoteReference">
    <w:name w:val="endnote reference"/>
    <w:rsid w:val="004346C3"/>
    <w:rPr>
      <w:vertAlign w:val="superscript"/>
    </w:rPr>
  </w:style>
  <w:style w:type="paragraph" w:styleId="TOC1">
    <w:name w:val="toc 1"/>
    <w:basedOn w:val="Normal"/>
    <w:next w:val="Normal"/>
    <w:rsid w:val="004346C3"/>
    <w:pPr>
      <w:tabs>
        <w:tab w:val="left" w:pos="360"/>
        <w:tab w:val="right" w:leader="dot" w:pos="9360"/>
      </w:tabs>
      <w:suppressAutoHyphens/>
      <w:ind w:left="360" w:right="720" w:hanging="360"/>
    </w:pPr>
    <w:rPr>
      <w:caps/>
      <w:noProof/>
    </w:rPr>
  </w:style>
  <w:style w:type="paragraph" w:styleId="TOC2">
    <w:name w:val="toc 2"/>
    <w:basedOn w:val="Normal"/>
    <w:next w:val="Normal"/>
    <w:rsid w:val="004346C3"/>
    <w:pPr>
      <w:tabs>
        <w:tab w:val="left" w:pos="720"/>
        <w:tab w:val="right" w:leader="dot" w:pos="9360"/>
      </w:tabs>
      <w:suppressAutoHyphens/>
      <w:ind w:left="720" w:right="720" w:hanging="360"/>
    </w:pPr>
    <w:rPr>
      <w:noProof/>
    </w:rPr>
  </w:style>
  <w:style w:type="paragraph" w:styleId="TOC3">
    <w:name w:val="toc 3"/>
    <w:basedOn w:val="Normal"/>
    <w:next w:val="Normal"/>
    <w:rsid w:val="004346C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46C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346C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346C3"/>
    <w:pPr>
      <w:tabs>
        <w:tab w:val="left" w:pos="2160"/>
        <w:tab w:val="right" w:leader="dot" w:pos="9360"/>
      </w:tabs>
      <w:suppressAutoHyphens/>
      <w:ind w:left="2160" w:hanging="360"/>
    </w:pPr>
    <w:rPr>
      <w:noProof/>
    </w:rPr>
  </w:style>
  <w:style w:type="paragraph" w:styleId="TOC7">
    <w:name w:val="toc 7"/>
    <w:basedOn w:val="Normal"/>
    <w:next w:val="Normal"/>
    <w:autoRedefine/>
    <w:rsid w:val="004346C3"/>
    <w:pPr>
      <w:tabs>
        <w:tab w:val="left" w:pos="2520"/>
        <w:tab w:val="right" w:leader="dot" w:pos="9360"/>
      </w:tabs>
      <w:suppressAutoHyphens/>
      <w:ind w:left="2520" w:hanging="360"/>
    </w:pPr>
    <w:rPr>
      <w:noProof/>
    </w:rPr>
  </w:style>
  <w:style w:type="paragraph" w:styleId="TOC8">
    <w:name w:val="toc 8"/>
    <w:basedOn w:val="Normal"/>
    <w:next w:val="Normal"/>
    <w:autoRedefine/>
    <w:rsid w:val="004346C3"/>
    <w:pPr>
      <w:tabs>
        <w:tab w:val="left" w:pos="2880"/>
        <w:tab w:val="right" w:leader="dot" w:pos="9360"/>
      </w:tabs>
      <w:suppressAutoHyphens/>
      <w:ind w:left="2880" w:hanging="360"/>
    </w:pPr>
    <w:rPr>
      <w:noProof/>
    </w:rPr>
  </w:style>
  <w:style w:type="paragraph" w:styleId="TOC9">
    <w:name w:val="toc 9"/>
    <w:basedOn w:val="Normal"/>
    <w:next w:val="Normal"/>
    <w:autoRedefine/>
    <w:rsid w:val="004346C3"/>
    <w:pPr>
      <w:tabs>
        <w:tab w:val="left" w:pos="3240"/>
        <w:tab w:val="right" w:leader="dot" w:pos="9360"/>
      </w:tabs>
      <w:suppressAutoHyphens/>
      <w:ind w:left="3240" w:hanging="360"/>
    </w:pPr>
    <w:rPr>
      <w:noProof/>
    </w:rPr>
  </w:style>
  <w:style w:type="paragraph" w:styleId="TOAHeading">
    <w:name w:val="toa heading"/>
    <w:basedOn w:val="Normal"/>
    <w:next w:val="Normal"/>
    <w:rsid w:val="004346C3"/>
    <w:pPr>
      <w:tabs>
        <w:tab w:val="right" w:pos="9360"/>
      </w:tabs>
      <w:suppressAutoHyphens/>
    </w:pPr>
  </w:style>
  <w:style w:type="character" w:customStyle="1" w:styleId="EquationCaption">
    <w:name w:val="_Equation Caption"/>
    <w:rsid w:val="004346C3"/>
  </w:style>
  <w:style w:type="paragraph" w:styleId="BlockText">
    <w:name w:val="Block Text"/>
    <w:basedOn w:val="Normal"/>
    <w:rsid w:val="004346C3"/>
    <w:pPr>
      <w:spacing w:after="240"/>
      <w:ind w:left="1440" w:right="1440"/>
    </w:pPr>
  </w:style>
  <w:style w:type="paragraph" w:customStyle="1" w:styleId="Paratitle">
    <w:name w:val="Para title"/>
    <w:basedOn w:val="Normal"/>
    <w:rsid w:val="004346C3"/>
    <w:pPr>
      <w:tabs>
        <w:tab w:val="center" w:pos="9270"/>
      </w:tabs>
      <w:spacing w:after="240"/>
    </w:pPr>
    <w:rPr>
      <w:spacing w:val="-2"/>
    </w:rPr>
  </w:style>
  <w:style w:type="paragraph" w:customStyle="1" w:styleId="Bullet">
    <w:name w:val="Bullet"/>
    <w:basedOn w:val="Normal"/>
    <w:rsid w:val="004346C3"/>
    <w:pPr>
      <w:tabs>
        <w:tab w:val="left" w:pos="2160"/>
      </w:tabs>
      <w:spacing w:after="220"/>
      <w:ind w:left="2160" w:hanging="720"/>
    </w:pPr>
  </w:style>
  <w:style w:type="paragraph" w:customStyle="1" w:styleId="TableFormat">
    <w:name w:val="TableFormat"/>
    <w:basedOn w:val="Bullet"/>
    <w:rsid w:val="004346C3"/>
    <w:pPr>
      <w:tabs>
        <w:tab w:val="clear" w:pos="2160"/>
        <w:tab w:val="left" w:pos="5040"/>
      </w:tabs>
      <w:ind w:left="5040" w:hanging="3600"/>
    </w:pPr>
  </w:style>
  <w:style w:type="paragraph" w:customStyle="1" w:styleId="TOCTitle">
    <w:name w:val="TOC Title"/>
    <w:basedOn w:val="Normal"/>
    <w:rsid w:val="004346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6C3"/>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C3"/>
    <w:pPr>
      <w:widowControl w:val="0"/>
    </w:pPr>
    <w:rPr>
      <w:snapToGrid w:val="0"/>
      <w:kern w:val="28"/>
      <w:sz w:val="22"/>
    </w:rPr>
  </w:style>
  <w:style w:type="paragraph" w:styleId="Heading1">
    <w:name w:val="heading 1"/>
    <w:basedOn w:val="Normal"/>
    <w:next w:val="ParaNum"/>
    <w:qFormat/>
    <w:rsid w:val="004346C3"/>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46C3"/>
    <w:pPr>
      <w:keepNext/>
      <w:numPr>
        <w:ilvl w:val="1"/>
        <w:numId w:val="18"/>
      </w:numPr>
      <w:spacing w:after="120"/>
      <w:outlineLvl w:val="1"/>
    </w:pPr>
    <w:rPr>
      <w:b/>
    </w:rPr>
  </w:style>
  <w:style w:type="paragraph" w:styleId="Heading3">
    <w:name w:val="heading 3"/>
    <w:basedOn w:val="Normal"/>
    <w:next w:val="ParaNum"/>
    <w:qFormat/>
    <w:rsid w:val="004346C3"/>
    <w:pPr>
      <w:keepNext/>
      <w:numPr>
        <w:ilvl w:val="2"/>
        <w:numId w:val="18"/>
      </w:numPr>
      <w:tabs>
        <w:tab w:val="left" w:pos="2160"/>
      </w:tabs>
      <w:spacing w:after="120"/>
      <w:outlineLvl w:val="2"/>
    </w:pPr>
    <w:rPr>
      <w:b/>
    </w:rPr>
  </w:style>
  <w:style w:type="paragraph" w:styleId="Heading4">
    <w:name w:val="heading 4"/>
    <w:basedOn w:val="Normal"/>
    <w:next w:val="ParaNum"/>
    <w:qFormat/>
    <w:rsid w:val="004346C3"/>
    <w:pPr>
      <w:keepNext/>
      <w:numPr>
        <w:ilvl w:val="3"/>
        <w:numId w:val="18"/>
      </w:numPr>
      <w:tabs>
        <w:tab w:val="left" w:pos="2880"/>
      </w:tabs>
      <w:spacing w:after="120"/>
      <w:outlineLvl w:val="3"/>
    </w:pPr>
    <w:rPr>
      <w:b/>
    </w:rPr>
  </w:style>
  <w:style w:type="paragraph" w:styleId="Heading5">
    <w:name w:val="heading 5"/>
    <w:basedOn w:val="Normal"/>
    <w:next w:val="ParaNum"/>
    <w:qFormat/>
    <w:rsid w:val="004346C3"/>
    <w:pPr>
      <w:keepNext/>
      <w:numPr>
        <w:ilvl w:val="4"/>
        <w:numId w:val="18"/>
      </w:numPr>
      <w:tabs>
        <w:tab w:val="left" w:pos="3600"/>
      </w:tabs>
      <w:suppressAutoHyphens/>
      <w:spacing w:after="120"/>
      <w:outlineLvl w:val="4"/>
    </w:pPr>
    <w:rPr>
      <w:b/>
    </w:rPr>
  </w:style>
  <w:style w:type="paragraph" w:styleId="Heading6">
    <w:name w:val="heading 6"/>
    <w:basedOn w:val="Normal"/>
    <w:next w:val="ParaNum"/>
    <w:qFormat/>
    <w:rsid w:val="004346C3"/>
    <w:pPr>
      <w:numPr>
        <w:ilvl w:val="5"/>
        <w:numId w:val="18"/>
      </w:numPr>
      <w:tabs>
        <w:tab w:val="left" w:pos="4320"/>
      </w:tabs>
      <w:spacing w:after="120"/>
      <w:outlineLvl w:val="5"/>
    </w:pPr>
    <w:rPr>
      <w:b/>
    </w:rPr>
  </w:style>
  <w:style w:type="paragraph" w:styleId="Heading7">
    <w:name w:val="heading 7"/>
    <w:basedOn w:val="Normal"/>
    <w:next w:val="ParaNum"/>
    <w:qFormat/>
    <w:rsid w:val="004346C3"/>
    <w:pPr>
      <w:numPr>
        <w:ilvl w:val="6"/>
        <w:numId w:val="18"/>
      </w:numPr>
      <w:tabs>
        <w:tab w:val="left" w:pos="5040"/>
      </w:tabs>
      <w:spacing w:after="120"/>
      <w:ind w:left="5040" w:hanging="720"/>
      <w:outlineLvl w:val="6"/>
    </w:pPr>
    <w:rPr>
      <w:b/>
    </w:rPr>
  </w:style>
  <w:style w:type="paragraph" w:styleId="Heading8">
    <w:name w:val="heading 8"/>
    <w:basedOn w:val="Normal"/>
    <w:next w:val="ParaNum"/>
    <w:qFormat/>
    <w:rsid w:val="004346C3"/>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qFormat/>
    <w:rsid w:val="004346C3"/>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4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6C3"/>
  </w:style>
  <w:style w:type="paragraph" w:styleId="Header">
    <w:name w:val="header"/>
    <w:basedOn w:val="Normal"/>
    <w:autoRedefine/>
    <w:rsid w:val="004346C3"/>
    <w:pPr>
      <w:tabs>
        <w:tab w:val="center" w:pos="4680"/>
        <w:tab w:val="right" w:pos="9360"/>
      </w:tabs>
    </w:pPr>
    <w:rPr>
      <w:b/>
    </w:rPr>
  </w:style>
  <w:style w:type="paragraph" w:styleId="Footer">
    <w:name w:val="footer"/>
    <w:basedOn w:val="Normal"/>
    <w:rsid w:val="004346C3"/>
    <w:pPr>
      <w:tabs>
        <w:tab w:val="center" w:pos="4320"/>
        <w:tab w:val="right" w:pos="8640"/>
      </w:tabs>
    </w:pPr>
  </w:style>
  <w:style w:type="character" w:styleId="PageNumber">
    <w:name w:val="page number"/>
    <w:basedOn w:val="DefaultParagraphFont"/>
    <w:rsid w:val="004346C3"/>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paragraph" w:customStyle="1" w:styleId="Numberedparagraphs">
    <w:name w:val="Numbered paragraphs"/>
    <w:basedOn w:val="Normal"/>
    <w:pPr>
      <w:numPr>
        <w:ilvl w:val="2"/>
        <w:numId w:val="4"/>
      </w:numPr>
      <w:tabs>
        <w:tab w:val="left" w:pos="1440"/>
      </w:tabs>
      <w:spacing w:after="220"/>
    </w:pPr>
    <w:rPr>
      <w:sz w:val="24"/>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4346C3"/>
    <w:pPr>
      <w:spacing w:after="120"/>
    </w:pPr>
  </w:style>
  <w:style w:type="character" w:styleId="FootnoteReference">
    <w:name w:val="footnote reference"/>
    <w:rsid w:val="004346C3"/>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uiPriority w:val="99"/>
    <w:rPr>
      <w:rFonts w:ascii="Verdana" w:hAnsi="Verdana" w:hint="default"/>
      <w:sz w:val="19"/>
      <w:szCs w:val="19"/>
    </w:rPr>
  </w:style>
  <w:style w:type="character" w:customStyle="1" w:styleId="searchterm1">
    <w:name w:val="searchterm1"/>
    <w:rPr>
      <w:b/>
      <w:bCs/>
      <w:shd w:val="clear" w:color="auto" w:fill="FFFF00"/>
    </w:rPr>
  </w:style>
  <w:style w:type="character" w:styleId="Hyperlink">
    <w:name w:val="Hyperlink"/>
    <w:rsid w:val="004346C3"/>
    <w:rPr>
      <w:color w:val="0000FF"/>
      <w:u w:val="single"/>
    </w:rPr>
  </w:style>
  <w:style w:type="character" w:customStyle="1" w:styleId="StyleNumberedparagraphs11ptChar">
    <w:name w:val="Style Numbered paragraphs + 11 pt Char"/>
    <w:rsid w:val="00A77098"/>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156E16"/>
  </w:style>
  <w:style w:type="character" w:customStyle="1" w:styleId="StyleFootnoteReference10pt">
    <w:name w:val="Style Footnote Reference + 10 pt"/>
    <w:rsid w:val="00FD34BD"/>
    <w:rPr>
      <w:rFonts w:ascii="Times New Roman" w:hAnsi="Times New Roman"/>
      <w:sz w:val="22"/>
      <w:vertAlign w:val="superscript"/>
    </w:rPr>
  </w:style>
  <w:style w:type="character" w:customStyle="1" w:styleId="FootnoteTextChar2Char1Char">
    <w:name w:val="Footnote Text Char2 Char1 Char"/>
    <w:aliases w:val="Footnote Text Char1 Char Char Char2,Footnote Text Char2 Char1 Char Char Char Char,Footnote Text Char1 Char Char Char2 Char Char Char,Footnote Text Char2 Char1 Char Char1,Footnote Text Char1 Char Char Char2 Char1"/>
    <w:rsid w:val="00BB0CE4"/>
    <w:rPr>
      <w:sz w:val="24"/>
      <w:lang w:val="en-US" w:eastAsia="en-US" w:bidi="ar-SA"/>
    </w:rPr>
  </w:style>
  <w:style w:type="table" w:styleId="TableGrid">
    <w:name w:val="Table Grid"/>
    <w:basedOn w:val="TableNormal"/>
    <w:rsid w:val="0031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CharCharCharCharChar">
    <w:name w:val="Footnote Text Char1 Char Char Char Char Char Char"/>
    <w:rPr>
      <w:lang w:val="en-US" w:eastAsia="en-US" w:bidi="ar-SA"/>
    </w:rPr>
  </w:style>
  <w:style w:type="character" w:styleId="Strong">
    <w:name w:val="Strong"/>
    <w:qFormat/>
    <w:rsid w:val="00D63436"/>
    <w:rPr>
      <w:b/>
      <w:bCs/>
    </w:rPr>
  </w:style>
  <w:style w:type="paragraph" w:styleId="NormalWeb">
    <w:name w:val="Normal (Web)"/>
    <w:basedOn w:val="Normal"/>
    <w:rsid w:val="00D63436"/>
    <w:pPr>
      <w:spacing w:after="150"/>
    </w:pPr>
    <w:rPr>
      <w:szCs w:val="24"/>
    </w:rPr>
  </w:style>
  <w:style w:type="character" w:styleId="FollowedHyperlink">
    <w:name w:val="FollowedHyperlink"/>
    <w:rsid w:val="00F05372"/>
    <w:rPr>
      <w:color w:val="800080"/>
      <w:u w:val="single"/>
    </w:rPr>
  </w:style>
  <w:style w:type="character" w:styleId="CommentReference">
    <w:name w:val="annotation reference"/>
    <w:semiHidden/>
    <w:rsid w:val="00CF5EB9"/>
    <w:rPr>
      <w:sz w:val="16"/>
      <w:szCs w:val="16"/>
    </w:rPr>
  </w:style>
  <w:style w:type="paragraph" w:styleId="CommentText">
    <w:name w:val="annotation text"/>
    <w:basedOn w:val="Normal"/>
    <w:semiHidden/>
    <w:rsid w:val="00CF5EB9"/>
    <w:rPr>
      <w:sz w:val="20"/>
    </w:rPr>
  </w:style>
  <w:style w:type="paragraph" w:styleId="CommentSubject">
    <w:name w:val="annotation subject"/>
    <w:basedOn w:val="CommentText"/>
    <w:next w:val="CommentText"/>
    <w:semiHidden/>
    <w:rsid w:val="00CF5EB9"/>
    <w:rPr>
      <w:b/>
      <w:bCs/>
    </w:rPr>
  </w:style>
  <w:style w:type="paragraph" w:customStyle="1" w:styleId="ParaNum">
    <w:name w:val="ParaNum"/>
    <w:basedOn w:val="Normal"/>
    <w:rsid w:val="004346C3"/>
    <w:pPr>
      <w:numPr>
        <w:numId w:val="13"/>
      </w:numPr>
      <w:tabs>
        <w:tab w:val="clear" w:pos="1080"/>
        <w:tab w:val="num" w:pos="1440"/>
      </w:tabs>
      <w:spacing w:after="120"/>
    </w:pPr>
  </w:style>
  <w:style w:type="character" w:styleId="Emphasis">
    <w:name w:val="Emphasis"/>
    <w:uiPriority w:val="99"/>
    <w:qFormat/>
    <w:rsid w:val="00984C41"/>
    <w:rPr>
      <w:rFonts w:cs="Times New Roman"/>
      <w:i/>
    </w:rPr>
  </w:style>
  <w:style w:type="paragraph" w:customStyle="1" w:styleId="ColorfulShading-Accent11">
    <w:name w:val="Colorful Shading - Accent 11"/>
    <w:hidden/>
    <w:uiPriority w:val="99"/>
    <w:semiHidden/>
    <w:rsid w:val="00BD127E"/>
    <w:rPr>
      <w:sz w:val="24"/>
    </w:rPr>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uiPriority w:val="99"/>
    <w:locked/>
    <w:rsid w:val="00493C15"/>
    <w:rPr>
      <w:lang w:val="en-US" w:eastAsia="en-US"/>
    </w:rPr>
  </w:style>
  <w:style w:type="paragraph" w:styleId="EndnoteText">
    <w:name w:val="endnote text"/>
    <w:basedOn w:val="Normal"/>
    <w:link w:val="EndnoteTextChar"/>
    <w:rsid w:val="004346C3"/>
    <w:rPr>
      <w:sz w:val="20"/>
    </w:rPr>
  </w:style>
  <w:style w:type="character" w:customStyle="1" w:styleId="EndnoteTextChar">
    <w:name w:val="Endnote Text Char"/>
    <w:link w:val="EndnoteText"/>
    <w:rsid w:val="00AF5CD1"/>
    <w:rPr>
      <w:snapToGrid w:val="0"/>
      <w:kern w:val="28"/>
    </w:rPr>
  </w:style>
  <w:style w:type="character" w:styleId="EndnoteReference">
    <w:name w:val="endnote reference"/>
    <w:rsid w:val="004346C3"/>
    <w:rPr>
      <w:vertAlign w:val="superscript"/>
    </w:rPr>
  </w:style>
  <w:style w:type="paragraph" w:styleId="TOC1">
    <w:name w:val="toc 1"/>
    <w:basedOn w:val="Normal"/>
    <w:next w:val="Normal"/>
    <w:rsid w:val="004346C3"/>
    <w:pPr>
      <w:tabs>
        <w:tab w:val="left" w:pos="360"/>
        <w:tab w:val="right" w:leader="dot" w:pos="9360"/>
      </w:tabs>
      <w:suppressAutoHyphens/>
      <w:ind w:left="360" w:right="720" w:hanging="360"/>
    </w:pPr>
    <w:rPr>
      <w:caps/>
      <w:noProof/>
    </w:rPr>
  </w:style>
  <w:style w:type="paragraph" w:styleId="TOC2">
    <w:name w:val="toc 2"/>
    <w:basedOn w:val="Normal"/>
    <w:next w:val="Normal"/>
    <w:rsid w:val="004346C3"/>
    <w:pPr>
      <w:tabs>
        <w:tab w:val="left" w:pos="720"/>
        <w:tab w:val="right" w:leader="dot" w:pos="9360"/>
      </w:tabs>
      <w:suppressAutoHyphens/>
      <w:ind w:left="720" w:right="720" w:hanging="360"/>
    </w:pPr>
    <w:rPr>
      <w:noProof/>
    </w:rPr>
  </w:style>
  <w:style w:type="paragraph" w:styleId="TOC3">
    <w:name w:val="toc 3"/>
    <w:basedOn w:val="Normal"/>
    <w:next w:val="Normal"/>
    <w:rsid w:val="004346C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46C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346C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346C3"/>
    <w:pPr>
      <w:tabs>
        <w:tab w:val="left" w:pos="2160"/>
        <w:tab w:val="right" w:leader="dot" w:pos="9360"/>
      </w:tabs>
      <w:suppressAutoHyphens/>
      <w:ind w:left="2160" w:hanging="360"/>
    </w:pPr>
    <w:rPr>
      <w:noProof/>
    </w:rPr>
  </w:style>
  <w:style w:type="paragraph" w:styleId="TOC7">
    <w:name w:val="toc 7"/>
    <w:basedOn w:val="Normal"/>
    <w:next w:val="Normal"/>
    <w:autoRedefine/>
    <w:rsid w:val="004346C3"/>
    <w:pPr>
      <w:tabs>
        <w:tab w:val="left" w:pos="2520"/>
        <w:tab w:val="right" w:leader="dot" w:pos="9360"/>
      </w:tabs>
      <w:suppressAutoHyphens/>
      <w:ind w:left="2520" w:hanging="360"/>
    </w:pPr>
    <w:rPr>
      <w:noProof/>
    </w:rPr>
  </w:style>
  <w:style w:type="paragraph" w:styleId="TOC8">
    <w:name w:val="toc 8"/>
    <w:basedOn w:val="Normal"/>
    <w:next w:val="Normal"/>
    <w:autoRedefine/>
    <w:rsid w:val="004346C3"/>
    <w:pPr>
      <w:tabs>
        <w:tab w:val="left" w:pos="2880"/>
        <w:tab w:val="right" w:leader="dot" w:pos="9360"/>
      </w:tabs>
      <w:suppressAutoHyphens/>
      <w:ind w:left="2880" w:hanging="360"/>
    </w:pPr>
    <w:rPr>
      <w:noProof/>
    </w:rPr>
  </w:style>
  <w:style w:type="paragraph" w:styleId="TOC9">
    <w:name w:val="toc 9"/>
    <w:basedOn w:val="Normal"/>
    <w:next w:val="Normal"/>
    <w:autoRedefine/>
    <w:rsid w:val="004346C3"/>
    <w:pPr>
      <w:tabs>
        <w:tab w:val="left" w:pos="3240"/>
        <w:tab w:val="right" w:leader="dot" w:pos="9360"/>
      </w:tabs>
      <w:suppressAutoHyphens/>
      <w:ind w:left="3240" w:hanging="360"/>
    </w:pPr>
    <w:rPr>
      <w:noProof/>
    </w:rPr>
  </w:style>
  <w:style w:type="paragraph" w:styleId="TOAHeading">
    <w:name w:val="toa heading"/>
    <w:basedOn w:val="Normal"/>
    <w:next w:val="Normal"/>
    <w:rsid w:val="004346C3"/>
    <w:pPr>
      <w:tabs>
        <w:tab w:val="right" w:pos="9360"/>
      </w:tabs>
      <w:suppressAutoHyphens/>
    </w:pPr>
  </w:style>
  <w:style w:type="character" w:customStyle="1" w:styleId="EquationCaption">
    <w:name w:val="_Equation Caption"/>
    <w:rsid w:val="004346C3"/>
  </w:style>
  <w:style w:type="paragraph" w:styleId="BlockText">
    <w:name w:val="Block Text"/>
    <w:basedOn w:val="Normal"/>
    <w:rsid w:val="004346C3"/>
    <w:pPr>
      <w:spacing w:after="240"/>
      <w:ind w:left="1440" w:right="1440"/>
    </w:pPr>
  </w:style>
  <w:style w:type="paragraph" w:customStyle="1" w:styleId="Paratitle">
    <w:name w:val="Para title"/>
    <w:basedOn w:val="Normal"/>
    <w:rsid w:val="004346C3"/>
    <w:pPr>
      <w:tabs>
        <w:tab w:val="center" w:pos="9270"/>
      </w:tabs>
      <w:spacing w:after="240"/>
    </w:pPr>
    <w:rPr>
      <w:spacing w:val="-2"/>
    </w:rPr>
  </w:style>
  <w:style w:type="paragraph" w:customStyle="1" w:styleId="Bullet">
    <w:name w:val="Bullet"/>
    <w:basedOn w:val="Normal"/>
    <w:rsid w:val="004346C3"/>
    <w:pPr>
      <w:tabs>
        <w:tab w:val="left" w:pos="2160"/>
      </w:tabs>
      <w:spacing w:after="220"/>
      <w:ind w:left="2160" w:hanging="720"/>
    </w:pPr>
  </w:style>
  <w:style w:type="paragraph" w:customStyle="1" w:styleId="TableFormat">
    <w:name w:val="TableFormat"/>
    <w:basedOn w:val="Bullet"/>
    <w:rsid w:val="004346C3"/>
    <w:pPr>
      <w:tabs>
        <w:tab w:val="clear" w:pos="2160"/>
        <w:tab w:val="left" w:pos="5040"/>
      </w:tabs>
      <w:ind w:left="5040" w:hanging="3600"/>
    </w:pPr>
  </w:style>
  <w:style w:type="paragraph" w:customStyle="1" w:styleId="TOCTitle">
    <w:name w:val="TOC Title"/>
    <w:basedOn w:val="Normal"/>
    <w:rsid w:val="004346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6C3"/>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679">
      <w:bodyDiv w:val="1"/>
      <w:marLeft w:val="0"/>
      <w:marRight w:val="0"/>
      <w:marTop w:val="0"/>
      <w:marBottom w:val="0"/>
      <w:divBdr>
        <w:top w:val="none" w:sz="0" w:space="0" w:color="auto"/>
        <w:left w:val="none" w:sz="0" w:space="0" w:color="auto"/>
        <w:bottom w:val="none" w:sz="0" w:space="0" w:color="auto"/>
        <w:right w:val="none" w:sz="0" w:space="0" w:color="auto"/>
      </w:divBdr>
    </w:div>
    <w:div w:id="113335186">
      <w:bodyDiv w:val="1"/>
      <w:marLeft w:val="0"/>
      <w:marRight w:val="0"/>
      <w:marTop w:val="0"/>
      <w:marBottom w:val="0"/>
      <w:divBdr>
        <w:top w:val="none" w:sz="0" w:space="0" w:color="auto"/>
        <w:left w:val="none" w:sz="0" w:space="0" w:color="auto"/>
        <w:bottom w:val="none" w:sz="0" w:space="0" w:color="auto"/>
        <w:right w:val="none" w:sz="0" w:space="0" w:color="auto"/>
      </w:divBdr>
    </w:div>
    <w:div w:id="264390307">
      <w:bodyDiv w:val="1"/>
      <w:marLeft w:val="0"/>
      <w:marRight w:val="0"/>
      <w:marTop w:val="0"/>
      <w:marBottom w:val="0"/>
      <w:divBdr>
        <w:top w:val="none" w:sz="0" w:space="0" w:color="auto"/>
        <w:left w:val="none" w:sz="0" w:space="0" w:color="auto"/>
        <w:bottom w:val="none" w:sz="0" w:space="0" w:color="auto"/>
        <w:right w:val="none" w:sz="0" w:space="0" w:color="auto"/>
      </w:divBdr>
    </w:div>
    <w:div w:id="452211468">
      <w:bodyDiv w:val="1"/>
      <w:marLeft w:val="0"/>
      <w:marRight w:val="0"/>
      <w:marTop w:val="0"/>
      <w:marBottom w:val="0"/>
      <w:divBdr>
        <w:top w:val="none" w:sz="0" w:space="0" w:color="auto"/>
        <w:left w:val="none" w:sz="0" w:space="0" w:color="auto"/>
        <w:bottom w:val="none" w:sz="0" w:space="0" w:color="auto"/>
        <w:right w:val="none" w:sz="0" w:space="0" w:color="auto"/>
      </w:divBdr>
    </w:div>
    <w:div w:id="748383244">
      <w:bodyDiv w:val="1"/>
      <w:marLeft w:val="0"/>
      <w:marRight w:val="0"/>
      <w:marTop w:val="0"/>
      <w:marBottom w:val="0"/>
      <w:divBdr>
        <w:top w:val="none" w:sz="0" w:space="0" w:color="auto"/>
        <w:left w:val="none" w:sz="0" w:space="0" w:color="auto"/>
        <w:bottom w:val="none" w:sz="0" w:space="0" w:color="auto"/>
        <w:right w:val="none" w:sz="0" w:space="0" w:color="auto"/>
      </w:divBdr>
    </w:div>
    <w:div w:id="1121459611">
      <w:bodyDiv w:val="1"/>
      <w:marLeft w:val="0"/>
      <w:marRight w:val="0"/>
      <w:marTop w:val="0"/>
      <w:marBottom w:val="0"/>
      <w:divBdr>
        <w:top w:val="none" w:sz="0" w:space="0" w:color="auto"/>
        <w:left w:val="none" w:sz="0" w:space="0" w:color="auto"/>
        <w:bottom w:val="none" w:sz="0" w:space="0" w:color="auto"/>
        <w:right w:val="none" w:sz="0" w:space="0" w:color="auto"/>
      </w:divBdr>
    </w:div>
    <w:div w:id="1274170348">
      <w:bodyDiv w:val="1"/>
      <w:marLeft w:val="0"/>
      <w:marRight w:val="0"/>
      <w:marTop w:val="0"/>
      <w:marBottom w:val="0"/>
      <w:divBdr>
        <w:top w:val="none" w:sz="0" w:space="0" w:color="auto"/>
        <w:left w:val="none" w:sz="0" w:space="0" w:color="auto"/>
        <w:bottom w:val="none" w:sz="0" w:space="0" w:color="auto"/>
        <w:right w:val="none" w:sz="0" w:space="0" w:color="auto"/>
      </w:divBdr>
    </w:div>
    <w:div w:id="20349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jallfoss.fcc.gov/edocs_public/Query.do;jsessionid=QXpDfpHR6f8PnXnhdMcdJbmmfZ3v92lZgpR00NJQ3PKYBVvlLx3h!-1597281469!-1646612613?numberFld=01-157&amp;numberFld2=&amp;docket=&amp;dateFld=&amp;docTitleDesc=" TargetMode="External"/><Relationship Id="rId2" Type="http://schemas.openxmlformats.org/officeDocument/2006/relationships/hyperlink" Target="http://fjallfoss.fcc.gov/edocs_public/Query.do;jsessionid=QXpDfpHR6f8PnXnhdMcdJbmmfZ3v92lZgpR00NJQ3PKYBVvlLx3h!-1597281469!-1646612613?numberFld=01-157&amp;numberFld2=&amp;docket=&amp;dateFld=&amp;docTitleDesc=" TargetMode="External"/><Relationship Id="rId1" Type="http://schemas.openxmlformats.org/officeDocument/2006/relationships/hyperlink" Target="http://fjallfoss.fcc.gov/edocs_public/Query.do;jsessionid=QXpDfpHR6f8PnXnhdMcdJbmmfZ3v92lZgpR00NJQ3PKYBVvlLx3h!-1597281469!-1646612613?numberFld=01-157&amp;numberFld2=&amp;docket=&amp;dateFld=&amp;docTitleDe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4206</Words>
  <Characters>22496</Characters>
  <Application>Microsoft Office Word</Application>
  <DocSecurity>0</DocSecurity>
  <Lines>414</Lines>
  <Paragraphs>123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26730</CharactersWithSpaces>
  <SharedDoc>false</SharedDoc>
  <HyperlinkBase> </HyperlinkBase>
  <HLinks>
    <vt:vector size="18" baseType="variant">
      <vt:variant>
        <vt:i4>3932174</vt:i4>
      </vt:variant>
      <vt:variant>
        <vt:i4>6</vt:i4>
      </vt:variant>
      <vt:variant>
        <vt:i4>0</vt:i4>
      </vt:variant>
      <vt:variant>
        <vt:i4>5</vt:i4>
      </vt:variant>
      <vt:variant>
        <vt:lpwstr>http://fjallfoss.fcc.gov/edocs_public/Query.do;jsessionid=QXpDfpHR6f8PnXnhdMcdJbmmfZ3v92lZgpR00NJQ3PKYBVvlLx3h!-1597281469!-1646612613?numberFld=01-157&amp;numberFld2=&amp;docket=&amp;dateFld=&amp;docTitleDesc=</vt:lpwstr>
      </vt:variant>
      <vt:variant>
        <vt:lpwstr>213054#213054</vt:lpwstr>
      </vt:variant>
      <vt:variant>
        <vt:i4>3932174</vt:i4>
      </vt:variant>
      <vt:variant>
        <vt:i4>3</vt:i4>
      </vt:variant>
      <vt:variant>
        <vt:i4>0</vt:i4>
      </vt:variant>
      <vt:variant>
        <vt:i4>5</vt:i4>
      </vt:variant>
      <vt:variant>
        <vt:lpwstr>http://fjallfoss.fcc.gov/edocs_public/Query.do;jsessionid=QXpDfpHR6f8PnXnhdMcdJbmmfZ3v92lZgpR00NJQ3PKYBVvlLx3h!-1597281469!-1646612613?numberFld=01-157&amp;numberFld2=&amp;docket=&amp;dateFld=&amp;docTitleDesc=</vt:lpwstr>
      </vt:variant>
      <vt:variant>
        <vt:lpwstr>213054#213054</vt:lpwstr>
      </vt:variant>
      <vt:variant>
        <vt:i4>3932174</vt:i4>
      </vt:variant>
      <vt:variant>
        <vt:i4>0</vt:i4>
      </vt:variant>
      <vt:variant>
        <vt:i4>0</vt:i4>
      </vt:variant>
      <vt:variant>
        <vt:i4>5</vt:i4>
      </vt:variant>
      <vt:variant>
        <vt:lpwstr>http://fjallfoss.fcc.gov/edocs_public/Query.do;jsessionid=QXpDfpHR6f8PnXnhdMcdJbmmfZ3v92lZgpR00NJQ3PKYBVvlLx3h!-1597281469!-1646612613?numberFld=01-157&amp;numberFld2=&amp;docket=&amp;dateFld=&amp;docTitleDesc=</vt:lpwstr>
      </vt:variant>
      <vt:variant>
        <vt:lpwstr>213054#213054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2014-07-28T18:59:00Z</cp:lastPrinted>
  <dcterms:created xsi:type="dcterms:W3CDTF">2014-07-28T21:10:00Z</dcterms:created>
  <dcterms:modified xsi:type="dcterms:W3CDTF">2014-07-28T21:10:00Z</dcterms:modified>
  <cp:category> </cp:category>
  <cp:contentStatus> </cp:contentStatus>
</cp:coreProperties>
</file>