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1E" w:rsidRPr="00DF7137" w:rsidRDefault="00656D1E" w:rsidP="00F424A5">
      <w:pPr>
        <w:tabs>
          <w:tab w:val="center" w:pos="4680"/>
        </w:tabs>
        <w:suppressAutoHyphens/>
        <w:spacing w:line="240" w:lineRule="atLeast"/>
        <w:jc w:val="center"/>
        <w:outlineLvl w:val="0"/>
        <w:rPr>
          <w:b/>
        </w:rPr>
      </w:pPr>
      <w:bookmarkStart w:id="0" w:name="_GoBack"/>
      <w:bookmarkEnd w:id="0"/>
      <w:r w:rsidRPr="00DF7137">
        <w:rPr>
          <w:b/>
        </w:rPr>
        <w:t>Before the</w:t>
      </w:r>
    </w:p>
    <w:p w:rsidR="00656D1E" w:rsidRPr="00DF7137" w:rsidRDefault="00656D1E" w:rsidP="00BC4C7E">
      <w:pPr>
        <w:tabs>
          <w:tab w:val="center" w:pos="4680"/>
        </w:tabs>
        <w:suppressAutoHyphens/>
        <w:spacing w:line="240" w:lineRule="atLeast"/>
        <w:jc w:val="both"/>
        <w:outlineLvl w:val="0"/>
        <w:rPr>
          <w:b/>
        </w:rPr>
      </w:pPr>
      <w:r w:rsidRPr="00DF7137">
        <w:rPr>
          <w:b/>
        </w:rPr>
        <w:tab/>
        <w:t>Federal Communications Commission</w:t>
      </w:r>
    </w:p>
    <w:p w:rsidR="00656D1E" w:rsidRDefault="00656D1E" w:rsidP="00BC4C7E">
      <w:pPr>
        <w:tabs>
          <w:tab w:val="center" w:pos="4680"/>
        </w:tabs>
        <w:suppressAutoHyphens/>
        <w:spacing w:line="240" w:lineRule="atLeast"/>
        <w:jc w:val="both"/>
        <w:outlineLvl w:val="0"/>
        <w:rPr>
          <w:b/>
        </w:rPr>
      </w:pPr>
      <w:r w:rsidRPr="00DF7137">
        <w:rPr>
          <w:b/>
        </w:rPr>
        <w:tab/>
      </w:r>
      <w:smartTag w:uri="urn:schemas-microsoft-com:office:smarttags" w:element="City">
        <w:smartTag w:uri="urn:schemas-microsoft-com:office:smarttags" w:element="place">
          <w:smartTag w:uri="urn:schemas-microsoft-com:office:smarttags" w:element="City">
            <w:r w:rsidRPr="00DF7137">
              <w:rPr>
                <w:b/>
              </w:rPr>
              <w:t>Washington</w:t>
            </w:r>
          </w:smartTag>
          <w:r w:rsidRPr="00DF7137">
            <w:rPr>
              <w:b/>
            </w:rPr>
            <w:t xml:space="preserve">, </w:t>
          </w:r>
          <w:smartTag w:uri="urn:schemas-microsoft-com:office:smarttags" w:element="State">
            <w:r w:rsidRPr="00DF7137">
              <w:rPr>
                <w:b/>
              </w:rPr>
              <w:t>D.C.</w:t>
            </w:r>
          </w:smartTag>
          <w:r w:rsidRPr="00DF7137">
            <w:rPr>
              <w:b/>
            </w:rPr>
            <w:t xml:space="preserve"> </w:t>
          </w:r>
          <w:smartTag w:uri="urn:schemas-microsoft-com:office:smarttags" w:element="PostalCode">
            <w:r w:rsidRPr="00DF7137">
              <w:rPr>
                <w:b/>
              </w:rPr>
              <w:t>20554</w:t>
            </w:r>
          </w:smartTag>
        </w:smartTag>
      </w:smartTag>
    </w:p>
    <w:p w:rsidR="00656D1E" w:rsidRPr="00DF7137" w:rsidRDefault="00656D1E" w:rsidP="00BC4C7E">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698"/>
        <w:gridCol w:w="270"/>
        <w:gridCol w:w="4374"/>
      </w:tblGrid>
      <w:tr w:rsidR="00065B50" w:rsidRPr="00DF7137" w:rsidTr="005B71D2">
        <w:trPr>
          <w:trHeight w:val="1566"/>
        </w:trPr>
        <w:tc>
          <w:tcPr>
            <w:tcW w:w="4698" w:type="dxa"/>
          </w:tcPr>
          <w:p w:rsidR="00065B50" w:rsidRDefault="00065B50">
            <w:r>
              <w:rPr>
                <w:spacing w:val="-2"/>
              </w:rPr>
              <w:t>In the Matter of</w:t>
            </w:r>
            <w:r>
              <w:t xml:space="preserve"> </w:t>
            </w:r>
          </w:p>
          <w:p w:rsidR="00065B50" w:rsidRDefault="00065B50"/>
          <w:p w:rsidR="00065B50" w:rsidRDefault="00065B50">
            <w:r>
              <w:rPr>
                <w:spacing w:val="-2"/>
              </w:rPr>
              <w:t>Pittman Broadcasting Services, LLC</w:t>
            </w:r>
          </w:p>
          <w:p w:rsidR="00065B50" w:rsidRDefault="00065B50"/>
          <w:p w:rsidR="00065B50" w:rsidRDefault="00065B50">
            <w:r>
              <w:t xml:space="preserve">Licensee of Station WUUU-FM and </w:t>
            </w:r>
          </w:p>
          <w:p w:rsidR="00065B50" w:rsidRDefault="00065B50">
            <w:r>
              <w:t>O</w:t>
            </w:r>
            <w:r w:rsidR="000441B4">
              <w:t>wner of Antenna Structure No.</w:t>
            </w:r>
            <w:r>
              <w:t xml:space="preserve"> </w:t>
            </w:r>
            <w:r>
              <w:rPr>
                <w:spacing w:val="-2"/>
              </w:rPr>
              <w:t>1064240</w:t>
            </w:r>
          </w:p>
          <w:p w:rsidR="00065B50" w:rsidRDefault="00065B50">
            <w:r>
              <w:t xml:space="preserve">Franklinton, </w:t>
            </w:r>
            <w:smartTag w:uri="urn:schemas-microsoft-com:office:smarttags" w:element="State">
              <w:r>
                <w:t>Louisiana</w:t>
              </w:r>
            </w:smartTag>
          </w:p>
          <w:p w:rsidR="00065B50" w:rsidRDefault="00065B50">
            <w:pPr>
              <w:autoSpaceDE w:val="0"/>
              <w:autoSpaceDN w:val="0"/>
              <w:adjustRightInd w:val="0"/>
              <w:rPr>
                <w:spacing w:val="-2"/>
                <w:sz w:val="24"/>
                <w:szCs w:val="24"/>
              </w:rPr>
            </w:pPr>
          </w:p>
        </w:tc>
        <w:tc>
          <w:tcPr>
            <w:tcW w:w="270" w:type="dxa"/>
          </w:tcPr>
          <w:p w:rsidR="00065B50" w:rsidRDefault="00065B50">
            <w:pPr>
              <w:tabs>
                <w:tab w:val="center" w:pos="4680"/>
              </w:tabs>
              <w:suppressAutoHyphens/>
              <w:spacing w:line="240" w:lineRule="atLeast"/>
              <w:jc w:val="both"/>
              <w:outlineLvl w:val="0"/>
              <w:rPr>
                <w:sz w:val="24"/>
                <w:szCs w:val="24"/>
              </w:rPr>
            </w:pPr>
            <w:r>
              <w:rPr>
                <w:sz w:val="24"/>
                <w:szCs w:val="24"/>
              </w:rPr>
              <w:t>)</w:t>
            </w:r>
          </w:p>
          <w:p w:rsidR="00065B50" w:rsidRDefault="00065B50">
            <w:pPr>
              <w:tabs>
                <w:tab w:val="center" w:pos="4680"/>
              </w:tabs>
              <w:suppressAutoHyphens/>
              <w:spacing w:line="240" w:lineRule="atLeast"/>
              <w:jc w:val="both"/>
              <w:outlineLvl w:val="0"/>
              <w:rPr>
                <w:sz w:val="24"/>
                <w:szCs w:val="24"/>
              </w:rPr>
            </w:pPr>
            <w:r>
              <w:rPr>
                <w:sz w:val="24"/>
                <w:szCs w:val="24"/>
              </w:rPr>
              <w:t>)</w:t>
            </w:r>
          </w:p>
          <w:p w:rsidR="00065B50" w:rsidRDefault="00065B50">
            <w:pPr>
              <w:tabs>
                <w:tab w:val="center" w:pos="4680"/>
              </w:tabs>
              <w:suppressAutoHyphens/>
              <w:spacing w:line="240" w:lineRule="atLeast"/>
              <w:jc w:val="both"/>
              <w:outlineLvl w:val="0"/>
              <w:rPr>
                <w:sz w:val="24"/>
                <w:szCs w:val="24"/>
              </w:rPr>
            </w:pPr>
            <w:r>
              <w:rPr>
                <w:sz w:val="24"/>
                <w:szCs w:val="24"/>
              </w:rPr>
              <w:t>)</w:t>
            </w:r>
          </w:p>
          <w:p w:rsidR="00065B50" w:rsidRDefault="00065B50">
            <w:pPr>
              <w:tabs>
                <w:tab w:val="center" w:pos="4680"/>
              </w:tabs>
              <w:suppressAutoHyphens/>
              <w:spacing w:line="240" w:lineRule="atLeast"/>
              <w:jc w:val="both"/>
              <w:outlineLvl w:val="0"/>
              <w:rPr>
                <w:sz w:val="24"/>
                <w:szCs w:val="24"/>
              </w:rPr>
            </w:pPr>
            <w:r>
              <w:rPr>
                <w:sz w:val="24"/>
                <w:szCs w:val="24"/>
              </w:rPr>
              <w:t>)</w:t>
            </w:r>
          </w:p>
          <w:p w:rsidR="00065B50" w:rsidRDefault="00065B50">
            <w:pPr>
              <w:tabs>
                <w:tab w:val="center" w:pos="4680"/>
              </w:tabs>
              <w:suppressAutoHyphens/>
              <w:spacing w:line="240" w:lineRule="atLeast"/>
              <w:jc w:val="both"/>
              <w:outlineLvl w:val="0"/>
              <w:rPr>
                <w:sz w:val="24"/>
                <w:szCs w:val="24"/>
              </w:rPr>
            </w:pPr>
            <w:r>
              <w:rPr>
                <w:sz w:val="24"/>
                <w:szCs w:val="24"/>
              </w:rPr>
              <w:t>)</w:t>
            </w:r>
          </w:p>
          <w:p w:rsidR="00065B50" w:rsidRDefault="00065B50">
            <w:pPr>
              <w:tabs>
                <w:tab w:val="center" w:pos="4680"/>
              </w:tabs>
              <w:suppressAutoHyphens/>
              <w:spacing w:line="240" w:lineRule="atLeast"/>
              <w:jc w:val="both"/>
              <w:outlineLvl w:val="0"/>
              <w:rPr>
                <w:sz w:val="24"/>
                <w:szCs w:val="24"/>
              </w:rPr>
            </w:pPr>
            <w:r>
              <w:rPr>
                <w:sz w:val="24"/>
                <w:szCs w:val="24"/>
              </w:rPr>
              <w:t>)</w:t>
            </w:r>
          </w:p>
          <w:p w:rsidR="00065B50" w:rsidRDefault="00065B50" w:rsidP="005B71D2">
            <w:pPr>
              <w:tabs>
                <w:tab w:val="center" w:pos="4680"/>
              </w:tabs>
              <w:suppressAutoHyphens/>
              <w:spacing w:line="240" w:lineRule="atLeast"/>
              <w:jc w:val="both"/>
              <w:outlineLvl w:val="0"/>
              <w:rPr>
                <w:sz w:val="24"/>
                <w:szCs w:val="24"/>
              </w:rPr>
            </w:pPr>
            <w:r>
              <w:rPr>
                <w:sz w:val="24"/>
                <w:szCs w:val="24"/>
              </w:rPr>
              <w:t>)</w:t>
            </w:r>
          </w:p>
        </w:tc>
        <w:tc>
          <w:tcPr>
            <w:tcW w:w="4374" w:type="dxa"/>
          </w:tcPr>
          <w:p w:rsidR="00065B50" w:rsidRDefault="00065B50">
            <w:pPr>
              <w:rPr>
                <w:spacing w:val="-2"/>
                <w:sz w:val="24"/>
                <w:szCs w:val="24"/>
              </w:rPr>
            </w:pPr>
          </w:p>
          <w:p w:rsidR="00065B50" w:rsidRDefault="00065B50">
            <w:pPr>
              <w:ind w:left="702"/>
              <w:rPr>
                <w:spacing w:val="-2"/>
                <w:sz w:val="24"/>
                <w:szCs w:val="24"/>
              </w:rPr>
            </w:pPr>
          </w:p>
          <w:p w:rsidR="00065B50" w:rsidRDefault="00065B50" w:rsidP="00065B50">
            <w:r>
              <w:t xml:space="preserve">             File No.:  EB-FIELDSCR-12-0000237</w:t>
            </w:r>
          </w:p>
          <w:p w:rsidR="00065B50" w:rsidRPr="00065B50" w:rsidRDefault="00065B50" w:rsidP="00065B50">
            <w:r>
              <w:t xml:space="preserve">             NAL/Acct. No.:</w:t>
            </w:r>
            <w:r>
              <w:rPr>
                <w:b/>
              </w:rPr>
              <w:t xml:space="preserve">  </w:t>
            </w:r>
            <w:r>
              <w:rPr>
                <w:color w:val="000000"/>
              </w:rPr>
              <w:t>201332620003</w:t>
            </w:r>
          </w:p>
          <w:p w:rsidR="00065B50" w:rsidRDefault="00065B50" w:rsidP="00065B50">
            <w:r>
              <w:t xml:space="preserve">             FRN:  0004330825</w:t>
            </w:r>
          </w:p>
          <w:p w:rsidR="00065B50" w:rsidRDefault="00065B50" w:rsidP="00065B50">
            <w:r>
              <w:t xml:space="preserve">             Facility ID No.:  22992</w:t>
            </w:r>
          </w:p>
          <w:p w:rsidR="00065B50" w:rsidRDefault="00065B50">
            <w:r>
              <w:t xml:space="preserve">   </w:t>
            </w:r>
          </w:p>
          <w:p w:rsidR="00065B50" w:rsidRDefault="00065B50">
            <w:pPr>
              <w:autoSpaceDE w:val="0"/>
              <w:autoSpaceDN w:val="0"/>
              <w:adjustRightInd w:val="0"/>
              <w:rPr>
                <w:sz w:val="24"/>
                <w:szCs w:val="24"/>
              </w:rPr>
            </w:pPr>
            <w:r>
              <w:rPr>
                <w:sz w:val="24"/>
                <w:szCs w:val="24"/>
              </w:rPr>
              <w:t xml:space="preserve"> </w:t>
            </w:r>
          </w:p>
        </w:tc>
      </w:tr>
    </w:tbl>
    <w:p w:rsidR="00656D1E" w:rsidRPr="00DF7137" w:rsidRDefault="00656D1E" w:rsidP="00BC4C7E">
      <w:pPr>
        <w:pStyle w:val="Heading2"/>
        <w:rPr>
          <w:sz w:val="22"/>
          <w:szCs w:val="22"/>
        </w:rPr>
      </w:pPr>
      <w:r w:rsidRPr="00DF7137">
        <w:rPr>
          <w:sz w:val="22"/>
          <w:szCs w:val="22"/>
        </w:rPr>
        <w:t>FORFEITURE ORDER</w:t>
      </w:r>
    </w:p>
    <w:p w:rsidR="00656D1E" w:rsidRPr="00DF7137" w:rsidRDefault="00656D1E" w:rsidP="00BC4C7E">
      <w:pPr>
        <w:tabs>
          <w:tab w:val="left" w:pos="0"/>
        </w:tabs>
        <w:suppressAutoHyphens/>
        <w:spacing w:line="240" w:lineRule="atLeast"/>
        <w:jc w:val="both"/>
      </w:pPr>
    </w:p>
    <w:p w:rsidR="00656D1E" w:rsidRPr="005B71D2" w:rsidRDefault="00656D1E" w:rsidP="00BC4C7E">
      <w:pPr>
        <w:tabs>
          <w:tab w:val="left" w:pos="0"/>
          <w:tab w:val="left" w:pos="720"/>
          <w:tab w:val="left" w:pos="5760"/>
        </w:tabs>
        <w:suppressAutoHyphens/>
        <w:spacing w:line="240" w:lineRule="atLeast"/>
        <w:rPr>
          <w:b/>
        </w:rPr>
      </w:pPr>
      <w:r w:rsidRPr="00F945C2">
        <w:rPr>
          <w:b/>
        </w:rPr>
        <w:t xml:space="preserve">Adopted:  </w:t>
      </w:r>
      <w:r w:rsidR="008A1339">
        <w:rPr>
          <w:b/>
        </w:rPr>
        <w:t>July 30, 2014</w:t>
      </w:r>
      <w:r w:rsidRPr="00F945C2">
        <w:rPr>
          <w:b/>
        </w:rPr>
        <w:tab/>
      </w:r>
      <w:r w:rsidRPr="00F945C2">
        <w:rPr>
          <w:b/>
        </w:rPr>
        <w:tab/>
        <w:t xml:space="preserve">Released:  </w:t>
      </w:r>
      <w:r w:rsidR="008A1339">
        <w:rPr>
          <w:b/>
        </w:rPr>
        <w:t>July 30, 2014</w:t>
      </w:r>
    </w:p>
    <w:p w:rsidR="00656D1E" w:rsidRPr="00DF7137" w:rsidRDefault="00656D1E" w:rsidP="00BC4C7E">
      <w:pPr>
        <w:tabs>
          <w:tab w:val="left" w:pos="0"/>
          <w:tab w:val="left" w:pos="720"/>
          <w:tab w:val="left" w:pos="5760"/>
        </w:tabs>
        <w:suppressAutoHyphens/>
        <w:spacing w:line="240" w:lineRule="atLeast"/>
        <w:jc w:val="both"/>
      </w:pPr>
    </w:p>
    <w:p w:rsidR="00656D1E" w:rsidRPr="00DF7137" w:rsidRDefault="00656D1E" w:rsidP="005B71D2">
      <w:pPr>
        <w:tabs>
          <w:tab w:val="left" w:pos="0"/>
          <w:tab w:val="left" w:pos="720"/>
          <w:tab w:val="left" w:pos="5760"/>
        </w:tabs>
        <w:suppressAutoHyphens/>
        <w:spacing w:after="240"/>
        <w:jc w:val="both"/>
      </w:pPr>
      <w:r w:rsidRPr="00DF7137">
        <w:t>By the Regional Director, South Central Region, Enforcement Bureau:</w:t>
      </w:r>
    </w:p>
    <w:p w:rsidR="00656D1E" w:rsidRPr="00DF7137" w:rsidRDefault="00656D1E" w:rsidP="005B71D2">
      <w:pPr>
        <w:tabs>
          <w:tab w:val="center" w:pos="720"/>
        </w:tabs>
        <w:suppressAutoHyphens/>
        <w:spacing w:after="240"/>
      </w:pPr>
      <w:r w:rsidRPr="00DF7137">
        <w:rPr>
          <w:b/>
        </w:rPr>
        <w:t xml:space="preserve">I. </w:t>
      </w:r>
      <w:r w:rsidRPr="00DF7137">
        <w:t xml:space="preserve"> </w:t>
      </w:r>
      <w:r>
        <w:tab/>
        <w:t xml:space="preserve">         </w:t>
      </w:r>
      <w:r w:rsidRPr="00DF7137">
        <w:rPr>
          <w:b/>
        </w:rPr>
        <w:t>INTRODUCTION</w:t>
      </w:r>
    </w:p>
    <w:p w:rsidR="00175611" w:rsidRPr="00175611" w:rsidRDefault="00175611" w:rsidP="00F945C2">
      <w:pPr>
        <w:numPr>
          <w:ilvl w:val="0"/>
          <w:numId w:val="1"/>
        </w:numPr>
        <w:tabs>
          <w:tab w:val="clear" w:pos="1080"/>
          <w:tab w:val="left" w:pos="0"/>
          <w:tab w:val="num" w:pos="1440"/>
        </w:tabs>
        <w:suppressAutoHyphens/>
        <w:autoSpaceDE w:val="0"/>
        <w:autoSpaceDN w:val="0"/>
        <w:adjustRightInd w:val="0"/>
        <w:spacing w:after="120"/>
        <w:rPr>
          <w:sz w:val="24"/>
          <w:szCs w:val="24"/>
        </w:rPr>
      </w:pPr>
      <w:r>
        <w:t xml:space="preserve">We impose a penalty of $22,500 against </w:t>
      </w:r>
      <w:r w:rsidR="00093C2A">
        <w:rPr>
          <w:color w:val="000000"/>
          <w:spacing w:val="-2"/>
        </w:rPr>
        <w:t>Pittman Broadcasting Services, LLC</w:t>
      </w:r>
      <w:r w:rsidR="00093C2A" w:rsidRPr="00913149">
        <w:rPr>
          <w:color w:val="000000"/>
          <w:spacing w:val="-2"/>
        </w:rPr>
        <w:t xml:space="preserve"> (</w:t>
      </w:r>
      <w:r w:rsidR="00093C2A">
        <w:rPr>
          <w:color w:val="000000"/>
          <w:spacing w:val="-2"/>
        </w:rPr>
        <w:t>Pittman</w:t>
      </w:r>
      <w:r>
        <w:rPr>
          <w:color w:val="000000"/>
          <w:spacing w:val="-2"/>
        </w:rPr>
        <w:t>) for failing to</w:t>
      </w:r>
      <w:r w:rsidR="00093C2A" w:rsidRPr="00913149">
        <w:rPr>
          <w:color w:val="000000"/>
          <w:spacing w:val="-2"/>
        </w:rPr>
        <w:t xml:space="preserve"> </w:t>
      </w:r>
      <w:r w:rsidR="00065B50">
        <w:t xml:space="preserve">maintain </w:t>
      </w:r>
      <w:r>
        <w:t xml:space="preserve">operational </w:t>
      </w:r>
      <w:r w:rsidR="00065B50">
        <w:t>Emergency Alert Syste</w:t>
      </w:r>
      <w:r>
        <w:t xml:space="preserve">m (EAS) equipment and logs, </w:t>
      </w:r>
      <w:r w:rsidR="00065B50">
        <w:t xml:space="preserve">clean or repaint </w:t>
      </w:r>
      <w:r>
        <w:t xml:space="preserve">its antenna structure </w:t>
      </w:r>
      <w:r w:rsidR="00065B50">
        <w:t>as often as necessary to ma</w:t>
      </w:r>
      <w:r>
        <w:t>intain good visibility, and</w:t>
      </w:r>
      <w:r w:rsidR="00065B50">
        <w:t xml:space="preserve"> exhibit required antenna structure lighting</w:t>
      </w:r>
      <w:r w:rsidR="00656D1E" w:rsidRPr="00065B50">
        <w:rPr>
          <w:color w:val="000000"/>
          <w:spacing w:val="-2"/>
        </w:rPr>
        <w:t>.</w:t>
      </w:r>
      <w:r>
        <w:rPr>
          <w:color w:val="000000"/>
          <w:spacing w:val="-2"/>
        </w:rPr>
        <w:t xml:space="preserve">  Pittman does not dispute the violations, but requests a forfeiture reduction based on a purport</w:t>
      </w:r>
      <w:r w:rsidR="00C913A0">
        <w:rPr>
          <w:color w:val="000000"/>
          <w:spacing w:val="-2"/>
        </w:rPr>
        <w:t>ed inability to pay.  B</w:t>
      </w:r>
      <w:r>
        <w:rPr>
          <w:color w:val="000000"/>
          <w:spacing w:val="-2"/>
        </w:rPr>
        <w:t xml:space="preserve">ased on the financial documentation provided by Pittman, </w:t>
      </w:r>
      <w:r w:rsidR="00C913A0">
        <w:rPr>
          <w:color w:val="000000"/>
          <w:spacing w:val="-2"/>
        </w:rPr>
        <w:t xml:space="preserve">however, </w:t>
      </w:r>
      <w:r>
        <w:rPr>
          <w:color w:val="000000"/>
          <w:spacing w:val="-2"/>
        </w:rPr>
        <w:t>we find insufficient basis to reduce the forfeiture and deny Pittman’s request.</w:t>
      </w:r>
    </w:p>
    <w:p w:rsidR="00656D1E" w:rsidRPr="00065B50" w:rsidRDefault="00175611" w:rsidP="005B71D2">
      <w:pPr>
        <w:numPr>
          <w:ilvl w:val="0"/>
          <w:numId w:val="1"/>
        </w:numPr>
        <w:tabs>
          <w:tab w:val="clear" w:pos="1080"/>
          <w:tab w:val="left" w:pos="0"/>
          <w:tab w:val="num" w:pos="1440"/>
        </w:tabs>
        <w:suppressAutoHyphens/>
        <w:autoSpaceDE w:val="0"/>
        <w:autoSpaceDN w:val="0"/>
        <w:adjustRightInd w:val="0"/>
        <w:spacing w:after="120"/>
        <w:rPr>
          <w:sz w:val="24"/>
          <w:szCs w:val="24"/>
        </w:rPr>
      </w:pPr>
      <w:r>
        <w:rPr>
          <w:color w:val="000000"/>
          <w:spacing w:val="-2"/>
        </w:rPr>
        <w:t xml:space="preserve">Specifically, we issue a monetary forfeiture to Pittman, </w:t>
      </w:r>
      <w:r w:rsidRPr="005B71D2">
        <w:rPr>
          <w:color w:val="000000"/>
          <w:spacing w:val="-2"/>
        </w:rPr>
        <w:t>licensee of Station WUUU-FM</w:t>
      </w:r>
      <w:r w:rsidR="00FD11A5" w:rsidRPr="005B71D2">
        <w:rPr>
          <w:color w:val="000000"/>
          <w:spacing w:val="-2"/>
        </w:rPr>
        <w:t xml:space="preserve"> (Station) and owner of antenna structure number 1064240 (Antenna Structure</w:t>
      </w:r>
      <w:r w:rsidR="00FD11A5">
        <w:rPr>
          <w:color w:val="000000"/>
          <w:spacing w:val="-2"/>
        </w:rPr>
        <w:t>)</w:t>
      </w:r>
      <w:r w:rsidR="00FD11A5" w:rsidRPr="005B71D2">
        <w:rPr>
          <w:color w:val="000000"/>
          <w:spacing w:val="-2"/>
        </w:rPr>
        <w:t xml:space="preserve"> in Franklinton, Louisiana, for </w:t>
      </w:r>
      <w:r w:rsidR="00FD11A5">
        <w:rPr>
          <w:color w:val="000000"/>
          <w:spacing w:val="-2"/>
        </w:rPr>
        <w:t>willfully</w:t>
      </w:r>
      <w:r w:rsidR="00FD11A5" w:rsidRPr="005B71D2">
        <w:rPr>
          <w:color w:val="000000"/>
          <w:spacing w:val="-2"/>
        </w:rPr>
        <w:t xml:space="preserve"> and </w:t>
      </w:r>
      <w:r w:rsidR="00FD11A5">
        <w:rPr>
          <w:color w:val="000000"/>
          <w:spacing w:val="-2"/>
        </w:rPr>
        <w:t>repeatedly violating</w:t>
      </w:r>
      <w:r w:rsidR="00FD11A5" w:rsidRPr="005B71D2">
        <w:rPr>
          <w:color w:val="000000"/>
          <w:spacing w:val="-2"/>
        </w:rPr>
        <w:t xml:space="preserve"> Section 303(q) of the Communications Act of 1934, as amended (Act), and Sections 11.35(a</w:t>
      </w:r>
      <w:r w:rsidR="00FD11A5">
        <w:rPr>
          <w:color w:val="000000"/>
          <w:spacing w:val="-2"/>
        </w:rPr>
        <w:t>)–(</w:t>
      </w:r>
      <w:r w:rsidR="00FD11A5" w:rsidRPr="005B71D2">
        <w:rPr>
          <w:color w:val="000000"/>
          <w:spacing w:val="-2"/>
        </w:rPr>
        <w:t>b), 17.50, and 17.51(a) of the Commission’s rules (Rules).</w:t>
      </w:r>
      <w:r w:rsidR="00FD11A5" w:rsidRPr="005B71D2">
        <w:rPr>
          <w:rStyle w:val="FootnoteReference"/>
          <w:color w:val="000000"/>
          <w:spacing w:val="-2"/>
        </w:rPr>
        <w:footnoteReference w:id="2"/>
      </w:r>
      <w:r w:rsidR="00656D1E" w:rsidRPr="00065B50">
        <w:rPr>
          <w:spacing w:val="-2"/>
        </w:rPr>
        <w:t xml:space="preserve"> </w:t>
      </w:r>
      <w:r w:rsidR="00656D1E">
        <w:t xml:space="preserve">   </w:t>
      </w:r>
      <w:r w:rsidR="00656D1E" w:rsidRPr="00DF7137">
        <w:t xml:space="preserve"> </w:t>
      </w:r>
      <w:r w:rsidR="00656D1E">
        <w:t xml:space="preserve"> </w:t>
      </w:r>
      <w:r w:rsidR="00656D1E" w:rsidRPr="00065B50">
        <w:rPr>
          <w:spacing w:val="-2"/>
        </w:rPr>
        <w:t xml:space="preserve">  </w:t>
      </w:r>
    </w:p>
    <w:p w:rsidR="00656D1E" w:rsidRPr="00DF7137" w:rsidRDefault="00656D1E" w:rsidP="005B71D2">
      <w:pPr>
        <w:pStyle w:val="ParaNum"/>
        <w:numPr>
          <w:ilvl w:val="0"/>
          <w:numId w:val="0"/>
        </w:numPr>
        <w:tabs>
          <w:tab w:val="left" w:pos="720"/>
        </w:tabs>
        <w:spacing w:after="120"/>
        <w:rPr>
          <w:b/>
        </w:rPr>
      </w:pPr>
      <w:r w:rsidRPr="00DF7137">
        <w:rPr>
          <w:b/>
        </w:rPr>
        <w:t xml:space="preserve">II.  </w:t>
      </w:r>
      <w:r w:rsidR="00BE403E">
        <w:rPr>
          <w:b/>
        </w:rPr>
        <w:tab/>
      </w:r>
      <w:r w:rsidRPr="00DF7137">
        <w:rPr>
          <w:b/>
        </w:rPr>
        <w:t>BACKGROUND</w:t>
      </w:r>
    </w:p>
    <w:p w:rsidR="00656D1E" w:rsidRPr="0057487E" w:rsidRDefault="00656D1E" w:rsidP="005B71D2">
      <w:pPr>
        <w:numPr>
          <w:ilvl w:val="0"/>
          <w:numId w:val="1"/>
        </w:numPr>
        <w:tabs>
          <w:tab w:val="clear" w:pos="1080"/>
          <w:tab w:val="left" w:pos="0"/>
          <w:tab w:val="num" w:pos="1440"/>
        </w:tabs>
        <w:suppressAutoHyphens/>
        <w:autoSpaceDE w:val="0"/>
        <w:autoSpaceDN w:val="0"/>
        <w:adjustRightInd w:val="0"/>
        <w:spacing w:after="120"/>
        <w:rPr>
          <w:sz w:val="24"/>
          <w:szCs w:val="24"/>
        </w:rPr>
      </w:pPr>
      <w:r w:rsidRPr="009F5005">
        <w:rPr>
          <w:spacing w:val="-2"/>
        </w:rPr>
        <w:t xml:space="preserve">  On </w:t>
      </w:r>
      <w:r w:rsidR="004876F8">
        <w:rPr>
          <w:spacing w:val="-2"/>
        </w:rPr>
        <w:t>Ma</w:t>
      </w:r>
      <w:r w:rsidR="00093C2A">
        <w:rPr>
          <w:spacing w:val="-2"/>
        </w:rPr>
        <w:t>y 30</w:t>
      </w:r>
      <w:r w:rsidR="00DF0F50">
        <w:rPr>
          <w:spacing w:val="-2"/>
        </w:rPr>
        <w:t>, 2013</w:t>
      </w:r>
      <w:r w:rsidRPr="009F5005">
        <w:rPr>
          <w:spacing w:val="-2"/>
        </w:rPr>
        <w:t xml:space="preserve">, the Enforcement Bureau’s </w:t>
      </w:r>
      <w:r w:rsidR="00093C2A">
        <w:rPr>
          <w:spacing w:val="-2"/>
        </w:rPr>
        <w:t>New Orleans</w:t>
      </w:r>
      <w:r w:rsidRPr="009F5005">
        <w:rPr>
          <w:spacing w:val="-2"/>
        </w:rPr>
        <w:t xml:space="preserve"> Office (</w:t>
      </w:r>
      <w:r w:rsidR="00093C2A">
        <w:rPr>
          <w:spacing w:val="-2"/>
        </w:rPr>
        <w:t>New Orleans</w:t>
      </w:r>
      <w:r w:rsidRPr="009F5005">
        <w:rPr>
          <w:spacing w:val="-2"/>
        </w:rPr>
        <w:t xml:space="preserve"> Office) issued a Notice of Apparent Liability for Forfeiture and Order</w:t>
      </w:r>
      <w:r w:rsidRPr="009F5005">
        <w:rPr>
          <w:i/>
          <w:spacing w:val="-2"/>
        </w:rPr>
        <w:t xml:space="preserve"> </w:t>
      </w:r>
      <w:r w:rsidRPr="009F5005">
        <w:rPr>
          <w:spacing w:val="-2"/>
        </w:rPr>
        <w:t>(</w:t>
      </w:r>
      <w:r w:rsidRPr="009F5005">
        <w:rPr>
          <w:i/>
          <w:spacing w:val="-2"/>
        </w:rPr>
        <w:t>NAL</w:t>
      </w:r>
      <w:r w:rsidRPr="009F5005">
        <w:rPr>
          <w:spacing w:val="-2"/>
        </w:rPr>
        <w:t xml:space="preserve">) to </w:t>
      </w:r>
      <w:r w:rsidR="00093C2A">
        <w:rPr>
          <w:spacing w:val="-2"/>
        </w:rPr>
        <w:t xml:space="preserve">Pittman </w:t>
      </w:r>
      <w:r w:rsidR="00FD11A5">
        <w:rPr>
          <w:spacing w:val="-2"/>
        </w:rPr>
        <w:t xml:space="preserve">proposing a $22,500 forfeiture against it </w:t>
      </w:r>
      <w:r w:rsidR="00093C2A">
        <w:rPr>
          <w:spacing w:val="-2"/>
        </w:rPr>
        <w:t xml:space="preserve">for </w:t>
      </w:r>
      <w:r w:rsidR="00D60BDF">
        <w:rPr>
          <w:spacing w:val="-2"/>
        </w:rPr>
        <w:t>EAS and antenna structure violations.</w:t>
      </w:r>
      <w:r w:rsidR="00FD11A5">
        <w:rPr>
          <w:rStyle w:val="FootnoteReference"/>
          <w:spacing w:val="-2"/>
          <w:szCs w:val="20"/>
        </w:rPr>
        <w:footnoteReference w:id="3"/>
      </w:r>
      <w:r w:rsidR="00D60BDF">
        <w:rPr>
          <w:spacing w:val="-2"/>
        </w:rPr>
        <w:t xml:space="preserve">  </w:t>
      </w:r>
      <w:r w:rsidR="00FD11A5">
        <w:rPr>
          <w:spacing w:val="-2"/>
        </w:rPr>
        <w:t xml:space="preserve">In its </w:t>
      </w:r>
      <w:r w:rsidR="00FD11A5">
        <w:rPr>
          <w:i/>
          <w:spacing w:val="-2"/>
        </w:rPr>
        <w:t>NAL Response</w:t>
      </w:r>
      <w:r w:rsidR="00FD11A5">
        <w:rPr>
          <w:spacing w:val="-2"/>
        </w:rPr>
        <w:t>,</w:t>
      </w:r>
      <w:r w:rsidR="00FD11A5" w:rsidRPr="005B71D2">
        <w:rPr>
          <w:i/>
          <w:spacing w:val="-2"/>
        </w:rPr>
        <w:t xml:space="preserve"> </w:t>
      </w:r>
      <w:r w:rsidR="00093C2A">
        <w:rPr>
          <w:spacing w:val="-2"/>
        </w:rPr>
        <w:t>Pittman</w:t>
      </w:r>
      <w:r>
        <w:rPr>
          <w:spacing w:val="-2"/>
        </w:rPr>
        <w:t xml:space="preserve"> </w:t>
      </w:r>
      <w:r w:rsidR="00FD11A5">
        <w:t>stated</w:t>
      </w:r>
      <w:r w:rsidR="00D60BDF">
        <w:t xml:space="preserve"> that </w:t>
      </w:r>
      <w:r w:rsidR="000F3DCA">
        <w:t xml:space="preserve">it </w:t>
      </w:r>
      <w:r w:rsidR="00D727E6">
        <w:t>had</w:t>
      </w:r>
      <w:r w:rsidR="009447CA">
        <w:t xml:space="preserve"> </w:t>
      </w:r>
      <w:r w:rsidR="00D60BDF">
        <w:t xml:space="preserve">repaired its EAS equipment </w:t>
      </w:r>
      <w:r w:rsidR="000F3DCA">
        <w:t xml:space="preserve">at the Station, notified the Federal Aviation Administration of the lighting outage on the Antenna Structure, and </w:t>
      </w:r>
      <w:r w:rsidR="00D60BDF">
        <w:t xml:space="preserve">planned to </w:t>
      </w:r>
      <w:r w:rsidR="000F3DCA">
        <w:t>dismantle the Antenna Structure.</w:t>
      </w:r>
      <w:r w:rsidR="000F3DCA">
        <w:rPr>
          <w:rStyle w:val="FootnoteReference"/>
        </w:rPr>
        <w:footnoteReference w:id="4"/>
      </w:r>
      <w:r w:rsidR="000F3DCA">
        <w:t xml:space="preserve">  In addition, </w:t>
      </w:r>
      <w:r w:rsidR="000F3DCA">
        <w:lastRenderedPageBreak/>
        <w:t xml:space="preserve">Pittman requested </w:t>
      </w:r>
      <w:r w:rsidR="00FD11A5">
        <w:t xml:space="preserve">a </w:t>
      </w:r>
      <w:r w:rsidR="00555AC1">
        <w:t>reduction of the proposed forfeiture</w:t>
      </w:r>
      <w:r w:rsidR="00D727E6">
        <w:t>.</w:t>
      </w:r>
      <w:r w:rsidR="0057487E">
        <w:rPr>
          <w:rStyle w:val="FootnoteReference"/>
        </w:rPr>
        <w:footnoteReference w:id="5"/>
      </w:r>
      <w:r w:rsidR="0057487E">
        <w:rPr>
          <w:spacing w:val="-2"/>
        </w:rPr>
        <w:t xml:space="preserve">  </w:t>
      </w:r>
      <w:r w:rsidR="00555AC1">
        <w:rPr>
          <w:spacing w:val="-2"/>
        </w:rPr>
        <w:t>In support of its request for reduction of the proposed forfeiture, Pittman asserts</w:t>
      </w:r>
      <w:r w:rsidR="00D727E6">
        <w:rPr>
          <w:spacing w:val="-2"/>
        </w:rPr>
        <w:t xml:space="preserve"> that it operated at</w:t>
      </w:r>
      <w:r w:rsidR="00555AC1">
        <w:rPr>
          <w:spacing w:val="-2"/>
        </w:rPr>
        <w:t xml:space="preserve"> a net loss in 2009 and 2010,</w:t>
      </w:r>
      <w:r w:rsidR="00D727E6">
        <w:rPr>
          <w:spacing w:val="-2"/>
        </w:rPr>
        <w:t xml:space="preserve"> had minimal net income in 2011</w:t>
      </w:r>
      <w:r w:rsidR="00555AC1">
        <w:rPr>
          <w:spacing w:val="-2"/>
        </w:rPr>
        <w:t>, and is unable to pay the forfeiture</w:t>
      </w:r>
      <w:r w:rsidR="0057487E">
        <w:rPr>
          <w:spacing w:val="-2"/>
        </w:rPr>
        <w:t>.</w:t>
      </w:r>
      <w:r w:rsidR="0057487E">
        <w:rPr>
          <w:rStyle w:val="FootnoteReference"/>
        </w:rPr>
        <w:footnoteReference w:id="6"/>
      </w:r>
      <w:r w:rsidR="0057487E">
        <w:rPr>
          <w:sz w:val="24"/>
          <w:szCs w:val="24"/>
        </w:rPr>
        <w:t xml:space="preserve"> </w:t>
      </w:r>
    </w:p>
    <w:p w:rsidR="00656D1E" w:rsidRPr="00DF4DC9" w:rsidRDefault="00656D1E" w:rsidP="005B71D2">
      <w:pPr>
        <w:numPr>
          <w:ilvl w:val="0"/>
          <w:numId w:val="3"/>
        </w:numPr>
        <w:tabs>
          <w:tab w:val="clear" w:pos="1080"/>
          <w:tab w:val="num" w:pos="720"/>
        </w:tabs>
        <w:suppressAutoHyphens/>
        <w:autoSpaceDE w:val="0"/>
        <w:autoSpaceDN w:val="0"/>
        <w:adjustRightInd w:val="0"/>
        <w:spacing w:after="120"/>
        <w:ind w:left="0" w:firstLine="0"/>
        <w:rPr>
          <w:b/>
        </w:rPr>
      </w:pPr>
      <w:r w:rsidRPr="00DF7137">
        <w:rPr>
          <w:b/>
        </w:rPr>
        <w:t>DISCUSSION</w:t>
      </w:r>
    </w:p>
    <w:p w:rsidR="000F3DCA" w:rsidRPr="000F3DCA" w:rsidRDefault="000F3DCA" w:rsidP="00F945C2">
      <w:pPr>
        <w:numPr>
          <w:ilvl w:val="0"/>
          <w:numId w:val="1"/>
        </w:numPr>
        <w:tabs>
          <w:tab w:val="clear" w:pos="1080"/>
          <w:tab w:val="num" w:pos="1440"/>
          <w:tab w:val="left" w:pos="4680"/>
          <w:tab w:val="left" w:pos="5760"/>
        </w:tabs>
        <w:autoSpaceDE w:val="0"/>
        <w:autoSpaceDN w:val="0"/>
        <w:adjustRightInd w:val="0"/>
        <w:spacing w:after="120"/>
        <w:rPr>
          <w:color w:val="000000"/>
        </w:rPr>
      </w:pPr>
      <w:r>
        <w:t xml:space="preserve">As Pittman does not deny any of the facts stated in the </w:t>
      </w:r>
      <w:r>
        <w:rPr>
          <w:i/>
        </w:rPr>
        <w:t>NAL</w:t>
      </w:r>
      <w:r>
        <w:t xml:space="preserve">, we affirm the </w:t>
      </w:r>
      <w:r>
        <w:rPr>
          <w:i/>
        </w:rPr>
        <w:t>NAL</w:t>
      </w:r>
      <w:r>
        <w:t>’s findings and conclude that Pittman willfully and repeatedly violated Section 303(q) of the Act and Sections 11.35(a)–(b), 17.50, and 17.51(a) of the Rules by failing to maintain operational EAS equipment and logs, clean or repaint the Antenna Structure as often as necessary to maintain good visibility, and exhibit required lighting on the Antenna Structure.</w:t>
      </w:r>
    </w:p>
    <w:p w:rsidR="00632C1C" w:rsidRDefault="00656D1E" w:rsidP="005B71D2">
      <w:pPr>
        <w:numPr>
          <w:ilvl w:val="0"/>
          <w:numId w:val="1"/>
        </w:numPr>
        <w:tabs>
          <w:tab w:val="clear" w:pos="1080"/>
          <w:tab w:val="num" w:pos="1440"/>
          <w:tab w:val="left" w:pos="4680"/>
          <w:tab w:val="left" w:pos="5760"/>
        </w:tabs>
        <w:autoSpaceDE w:val="0"/>
        <w:autoSpaceDN w:val="0"/>
        <w:adjustRightInd w:val="0"/>
        <w:spacing w:after="120"/>
        <w:rPr>
          <w:color w:val="000000"/>
        </w:rPr>
      </w:pPr>
      <w:r w:rsidRPr="00DF7137">
        <w:t>The proposed forfeiture amount</w:t>
      </w:r>
      <w:r>
        <w:t xml:space="preserve"> in this case was </w:t>
      </w:r>
      <w:r w:rsidRPr="00DF7137">
        <w:t xml:space="preserve">assessed in accordance with </w:t>
      </w:r>
      <w:r>
        <w:t>S</w:t>
      </w:r>
      <w:r w:rsidRPr="00DF7137">
        <w:t xml:space="preserve">ection 503(b) of the </w:t>
      </w:r>
      <w:r>
        <w:t>Act</w:t>
      </w:r>
      <w:r w:rsidRPr="00DF7137">
        <w:t>,</w:t>
      </w:r>
      <w:r w:rsidRPr="00DF7137">
        <w:rPr>
          <w:rStyle w:val="FootnoteReference"/>
          <w:szCs w:val="20"/>
        </w:rPr>
        <w:footnoteReference w:id="7"/>
      </w:r>
      <w:r w:rsidRPr="00DF7137">
        <w:t xml:space="preserve"> </w:t>
      </w:r>
      <w:r>
        <w:t>S</w:t>
      </w:r>
      <w:r w:rsidRPr="00DF7137">
        <w:t xml:space="preserve">ection 1.80 of the </w:t>
      </w:r>
      <w:r>
        <w:t>Rules</w:t>
      </w:r>
      <w:r w:rsidRPr="00DF7137">
        <w:t>,</w:t>
      </w:r>
      <w:r w:rsidRPr="00DF7137">
        <w:rPr>
          <w:rStyle w:val="FootnoteReference"/>
          <w:szCs w:val="20"/>
        </w:rPr>
        <w:footnoteReference w:id="8"/>
      </w:r>
      <w:r w:rsidRPr="00DF7137">
        <w:t xml:space="preserve"> and</w:t>
      </w:r>
      <w:r>
        <w:t xml:space="preserve"> the </w:t>
      </w:r>
      <w:r w:rsidRPr="00DF7137">
        <w:rPr>
          <w:i/>
        </w:rPr>
        <w:t>Forfeiture Policy Statement</w:t>
      </w:r>
      <w:r w:rsidRPr="00DF7137">
        <w:t>.</w:t>
      </w:r>
      <w:r>
        <w:rPr>
          <w:rStyle w:val="FootnoteReference"/>
          <w:szCs w:val="20"/>
        </w:rPr>
        <w:footnoteReference w:id="9"/>
      </w:r>
      <w:r w:rsidRPr="00DF7137">
        <w:t xml:space="preserve">  In examining </w:t>
      </w:r>
      <w:r w:rsidR="001C5796">
        <w:t>Pittman</w:t>
      </w:r>
      <w:r>
        <w:t>’s</w:t>
      </w:r>
      <w:r w:rsidRPr="00DF7137">
        <w:t xml:space="preserve"> </w:t>
      </w:r>
      <w:r w:rsidR="00632C1C">
        <w:rPr>
          <w:i/>
        </w:rPr>
        <w:t>NAL Response</w:t>
      </w:r>
      <w:r w:rsidRPr="00DF7137">
        <w:t xml:space="preserve">, </w:t>
      </w:r>
      <w:r>
        <w:t>S</w:t>
      </w:r>
      <w:r w:rsidRPr="00DF7137">
        <w:t>ection 503(b)</w:t>
      </w:r>
      <w:r>
        <w:t>(2)(E)</w:t>
      </w:r>
      <w:r w:rsidRPr="00DF7137">
        <w:t xml:space="preserve"> of the Act requires that the Commission take into account the nature, circumstances, extent</w:t>
      </w:r>
      <w:r>
        <w:t>,</w:t>
      </w:r>
      <w:r w:rsidRPr="00DF7137">
        <w:t xml:space="preserve"> and gravity of the violation and, with respect to the violator, the degree of culpability, any </w:t>
      </w:r>
      <w:r w:rsidRPr="00CC0056">
        <w:rPr>
          <w:color w:val="000000"/>
        </w:rPr>
        <w:t>history of prior offenses, ability to pay, and other such matters as justice may require.</w:t>
      </w:r>
      <w:r w:rsidRPr="00CC0056">
        <w:rPr>
          <w:rStyle w:val="FootnoteReference"/>
          <w:color w:val="000000"/>
          <w:szCs w:val="20"/>
        </w:rPr>
        <w:footnoteReference w:id="10"/>
      </w:r>
      <w:r w:rsidRPr="00CC0056">
        <w:rPr>
          <w:color w:val="000000"/>
        </w:rPr>
        <w:t xml:space="preserve">  As discussed below, we have considered </w:t>
      </w:r>
      <w:r w:rsidR="001C5796">
        <w:rPr>
          <w:color w:val="000000"/>
        </w:rPr>
        <w:t>Pittman</w:t>
      </w:r>
      <w:r w:rsidRPr="00CC0056">
        <w:rPr>
          <w:color w:val="000000"/>
        </w:rPr>
        <w:t xml:space="preserve">’s </w:t>
      </w:r>
      <w:r w:rsidR="00632C1C">
        <w:rPr>
          <w:i/>
          <w:color w:val="000000"/>
        </w:rPr>
        <w:t>NAL Response</w:t>
      </w:r>
      <w:r w:rsidRPr="00CC0056">
        <w:rPr>
          <w:color w:val="000000"/>
        </w:rPr>
        <w:t xml:space="preserve"> in l</w:t>
      </w:r>
      <w:r w:rsidR="00632C1C">
        <w:rPr>
          <w:color w:val="000000"/>
        </w:rPr>
        <w:t>ight of these statutory factors</w:t>
      </w:r>
      <w:r w:rsidRPr="00CC0056">
        <w:rPr>
          <w:color w:val="000000"/>
        </w:rPr>
        <w:t xml:space="preserve"> and find that a reduction of the forfeiture is </w:t>
      </w:r>
      <w:r w:rsidR="00632C1C">
        <w:rPr>
          <w:color w:val="000000"/>
        </w:rPr>
        <w:t>un</w:t>
      </w:r>
      <w:r w:rsidRPr="00CC0056">
        <w:rPr>
          <w:color w:val="000000"/>
        </w:rPr>
        <w:t>warranted.</w:t>
      </w:r>
    </w:p>
    <w:p w:rsidR="00C77557" w:rsidRPr="005C6819" w:rsidRDefault="00C77557" w:rsidP="005C6819">
      <w:pPr>
        <w:numPr>
          <w:ilvl w:val="0"/>
          <w:numId w:val="1"/>
        </w:numPr>
        <w:tabs>
          <w:tab w:val="clear" w:pos="1080"/>
          <w:tab w:val="num" w:pos="1440"/>
          <w:tab w:val="left" w:pos="4680"/>
          <w:tab w:val="left" w:pos="5760"/>
        </w:tabs>
        <w:autoSpaceDE w:val="0"/>
        <w:autoSpaceDN w:val="0"/>
        <w:adjustRightInd w:val="0"/>
        <w:spacing w:after="120"/>
        <w:rPr>
          <w:color w:val="000000"/>
        </w:rPr>
      </w:pPr>
      <w:r>
        <w:t xml:space="preserve">In response to the </w:t>
      </w:r>
      <w:r>
        <w:rPr>
          <w:i/>
        </w:rPr>
        <w:t>NAL</w:t>
      </w:r>
      <w:r>
        <w:t>,</w:t>
      </w:r>
      <w:r>
        <w:rPr>
          <w:i/>
        </w:rPr>
        <w:t xml:space="preserve"> </w:t>
      </w:r>
      <w:r w:rsidR="00632C1C">
        <w:t xml:space="preserve">Pittman certified that </w:t>
      </w:r>
      <w:r w:rsidR="00632C1C">
        <w:rPr>
          <w:spacing w:val="-2"/>
        </w:rPr>
        <w:t xml:space="preserve">it repaired its </w:t>
      </w:r>
      <w:r w:rsidR="00632C1C" w:rsidRPr="006D40A4">
        <w:rPr>
          <w:spacing w:val="-2"/>
        </w:rPr>
        <w:t xml:space="preserve">EAS equipment </w:t>
      </w:r>
      <w:r w:rsidR="00632C1C">
        <w:rPr>
          <w:spacing w:val="-2"/>
        </w:rPr>
        <w:t xml:space="preserve">to generate the required logs and </w:t>
      </w:r>
      <w:r w:rsidR="00632C1C">
        <w:t xml:space="preserve">notified the Federal Aviation Administration of the lighting </w:t>
      </w:r>
      <w:r w:rsidR="00632C1C" w:rsidRPr="00C77557">
        <w:t>outage on the Antenna Structure</w:t>
      </w:r>
      <w:r w:rsidR="00632C1C" w:rsidRPr="00C77557">
        <w:rPr>
          <w:spacing w:val="-2"/>
        </w:rPr>
        <w:t>.</w:t>
      </w:r>
      <w:r w:rsidR="00632C1C" w:rsidRPr="00C77557">
        <w:rPr>
          <w:rStyle w:val="FootnoteReference"/>
          <w:spacing w:val="-2"/>
          <w:sz w:val="22"/>
        </w:rPr>
        <w:footnoteReference w:id="11"/>
      </w:r>
      <w:r w:rsidR="00632C1C" w:rsidRPr="00C77557">
        <w:rPr>
          <w:spacing w:val="-2"/>
        </w:rPr>
        <w:t xml:space="preserve">  We note that </w:t>
      </w:r>
      <w:r w:rsidRPr="00632C1C">
        <w:t>corrective action taken to come into compliance with the Rules is expected, and such corrective action does not nullify or mitigate prior violations or associated forfeiture liability</w:t>
      </w:r>
      <w:r>
        <w:t>.</w:t>
      </w:r>
      <w:r>
        <w:rPr>
          <w:rStyle w:val="FootnoteReference"/>
        </w:rPr>
        <w:footnoteReference w:id="12"/>
      </w:r>
      <w:r>
        <w:t xml:space="preserve">  Pittman </w:t>
      </w:r>
      <w:r w:rsidR="000C02DA">
        <w:t>also stated</w:t>
      </w:r>
      <w:r>
        <w:t xml:space="preserve"> that it plans to dismantle the Antenna Structure</w:t>
      </w:r>
      <w:r w:rsidR="000C02DA">
        <w:t xml:space="preserve"> </w:t>
      </w:r>
      <w:r>
        <w:t>after it receives permission to relocate its Station</w:t>
      </w:r>
      <w:r w:rsidR="005C6819">
        <w:t xml:space="preserve"> transmitter</w:t>
      </w:r>
      <w:r>
        <w:t>.</w:t>
      </w:r>
      <w:r w:rsidR="005C6819">
        <w:rPr>
          <w:rStyle w:val="FootnoteReference"/>
        </w:rPr>
        <w:footnoteReference w:id="13"/>
      </w:r>
      <w:r>
        <w:t xml:space="preserve">  We caution Pittman that it wi</w:t>
      </w:r>
      <w:r w:rsidR="005C6819">
        <w:t xml:space="preserve">ll </w:t>
      </w:r>
      <w:r>
        <w:t xml:space="preserve">again be in violation of Section 17.51(a) of the Rules if the lights remain unlit and no active Notice to Airmen is in place.  </w:t>
      </w:r>
      <w:r w:rsidR="000C02DA">
        <w:t xml:space="preserve">As a result, </w:t>
      </w:r>
      <w:r>
        <w:t>Pittman must dismantle the Antenna Structure or repair the lights as soon as practicable.</w:t>
      </w:r>
      <w:r w:rsidR="000C02DA">
        <w:rPr>
          <w:rStyle w:val="FootnoteReference"/>
        </w:rPr>
        <w:footnoteReference w:id="14"/>
      </w:r>
    </w:p>
    <w:p w:rsidR="00632C1C" w:rsidRDefault="00632C1C" w:rsidP="00632C1C">
      <w:pPr>
        <w:tabs>
          <w:tab w:val="left" w:pos="4680"/>
          <w:tab w:val="left" w:pos="5760"/>
        </w:tabs>
        <w:autoSpaceDE w:val="0"/>
        <w:autoSpaceDN w:val="0"/>
        <w:adjustRightInd w:val="0"/>
        <w:spacing w:after="120"/>
        <w:rPr>
          <w:spacing w:val="-2"/>
        </w:rPr>
      </w:pPr>
    </w:p>
    <w:p w:rsidR="007176AE" w:rsidRDefault="00113402" w:rsidP="005B71D2">
      <w:pPr>
        <w:numPr>
          <w:ilvl w:val="0"/>
          <w:numId w:val="1"/>
        </w:numPr>
        <w:tabs>
          <w:tab w:val="clear" w:pos="1080"/>
          <w:tab w:val="num" w:pos="1440"/>
          <w:tab w:val="left" w:pos="4680"/>
          <w:tab w:val="left" w:pos="5760"/>
        </w:tabs>
        <w:autoSpaceDE w:val="0"/>
        <w:autoSpaceDN w:val="0"/>
        <w:adjustRightInd w:val="0"/>
        <w:spacing w:after="120"/>
      </w:pPr>
      <w:bookmarkStart w:id="1" w:name="_Toc70235218"/>
      <w:r w:rsidRPr="00A040B0">
        <w:rPr>
          <w:spacing w:val="-2"/>
        </w:rPr>
        <w:lastRenderedPageBreak/>
        <w:t xml:space="preserve">In </w:t>
      </w:r>
      <w:r w:rsidR="000C02DA">
        <w:rPr>
          <w:spacing w:val="-2"/>
        </w:rPr>
        <w:t>addition</w:t>
      </w:r>
      <w:r w:rsidRPr="00A040B0">
        <w:rPr>
          <w:spacing w:val="-2"/>
        </w:rPr>
        <w:t>, Pittman requested reduction of th</w:t>
      </w:r>
      <w:r w:rsidR="0062470C">
        <w:rPr>
          <w:spacing w:val="-2"/>
        </w:rPr>
        <w:t>e $22,5</w:t>
      </w:r>
      <w:r w:rsidR="000C02DA">
        <w:rPr>
          <w:spacing w:val="-2"/>
        </w:rPr>
        <w:t>00 forfeiture based on an alleged</w:t>
      </w:r>
      <w:r w:rsidRPr="00A040B0">
        <w:rPr>
          <w:spacing w:val="-2"/>
        </w:rPr>
        <w:t xml:space="preserve"> inability to pay.</w:t>
      </w:r>
      <w:r w:rsidR="000C02DA">
        <w:rPr>
          <w:rStyle w:val="FootnoteReference"/>
          <w:spacing w:val="-2"/>
        </w:rPr>
        <w:footnoteReference w:id="15"/>
      </w:r>
      <w:r w:rsidRPr="00A040B0">
        <w:rPr>
          <w:spacing w:val="-2"/>
        </w:rPr>
        <w:t xml:space="preserve">  </w:t>
      </w:r>
      <w:r w:rsidR="00BF73BA">
        <w:rPr>
          <w:spacing w:val="-2"/>
        </w:rPr>
        <w:t xml:space="preserve">Although Pittman acknowledged that </w:t>
      </w:r>
      <w:r w:rsidR="00BF73BA">
        <w:t xml:space="preserve">the Commission generally has found that </w:t>
      </w:r>
      <w:r w:rsidR="00BF73BA" w:rsidRPr="00231426">
        <w:t>gross revenues</w:t>
      </w:r>
      <w:r w:rsidR="00BF73BA">
        <w:t xml:space="preserve"> </w:t>
      </w:r>
      <w:r w:rsidR="00BF73BA" w:rsidRPr="00231426">
        <w:t>are</w:t>
      </w:r>
      <w:r w:rsidR="00BF73BA">
        <w:t xml:space="preserve"> the best indicator of an entity’s </w:t>
      </w:r>
      <w:r w:rsidR="00BF73BA" w:rsidRPr="00231426">
        <w:t>ability to pay a forfeiture</w:t>
      </w:r>
      <w:r w:rsidR="00BF73BA">
        <w:t xml:space="preserve"> and cited cases which granted reductions based on the entity’s gross revenues, it nevertheless requested a forfeiture reduction based on Pittman’s net revenues.</w:t>
      </w:r>
      <w:r w:rsidR="00BF73BA">
        <w:rPr>
          <w:rStyle w:val="FootnoteReference"/>
        </w:rPr>
        <w:footnoteReference w:id="16"/>
      </w:r>
      <w:r w:rsidR="00BF73BA">
        <w:t xml:space="preserve">  We find no reason to depart from our longstanding precedent and consider anything other than Pittman’s gross revenues when determining its ability to pay a forfeiture.</w:t>
      </w:r>
      <w:r w:rsidR="00BF73BA">
        <w:rPr>
          <w:rStyle w:val="FootnoteCharacters"/>
        </w:rPr>
        <w:footnoteReference w:id="17"/>
      </w:r>
      <w:r w:rsidR="00BF73BA">
        <w:t xml:space="preserve">  Based on the financial documents provided by Pittman, we find insufficient basis to reduce the forfeiture due to an inability to pay.</w:t>
      </w:r>
      <w:r w:rsidR="006D0061">
        <w:rPr>
          <w:rStyle w:val="FootnoteReference"/>
        </w:rPr>
        <w:footnoteReference w:id="18"/>
      </w:r>
    </w:p>
    <w:p w:rsidR="00656D1E" w:rsidRPr="00DF4DC9" w:rsidRDefault="00656D1E" w:rsidP="005B71D2">
      <w:pPr>
        <w:numPr>
          <w:ilvl w:val="0"/>
          <w:numId w:val="3"/>
        </w:numPr>
        <w:tabs>
          <w:tab w:val="clear" w:pos="1080"/>
          <w:tab w:val="num" w:pos="720"/>
        </w:tabs>
        <w:suppressAutoHyphens/>
        <w:autoSpaceDE w:val="0"/>
        <w:autoSpaceDN w:val="0"/>
        <w:adjustRightInd w:val="0"/>
        <w:spacing w:after="120"/>
        <w:ind w:left="0" w:firstLine="0"/>
        <w:rPr>
          <w:b/>
        </w:rPr>
      </w:pPr>
      <w:r w:rsidRPr="00DF7137">
        <w:rPr>
          <w:b/>
        </w:rPr>
        <w:t>ORDERING CLAUS</w:t>
      </w:r>
      <w:r w:rsidR="00BF73BA">
        <w:rPr>
          <w:b/>
        </w:rPr>
        <w:t>E</w:t>
      </w:r>
      <w:r w:rsidRPr="00DF7137">
        <w:rPr>
          <w:b/>
        </w:rPr>
        <w:t>S</w:t>
      </w:r>
      <w:bookmarkEnd w:id="1"/>
    </w:p>
    <w:p w:rsidR="00656D1E" w:rsidRPr="0062470C" w:rsidRDefault="00656D1E" w:rsidP="005B71D2">
      <w:pPr>
        <w:numPr>
          <w:ilvl w:val="0"/>
          <w:numId w:val="1"/>
        </w:numPr>
        <w:tabs>
          <w:tab w:val="clear" w:pos="1080"/>
          <w:tab w:val="num" w:pos="1440"/>
          <w:tab w:val="left" w:pos="4680"/>
          <w:tab w:val="left" w:pos="5760"/>
        </w:tabs>
        <w:autoSpaceDE w:val="0"/>
        <w:autoSpaceDN w:val="0"/>
        <w:adjustRightInd w:val="0"/>
        <w:spacing w:after="120"/>
        <w:rPr>
          <w:sz w:val="24"/>
          <w:szCs w:val="24"/>
        </w:rPr>
      </w:pPr>
      <w:r w:rsidRPr="0062470C">
        <w:rPr>
          <w:spacing w:val="-2"/>
        </w:rPr>
        <w:t>Accordingly</w:t>
      </w:r>
      <w:r w:rsidRPr="00DF7137">
        <w:t xml:space="preserve">, </w:t>
      </w:r>
      <w:r w:rsidRPr="00DF7137">
        <w:rPr>
          <w:b/>
        </w:rPr>
        <w:t>IT IS ORDERED</w:t>
      </w:r>
      <w:r w:rsidRPr="00DF7137">
        <w:t xml:space="preserve"> that, pursuant to </w:t>
      </w:r>
      <w:r>
        <w:t>S</w:t>
      </w:r>
      <w:r w:rsidR="00BF73BA">
        <w:t>ection 503(b) of the Act</w:t>
      </w:r>
      <w:r w:rsidRPr="00DF7137">
        <w:t xml:space="preserve"> and </w:t>
      </w:r>
      <w:r>
        <w:t>S</w:t>
      </w:r>
      <w:r w:rsidRPr="00DF7137">
        <w:t xml:space="preserve">ections 0.111, </w:t>
      </w:r>
      <w:r>
        <w:t xml:space="preserve">0.204, </w:t>
      </w:r>
      <w:r w:rsidRPr="00DF7137">
        <w:t>0.311</w:t>
      </w:r>
      <w:r>
        <w:t>, 0.314,</w:t>
      </w:r>
      <w:r w:rsidRPr="00DF7137">
        <w:t xml:space="preserve"> and</w:t>
      </w:r>
      <w:r w:rsidR="00BF73BA">
        <w:t xml:space="preserve"> 1.80(f)(4) of the Rules</w:t>
      </w:r>
      <w:r>
        <w:t xml:space="preserve">, </w:t>
      </w:r>
      <w:r w:rsidR="00373A4D">
        <w:t>Pittman Broadcasting Services, LLC</w:t>
      </w:r>
      <w:r>
        <w:rPr>
          <w:spacing w:val="-2"/>
        </w:rPr>
        <w:t xml:space="preserve"> </w:t>
      </w:r>
      <w:r w:rsidRPr="00DF7137">
        <w:rPr>
          <w:b/>
        </w:rPr>
        <w:t>IS LIABLE FOR A MONETARY FORFEITURE</w:t>
      </w:r>
      <w:r w:rsidR="00373A4D">
        <w:t xml:space="preserve"> in the amount of </w:t>
      </w:r>
      <w:r w:rsidR="0062470C">
        <w:t>twenty</w:t>
      </w:r>
      <w:r w:rsidR="00BF73BA">
        <w:t>-</w:t>
      </w:r>
      <w:r w:rsidR="0062470C">
        <w:t xml:space="preserve">two </w:t>
      </w:r>
      <w:r>
        <w:t xml:space="preserve">thousand </w:t>
      </w:r>
      <w:r w:rsidR="0062470C">
        <w:t>five hundred dollars ($22,5</w:t>
      </w:r>
      <w:r>
        <w:t>00</w:t>
      </w:r>
      <w:r w:rsidRPr="00DF7137">
        <w:t>) for violation</w:t>
      </w:r>
      <w:r>
        <w:t>s</w:t>
      </w:r>
      <w:r w:rsidRPr="00DF7137">
        <w:t xml:space="preserve"> of </w:t>
      </w:r>
      <w:r w:rsidR="0062470C">
        <w:t>Section 303(q) of th</w:t>
      </w:r>
      <w:r w:rsidR="00BF73BA">
        <w:t>e Act and Sections 11.35(a)–</w:t>
      </w:r>
      <w:r w:rsidR="0062470C">
        <w:t>(b), 17.50, and 17.51(a) of the Rules.</w:t>
      </w:r>
      <w:r w:rsidR="0062470C">
        <w:rPr>
          <w:rStyle w:val="FootnoteReference"/>
        </w:rPr>
        <w:footnoteReference w:id="19"/>
      </w:r>
    </w:p>
    <w:p w:rsidR="00656D1E" w:rsidRPr="00DF4DC9" w:rsidRDefault="00656D1E" w:rsidP="005B71D2">
      <w:pPr>
        <w:numPr>
          <w:ilvl w:val="0"/>
          <w:numId w:val="1"/>
        </w:numPr>
        <w:tabs>
          <w:tab w:val="clear" w:pos="1080"/>
          <w:tab w:val="left" w:pos="0"/>
          <w:tab w:val="num" w:pos="1440"/>
          <w:tab w:val="num" w:pos="1800"/>
        </w:tabs>
        <w:suppressAutoHyphens/>
        <w:autoSpaceDE w:val="0"/>
        <w:autoSpaceDN w:val="0"/>
        <w:adjustRightInd w:val="0"/>
        <w:spacing w:after="120"/>
      </w:pPr>
      <w:r w:rsidRPr="00947455">
        <w:t>Payment</w:t>
      </w:r>
      <w:r w:rsidRPr="009D09A5">
        <w:rPr>
          <w:rFonts w:eastAsia="MS Mincho"/>
        </w:rPr>
        <w:t xml:space="preserve"> of the forfeiture shall be made in the manner provided for in Sectio</w:t>
      </w:r>
      <w:r w:rsidR="00BF73BA">
        <w:rPr>
          <w:rFonts w:eastAsia="MS Mincho"/>
        </w:rPr>
        <w:t>n 1.80 of the Rules</w:t>
      </w:r>
      <w:r w:rsidRPr="009D09A5">
        <w:rPr>
          <w:rFonts w:eastAsia="MS Mincho"/>
        </w:rPr>
        <w:t xml:space="preserve"> within thirty (30) calendar days after the release date of this Forfeiture Order.</w:t>
      </w:r>
      <w:r w:rsidRPr="00947455">
        <w:rPr>
          <w:rStyle w:val="FootnoteReference"/>
          <w:rFonts w:eastAsia="MS Mincho"/>
          <w:szCs w:val="20"/>
        </w:rPr>
        <w:footnoteReference w:id="20"/>
      </w:r>
      <w:r w:rsidRPr="009D09A5">
        <w:rPr>
          <w:rFonts w:eastAsia="MS Mincho"/>
        </w:rPr>
        <w:t xml:space="preserve">  If the forfeiture is not paid within the period specified, the case may be referred to the U.S. Department of Justice for enforcement of the forfeiture pursuant to Section 504(a) of the Act.</w:t>
      </w:r>
      <w:r w:rsidRPr="00947455">
        <w:rPr>
          <w:rStyle w:val="FootnoteReference"/>
          <w:rFonts w:eastAsia="MS Mincho"/>
          <w:szCs w:val="20"/>
        </w:rPr>
        <w:footnoteReference w:id="21"/>
      </w:r>
      <w:r w:rsidRPr="009D09A5">
        <w:rPr>
          <w:rFonts w:eastAsia="MS Mincho"/>
        </w:rPr>
        <w:t xml:space="preserve">  </w:t>
      </w:r>
      <w:r w:rsidR="00373A4D">
        <w:rPr>
          <w:rFonts w:eastAsia="MS Mincho"/>
        </w:rPr>
        <w:t>Pittman Broadcasting Services, LLC</w:t>
      </w:r>
      <w:r w:rsidR="00945284">
        <w:rPr>
          <w:rFonts w:eastAsia="MS Mincho"/>
        </w:rPr>
        <w:t xml:space="preserve"> s</w:t>
      </w:r>
      <w:r w:rsidRPr="009D09A5">
        <w:rPr>
          <w:rFonts w:eastAsia="MS Mincho"/>
        </w:rPr>
        <w:t xml:space="preserve">hall send electronic notification of payment to </w:t>
      </w:r>
      <w:r w:rsidRPr="00947455">
        <w:t>SCR-Response@fcc.gov</w:t>
      </w:r>
      <w:r w:rsidRPr="009D09A5">
        <w:rPr>
          <w:rFonts w:eastAsia="MS Mincho"/>
        </w:rPr>
        <w:t xml:space="preserve"> on the date said payment is made.</w:t>
      </w:r>
      <w:r w:rsidRPr="00947455">
        <w:t xml:space="preserve">  </w:t>
      </w:r>
      <w:r w:rsidRPr="009D09A5">
        <w:rPr>
          <w:rFonts w:eastAsia="MS Mincho"/>
        </w:rPr>
        <w:t>The </w:t>
      </w:r>
      <w:r w:rsidRPr="00947455">
        <w:t>payment</w:t>
      </w:r>
      <w:r w:rsidRPr="009D09A5">
        <w:rPr>
          <w:rFonts w:eastAsia="MS Mincho"/>
        </w:rPr>
        <w:t xml:space="preserve"> must be made by check or similar instrument, wire transfer, or credit card, an</w:t>
      </w:r>
      <w:r w:rsidR="00BF73BA">
        <w:rPr>
          <w:rFonts w:eastAsia="MS Mincho"/>
        </w:rPr>
        <w:t>d must include the NAL/Account N</w:t>
      </w:r>
      <w:r w:rsidRPr="009D09A5">
        <w:rPr>
          <w:rFonts w:eastAsia="MS Mincho"/>
        </w:rPr>
        <w:t>umber and FRN referenced above.  Regardless of the form of payment, a completed FCC Form 159 (Remittance Advice) must be submitted.</w:t>
      </w:r>
      <w:r w:rsidRPr="00947455">
        <w:rPr>
          <w:rStyle w:val="FootnoteReference"/>
          <w:rFonts w:eastAsia="MS Mincho"/>
          <w:szCs w:val="20"/>
        </w:rPr>
        <w:footnoteReference w:id="22"/>
      </w:r>
      <w:r w:rsidRPr="009D09A5">
        <w:rPr>
          <w:rFonts w:eastAsia="MS Mincho"/>
        </w:rPr>
        <w:t xml:space="preserve">  When completing the FCC Form 159, enter the Account Number in block number 23A (call sign/other ID) and enter the letters “FORF” in block </w:t>
      </w:r>
      <w:r w:rsidR="00BF73BA">
        <w:rPr>
          <w:rFonts w:eastAsia="MS Mincho"/>
        </w:rPr>
        <w:t>number 24A (payment type code).</w:t>
      </w:r>
      <w:r w:rsidRPr="009D09A5">
        <w:rPr>
          <w:rFonts w:eastAsia="MS Mincho"/>
        </w:rPr>
        <w:t xml:space="preserve">  </w:t>
      </w:r>
      <w:r w:rsidRPr="009D09A5">
        <w:rPr>
          <w:color w:val="000000"/>
        </w:rPr>
        <w:t>Below are additional instructions you should follow based on the form of payment you select:</w:t>
      </w:r>
    </w:p>
    <w:p w:rsidR="00656D1E" w:rsidRPr="00947455" w:rsidRDefault="00656D1E" w:rsidP="005B71D2">
      <w:pPr>
        <w:pStyle w:val="ParaNum"/>
        <w:numPr>
          <w:ilvl w:val="0"/>
          <w:numId w:val="11"/>
        </w:numPr>
        <w:snapToGrid w:val="0"/>
        <w:spacing w:after="120"/>
        <w:rPr>
          <w:rFonts w:eastAsia="MS Mincho"/>
        </w:rPr>
      </w:pPr>
      <w:r w:rsidRPr="00947455">
        <w:rPr>
          <w:rFonts w:eastAsia="MS Mincho"/>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PostalCode">
        <w:smartTag w:uri="urn:schemas-microsoft-com:office:smarttags" w:element="PostalCode">
          <w:r w:rsidRPr="00947455">
            <w:rPr>
              <w:rFonts w:eastAsia="MS Mincho"/>
            </w:rPr>
            <w:t>P.O. Box 979088</w:t>
          </w:r>
        </w:smartTag>
        <w:r w:rsidRPr="00947455">
          <w:rPr>
            <w:rFonts w:eastAsia="MS Mincho"/>
          </w:rPr>
          <w:t xml:space="preserve">, </w:t>
        </w:r>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w:t>
          </w:r>
          <w:r w:rsidRPr="00947455">
            <w:rPr>
              <w:rFonts w:eastAsia="MS Mincho"/>
            </w:rPr>
            <w:lastRenderedPageBreak/>
            <w:t>9000</w:t>
          </w:r>
        </w:smartTag>
      </w:smartTag>
      <w:r w:rsidRPr="00947455">
        <w:rPr>
          <w:rFonts w:eastAsia="MS Mincho"/>
        </w:rPr>
        <w:t xml:space="preserve">, or sent via overnight mail to U.S. Bank – Government Lockbox #979088, SL-MO-C2-GL, 1005 </w:t>
      </w:r>
      <w:smartTag w:uri="urn:schemas-microsoft-com:office:smarttags" w:element="PostalCode">
        <w:r w:rsidRPr="00947455">
          <w:rPr>
            <w:rFonts w:eastAsia="MS Mincho"/>
          </w:rPr>
          <w:t>Convention</w:t>
        </w:r>
      </w:smartTag>
      <w:r w:rsidRPr="00947455">
        <w:rPr>
          <w:rFonts w:eastAsia="MS Mincho"/>
        </w:rPr>
        <w:t xml:space="preserve"> </w:t>
      </w:r>
      <w:smartTag w:uri="urn:schemas-microsoft-com:office:smarttags" w:element="PostalCode">
        <w:r w:rsidRPr="00947455">
          <w:rPr>
            <w:rFonts w:eastAsia="MS Mincho"/>
          </w:rPr>
          <w:t>Plaza</w:t>
        </w:r>
      </w:smartTag>
      <w:r w:rsidRPr="00947455">
        <w:rPr>
          <w:rFonts w:eastAsia="MS Mincho"/>
        </w:rPr>
        <w:t xml:space="preserve">, </w:t>
      </w:r>
      <w:smartTag w:uri="urn:schemas-microsoft-com:office:smarttags" w:element="PostalCode">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656D1E" w:rsidRPr="00947455" w:rsidRDefault="00656D1E" w:rsidP="005B71D2">
      <w:pPr>
        <w:pStyle w:val="ParaNum"/>
        <w:numPr>
          <w:ilvl w:val="0"/>
          <w:numId w:val="11"/>
        </w:numPr>
        <w:snapToGrid w:val="0"/>
        <w:spacing w:after="120"/>
        <w:rPr>
          <w:rFonts w:eastAsia="MS Mincho"/>
        </w:rPr>
      </w:pPr>
      <w:r w:rsidRPr="00947455">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656D1E" w:rsidRPr="00947455" w:rsidRDefault="00656D1E" w:rsidP="005B71D2">
      <w:pPr>
        <w:pStyle w:val="ParaNum"/>
        <w:numPr>
          <w:ilvl w:val="0"/>
          <w:numId w:val="11"/>
        </w:numPr>
        <w:snapToGrid w:val="0"/>
        <w:spacing w:after="120"/>
        <w:rPr>
          <w:rFonts w:eastAsia="MS Mincho"/>
        </w:rPr>
      </w:pPr>
      <w:r w:rsidRPr="00947455">
        <w:rPr>
          <w:rFonts w:eastAsia="MS Mincho"/>
        </w:rPr>
        <w:t>Payment by credit card must be made by providing the required credit card information on FCC Form 159 and signing and dating the Form 159 to aut</w:t>
      </w:r>
      <w:r w:rsidR="00BF73BA">
        <w:rPr>
          <w:rFonts w:eastAsia="MS Mincho"/>
        </w:rPr>
        <w:t>horize the credit card payment.</w:t>
      </w:r>
      <w:r w:rsidRPr="00947455">
        <w:rPr>
          <w:rFonts w:eastAsia="MS Mincho"/>
        </w:rPr>
        <w:t xml:space="preserve">  The completed Form 159 must then be mailed to Federal Communications Commission, </w:t>
      </w:r>
      <w:smartTag w:uri="urn:schemas-microsoft-com:office:smarttags" w:element="PostalCode">
        <w:smartTag w:uri="urn:schemas-microsoft-com:office:smarttags" w:element="PostalCode">
          <w:r w:rsidRPr="00947455">
            <w:rPr>
              <w:rFonts w:eastAsia="MS Mincho"/>
            </w:rPr>
            <w:t>P.O. Box 979088</w:t>
          </w:r>
        </w:smartTag>
        <w:r w:rsidRPr="00947455">
          <w:rPr>
            <w:rFonts w:eastAsia="MS Mincho"/>
          </w:rPr>
          <w:t xml:space="preserve">, </w:t>
        </w:r>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ostalCode">
        <w:r w:rsidRPr="00947455">
          <w:rPr>
            <w:rFonts w:eastAsia="MS Mincho"/>
          </w:rPr>
          <w:t>Convention</w:t>
        </w:r>
      </w:smartTag>
      <w:r w:rsidRPr="00947455">
        <w:rPr>
          <w:rFonts w:eastAsia="MS Mincho"/>
        </w:rPr>
        <w:t xml:space="preserve"> </w:t>
      </w:r>
      <w:smartTag w:uri="urn:schemas-microsoft-com:office:smarttags" w:element="PostalCode">
        <w:r w:rsidRPr="00947455">
          <w:rPr>
            <w:rFonts w:eastAsia="MS Mincho"/>
          </w:rPr>
          <w:t>Plaza</w:t>
        </w:r>
      </w:smartTag>
      <w:r w:rsidRPr="00947455">
        <w:rPr>
          <w:rFonts w:eastAsia="MS Mincho"/>
        </w:rPr>
        <w:t xml:space="preserve">, </w:t>
      </w:r>
      <w:smartTag w:uri="urn:schemas-microsoft-com:office:smarttags" w:element="PostalCode">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656D1E" w:rsidRPr="00DF4DC9" w:rsidRDefault="00656D1E" w:rsidP="005B71D2">
      <w:pPr>
        <w:tabs>
          <w:tab w:val="left" w:pos="0"/>
        </w:tabs>
        <w:suppressAutoHyphens/>
        <w:spacing w:after="120"/>
        <w:rPr>
          <w:spacing w:val="-2"/>
        </w:rPr>
      </w:pPr>
      <w:r w:rsidRPr="00947455">
        <w:tab/>
      </w:r>
      <w:r w:rsidR="00BF73BA">
        <w:t>10</w:t>
      </w:r>
      <w:r w:rsidRPr="00947455">
        <w:t>.</w:t>
      </w:r>
      <w:r w:rsidRPr="00947455">
        <w:tab/>
        <w:t>Any</w:t>
      </w:r>
      <w:r w:rsidRPr="00947455">
        <w:rPr>
          <w:rFonts w:eastAsia="MS Mincho"/>
        </w:rPr>
        <w:t xml:space="preserve"> request for </w:t>
      </w:r>
      <w:r w:rsidR="007176AE">
        <w:rPr>
          <w:rFonts w:eastAsia="MS Mincho"/>
        </w:rPr>
        <w:t xml:space="preserve">making </w:t>
      </w:r>
      <w:r w:rsidRPr="00947455">
        <w:rPr>
          <w:rFonts w:eastAsia="MS Mincho"/>
        </w:rPr>
        <w:t xml:space="preserve">full payment </w:t>
      </w:r>
      <w:r w:rsidR="007176AE">
        <w:rPr>
          <w:rFonts w:eastAsia="MS Mincho"/>
        </w:rPr>
        <w:t xml:space="preserve">over time </w:t>
      </w:r>
      <w:r w:rsidRPr="00947455">
        <w:rPr>
          <w:rFonts w:eastAsia="MS Mincho"/>
        </w:rPr>
        <w:t>under an installment plan should be sent to:  Chief Financial Officer—</w:t>
      </w:r>
      <w:r w:rsidRPr="00947455">
        <w:t>Financial</w:t>
      </w:r>
      <w:r w:rsidRPr="00947455">
        <w:rPr>
          <w:rFonts w:eastAsia="MS Mincho"/>
        </w:rPr>
        <w:t xml:space="preserve"> Operations, Federal Communications Commission, 445 12th Street, S.W., Room 1-A625, Washington, D.C.  20554.</w:t>
      </w:r>
      <w:r w:rsidRPr="00947455">
        <w:rPr>
          <w:rStyle w:val="FootnoteReference"/>
          <w:rFonts w:eastAsia="MS Mincho"/>
          <w:szCs w:val="20"/>
        </w:rPr>
        <w:footnoteReference w:id="23"/>
      </w:r>
      <w:r w:rsidRPr="00947455">
        <w:rPr>
          <w:rFonts w:eastAsia="MS Mincho"/>
        </w:rPr>
        <w:t>  If you have questions regarding payment procedures, please contact the Financial Operations Group Help Desk by phone, 1-877-480-3201, or by e</w:t>
      </w:r>
      <w:r w:rsidRPr="00947455">
        <w:rPr>
          <w:rFonts w:eastAsia="MS Mincho"/>
        </w:rPr>
        <w:noBreakHyphen/>
        <w:t>mail, ARINQUIRIES@fcc.gov</w:t>
      </w:r>
      <w:r w:rsidRPr="004E3D57">
        <w:rPr>
          <w:rFonts w:eastAsia="MS Mincho"/>
        </w:rPr>
        <w:t>.</w:t>
      </w:r>
    </w:p>
    <w:p w:rsidR="00656D1E" w:rsidRDefault="00656D1E" w:rsidP="005B71D2">
      <w:pPr>
        <w:numPr>
          <w:ilvl w:val="0"/>
          <w:numId w:val="14"/>
        </w:numPr>
        <w:tabs>
          <w:tab w:val="clear" w:pos="1080"/>
          <w:tab w:val="left" w:pos="0"/>
        </w:tabs>
        <w:suppressAutoHyphens/>
        <w:autoSpaceDE w:val="0"/>
        <w:autoSpaceDN w:val="0"/>
        <w:adjustRightInd w:val="0"/>
        <w:spacing w:after="120"/>
        <w:rPr>
          <w:color w:val="000000"/>
        </w:rPr>
      </w:pPr>
      <w:r w:rsidRPr="00DF7137">
        <w:rPr>
          <w:b/>
        </w:rPr>
        <w:t xml:space="preserve">IT </w:t>
      </w:r>
      <w:r w:rsidRPr="00334578">
        <w:rPr>
          <w:b/>
        </w:rPr>
        <w:t xml:space="preserve">IS </w:t>
      </w:r>
      <w:r w:rsidRPr="00DF7137">
        <w:rPr>
          <w:b/>
        </w:rPr>
        <w:t>FURTHER ORDERED</w:t>
      </w:r>
      <w:r w:rsidRPr="00DF7137">
        <w:t xml:space="preserve"> that a copy of this </w:t>
      </w:r>
      <w:r w:rsidR="00BF73BA">
        <w:t xml:space="preserve">Forfeiture </w:t>
      </w:r>
      <w:r w:rsidRPr="000328B4">
        <w:t>Order</w:t>
      </w:r>
      <w:r w:rsidRPr="00DF7137">
        <w:t xml:space="preserve"> shall be sent by </w:t>
      </w:r>
      <w:r>
        <w:t xml:space="preserve">both </w:t>
      </w:r>
      <w:r w:rsidRPr="00DF7137">
        <w:t>First Class and Certified Mail</w:t>
      </w:r>
      <w:r>
        <w:t>,</w:t>
      </w:r>
      <w:r w:rsidRPr="00DF7137">
        <w:t xml:space="preserve"> Return Receipt Requested</w:t>
      </w:r>
      <w:r>
        <w:t>,</w:t>
      </w:r>
      <w:r w:rsidRPr="00DF7137">
        <w:t xml:space="preserve"> to </w:t>
      </w:r>
      <w:r w:rsidR="00373A4D">
        <w:rPr>
          <w:color w:val="000000"/>
          <w:spacing w:val="-2"/>
        </w:rPr>
        <w:t>Pittman</w:t>
      </w:r>
      <w:r w:rsidR="00373A4D" w:rsidRPr="00913149">
        <w:rPr>
          <w:color w:val="000000"/>
          <w:spacing w:val="-2"/>
        </w:rPr>
        <w:t xml:space="preserve"> </w:t>
      </w:r>
      <w:r w:rsidR="00373A4D">
        <w:rPr>
          <w:color w:val="000000"/>
          <w:spacing w:val="-2"/>
        </w:rPr>
        <w:t>Broadcasting Services, LLC at 307 S. Jefferson Avenue, Covington, LA 70433</w:t>
      </w:r>
      <w:r w:rsidR="00BF73BA">
        <w:rPr>
          <w:color w:val="000000"/>
          <w:spacing w:val="-2"/>
        </w:rPr>
        <w:t>,</w:t>
      </w:r>
      <w:r w:rsidR="00945284">
        <w:rPr>
          <w:color w:val="000000"/>
        </w:rPr>
        <w:t xml:space="preserve"> and to its counsel, Da</w:t>
      </w:r>
      <w:r w:rsidR="00373A4D">
        <w:rPr>
          <w:color w:val="000000"/>
        </w:rPr>
        <w:t>n. J. Alpert</w:t>
      </w:r>
      <w:r w:rsidR="00945284">
        <w:rPr>
          <w:color w:val="000000"/>
        </w:rPr>
        <w:t xml:space="preserve">, </w:t>
      </w:r>
      <w:r w:rsidR="00F6029E">
        <w:rPr>
          <w:color w:val="000000"/>
        </w:rPr>
        <w:t xml:space="preserve">at </w:t>
      </w:r>
      <w:r w:rsidR="00373A4D" w:rsidRPr="000B7852">
        <w:t>2120 N 21</w:t>
      </w:r>
      <w:r w:rsidR="00373A4D" w:rsidRPr="000B7852">
        <w:rPr>
          <w:vertAlign w:val="superscript"/>
        </w:rPr>
        <w:t>st</w:t>
      </w:r>
      <w:r w:rsidR="00373A4D" w:rsidRPr="000B7852">
        <w:t xml:space="preserve"> Rd., Arlington, VA 22201</w:t>
      </w:r>
      <w:r>
        <w:rPr>
          <w:spacing w:val="-2"/>
        </w:rPr>
        <w:t>.</w:t>
      </w:r>
    </w:p>
    <w:p w:rsidR="00656D1E" w:rsidRPr="00B75C71" w:rsidRDefault="00656D1E" w:rsidP="005B71D2">
      <w:pPr>
        <w:widowControl w:val="0"/>
        <w:tabs>
          <w:tab w:val="left" w:pos="0"/>
        </w:tabs>
        <w:suppressAutoHyphens/>
        <w:autoSpaceDE w:val="0"/>
        <w:autoSpaceDN w:val="0"/>
        <w:adjustRightInd w:val="0"/>
        <w:spacing w:line="240" w:lineRule="atLeast"/>
        <w:rPr>
          <w:color w:val="000000"/>
        </w:rPr>
      </w:pPr>
    </w:p>
    <w:p w:rsidR="00656D1E" w:rsidRPr="00DF7137" w:rsidRDefault="00656D1E" w:rsidP="00634FC4">
      <w:pPr>
        <w:pStyle w:val="ParaNum"/>
        <w:numPr>
          <w:ilvl w:val="0"/>
          <w:numId w:val="0"/>
        </w:numPr>
        <w:spacing w:after="0"/>
        <w:ind w:left="4320"/>
      </w:pPr>
      <w:r w:rsidRPr="00DF7137">
        <w:t>FEDERAL COMMUNICATIONS COMMISSION</w:t>
      </w:r>
    </w:p>
    <w:p w:rsidR="00656D1E" w:rsidRDefault="00656D1E" w:rsidP="0062470C">
      <w:pPr>
        <w:pStyle w:val="ParaNum"/>
        <w:numPr>
          <w:ilvl w:val="0"/>
          <w:numId w:val="0"/>
        </w:numPr>
        <w:spacing w:after="0"/>
      </w:pPr>
    </w:p>
    <w:p w:rsidR="00656D1E" w:rsidRDefault="00656D1E" w:rsidP="00634FC4">
      <w:pPr>
        <w:pStyle w:val="ParaNum"/>
        <w:numPr>
          <w:ilvl w:val="0"/>
          <w:numId w:val="0"/>
        </w:numPr>
        <w:spacing w:after="0"/>
        <w:ind w:left="4320"/>
      </w:pPr>
    </w:p>
    <w:p w:rsidR="00656D1E" w:rsidRPr="00DF7137" w:rsidRDefault="00656D1E" w:rsidP="00634FC4">
      <w:pPr>
        <w:pStyle w:val="ParaNum"/>
        <w:numPr>
          <w:ilvl w:val="0"/>
          <w:numId w:val="0"/>
        </w:numPr>
        <w:spacing w:after="0"/>
        <w:ind w:left="4320"/>
      </w:pPr>
    </w:p>
    <w:p w:rsidR="00F945C2" w:rsidRDefault="00F945C2" w:rsidP="00634FC4">
      <w:pPr>
        <w:pStyle w:val="ParaNum"/>
        <w:numPr>
          <w:ilvl w:val="0"/>
          <w:numId w:val="0"/>
        </w:numPr>
        <w:spacing w:after="0"/>
        <w:ind w:left="3600" w:firstLine="720"/>
      </w:pPr>
    </w:p>
    <w:p w:rsidR="00656D1E" w:rsidRPr="00DF7137" w:rsidRDefault="00656D1E" w:rsidP="00634FC4">
      <w:pPr>
        <w:pStyle w:val="ParaNum"/>
        <w:numPr>
          <w:ilvl w:val="0"/>
          <w:numId w:val="0"/>
        </w:numPr>
        <w:spacing w:after="0"/>
        <w:ind w:left="3600" w:firstLine="720"/>
      </w:pPr>
      <w:r w:rsidRPr="00DF7137">
        <w:t>Dennis P. Carlton</w:t>
      </w:r>
    </w:p>
    <w:p w:rsidR="00656D1E" w:rsidRPr="00DF7137" w:rsidRDefault="00656D1E" w:rsidP="00634FC4">
      <w:pPr>
        <w:pStyle w:val="ParaNum"/>
        <w:numPr>
          <w:ilvl w:val="0"/>
          <w:numId w:val="0"/>
        </w:numPr>
        <w:spacing w:after="0"/>
        <w:ind w:left="3600" w:firstLine="720"/>
      </w:pPr>
      <w:r w:rsidRPr="00DF7137">
        <w:t>Regional Director, South Central Region</w:t>
      </w:r>
    </w:p>
    <w:p w:rsidR="00656D1E" w:rsidRPr="00DF7137" w:rsidRDefault="00656D1E" w:rsidP="00BE7599">
      <w:pPr>
        <w:pStyle w:val="ParaNum"/>
        <w:numPr>
          <w:ilvl w:val="0"/>
          <w:numId w:val="0"/>
        </w:numPr>
        <w:spacing w:after="0"/>
        <w:ind w:left="3600" w:firstLine="720"/>
      </w:pPr>
      <w:r w:rsidRPr="00DF7137">
        <w:t>Enforcement Bureau</w:t>
      </w:r>
    </w:p>
    <w:sectPr w:rsidR="00656D1E" w:rsidRPr="00DF7137" w:rsidSect="004221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6A" w:rsidRDefault="00B70B6A">
      <w:r>
        <w:separator/>
      </w:r>
    </w:p>
  </w:endnote>
  <w:endnote w:type="continuationSeparator" w:id="0">
    <w:p w:rsidR="00B70B6A" w:rsidRDefault="00B70B6A">
      <w:r>
        <w:continuationSeparator/>
      </w:r>
    </w:p>
  </w:endnote>
  <w:endnote w:type="continuationNotice" w:id="1">
    <w:p w:rsidR="00B70B6A" w:rsidRDefault="00B70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0E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6D1E" w:rsidRDefault="00656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Pr="009C3EAC" w:rsidRDefault="00656D1E" w:rsidP="000E5A45">
    <w:pPr>
      <w:pStyle w:val="Footer"/>
      <w:framePr w:wrap="around" w:vAnchor="text" w:hAnchor="margin" w:xAlign="center" w:y="1"/>
      <w:rPr>
        <w:rStyle w:val="PageNumber"/>
        <w:sz w:val="20"/>
        <w:szCs w:val="20"/>
      </w:rPr>
    </w:pPr>
    <w:r w:rsidRPr="009C3EAC">
      <w:rPr>
        <w:rStyle w:val="PageNumber"/>
        <w:sz w:val="20"/>
        <w:szCs w:val="20"/>
      </w:rPr>
      <w:fldChar w:fldCharType="begin"/>
    </w:r>
    <w:r w:rsidRPr="009C3EAC">
      <w:rPr>
        <w:rStyle w:val="PageNumber"/>
        <w:sz w:val="20"/>
        <w:szCs w:val="20"/>
      </w:rPr>
      <w:instrText xml:space="preserve">PAGE  </w:instrText>
    </w:r>
    <w:r w:rsidRPr="009C3EAC">
      <w:rPr>
        <w:rStyle w:val="PageNumber"/>
        <w:sz w:val="20"/>
        <w:szCs w:val="20"/>
      </w:rPr>
      <w:fldChar w:fldCharType="separate"/>
    </w:r>
    <w:r w:rsidR="00DF4425">
      <w:rPr>
        <w:rStyle w:val="PageNumber"/>
        <w:noProof/>
        <w:sz w:val="20"/>
        <w:szCs w:val="20"/>
      </w:rPr>
      <w:t>4</w:t>
    </w:r>
    <w:r w:rsidRPr="009C3EAC">
      <w:rPr>
        <w:rStyle w:val="PageNumber"/>
        <w:sz w:val="20"/>
        <w:szCs w:val="20"/>
      </w:rPr>
      <w:fldChar w:fldCharType="end"/>
    </w:r>
  </w:p>
  <w:p w:rsidR="00656D1E" w:rsidRDefault="00656D1E" w:rsidP="00B0322B">
    <w:pPr>
      <w:pStyle w:val="Footer"/>
      <w:jc w:val="right"/>
      <w:rPr>
        <w:sz w:val="20"/>
        <w:szCs w:val="20"/>
      </w:rPr>
    </w:pPr>
  </w:p>
  <w:p w:rsidR="00934B98" w:rsidRDefault="00934B98" w:rsidP="00934B98">
    <w:pPr>
      <w:pStyle w:val="Footer"/>
    </w:pPr>
  </w:p>
  <w:p w:rsidR="00934B98" w:rsidRPr="00B0322B" w:rsidRDefault="00934B98" w:rsidP="00B0322B">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4A" w:rsidRDefault="00455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6A" w:rsidRDefault="00B70B6A">
      <w:r>
        <w:separator/>
      </w:r>
    </w:p>
  </w:footnote>
  <w:footnote w:type="continuationSeparator" w:id="0">
    <w:p w:rsidR="00B70B6A" w:rsidRPr="005B71D2" w:rsidRDefault="00B70B6A" w:rsidP="00F945C2">
      <w:pPr>
        <w:rPr>
          <w:sz w:val="20"/>
        </w:rPr>
      </w:pPr>
      <w:r>
        <w:rPr>
          <w:sz w:val="20"/>
        </w:rPr>
        <w:t xml:space="preserve">(Continued from previous page)  </w:t>
      </w:r>
      <w:r>
        <w:rPr>
          <w:sz w:val="20"/>
        </w:rPr>
        <w:separator/>
      </w:r>
    </w:p>
  </w:footnote>
  <w:footnote w:type="continuationNotice" w:id="1">
    <w:p w:rsidR="00B70B6A" w:rsidRPr="005B71D2" w:rsidRDefault="00B70B6A" w:rsidP="00F945C2">
      <w:pPr>
        <w:rPr>
          <w:sz w:val="20"/>
        </w:rPr>
      </w:pPr>
      <w:r>
        <w:rPr>
          <w:sz w:val="20"/>
        </w:rPr>
        <w:t>(continued….)</w:t>
      </w:r>
    </w:p>
  </w:footnote>
  <w:footnote w:id="2">
    <w:p w:rsidR="00FD11A5" w:rsidRDefault="00FD11A5" w:rsidP="005B71D2">
      <w:pPr>
        <w:pStyle w:val="FootnoteText"/>
        <w:ind w:firstLine="0"/>
        <w:jc w:val="left"/>
      </w:pPr>
      <w:r>
        <w:rPr>
          <w:rStyle w:val="FootnoteReference"/>
        </w:rPr>
        <w:footnoteRef/>
      </w:r>
      <w:r>
        <w:t xml:space="preserve"> 47 U.S.C. § 303(q); 47 C.F.R. §§ 11.35(a)–(b), </w:t>
      </w:r>
      <w:r w:rsidRPr="005B71D2">
        <w:t>17.50, 17.51(a)</w:t>
      </w:r>
      <w:r>
        <w:t>.</w:t>
      </w:r>
    </w:p>
  </w:footnote>
  <w:footnote w:id="3">
    <w:p w:rsidR="00FD11A5" w:rsidRDefault="00FD11A5" w:rsidP="00C77557">
      <w:pPr>
        <w:pStyle w:val="FootnoteText"/>
        <w:ind w:firstLine="0"/>
        <w:jc w:val="left"/>
      </w:pPr>
      <w:r>
        <w:rPr>
          <w:rStyle w:val="FootnoteReference"/>
          <w:szCs w:val="20"/>
        </w:rPr>
        <w:footnoteRef/>
      </w:r>
      <w:r>
        <w:t xml:space="preserve"> </w:t>
      </w:r>
      <w:r>
        <w:rPr>
          <w:i/>
          <w:szCs w:val="20"/>
        </w:rPr>
        <w:t>Pittman Broadcasting Services, LLC</w:t>
      </w:r>
      <w:r>
        <w:rPr>
          <w:szCs w:val="20"/>
        </w:rPr>
        <w:t xml:space="preserve">, </w:t>
      </w:r>
      <w:r w:rsidRPr="00506867">
        <w:rPr>
          <w:szCs w:val="20"/>
        </w:rPr>
        <w:t>Notice of Apparent Liability for Forfeiture</w:t>
      </w:r>
      <w:r>
        <w:rPr>
          <w:szCs w:val="20"/>
        </w:rPr>
        <w:t xml:space="preserve"> and Order</w:t>
      </w:r>
      <w:r w:rsidRPr="004D4085">
        <w:rPr>
          <w:szCs w:val="20"/>
        </w:rPr>
        <w:t xml:space="preserve">, </w:t>
      </w:r>
      <w:r>
        <w:rPr>
          <w:szCs w:val="20"/>
        </w:rPr>
        <w:t xml:space="preserve">28 FCC Rcd 7986 (Enf. Bur. 2013).  </w:t>
      </w:r>
      <w:r w:rsidRPr="00076726">
        <w:rPr>
          <w:szCs w:val="20"/>
        </w:rPr>
        <w:t xml:space="preserve">A </w:t>
      </w:r>
      <w:r>
        <w:rPr>
          <w:szCs w:val="20"/>
        </w:rPr>
        <w:t xml:space="preserve">comprehensive recitation of the facts and history of this case can be found in the </w:t>
      </w:r>
      <w:r w:rsidRPr="00694C7A">
        <w:rPr>
          <w:i/>
          <w:szCs w:val="20"/>
        </w:rPr>
        <w:t>NAL</w:t>
      </w:r>
      <w:r>
        <w:rPr>
          <w:szCs w:val="20"/>
        </w:rPr>
        <w:t xml:space="preserve"> and is </w:t>
      </w:r>
      <w:r w:rsidRPr="008A4DF3">
        <w:rPr>
          <w:szCs w:val="20"/>
        </w:rPr>
        <w:t>incorporated herein by reference.</w:t>
      </w:r>
      <w:r>
        <w:rPr>
          <w:szCs w:val="20"/>
        </w:rPr>
        <w:t xml:space="preserve">  </w:t>
      </w:r>
    </w:p>
  </w:footnote>
  <w:footnote w:id="4">
    <w:p w:rsidR="000F3DCA" w:rsidRDefault="000F3DCA" w:rsidP="00C77557">
      <w:pPr>
        <w:pStyle w:val="FootnoteText"/>
        <w:ind w:firstLine="0"/>
        <w:jc w:val="left"/>
      </w:pPr>
      <w:r>
        <w:rPr>
          <w:rStyle w:val="FootnoteReference"/>
        </w:rPr>
        <w:footnoteRef/>
      </w:r>
      <w:r>
        <w:t xml:space="preserve"> Letter from Dan J. Alpert, Counsel for Pittman Broadcasting Services, LLC, to Deputy Regional Director, South Central Region, Enforcement Bureau at 1–2 (July 1, 2013) (on file in </w:t>
      </w:r>
      <w:r>
        <w:rPr>
          <w:szCs w:val="20"/>
        </w:rPr>
        <w:t>EB-FIELDSCR-12-0000237</w:t>
      </w:r>
      <w:r>
        <w:t>) (</w:t>
      </w:r>
      <w:r>
        <w:rPr>
          <w:i/>
        </w:rPr>
        <w:t>NAL Response</w:t>
      </w:r>
      <w:r>
        <w:t xml:space="preserve">).  Although this letter was labeled a “Petition for Reconsideration,” we are treating it as a response to the </w:t>
      </w:r>
      <w:r>
        <w:rPr>
          <w:i/>
        </w:rPr>
        <w:t>NAL</w:t>
      </w:r>
      <w:r>
        <w:t xml:space="preserve"> because the </w:t>
      </w:r>
      <w:r>
        <w:rPr>
          <w:i/>
        </w:rPr>
        <w:t xml:space="preserve">NAL </w:t>
      </w:r>
      <w:r>
        <w:t xml:space="preserve">was not a final Enforcement Bureau decision, but rather a notice of apparent liability for forfeiture.  </w:t>
      </w:r>
      <w:r>
        <w:rPr>
          <w:i/>
        </w:rPr>
        <w:t xml:space="preserve">See </w:t>
      </w:r>
      <w:r>
        <w:t xml:space="preserve">47 C.F.R. § 1.106 (stating that an aggrieved party may file a Petition for Reconsideration of “final actions taken pursuant to delegated authority . . . .”).  Moreover, we note that the </w:t>
      </w:r>
      <w:r>
        <w:rPr>
          <w:i/>
        </w:rPr>
        <w:t xml:space="preserve">NAL Response </w:t>
      </w:r>
      <w:r>
        <w:t xml:space="preserve">was due within 30 calendar days from release of the </w:t>
      </w:r>
      <w:r>
        <w:rPr>
          <w:i/>
        </w:rPr>
        <w:t>NAL</w:t>
      </w:r>
      <w:r>
        <w:t xml:space="preserve"> (by June 28, 2013), but was received by the New Orleans Office on or after July 3, 2013.  </w:t>
      </w:r>
      <w:r>
        <w:rPr>
          <w:i/>
        </w:rPr>
        <w:t>NAL</w:t>
      </w:r>
      <w:r>
        <w:t xml:space="preserve">, 28 FCC Rcd at 7983–84, para. 12.  </w:t>
      </w:r>
      <w:r>
        <w:rPr>
          <w:i/>
        </w:rPr>
        <w:t xml:space="preserve">See </w:t>
      </w:r>
      <w:r>
        <w:t xml:space="preserve">47 C.F.R. § 1.80(f)(3) (stating that a party will be afforded a reasonable period of time, usually 30 days, to show in writing why a forfeiture should not be imposed or should be reduced).  However, in light of the inability to pay issue raised by Pittman, we exercise our discretion to address the arguments made in the </w:t>
      </w:r>
      <w:r>
        <w:rPr>
          <w:i/>
        </w:rPr>
        <w:t>NAL Response</w:t>
      </w:r>
      <w:r>
        <w:t>.</w:t>
      </w:r>
    </w:p>
  </w:footnote>
  <w:footnote w:id="5">
    <w:p w:rsidR="0057487E" w:rsidRPr="000F3DCA" w:rsidRDefault="0057487E" w:rsidP="00C77557">
      <w:pPr>
        <w:pStyle w:val="FootnoteText"/>
        <w:ind w:firstLine="0"/>
        <w:jc w:val="left"/>
      </w:pPr>
      <w:r>
        <w:rPr>
          <w:rStyle w:val="FootnoteReference"/>
        </w:rPr>
        <w:footnoteRef/>
      </w:r>
      <w:r>
        <w:t xml:space="preserve"> </w:t>
      </w:r>
      <w:r w:rsidR="000F3DCA">
        <w:rPr>
          <w:i/>
        </w:rPr>
        <w:t xml:space="preserve">NAL Response </w:t>
      </w:r>
      <w:r w:rsidR="000F3DCA">
        <w:t xml:space="preserve">at </w:t>
      </w:r>
      <w:r w:rsidR="00BF73BA">
        <w:t>1–</w:t>
      </w:r>
      <w:r w:rsidR="000F3DCA">
        <w:t>2.</w:t>
      </w:r>
    </w:p>
  </w:footnote>
  <w:footnote w:id="6">
    <w:p w:rsidR="0057487E" w:rsidRDefault="0057487E" w:rsidP="005B71D2">
      <w:pPr>
        <w:pStyle w:val="FootnoteText"/>
        <w:ind w:firstLine="0"/>
        <w:jc w:val="left"/>
      </w:pPr>
      <w:r>
        <w:rPr>
          <w:rStyle w:val="FootnoteReference"/>
        </w:rPr>
        <w:footnoteRef/>
      </w:r>
      <w:r w:rsidR="000F3DCA">
        <w:t xml:space="preserve"> </w:t>
      </w:r>
      <w:r w:rsidR="000F3DCA">
        <w:rPr>
          <w:i/>
        </w:rPr>
        <w:t>Id</w:t>
      </w:r>
      <w:r w:rsidRPr="005B71D2">
        <w:t>.</w:t>
      </w:r>
    </w:p>
  </w:footnote>
  <w:footnote w:id="7">
    <w:p w:rsidR="00656D1E" w:rsidRDefault="00656D1E" w:rsidP="00C77557">
      <w:pPr>
        <w:pStyle w:val="FootnoteText"/>
        <w:ind w:firstLine="0"/>
        <w:jc w:val="left"/>
      </w:pPr>
      <w:r>
        <w:rPr>
          <w:rStyle w:val="FootnoteReference"/>
          <w:szCs w:val="20"/>
        </w:rPr>
        <w:footnoteRef/>
      </w:r>
      <w:r>
        <w:rPr>
          <w:szCs w:val="20"/>
        </w:rPr>
        <w:t xml:space="preserve"> </w:t>
      </w:r>
      <w:r w:rsidRPr="004D4085">
        <w:rPr>
          <w:szCs w:val="20"/>
        </w:rPr>
        <w:t>47 U.S.C. § 503(b).</w:t>
      </w:r>
    </w:p>
  </w:footnote>
  <w:footnote w:id="8">
    <w:p w:rsidR="00656D1E" w:rsidRDefault="00656D1E" w:rsidP="00C77557">
      <w:pPr>
        <w:pStyle w:val="FootnoteText"/>
        <w:ind w:firstLine="0"/>
        <w:jc w:val="left"/>
      </w:pPr>
      <w:r w:rsidRPr="004D4085">
        <w:rPr>
          <w:rStyle w:val="FootnoteReference"/>
          <w:szCs w:val="20"/>
        </w:rPr>
        <w:footnoteRef/>
      </w:r>
      <w:r>
        <w:rPr>
          <w:szCs w:val="20"/>
        </w:rPr>
        <w:t xml:space="preserve"> </w:t>
      </w:r>
      <w:r w:rsidRPr="004D4085">
        <w:rPr>
          <w:szCs w:val="20"/>
        </w:rPr>
        <w:t>47 C.F.R. § 1.80.</w:t>
      </w:r>
    </w:p>
  </w:footnote>
  <w:footnote w:id="9">
    <w:p w:rsidR="00656D1E" w:rsidRDefault="00656D1E" w:rsidP="00C77557">
      <w:pPr>
        <w:pStyle w:val="FootnoteText"/>
        <w:ind w:firstLine="0"/>
        <w:jc w:val="left"/>
      </w:pPr>
      <w:r w:rsidRPr="006F608F">
        <w:rPr>
          <w:rStyle w:val="FootnoteReference"/>
          <w:szCs w:val="20"/>
        </w:rPr>
        <w:footnoteRef/>
      </w:r>
      <w:r w:rsidRPr="006F608F">
        <w:rPr>
          <w:szCs w:val="20"/>
        </w:rPr>
        <w:t xml:space="preserve"> </w:t>
      </w:r>
      <w:r w:rsidRPr="006F608F">
        <w:rPr>
          <w:i/>
          <w:szCs w:val="20"/>
        </w:rPr>
        <w:t>The Commission’s Forfeiture Policy Statement and Amendment of Section 1.80 of the Rules to Incorporate the Forfeiture Guidelines</w:t>
      </w:r>
      <w:r w:rsidRPr="006F608F">
        <w:rPr>
          <w:szCs w:val="20"/>
        </w:rPr>
        <w:t xml:space="preserve">, Report and Order, 12 FCC Rcd 17087 (1997), </w:t>
      </w:r>
      <w:r w:rsidRPr="006F608F">
        <w:rPr>
          <w:i/>
          <w:szCs w:val="20"/>
        </w:rPr>
        <w:t>recon</w:t>
      </w:r>
      <w:r>
        <w:rPr>
          <w:i/>
          <w:szCs w:val="20"/>
        </w:rPr>
        <w:t>s</w:t>
      </w:r>
      <w:r w:rsidRPr="006F608F">
        <w:rPr>
          <w:i/>
          <w:szCs w:val="20"/>
        </w:rPr>
        <w:t>. denied</w:t>
      </w:r>
      <w:r w:rsidRPr="006F608F">
        <w:rPr>
          <w:szCs w:val="20"/>
        </w:rPr>
        <w:t xml:space="preserve">, 15 FCC Rcd 303 (1999) </w:t>
      </w:r>
      <w:r w:rsidRPr="00FE0FE8">
        <w:rPr>
          <w:szCs w:val="20"/>
        </w:rPr>
        <w:t>(</w:t>
      </w:r>
      <w:r w:rsidRPr="00FE0FE8">
        <w:rPr>
          <w:i/>
          <w:szCs w:val="20"/>
        </w:rPr>
        <w:t>Forfeiture Policy Statement</w:t>
      </w:r>
      <w:r w:rsidRPr="00FE0FE8">
        <w:rPr>
          <w:szCs w:val="20"/>
        </w:rPr>
        <w:t xml:space="preserve">).  </w:t>
      </w:r>
    </w:p>
  </w:footnote>
  <w:footnote w:id="10">
    <w:p w:rsidR="00656D1E" w:rsidRDefault="00656D1E" w:rsidP="00C77557">
      <w:pPr>
        <w:pStyle w:val="FootnoteText"/>
        <w:ind w:firstLine="0"/>
        <w:jc w:val="left"/>
      </w:pPr>
      <w:r w:rsidRPr="00FE0FE8">
        <w:rPr>
          <w:rStyle w:val="FootnoteReference"/>
          <w:szCs w:val="20"/>
        </w:rPr>
        <w:footnoteRef/>
      </w:r>
      <w:r w:rsidRPr="00FE0FE8">
        <w:rPr>
          <w:szCs w:val="20"/>
        </w:rPr>
        <w:t xml:space="preserve"> 47 U.S.C. § 503(b)(2)(E).</w:t>
      </w:r>
    </w:p>
  </w:footnote>
  <w:footnote w:id="11">
    <w:p w:rsidR="00632C1C" w:rsidRPr="00632C1C" w:rsidRDefault="00632C1C" w:rsidP="00C77557">
      <w:pPr>
        <w:pStyle w:val="FootnoteText"/>
        <w:tabs>
          <w:tab w:val="clear" w:pos="720"/>
        </w:tabs>
        <w:ind w:firstLine="0"/>
        <w:jc w:val="left"/>
        <w:rPr>
          <w:b/>
        </w:rPr>
      </w:pPr>
      <w:r>
        <w:rPr>
          <w:rStyle w:val="FootnoteReference"/>
        </w:rPr>
        <w:footnoteRef/>
      </w:r>
      <w:r>
        <w:t xml:space="preserve"> </w:t>
      </w:r>
      <w:r w:rsidR="00C77557">
        <w:rPr>
          <w:i/>
        </w:rPr>
        <w:t xml:space="preserve">See </w:t>
      </w:r>
      <w:r w:rsidR="00C77557">
        <w:t xml:space="preserve">Statement of Marcus Pittman, III, Managing Member of Pittman Broadcasting Services, LLC (July 1, 2013) (on file in </w:t>
      </w:r>
      <w:r w:rsidR="005C6819">
        <w:rPr>
          <w:szCs w:val="20"/>
        </w:rPr>
        <w:t>EB-FIELDSCR-12-0000237</w:t>
      </w:r>
      <w:r w:rsidR="00C77557">
        <w:rPr>
          <w:szCs w:val="20"/>
        </w:rPr>
        <w:t>) (</w:t>
      </w:r>
      <w:r w:rsidR="00C77557">
        <w:rPr>
          <w:i/>
          <w:szCs w:val="20"/>
        </w:rPr>
        <w:t>Pittman Statement</w:t>
      </w:r>
      <w:r w:rsidR="00C77557">
        <w:rPr>
          <w:szCs w:val="20"/>
        </w:rPr>
        <w:t>).</w:t>
      </w:r>
    </w:p>
  </w:footnote>
  <w:footnote w:id="12">
    <w:p w:rsidR="00C77557" w:rsidRPr="00C77557" w:rsidRDefault="00C77557" w:rsidP="00C77557">
      <w:pPr>
        <w:pStyle w:val="FootnoteText"/>
        <w:tabs>
          <w:tab w:val="clear" w:pos="720"/>
        </w:tabs>
        <w:ind w:firstLine="0"/>
        <w:jc w:val="left"/>
        <w:rPr>
          <w:i/>
        </w:rPr>
      </w:pPr>
      <w:r>
        <w:rPr>
          <w:rStyle w:val="FootnoteReference"/>
        </w:rPr>
        <w:footnoteRef/>
      </w:r>
      <w:r>
        <w:t xml:space="preserve"> </w:t>
      </w:r>
      <w:r>
        <w:rPr>
          <w:i/>
        </w:rPr>
        <w:t>See, e.g.</w:t>
      </w:r>
      <w:r>
        <w:t xml:space="preserve">, </w:t>
      </w:r>
      <w:r>
        <w:rPr>
          <w:i/>
        </w:rPr>
        <w:t>Mattoon Broad. Co.</w:t>
      </w:r>
      <w:r>
        <w:t>, Forfeiture Order, 29 FCC Rcd 2925 (Enf. Bur. 2014);</w:t>
      </w:r>
      <w:r>
        <w:rPr>
          <w:i/>
        </w:rPr>
        <w:t xml:space="preserve"> </w:t>
      </w:r>
      <w:r w:rsidRPr="00C77557">
        <w:rPr>
          <w:i/>
        </w:rPr>
        <w:t>Catholic Radio</w:t>
      </w:r>
      <w:r>
        <w:t xml:space="preserve"> </w:t>
      </w:r>
      <w:r>
        <w:rPr>
          <w:i/>
        </w:rPr>
        <w:t>Network of Loveland, Inc.</w:t>
      </w:r>
      <w:r>
        <w:t xml:space="preserve">, Forfeiture Order, 29 FCC Rcd 121 (Enf Bur. 2014); </w:t>
      </w:r>
      <w:r>
        <w:rPr>
          <w:i/>
        </w:rPr>
        <w:t>Argos Net, Inc.</w:t>
      </w:r>
      <w:r>
        <w:t>, Forfeiture Order, 28 FCC Rcd 1126 (Enf. Bur. 2013)</w:t>
      </w:r>
      <w:r>
        <w:rPr>
          <w:i/>
        </w:rPr>
        <w:t xml:space="preserve"> </w:t>
      </w:r>
    </w:p>
  </w:footnote>
  <w:footnote w:id="13">
    <w:p w:rsidR="005C6819" w:rsidRPr="005C6819" w:rsidRDefault="005C6819" w:rsidP="005C6819">
      <w:pPr>
        <w:pStyle w:val="FootnoteText"/>
        <w:tabs>
          <w:tab w:val="clear" w:pos="720"/>
        </w:tabs>
        <w:ind w:firstLine="0"/>
      </w:pPr>
      <w:r>
        <w:rPr>
          <w:rStyle w:val="FootnoteReference"/>
        </w:rPr>
        <w:footnoteRef/>
      </w:r>
      <w:r>
        <w:t xml:space="preserve"> </w:t>
      </w:r>
      <w:r>
        <w:rPr>
          <w:i/>
        </w:rPr>
        <w:t>See Pittman Statement</w:t>
      </w:r>
      <w:r>
        <w:t>.</w:t>
      </w:r>
    </w:p>
  </w:footnote>
  <w:footnote w:id="14">
    <w:p w:rsidR="000C02DA" w:rsidRDefault="000C02DA" w:rsidP="000C02DA">
      <w:pPr>
        <w:pStyle w:val="FootnoteText"/>
        <w:tabs>
          <w:tab w:val="clear" w:pos="720"/>
        </w:tabs>
        <w:ind w:firstLine="0"/>
      </w:pPr>
      <w:r>
        <w:rPr>
          <w:rStyle w:val="FootnoteReference"/>
        </w:rPr>
        <w:footnoteRef/>
      </w:r>
      <w:r>
        <w:t xml:space="preserve"> If Pittman fails to dismantle the Antenna Structure or repair the lights as soon as practicable, it will also be in violation of Section 17.56 of the Rules.  47 C.F.R. § 17.56.</w:t>
      </w:r>
    </w:p>
  </w:footnote>
  <w:footnote w:id="15">
    <w:p w:rsidR="000C02DA" w:rsidRDefault="000C02DA" w:rsidP="000C02DA">
      <w:pPr>
        <w:pStyle w:val="FootnoteText"/>
        <w:ind w:firstLine="0"/>
        <w:jc w:val="left"/>
      </w:pPr>
      <w:r>
        <w:rPr>
          <w:rStyle w:val="FootnoteReference"/>
        </w:rPr>
        <w:footnoteRef/>
      </w:r>
      <w:r>
        <w:t xml:space="preserve"> </w:t>
      </w:r>
      <w:r>
        <w:rPr>
          <w:i/>
        </w:rPr>
        <w:t xml:space="preserve">NAL Response </w:t>
      </w:r>
      <w:r>
        <w:t xml:space="preserve">at </w:t>
      </w:r>
      <w:r w:rsidR="00BF73BA">
        <w:t>1–</w:t>
      </w:r>
      <w:r>
        <w:t>2.</w:t>
      </w:r>
    </w:p>
  </w:footnote>
  <w:footnote w:id="16">
    <w:p w:rsidR="00BF73BA" w:rsidRDefault="00BF73BA" w:rsidP="005B71D2">
      <w:pPr>
        <w:pStyle w:val="FootnoteText"/>
        <w:ind w:firstLine="0"/>
        <w:jc w:val="left"/>
      </w:pPr>
      <w:r>
        <w:rPr>
          <w:rStyle w:val="FootnoteReference"/>
        </w:rPr>
        <w:footnoteRef/>
      </w:r>
      <w:r>
        <w:t xml:space="preserve"> </w:t>
      </w:r>
      <w:r>
        <w:rPr>
          <w:i/>
        </w:rPr>
        <w:t xml:space="preserve">Id. </w:t>
      </w:r>
      <w:r>
        <w:t xml:space="preserve">at 1–2. </w:t>
      </w:r>
    </w:p>
  </w:footnote>
  <w:footnote w:id="17">
    <w:p w:rsidR="00BF73BA" w:rsidRDefault="00BF73BA" w:rsidP="00BF73BA">
      <w:pPr>
        <w:pStyle w:val="FootnoteText"/>
        <w:widowControl/>
        <w:ind w:firstLine="0"/>
        <w:jc w:val="left"/>
      </w:pPr>
      <w:r w:rsidRPr="006F608F">
        <w:rPr>
          <w:rStyle w:val="FootnoteCharacters"/>
          <w:szCs w:val="20"/>
        </w:rPr>
        <w:footnoteRef/>
      </w:r>
      <w:r w:rsidRPr="006F608F">
        <w:rPr>
          <w:i/>
          <w:szCs w:val="20"/>
        </w:rPr>
        <w:t xml:space="preserve"> See</w:t>
      </w:r>
      <w:r>
        <w:rPr>
          <w:i/>
          <w:szCs w:val="20"/>
        </w:rPr>
        <w:t>, e.g.</w:t>
      </w:r>
      <w:r>
        <w:rPr>
          <w:szCs w:val="20"/>
        </w:rPr>
        <w:t xml:space="preserve">, </w:t>
      </w:r>
      <w:r w:rsidRPr="006F608F">
        <w:rPr>
          <w:i/>
          <w:szCs w:val="20"/>
        </w:rPr>
        <w:t xml:space="preserve">Local Long Distance, Inc., </w:t>
      </w:r>
      <w:r w:rsidRPr="006F608F">
        <w:rPr>
          <w:szCs w:val="20"/>
        </w:rPr>
        <w:t>Forfeiture Order, 16 FCC Rcd 24385 (</w:t>
      </w:r>
      <w:r>
        <w:rPr>
          <w:szCs w:val="20"/>
        </w:rPr>
        <w:t xml:space="preserve">Enf. Bur. </w:t>
      </w:r>
      <w:r w:rsidRPr="006F608F">
        <w:rPr>
          <w:szCs w:val="20"/>
        </w:rPr>
        <w:t xml:space="preserve">2000) (forfeiture not deemed excessive where it represented approximately 7.9 percent of the violator’s gross revenues); </w:t>
      </w:r>
      <w:r w:rsidRPr="006F608F">
        <w:rPr>
          <w:i/>
          <w:szCs w:val="20"/>
        </w:rPr>
        <w:t>Hoosier Broad</w:t>
      </w:r>
      <w:r>
        <w:rPr>
          <w:i/>
          <w:szCs w:val="20"/>
        </w:rPr>
        <w:t>.</w:t>
      </w:r>
      <w:r w:rsidRPr="006F608F">
        <w:rPr>
          <w:i/>
          <w:szCs w:val="20"/>
        </w:rPr>
        <w:t xml:space="preserve"> Corp</w:t>
      </w:r>
      <w:r>
        <w:rPr>
          <w:i/>
          <w:szCs w:val="20"/>
        </w:rPr>
        <w:t>.</w:t>
      </w:r>
      <w:r>
        <w:rPr>
          <w:szCs w:val="20"/>
        </w:rPr>
        <w:t>,</w:t>
      </w:r>
      <w:r w:rsidRPr="006F608F">
        <w:rPr>
          <w:i/>
          <w:szCs w:val="20"/>
        </w:rPr>
        <w:t xml:space="preserve"> </w:t>
      </w:r>
      <w:r w:rsidRPr="006F608F">
        <w:rPr>
          <w:szCs w:val="20"/>
        </w:rPr>
        <w:t>Forfeiture Order, 15 FCC Rcd 8640 (</w:t>
      </w:r>
      <w:r>
        <w:rPr>
          <w:szCs w:val="20"/>
        </w:rPr>
        <w:t xml:space="preserve">Enf. Bur. </w:t>
      </w:r>
      <w:r w:rsidRPr="006F608F">
        <w:rPr>
          <w:szCs w:val="20"/>
        </w:rPr>
        <w:t>2002) (forfeiture not deemed excessive where it represented approximately 7.6 percent of the violator’s gross revenues).</w:t>
      </w:r>
      <w:r>
        <w:rPr>
          <w:szCs w:val="20"/>
        </w:rPr>
        <w:t xml:space="preserve">  </w:t>
      </w:r>
    </w:p>
  </w:footnote>
  <w:footnote w:id="18">
    <w:p w:rsidR="006D0061" w:rsidRDefault="006D0061" w:rsidP="00C77557">
      <w:pPr>
        <w:pStyle w:val="FootnoteText"/>
        <w:widowControl/>
        <w:ind w:firstLine="0"/>
        <w:jc w:val="left"/>
      </w:pPr>
      <w:r>
        <w:rPr>
          <w:rStyle w:val="FootnoteReference"/>
        </w:rPr>
        <w:footnoteRef/>
      </w:r>
      <w:r>
        <w:t xml:space="preserve"> </w:t>
      </w:r>
      <w:r w:rsidRPr="00E671A8">
        <w:rPr>
          <w:szCs w:val="20"/>
        </w:rPr>
        <w:t>Th</w:t>
      </w:r>
      <w:r w:rsidR="009A2A08">
        <w:rPr>
          <w:szCs w:val="20"/>
        </w:rPr>
        <w:t>e proposed $22,5</w:t>
      </w:r>
      <w:r>
        <w:rPr>
          <w:szCs w:val="20"/>
        </w:rPr>
        <w:t>00</w:t>
      </w:r>
      <w:r w:rsidRPr="00E671A8">
        <w:rPr>
          <w:szCs w:val="20"/>
        </w:rPr>
        <w:t xml:space="preserve"> forfeiture amount falls with</w:t>
      </w:r>
      <w:r>
        <w:rPr>
          <w:szCs w:val="20"/>
        </w:rPr>
        <w:t>in the percentage range that the Commission</w:t>
      </w:r>
      <w:r w:rsidRPr="00E671A8">
        <w:rPr>
          <w:szCs w:val="20"/>
        </w:rPr>
        <w:t xml:space="preserve"> </w:t>
      </w:r>
      <w:r>
        <w:rPr>
          <w:szCs w:val="20"/>
        </w:rPr>
        <w:t xml:space="preserve">has previously </w:t>
      </w:r>
      <w:r w:rsidRPr="00E671A8">
        <w:rPr>
          <w:szCs w:val="20"/>
        </w:rPr>
        <w:t>found acceptable.</w:t>
      </w:r>
      <w:r w:rsidRPr="00E671A8">
        <w:rPr>
          <w:i/>
          <w:szCs w:val="20"/>
        </w:rPr>
        <w:t xml:space="preserve">  See supra </w:t>
      </w:r>
      <w:r w:rsidRPr="00E671A8">
        <w:rPr>
          <w:szCs w:val="20"/>
        </w:rPr>
        <w:t xml:space="preserve">note </w:t>
      </w:r>
      <w:r w:rsidR="00BF73BA">
        <w:rPr>
          <w:szCs w:val="20"/>
        </w:rPr>
        <w:t>16</w:t>
      </w:r>
      <w:r>
        <w:rPr>
          <w:szCs w:val="20"/>
        </w:rPr>
        <w:t xml:space="preserve">.  </w:t>
      </w:r>
      <w:r w:rsidRPr="00F86B50">
        <w:rPr>
          <w:color w:val="000000"/>
          <w:shd w:val="clear" w:color="auto" w:fill="FFFFFF"/>
        </w:rPr>
        <w:t xml:space="preserve">If </w:t>
      </w:r>
      <w:r>
        <w:rPr>
          <w:color w:val="000000"/>
          <w:shd w:val="clear" w:color="auto" w:fill="FFFFFF"/>
        </w:rPr>
        <w:t>Pittman still</w:t>
      </w:r>
      <w:r w:rsidRPr="00F86B50">
        <w:rPr>
          <w:color w:val="000000"/>
          <w:shd w:val="clear" w:color="auto" w:fill="FFFFFF"/>
        </w:rPr>
        <w:t xml:space="preserve"> believes paying this amount presents financi</w:t>
      </w:r>
      <w:r>
        <w:rPr>
          <w:color w:val="000000"/>
          <w:shd w:val="clear" w:color="auto" w:fill="FFFFFF"/>
        </w:rPr>
        <w:t>al difficulties, we note that it</w:t>
      </w:r>
      <w:r w:rsidR="00BF73BA">
        <w:rPr>
          <w:color w:val="000000"/>
          <w:shd w:val="clear" w:color="auto" w:fill="FFFFFF"/>
        </w:rPr>
        <w:t xml:space="preserve"> could always request</w:t>
      </w:r>
      <w:r w:rsidRPr="00F86B50">
        <w:rPr>
          <w:color w:val="000000"/>
          <w:shd w:val="clear" w:color="auto" w:fill="FFFFFF"/>
        </w:rPr>
        <w:t xml:space="preserve"> an</w:t>
      </w:r>
      <w:r>
        <w:rPr>
          <w:color w:val="000000"/>
          <w:shd w:val="clear" w:color="auto" w:fill="FFFFFF"/>
        </w:rPr>
        <w:t xml:space="preserve"> installment </w:t>
      </w:r>
      <w:r w:rsidR="00BF73BA">
        <w:rPr>
          <w:color w:val="000000"/>
          <w:shd w:val="clear" w:color="auto" w:fill="FFFFFF"/>
        </w:rPr>
        <w:t xml:space="preserve">payment </w:t>
      </w:r>
      <w:r>
        <w:rPr>
          <w:color w:val="000000"/>
          <w:shd w:val="clear" w:color="auto" w:fill="FFFFFF"/>
        </w:rPr>
        <w:t>plan</w:t>
      </w:r>
      <w:bookmarkStart w:id="2" w:name="SR;2989"/>
      <w:bookmarkStart w:id="3" w:name="SearchTerm"/>
      <w:bookmarkEnd w:id="2"/>
      <w:r w:rsidRPr="00F86B50">
        <w:rPr>
          <w:color w:val="000000"/>
          <w:shd w:val="clear" w:color="auto" w:fill="FFFFFF"/>
        </w:rPr>
        <w:t xml:space="preserve"> to</w:t>
      </w:r>
      <w:bookmarkStart w:id="4" w:name="SR;2992"/>
      <w:bookmarkEnd w:id="3"/>
      <w:bookmarkEnd w:id="4"/>
      <w:r>
        <w:rPr>
          <w:color w:val="000000"/>
          <w:shd w:val="clear" w:color="auto" w:fill="FFFFFF"/>
        </w:rPr>
        <w:t xml:space="preserve"> lessen</w:t>
      </w:r>
      <w:r w:rsidRPr="00F86B50">
        <w:rPr>
          <w:rStyle w:val="apple-converted-space"/>
          <w:color w:val="000000"/>
          <w:shd w:val="clear" w:color="auto" w:fill="FFFFFF"/>
        </w:rPr>
        <w:t> </w:t>
      </w:r>
      <w:r w:rsidRPr="00F86B50">
        <w:rPr>
          <w:color w:val="000000"/>
          <w:shd w:val="clear" w:color="auto" w:fill="FFFFFF"/>
        </w:rPr>
        <w:t>the immediate impact of the forfeiture.</w:t>
      </w:r>
      <w:r w:rsidR="00BF73BA" w:rsidRPr="005B71D2">
        <w:rPr>
          <w:color w:val="000000"/>
          <w:shd w:val="clear" w:color="auto" w:fill="FFFFFF"/>
        </w:rPr>
        <w:t xml:space="preserve">  </w:t>
      </w:r>
      <w:r w:rsidR="00BF73BA">
        <w:rPr>
          <w:i/>
          <w:color w:val="000000"/>
          <w:shd w:val="clear" w:color="auto" w:fill="FFFFFF"/>
        </w:rPr>
        <w:t xml:space="preserve">See infra </w:t>
      </w:r>
      <w:r w:rsidR="00BF73BA">
        <w:rPr>
          <w:color w:val="000000"/>
          <w:shd w:val="clear" w:color="auto" w:fill="FFFFFF"/>
        </w:rPr>
        <w:t>para. 10.</w:t>
      </w:r>
      <w:r>
        <w:rPr>
          <w:szCs w:val="20"/>
        </w:rPr>
        <w:t xml:space="preserve"> </w:t>
      </w:r>
      <w:r w:rsidRPr="00E671A8">
        <w:rPr>
          <w:szCs w:val="20"/>
        </w:rPr>
        <w:t xml:space="preserve"> </w:t>
      </w:r>
      <w:r>
        <w:t xml:space="preserve"> </w:t>
      </w:r>
    </w:p>
  </w:footnote>
  <w:footnote w:id="19">
    <w:p w:rsidR="0062470C" w:rsidRDefault="0062470C" w:rsidP="00C77557">
      <w:pPr>
        <w:pStyle w:val="FootnoteText"/>
        <w:widowControl/>
        <w:ind w:firstLine="0"/>
        <w:jc w:val="left"/>
        <w:rPr>
          <w:szCs w:val="20"/>
        </w:rPr>
      </w:pPr>
      <w:r>
        <w:rPr>
          <w:rStyle w:val="FootnoteReference"/>
        </w:rPr>
        <w:footnoteRef/>
      </w:r>
      <w:r>
        <w:t xml:space="preserve"> 47 U.S.C. §§ 303(q), 503(b); 47 C.F.R. §§ 0.111, 0.204, 0.311, 0.314, 1.80</w:t>
      </w:r>
      <w:r w:rsidR="00BF73BA">
        <w:t>(f)(4), 11.35(a)–</w:t>
      </w:r>
      <w:r>
        <w:t>(b), 17.50, 17.51(a).</w:t>
      </w:r>
    </w:p>
  </w:footnote>
  <w:footnote w:id="20">
    <w:p w:rsidR="00656D1E" w:rsidRDefault="00656D1E" w:rsidP="005B71D2">
      <w:pPr>
        <w:pStyle w:val="FootnoteText"/>
        <w:ind w:firstLine="0"/>
        <w:jc w:val="left"/>
      </w:pPr>
      <w:r>
        <w:rPr>
          <w:rStyle w:val="FootnoteReference"/>
          <w:szCs w:val="20"/>
        </w:rPr>
        <w:footnoteRef/>
      </w:r>
      <w:r>
        <w:t xml:space="preserve"> 47 C.F.R. § 1.80.</w:t>
      </w:r>
    </w:p>
  </w:footnote>
  <w:footnote w:id="21">
    <w:p w:rsidR="00656D1E" w:rsidRDefault="00656D1E" w:rsidP="005B71D2">
      <w:pPr>
        <w:pStyle w:val="FootnoteText"/>
        <w:ind w:firstLine="0"/>
        <w:jc w:val="left"/>
      </w:pPr>
      <w:r>
        <w:rPr>
          <w:rStyle w:val="FootnoteReference"/>
          <w:szCs w:val="20"/>
        </w:rPr>
        <w:footnoteRef/>
      </w:r>
      <w:r>
        <w:t xml:space="preserve"> 47 U.S.C. § 504(a).</w:t>
      </w:r>
    </w:p>
  </w:footnote>
  <w:footnote w:id="22">
    <w:p w:rsidR="00656D1E" w:rsidRDefault="00656D1E" w:rsidP="00C77557">
      <w:pPr>
        <w:pStyle w:val="FootnoteText"/>
        <w:ind w:firstLine="0"/>
        <w:jc w:val="left"/>
      </w:pPr>
      <w:r>
        <w:rPr>
          <w:rStyle w:val="FootnoteReference"/>
          <w:szCs w:val="20"/>
        </w:rPr>
        <w:footnoteRef/>
      </w:r>
      <w:r>
        <w:t xml:space="preserve"> </w:t>
      </w:r>
      <w:r>
        <w:rPr>
          <w:rFonts w:eastAsia="MS Mincho" w:cs="Arial"/>
        </w:rPr>
        <w:t>An FCC Form 159 and detailed instructions for completing the form may be obtained at http://www.fcc.gov/Forms/Form159/159.pdf.</w:t>
      </w:r>
    </w:p>
  </w:footnote>
  <w:footnote w:id="23">
    <w:p w:rsidR="00656D1E" w:rsidRDefault="00656D1E" w:rsidP="00C77557">
      <w:pPr>
        <w:pStyle w:val="FootnoteText"/>
        <w:ind w:firstLine="0"/>
        <w:jc w:val="left"/>
      </w:pPr>
      <w:r>
        <w:rPr>
          <w:rStyle w:val="FootnoteReference"/>
          <w:szCs w:val="20"/>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4A" w:rsidRDefault="00455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107C4E">
    <w:pPr>
      <w:tabs>
        <w:tab w:val="center" w:pos="4680"/>
        <w:tab w:val="right" w:pos="9360"/>
      </w:tabs>
      <w:suppressAutoHyphens/>
      <w:spacing w:line="227" w:lineRule="auto"/>
      <w:jc w:val="both"/>
      <w:rPr>
        <w:b/>
      </w:rPr>
    </w:pPr>
    <w:r>
      <w:rPr>
        <w:b/>
      </w:rPr>
      <w:tab/>
      <w:t>Federal</w:t>
    </w:r>
    <w:r w:rsidR="00175611">
      <w:rPr>
        <w:b/>
      </w:rPr>
      <w:t xml:space="preserve"> Communications Commission</w:t>
    </w:r>
    <w:r w:rsidR="00175611">
      <w:rPr>
        <w:b/>
      </w:rPr>
      <w:tab/>
      <w:t>DA 14</w:t>
    </w:r>
    <w:r>
      <w:rPr>
        <w:b/>
      </w:rPr>
      <w:t>-</w:t>
    </w:r>
    <w:r w:rsidR="0049452B">
      <w:rPr>
        <w:b/>
      </w:rPr>
      <w:t>1078</w:t>
    </w:r>
  </w:p>
  <w:p w:rsidR="00656D1E" w:rsidRPr="000E5A45" w:rsidRDefault="00DF4425" w:rsidP="000E5A45">
    <w:pPr>
      <w:pStyle w:val="Header"/>
      <w:jc w:val="both"/>
      <w:rPr>
        <w:b/>
      </w:rPr>
    </w:pPr>
    <w:r>
      <w:rPr>
        <w:noProof/>
      </w:rPr>
      <w:pict>
        <v:rect id="_x0000_s2049" style="position:absolute;left:0;text-align:left;margin-left:0;margin-top:-.7pt;width:468pt;height:.95pt;z-index:-251659264;mso-position-horizontal-relative:margin" o:allowincell="f" fillcolor="black" stroked="f" strokeweight=".05pt">
          <v:fill color2="black"/>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107C4E">
    <w:pPr>
      <w:tabs>
        <w:tab w:val="center" w:pos="4680"/>
        <w:tab w:val="right" w:pos="9360"/>
      </w:tabs>
      <w:suppressAutoHyphens/>
      <w:spacing w:line="227" w:lineRule="auto"/>
      <w:jc w:val="both"/>
      <w:rPr>
        <w:spacing w:val="-2"/>
      </w:rPr>
    </w:pPr>
    <w:r>
      <w:rPr>
        <w:b/>
        <w:spacing w:val="-2"/>
      </w:rPr>
      <w:tab/>
      <w:t>Federal Commun</w:t>
    </w:r>
    <w:r w:rsidR="00175611">
      <w:rPr>
        <w:b/>
        <w:spacing w:val="-2"/>
      </w:rPr>
      <w:t>ications Commission</w:t>
    </w:r>
    <w:r w:rsidR="00175611">
      <w:rPr>
        <w:b/>
        <w:spacing w:val="-2"/>
      </w:rPr>
      <w:tab/>
      <w:t>DA 14</w:t>
    </w:r>
    <w:r>
      <w:rPr>
        <w:b/>
        <w:spacing w:val="-2"/>
      </w:rPr>
      <w:t>-</w:t>
    </w:r>
    <w:r w:rsidR="0049452B">
      <w:rPr>
        <w:b/>
        <w:spacing w:val="-2"/>
      </w:rPr>
      <w:t>1078</w:t>
    </w:r>
  </w:p>
  <w:p w:rsidR="00656D1E" w:rsidRDefault="00DF4425" w:rsidP="00107C4E">
    <w:pPr>
      <w:tabs>
        <w:tab w:val="left" w:pos="-1440"/>
        <w:tab w:val="left" w:pos="-720"/>
      </w:tabs>
      <w:suppressAutoHyphens/>
      <w:spacing w:line="19" w:lineRule="exact"/>
      <w:jc w:val="both"/>
      <w:rPr>
        <w:spacing w:val="-2"/>
      </w:rPr>
    </w:pPr>
    <w:r>
      <w:rPr>
        <w:noProof/>
      </w:rPr>
      <w:pict>
        <v:rect id="_x0000_s2050" style="position:absolute;left:0;text-align:left;margin-left:0;margin-top:0;width:468pt;height:.95pt;z-index:-251658240;mso-position-horizontal-relative:margin" o:allowincell="f" fillcolor="black" stroked="f" strokeweight=".05pt">
          <v:fill color2="black"/>
          <v:textbox style="mso-next-textbox:#_x0000_s2050">
            <w:txbxContent>
              <w:p w:rsidR="00656D1E" w:rsidRDefault="00656D1E" w:rsidP="00107C4E"/>
            </w:txbxContent>
          </v:textbox>
          <w10:wrap anchorx="margin"/>
        </v:rect>
      </w:pict>
    </w:r>
  </w:p>
  <w:p w:rsidR="00656D1E" w:rsidRDefault="00656D1E" w:rsidP="00107C4E">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32749"/>
    <w:multiLevelType w:val="hybridMultilevel"/>
    <w:tmpl w:val="8BB88778"/>
    <w:lvl w:ilvl="0" w:tplc="A08A481E">
      <w:start w:val="11"/>
      <w:numFmt w:val="decimal"/>
      <w:lvlText w:val="%1."/>
      <w:lvlJc w:val="left"/>
      <w:pPr>
        <w:tabs>
          <w:tab w:val="num" w:pos="1080"/>
        </w:tabs>
        <w:ind w:left="0" w:firstLine="72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CCD7CCE"/>
    <w:multiLevelType w:val="hybridMultilevel"/>
    <w:tmpl w:val="3DB6DD78"/>
    <w:lvl w:ilvl="0" w:tplc="36049E4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5">
    <w:nsid w:val="3D0F1B3D"/>
    <w:multiLevelType w:val="singleLevel"/>
    <w:tmpl w:val="FBEE92A4"/>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7">
    <w:nsid w:val="432817C4"/>
    <w:multiLevelType w:val="singleLevel"/>
    <w:tmpl w:val="C2CC7D36"/>
    <w:lvl w:ilvl="0">
      <w:start w:val="1"/>
      <w:numFmt w:val="decimal"/>
      <w:lvlText w:val="%1."/>
      <w:lvlJc w:val="left"/>
      <w:pPr>
        <w:tabs>
          <w:tab w:val="num" w:pos="1080"/>
        </w:tabs>
        <w:ind w:firstLine="720"/>
      </w:pPr>
      <w:rPr>
        <w:rFonts w:ascii="Times New Roman" w:hAnsi="Times New Roman" w:cs="Times New Roman" w:hint="default"/>
        <w:b w:val="0"/>
        <w:i w:val="0"/>
        <w:sz w:val="22"/>
        <w:szCs w:val="22"/>
      </w:rPr>
    </w:lvl>
  </w:abstractNum>
  <w:abstractNum w:abstractNumId="8">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1182925"/>
    <w:multiLevelType w:val="singleLevel"/>
    <w:tmpl w:val="D5A8460C"/>
    <w:lvl w:ilvl="0">
      <w:start w:val="1"/>
      <w:numFmt w:val="decimal"/>
      <w:lvlText w:val="%1."/>
      <w:lvlJc w:val="left"/>
      <w:pPr>
        <w:tabs>
          <w:tab w:val="num" w:pos="1080"/>
        </w:tabs>
        <w:ind w:firstLine="720"/>
      </w:pPr>
      <w:rPr>
        <w:rFonts w:cs="Times New Roman"/>
        <w:b w:val="0"/>
      </w:rPr>
    </w:lvl>
  </w:abstractNum>
  <w:abstractNum w:abstractNumId="10">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11">
    <w:nsid w:val="7E5C6F81"/>
    <w:multiLevelType w:val="hybridMultilevel"/>
    <w:tmpl w:val="F0E4DE98"/>
    <w:lvl w:ilvl="0" w:tplc="CABAE556">
      <w:start w:val="1"/>
      <w:numFmt w:val="decimal"/>
      <w:lvlText w:val="%1."/>
      <w:lvlJc w:val="left"/>
      <w:pPr>
        <w:tabs>
          <w:tab w:val="num" w:pos="1080"/>
        </w:tabs>
        <w:ind w:firstLine="720"/>
      </w:pPr>
      <w:rPr>
        <w:rFonts w:ascii="Times New Roman" w:hAnsi="Times New Roman" w:cs="Times New Roman" w:hint="default"/>
        <w:b w:val="0"/>
        <w:i w:val="0"/>
        <w:sz w:val="22"/>
        <w:szCs w:val="22"/>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7"/>
  </w:num>
  <w:num w:numId="2">
    <w:abstractNumId w:val="5"/>
  </w:num>
  <w:num w:numId="3">
    <w:abstractNumId w:val="3"/>
  </w:num>
  <w:num w:numId="4">
    <w:abstractNumId w:val="10"/>
  </w:num>
  <w:num w:numId="5">
    <w:abstractNumId w:val="2"/>
  </w:num>
  <w:num w:numId="6">
    <w:abstractNumId w:val="4"/>
  </w:num>
  <w:num w:numId="7">
    <w:abstractNumId w:val="1"/>
  </w:num>
  <w:num w:numId="8">
    <w:abstractNumId w:val="11"/>
  </w:num>
  <w:num w:numId="9">
    <w:abstractNumId w:val="9"/>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7"/>
    <w:lvlOverride w:ilvl="0">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C7E"/>
    <w:rsid w:val="00004C66"/>
    <w:rsid w:val="00005ED1"/>
    <w:rsid w:val="00006E66"/>
    <w:rsid w:val="00010B20"/>
    <w:rsid w:val="00010D16"/>
    <w:rsid w:val="00012A79"/>
    <w:rsid w:val="00016C33"/>
    <w:rsid w:val="00020ACF"/>
    <w:rsid w:val="000215E7"/>
    <w:rsid w:val="00023623"/>
    <w:rsid w:val="00023FA1"/>
    <w:rsid w:val="00025088"/>
    <w:rsid w:val="0002716F"/>
    <w:rsid w:val="00027814"/>
    <w:rsid w:val="000328B4"/>
    <w:rsid w:val="000331F8"/>
    <w:rsid w:val="00033D68"/>
    <w:rsid w:val="00034521"/>
    <w:rsid w:val="00037772"/>
    <w:rsid w:val="00043262"/>
    <w:rsid w:val="00043566"/>
    <w:rsid w:val="000441B4"/>
    <w:rsid w:val="00045185"/>
    <w:rsid w:val="0004728C"/>
    <w:rsid w:val="00047622"/>
    <w:rsid w:val="00052480"/>
    <w:rsid w:val="0005495B"/>
    <w:rsid w:val="00054A49"/>
    <w:rsid w:val="0006117E"/>
    <w:rsid w:val="00061A0C"/>
    <w:rsid w:val="00062C07"/>
    <w:rsid w:val="00065B50"/>
    <w:rsid w:val="00065BE5"/>
    <w:rsid w:val="00066BF2"/>
    <w:rsid w:val="00067E7D"/>
    <w:rsid w:val="00071997"/>
    <w:rsid w:val="00072672"/>
    <w:rsid w:val="00076726"/>
    <w:rsid w:val="00080218"/>
    <w:rsid w:val="00081BD1"/>
    <w:rsid w:val="00085A2A"/>
    <w:rsid w:val="00085C8D"/>
    <w:rsid w:val="00087A47"/>
    <w:rsid w:val="00087E1E"/>
    <w:rsid w:val="00091E06"/>
    <w:rsid w:val="00092984"/>
    <w:rsid w:val="00093C2A"/>
    <w:rsid w:val="0009444D"/>
    <w:rsid w:val="0009710D"/>
    <w:rsid w:val="000A1C81"/>
    <w:rsid w:val="000A2BB5"/>
    <w:rsid w:val="000A3648"/>
    <w:rsid w:val="000A5A7D"/>
    <w:rsid w:val="000A7151"/>
    <w:rsid w:val="000A7FB7"/>
    <w:rsid w:val="000B1979"/>
    <w:rsid w:val="000B47CF"/>
    <w:rsid w:val="000B732F"/>
    <w:rsid w:val="000B7404"/>
    <w:rsid w:val="000C02DA"/>
    <w:rsid w:val="000C3295"/>
    <w:rsid w:val="000C5881"/>
    <w:rsid w:val="000C7D09"/>
    <w:rsid w:val="000D0EDC"/>
    <w:rsid w:val="000D1060"/>
    <w:rsid w:val="000D3A8C"/>
    <w:rsid w:val="000D3F35"/>
    <w:rsid w:val="000D694D"/>
    <w:rsid w:val="000D6F6D"/>
    <w:rsid w:val="000E0545"/>
    <w:rsid w:val="000E10F2"/>
    <w:rsid w:val="000E4CF5"/>
    <w:rsid w:val="000E5584"/>
    <w:rsid w:val="000E5A45"/>
    <w:rsid w:val="000E77EC"/>
    <w:rsid w:val="000E7A73"/>
    <w:rsid w:val="000F1798"/>
    <w:rsid w:val="000F225F"/>
    <w:rsid w:val="000F3DCA"/>
    <w:rsid w:val="000F511F"/>
    <w:rsid w:val="000F6C94"/>
    <w:rsid w:val="00100381"/>
    <w:rsid w:val="001012D9"/>
    <w:rsid w:val="00103F08"/>
    <w:rsid w:val="00105BD3"/>
    <w:rsid w:val="00105F38"/>
    <w:rsid w:val="00107178"/>
    <w:rsid w:val="00107C4E"/>
    <w:rsid w:val="00111013"/>
    <w:rsid w:val="00113402"/>
    <w:rsid w:val="00120029"/>
    <w:rsid w:val="00121D2E"/>
    <w:rsid w:val="001251E4"/>
    <w:rsid w:val="001300E1"/>
    <w:rsid w:val="0013160C"/>
    <w:rsid w:val="00131B7D"/>
    <w:rsid w:val="001325B9"/>
    <w:rsid w:val="001325C5"/>
    <w:rsid w:val="00134C72"/>
    <w:rsid w:val="00135430"/>
    <w:rsid w:val="00135C7A"/>
    <w:rsid w:val="001367DC"/>
    <w:rsid w:val="00137599"/>
    <w:rsid w:val="00137BED"/>
    <w:rsid w:val="0014034B"/>
    <w:rsid w:val="001410DB"/>
    <w:rsid w:val="0014185F"/>
    <w:rsid w:val="00142EDB"/>
    <w:rsid w:val="00162CB9"/>
    <w:rsid w:val="0016422F"/>
    <w:rsid w:val="00164CC7"/>
    <w:rsid w:val="0016755C"/>
    <w:rsid w:val="00170F25"/>
    <w:rsid w:val="00175611"/>
    <w:rsid w:val="00175A80"/>
    <w:rsid w:val="001803C2"/>
    <w:rsid w:val="00180ADB"/>
    <w:rsid w:val="00182605"/>
    <w:rsid w:val="00182E9F"/>
    <w:rsid w:val="001830CD"/>
    <w:rsid w:val="001870CF"/>
    <w:rsid w:val="001878C4"/>
    <w:rsid w:val="00187EFD"/>
    <w:rsid w:val="00191BF4"/>
    <w:rsid w:val="00192F68"/>
    <w:rsid w:val="001A524B"/>
    <w:rsid w:val="001A5594"/>
    <w:rsid w:val="001A5AE2"/>
    <w:rsid w:val="001A6308"/>
    <w:rsid w:val="001A7DCB"/>
    <w:rsid w:val="001B0225"/>
    <w:rsid w:val="001B1D85"/>
    <w:rsid w:val="001B26F3"/>
    <w:rsid w:val="001B3680"/>
    <w:rsid w:val="001B54C3"/>
    <w:rsid w:val="001C5796"/>
    <w:rsid w:val="001C7B27"/>
    <w:rsid w:val="001D0072"/>
    <w:rsid w:val="001D0752"/>
    <w:rsid w:val="001D13B9"/>
    <w:rsid w:val="001D3040"/>
    <w:rsid w:val="001D4BC5"/>
    <w:rsid w:val="001D753D"/>
    <w:rsid w:val="001F04AB"/>
    <w:rsid w:val="001F11BE"/>
    <w:rsid w:val="001F133D"/>
    <w:rsid w:val="001F2812"/>
    <w:rsid w:val="001F3952"/>
    <w:rsid w:val="001F3F14"/>
    <w:rsid w:val="002016B4"/>
    <w:rsid w:val="002018D3"/>
    <w:rsid w:val="002023BC"/>
    <w:rsid w:val="002033E0"/>
    <w:rsid w:val="00206057"/>
    <w:rsid w:val="00210EF6"/>
    <w:rsid w:val="002126D4"/>
    <w:rsid w:val="0021359A"/>
    <w:rsid w:val="00213C47"/>
    <w:rsid w:val="00214AE6"/>
    <w:rsid w:val="0021664D"/>
    <w:rsid w:val="002169FE"/>
    <w:rsid w:val="00217F47"/>
    <w:rsid w:val="00220563"/>
    <w:rsid w:val="0022251C"/>
    <w:rsid w:val="002238E1"/>
    <w:rsid w:val="002265C5"/>
    <w:rsid w:val="0022676F"/>
    <w:rsid w:val="00230EB5"/>
    <w:rsid w:val="00231426"/>
    <w:rsid w:val="00231EFF"/>
    <w:rsid w:val="00233E40"/>
    <w:rsid w:val="002340E2"/>
    <w:rsid w:val="00234D07"/>
    <w:rsid w:val="002376DD"/>
    <w:rsid w:val="00244FA8"/>
    <w:rsid w:val="0024770E"/>
    <w:rsid w:val="00251496"/>
    <w:rsid w:val="002526AB"/>
    <w:rsid w:val="00252711"/>
    <w:rsid w:val="00253049"/>
    <w:rsid w:val="00256050"/>
    <w:rsid w:val="00256E45"/>
    <w:rsid w:val="00257724"/>
    <w:rsid w:val="00263081"/>
    <w:rsid w:val="00266A10"/>
    <w:rsid w:val="00267055"/>
    <w:rsid w:val="00270FE8"/>
    <w:rsid w:val="00275C76"/>
    <w:rsid w:val="00275F25"/>
    <w:rsid w:val="002774C2"/>
    <w:rsid w:val="002775EF"/>
    <w:rsid w:val="00286264"/>
    <w:rsid w:val="00286E98"/>
    <w:rsid w:val="00290DA2"/>
    <w:rsid w:val="00292A73"/>
    <w:rsid w:val="00293C64"/>
    <w:rsid w:val="002A0640"/>
    <w:rsid w:val="002A1FD1"/>
    <w:rsid w:val="002A582C"/>
    <w:rsid w:val="002A5D6E"/>
    <w:rsid w:val="002A6E15"/>
    <w:rsid w:val="002A7E6A"/>
    <w:rsid w:val="002B32B5"/>
    <w:rsid w:val="002B388B"/>
    <w:rsid w:val="002B5518"/>
    <w:rsid w:val="002B6957"/>
    <w:rsid w:val="002C07DB"/>
    <w:rsid w:val="002C6E41"/>
    <w:rsid w:val="002D030D"/>
    <w:rsid w:val="002D1CFB"/>
    <w:rsid w:val="002D25D5"/>
    <w:rsid w:val="002D7ED7"/>
    <w:rsid w:val="002E0130"/>
    <w:rsid w:val="002E1701"/>
    <w:rsid w:val="002E3A8D"/>
    <w:rsid w:val="002F062C"/>
    <w:rsid w:val="002F0C0E"/>
    <w:rsid w:val="002F43BE"/>
    <w:rsid w:val="002F44E7"/>
    <w:rsid w:val="002F45EF"/>
    <w:rsid w:val="002F6103"/>
    <w:rsid w:val="002F6319"/>
    <w:rsid w:val="002F7F3A"/>
    <w:rsid w:val="00302212"/>
    <w:rsid w:val="003102E7"/>
    <w:rsid w:val="0031047E"/>
    <w:rsid w:val="00312D3D"/>
    <w:rsid w:val="00315345"/>
    <w:rsid w:val="00322ACA"/>
    <w:rsid w:val="00322EDA"/>
    <w:rsid w:val="0032438C"/>
    <w:rsid w:val="0032768D"/>
    <w:rsid w:val="0033202F"/>
    <w:rsid w:val="00333020"/>
    <w:rsid w:val="00334578"/>
    <w:rsid w:val="003360DD"/>
    <w:rsid w:val="003402B3"/>
    <w:rsid w:val="00340910"/>
    <w:rsid w:val="003435E5"/>
    <w:rsid w:val="0034371D"/>
    <w:rsid w:val="003442D9"/>
    <w:rsid w:val="00352D05"/>
    <w:rsid w:val="003531BA"/>
    <w:rsid w:val="00354D2C"/>
    <w:rsid w:val="003557F9"/>
    <w:rsid w:val="0036312B"/>
    <w:rsid w:val="0036490D"/>
    <w:rsid w:val="00365C97"/>
    <w:rsid w:val="003666DD"/>
    <w:rsid w:val="00371827"/>
    <w:rsid w:val="00371AC3"/>
    <w:rsid w:val="00373A4D"/>
    <w:rsid w:val="00373FE0"/>
    <w:rsid w:val="00382DF5"/>
    <w:rsid w:val="00390E33"/>
    <w:rsid w:val="00391531"/>
    <w:rsid w:val="00393379"/>
    <w:rsid w:val="00394A9C"/>
    <w:rsid w:val="003968C0"/>
    <w:rsid w:val="00396CD7"/>
    <w:rsid w:val="003A377E"/>
    <w:rsid w:val="003A52C5"/>
    <w:rsid w:val="003A5F0D"/>
    <w:rsid w:val="003B1149"/>
    <w:rsid w:val="003B3C1A"/>
    <w:rsid w:val="003B3C6D"/>
    <w:rsid w:val="003B3F5D"/>
    <w:rsid w:val="003C21FF"/>
    <w:rsid w:val="003C2EC9"/>
    <w:rsid w:val="003C35B4"/>
    <w:rsid w:val="003C3C66"/>
    <w:rsid w:val="003C3DFB"/>
    <w:rsid w:val="003C7553"/>
    <w:rsid w:val="003D3C16"/>
    <w:rsid w:val="003D64B0"/>
    <w:rsid w:val="003E06D1"/>
    <w:rsid w:val="003E094A"/>
    <w:rsid w:val="003E220F"/>
    <w:rsid w:val="003E29B6"/>
    <w:rsid w:val="003E480A"/>
    <w:rsid w:val="003E5435"/>
    <w:rsid w:val="003F60BB"/>
    <w:rsid w:val="003F6A9D"/>
    <w:rsid w:val="004059BB"/>
    <w:rsid w:val="00405A29"/>
    <w:rsid w:val="0041098D"/>
    <w:rsid w:val="00410B99"/>
    <w:rsid w:val="00411DF7"/>
    <w:rsid w:val="004170A1"/>
    <w:rsid w:val="004201A0"/>
    <w:rsid w:val="00420B85"/>
    <w:rsid w:val="004221E9"/>
    <w:rsid w:val="00423B42"/>
    <w:rsid w:val="00432F07"/>
    <w:rsid w:val="00435A09"/>
    <w:rsid w:val="00441BB1"/>
    <w:rsid w:val="0044560F"/>
    <w:rsid w:val="004511DA"/>
    <w:rsid w:val="0045187D"/>
    <w:rsid w:val="004518F0"/>
    <w:rsid w:val="00453EFF"/>
    <w:rsid w:val="0045504A"/>
    <w:rsid w:val="00465D43"/>
    <w:rsid w:val="004716B6"/>
    <w:rsid w:val="00471BF1"/>
    <w:rsid w:val="004731E5"/>
    <w:rsid w:val="00473654"/>
    <w:rsid w:val="00473BD5"/>
    <w:rsid w:val="00473F86"/>
    <w:rsid w:val="00475446"/>
    <w:rsid w:val="0047762A"/>
    <w:rsid w:val="0048116B"/>
    <w:rsid w:val="00481A25"/>
    <w:rsid w:val="004821C9"/>
    <w:rsid w:val="00482846"/>
    <w:rsid w:val="00484071"/>
    <w:rsid w:val="00485F0C"/>
    <w:rsid w:val="00486AAC"/>
    <w:rsid w:val="0048723A"/>
    <w:rsid w:val="004873F5"/>
    <w:rsid w:val="004876F8"/>
    <w:rsid w:val="004929E1"/>
    <w:rsid w:val="0049452B"/>
    <w:rsid w:val="00496B34"/>
    <w:rsid w:val="0049740F"/>
    <w:rsid w:val="004A552C"/>
    <w:rsid w:val="004B043D"/>
    <w:rsid w:val="004B0D5E"/>
    <w:rsid w:val="004B2ABF"/>
    <w:rsid w:val="004B5660"/>
    <w:rsid w:val="004C1E58"/>
    <w:rsid w:val="004C1E7E"/>
    <w:rsid w:val="004C5AFD"/>
    <w:rsid w:val="004C6F9B"/>
    <w:rsid w:val="004D3464"/>
    <w:rsid w:val="004D3B0B"/>
    <w:rsid w:val="004D4085"/>
    <w:rsid w:val="004D586B"/>
    <w:rsid w:val="004D79CD"/>
    <w:rsid w:val="004E3D57"/>
    <w:rsid w:val="004E7018"/>
    <w:rsid w:val="004F083F"/>
    <w:rsid w:val="004F25D9"/>
    <w:rsid w:val="004F4E94"/>
    <w:rsid w:val="004F75BD"/>
    <w:rsid w:val="005013AB"/>
    <w:rsid w:val="00502EBA"/>
    <w:rsid w:val="00505137"/>
    <w:rsid w:val="00506867"/>
    <w:rsid w:val="00506F2C"/>
    <w:rsid w:val="00507025"/>
    <w:rsid w:val="00507397"/>
    <w:rsid w:val="00511EC3"/>
    <w:rsid w:val="00513CDB"/>
    <w:rsid w:val="0051437A"/>
    <w:rsid w:val="0051504E"/>
    <w:rsid w:val="00516166"/>
    <w:rsid w:val="00516706"/>
    <w:rsid w:val="00517A3E"/>
    <w:rsid w:val="005231E2"/>
    <w:rsid w:val="00523242"/>
    <w:rsid w:val="00527BF4"/>
    <w:rsid w:val="0053085E"/>
    <w:rsid w:val="00533CC6"/>
    <w:rsid w:val="005354D1"/>
    <w:rsid w:val="00536252"/>
    <w:rsid w:val="0053643D"/>
    <w:rsid w:val="00540D84"/>
    <w:rsid w:val="005418EF"/>
    <w:rsid w:val="00544CB5"/>
    <w:rsid w:val="00544D81"/>
    <w:rsid w:val="0054523B"/>
    <w:rsid w:val="00555892"/>
    <w:rsid w:val="00555AC1"/>
    <w:rsid w:val="00555CE2"/>
    <w:rsid w:val="005621F7"/>
    <w:rsid w:val="005642A2"/>
    <w:rsid w:val="00566482"/>
    <w:rsid w:val="00570062"/>
    <w:rsid w:val="0057039E"/>
    <w:rsid w:val="00570881"/>
    <w:rsid w:val="0057093A"/>
    <w:rsid w:val="0057487E"/>
    <w:rsid w:val="005820DC"/>
    <w:rsid w:val="00583EE9"/>
    <w:rsid w:val="00584193"/>
    <w:rsid w:val="00587FB3"/>
    <w:rsid w:val="00592AE6"/>
    <w:rsid w:val="005959F8"/>
    <w:rsid w:val="00597068"/>
    <w:rsid w:val="005A0D1A"/>
    <w:rsid w:val="005A425C"/>
    <w:rsid w:val="005A5DA7"/>
    <w:rsid w:val="005B1CE8"/>
    <w:rsid w:val="005B2719"/>
    <w:rsid w:val="005B36AF"/>
    <w:rsid w:val="005B4D43"/>
    <w:rsid w:val="005B63A6"/>
    <w:rsid w:val="005B71D2"/>
    <w:rsid w:val="005C0524"/>
    <w:rsid w:val="005C0C74"/>
    <w:rsid w:val="005C55FC"/>
    <w:rsid w:val="005C6819"/>
    <w:rsid w:val="005D25AE"/>
    <w:rsid w:val="005D3484"/>
    <w:rsid w:val="005D4F79"/>
    <w:rsid w:val="005D647D"/>
    <w:rsid w:val="005E1A93"/>
    <w:rsid w:val="005E1CFC"/>
    <w:rsid w:val="005E44DA"/>
    <w:rsid w:val="005E66FB"/>
    <w:rsid w:val="005F1D73"/>
    <w:rsid w:val="005F42A6"/>
    <w:rsid w:val="005F5D70"/>
    <w:rsid w:val="005F7A13"/>
    <w:rsid w:val="005F7E73"/>
    <w:rsid w:val="00602630"/>
    <w:rsid w:val="0060503D"/>
    <w:rsid w:val="006115A7"/>
    <w:rsid w:val="0061339F"/>
    <w:rsid w:val="00614DB0"/>
    <w:rsid w:val="006159AB"/>
    <w:rsid w:val="00615A8B"/>
    <w:rsid w:val="00615F2E"/>
    <w:rsid w:val="00617978"/>
    <w:rsid w:val="00621C24"/>
    <w:rsid w:val="00622B0F"/>
    <w:rsid w:val="00624119"/>
    <w:rsid w:val="0062470C"/>
    <w:rsid w:val="00632C1C"/>
    <w:rsid w:val="00634FC4"/>
    <w:rsid w:val="00636191"/>
    <w:rsid w:val="00636D3F"/>
    <w:rsid w:val="00640D17"/>
    <w:rsid w:val="006438EE"/>
    <w:rsid w:val="00643E68"/>
    <w:rsid w:val="006440EE"/>
    <w:rsid w:val="006515A7"/>
    <w:rsid w:val="0065482F"/>
    <w:rsid w:val="00654884"/>
    <w:rsid w:val="00655742"/>
    <w:rsid w:val="00655980"/>
    <w:rsid w:val="006569CC"/>
    <w:rsid w:val="00656D1E"/>
    <w:rsid w:val="006570BF"/>
    <w:rsid w:val="00660779"/>
    <w:rsid w:val="006672FA"/>
    <w:rsid w:val="00667680"/>
    <w:rsid w:val="00672EDE"/>
    <w:rsid w:val="00693EE2"/>
    <w:rsid w:val="0069412E"/>
    <w:rsid w:val="00694C7A"/>
    <w:rsid w:val="00695AA8"/>
    <w:rsid w:val="00696FB5"/>
    <w:rsid w:val="006A5122"/>
    <w:rsid w:val="006B3D89"/>
    <w:rsid w:val="006B5045"/>
    <w:rsid w:val="006C103E"/>
    <w:rsid w:val="006C1BAB"/>
    <w:rsid w:val="006C3A56"/>
    <w:rsid w:val="006D0061"/>
    <w:rsid w:val="006D6879"/>
    <w:rsid w:val="006D7C6F"/>
    <w:rsid w:val="006E0A26"/>
    <w:rsid w:val="006E1B88"/>
    <w:rsid w:val="006E2744"/>
    <w:rsid w:val="006E3E83"/>
    <w:rsid w:val="006F13F5"/>
    <w:rsid w:val="006F1546"/>
    <w:rsid w:val="006F38F7"/>
    <w:rsid w:val="006F608F"/>
    <w:rsid w:val="006F6797"/>
    <w:rsid w:val="006F771F"/>
    <w:rsid w:val="00700434"/>
    <w:rsid w:val="00701F9E"/>
    <w:rsid w:val="0070367F"/>
    <w:rsid w:val="0070794E"/>
    <w:rsid w:val="0071011C"/>
    <w:rsid w:val="00710B11"/>
    <w:rsid w:val="007176AE"/>
    <w:rsid w:val="00717E90"/>
    <w:rsid w:val="007263DC"/>
    <w:rsid w:val="00727DE3"/>
    <w:rsid w:val="00731647"/>
    <w:rsid w:val="00732E64"/>
    <w:rsid w:val="00733DC8"/>
    <w:rsid w:val="0074011D"/>
    <w:rsid w:val="00746683"/>
    <w:rsid w:val="00751DA3"/>
    <w:rsid w:val="007536DD"/>
    <w:rsid w:val="0075471F"/>
    <w:rsid w:val="007549A4"/>
    <w:rsid w:val="00760B2A"/>
    <w:rsid w:val="007642B5"/>
    <w:rsid w:val="007666ED"/>
    <w:rsid w:val="00772B98"/>
    <w:rsid w:val="00775249"/>
    <w:rsid w:val="00776B8F"/>
    <w:rsid w:val="007803CE"/>
    <w:rsid w:val="00791FA7"/>
    <w:rsid w:val="007927CF"/>
    <w:rsid w:val="00795E46"/>
    <w:rsid w:val="007A02CD"/>
    <w:rsid w:val="007A1154"/>
    <w:rsid w:val="007A310F"/>
    <w:rsid w:val="007A4994"/>
    <w:rsid w:val="007A5F78"/>
    <w:rsid w:val="007B27D4"/>
    <w:rsid w:val="007B3624"/>
    <w:rsid w:val="007B3D07"/>
    <w:rsid w:val="007C34DE"/>
    <w:rsid w:val="007C3F84"/>
    <w:rsid w:val="007C40D5"/>
    <w:rsid w:val="007C6404"/>
    <w:rsid w:val="007C6E5B"/>
    <w:rsid w:val="007C78CF"/>
    <w:rsid w:val="007D1BFA"/>
    <w:rsid w:val="007E0F64"/>
    <w:rsid w:val="007E33E7"/>
    <w:rsid w:val="007E417B"/>
    <w:rsid w:val="007E48B7"/>
    <w:rsid w:val="007F004A"/>
    <w:rsid w:val="007F2659"/>
    <w:rsid w:val="007F4731"/>
    <w:rsid w:val="007F4F08"/>
    <w:rsid w:val="007F54EB"/>
    <w:rsid w:val="0080219E"/>
    <w:rsid w:val="00802C9D"/>
    <w:rsid w:val="008100AE"/>
    <w:rsid w:val="00811137"/>
    <w:rsid w:val="00811792"/>
    <w:rsid w:val="0081418C"/>
    <w:rsid w:val="0081520B"/>
    <w:rsid w:val="00815A10"/>
    <w:rsid w:val="00816366"/>
    <w:rsid w:val="00816452"/>
    <w:rsid w:val="00825423"/>
    <w:rsid w:val="00825467"/>
    <w:rsid w:val="00825CC3"/>
    <w:rsid w:val="008262DC"/>
    <w:rsid w:val="00833564"/>
    <w:rsid w:val="00834CAC"/>
    <w:rsid w:val="0084395B"/>
    <w:rsid w:val="008442E3"/>
    <w:rsid w:val="0084472E"/>
    <w:rsid w:val="00844994"/>
    <w:rsid w:val="008473D7"/>
    <w:rsid w:val="00854353"/>
    <w:rsid w:val="00854B7D"/>
    <w:rsid w:val="008574F4"/>
    <w:rsid w:val="008579EF"/>
    <w:rsid w:val="00860624"/>
    <w:rsid w:val="00861493"/>
    <w:rsid w:val="00861810"/>
    <w:rsid w:val="00864A40"/>
    <w:rsid w:val="008656B4"/>
    <w:rsid w:val="00866EF3"/>
    <w:rsid w:val="00870524"/>
    <w:rsid w:val="008705CC"/>
    <w:rsid w:val="00872BC7"/>
    <w:rsid w:val="00881D47"/>
    <w:rsid w:val="008867E7"/>
    <w:rsid w:val="00890713"/>
    <w:rsid w:val="008931C3"/>
    <w:rsid w:val="00893445"/>
    <w:rsid w:val="008937E6"/>
    <w:rsid w:val="00894823"/>
    <w:rsid w:val="008959ED"/>
    <w:rsid w:val="00896939"/>
    <w:rsid w:val="008979CF"/>
    <w:rsid w:val="008A0B68"/>
    <w:rsid w:val="008A1339"/>
    <w:rsid w:val="008A14D9"/>
    <w:rsid w:val="008A4DF3"/>
    <w:rsid w:val="008A6E3D"/>
    <w:rsid w:val="008B0FDB"/>
    <w:rsid w:val="008B14FC"/>
    <w:rsid w:val="008B34EF"/>
    <w:rsid w:val="008B397B"/>
    <w:rsid w:val="008B5B13"/>
    <w:rsid w:val="008B6BA9"/>
    <w:rsid w:val="008B7EC9"/>
    <w:rsid w:val="008C1762"/>
    <w:rsid w:val="008C4450"/>
    <w:rsid w:val="008C4A5A"/>
    <w:rsid w:val="008C6870"/>
    <w:rsid w:val="008D2087"/>
    <w:rsid w:val="008D31C9"/>
    <w:rsid w:val="008E1E05"/>
    <w:rsid w:val="008E20F5"/>
    <w:rsid w:val="008E31F0"/>
    <w:rsid w:val="008E5E1A"/>
    <w:rsid w:val="008E674A"/>
    <w:rsid w:val="008E6E31"/>
    <w:rsid w:val="008F060F"/>
    <w:rsid w:val="008F3398"/>
    <w:rsid w:val="008F564E"/>
    <w:rsid w:val="008F5730"/>
    <w:rsid w:val="008F69F3"/>
    <w:rsid w:val="00902557"/>
    <w:rsid w:val="009057DA"/>
    <w:rsid w:val="00905946"/>
    <w:rsid w:val="0091083D"/>
    <w:rsid w:val="0091088F"/>
    <w:rsid w:val="00912797"/>
    <w:rsid w:val="00913D12"/>
    <w:rsid w:val="0092141D"/>
    <w:rsid w:val="00922DC5"/>
    <w:rsid w:val="00924898"/>
    <w:rsid w:val="009267C7"/>
    <w:rsid w:val="00927C32"/>
    <w:rsid w:val="00930430"/>
    <w:rsid w:val="009304D3"/>
    <w:rsid w:val="009308E0"/>
    <w:rsid w:val="00932412"/>
    <w:rsid w:val="0093331C"/>
    <w:rsid w:val="00934A3D"/>
    <w:rsid w:val="00934B98"/>
    <w:rsid w:val="009401CF"/>
    <w:rsid w:val="009447CA"/>
    <w:rsid w:val="00945284"/>
    <w:rsid w:val="00945FCF"/>
    <w:rsid w:val="0094650E"/>
    <w:rsid w:val="009465C0"/>
    <w:rsid w:val="00947455"/>
    <w:rsid w:val="00950C7B"/>
    <w:rsid w:val="009605CE"/>
    <w:rsid w:val="0097008D"/>
    <w:rsid w:val="00974406"/>
    <w:rsid w:val="009766C8"/>
    <w:rsid w:val="00981092"/>
    <w:rsid w:val="00982091"/>
    <w:rsid w:val="0098217F"/>
    <w:rsid w:val="00983BB8"/>
    <w:rsid w:val="00983C33"/>
    <w:rsid w:val="009845C1"/>
    <w:rsid w:val="00986906"/>
    <w:rsid w:val="00990997"/>
    <w:rsid w:val="00992FDD"/>
    <w:rsid w:val="00993E9F"/>
    <w:rsid w:val="0099746F"/>
    <w:rsid w:val="009A0876"/>
    <w:rsid w:val="009A23AF"/>
    <w:rsid w:val="009A2A08"/>
    <w:rsid w:val="009A3A55"/>
    <w:rsid w:val="009A3E95"/>
    <w:rsid w:val="009A3EAF"/>
    <w:rsid w:val="009A52E6"/>
    <w:rsid w:val="009A6A9A"/>
    <w:rsid w:val="009B013F"/>
    <w:rsid w:val="009B31B2"/>
    <w:rsid w:val="009B79B5"/>
    <w:rsid w:val="009C040C"/>
    <w:rsid w:val="009C3EAC"/>
    <w:rsid w:val="009C401F"/>
    <w:rsid w:val="009C4AFB"/>
    <w:rsid w:val="009D09A5"/>
    <w:rsid w:val="009D1C42"/>
    <w:rsid w:val="009D398D"/>
    <w:rsid w:val="009D419D"/>
    <w:rsid w:val="009D5921"/>
    <w:rsid w:val="009D75C5"/>
    <w:rsid w:val="009D7DEB"/>
    <w:rsid w:val="009E1E71"/>
    <w:rsid w:val="009E7380"/>
    <w:rsid w:val="009E7B09"/>
    <w:rsid w:val="009E7F4B"/>
    <w:rsid w:val="009F11C9"/>
    <w:rsid w:val="009F2232"/>
    <w:rsid w:val="009F365B"/>
    <w:rsid w:val="009F5005"/>
    <w:rsid w:val="009F6B4E"/>
    <w:rsid w:val="00A01C6E"/>
    <w:rsid w:val="00A02A03"/>
    <w:rsid w:val="00A040B0"/>
    <w:rsid w:val="00A04AD7"/>
    <w:rsid w:val="00A0773C"/>
    <w:rsid w:val="00A07D4B"/>
    <w:rsid w:val="00A10B2A"/>
    <w:rsid w:val="00A11E22"/>
    <w:rsid w:val="00A17B03"/>
    <w:rsid w:val="00A20EC9"/>
    <w:rsid w:val="00A218D2"/>
    <w:rsid w:val="00A22B70"/>
    <w:rsid w:val="00A248F1"/>
    <w:rsid w:val="00A304DD"/>
    <w:rsid w:val="00A3243D"/>
    <w:rsid w:val="00A367D0"/>
    <w:rsid w:val="00A40A6D"/>
    <w:rsid w:val="00A44195"/>
    <w:rsid w:val="00A44C5D"/>
    <w:rsid w:val="00A512D8"/>
    <w:rsid w:val="00A5288E"/>
    <w:rsid w:val="00A53CF7"/>
    <w:rsid w:val="00A56F33"/>
    <w:rsid w:val="00A60B2A"/>
    <w:rsid w:val="00A60FC2"/>
    <w:rsid w:val="00A667F6"/>
    <w:rsid w:val="00A675B6"/>
    <w:rsid w:val="00A70DE1"/>
    <w:rsid w:val="00A70F5B"/>
    <w:rsid w:val="00A7249B"/>
    <w:rsid w:val="00A72E12"/>
    <w:rsid w:val="00A73747"/>
    <w:rsid w:val="00A76DA1"/>
    <w:rsid w:val="00A77564"/>
    <w:rsid w:val="00A82B70"/>
    <w:rsid w:val="00A833BC"/>
    <w:rsid w:val="00A83CE4"/>
    <w:rsid w:val="00A854C9"/>
    <w:rsid w:val="00A86990"/>
    <w:rsid w:val="00A909AD"/>
    <w:rsid w:val="00A929B8"/>
    <w:rsid w:val="00A9521B"/>
    <w:rsid w:val="00AA1D6C"/>
    <w:rsid w:val="00AA3B2D"/>
    <w:rsid w:val="00AA591D"/>
    <w:rsid w:val="00AA7F25"/>
    <w:rsid w:val="00AB1C43"/>
    <w:rsid w:val="00AB252C"/>
    <w:rsid w:val="00AB33E8"/>
    <w:rsid w:val="00AB59D6"/>
    <w:rsid w:val="00AB5F80"/>
    <w:rsid w:val="00AC0499"/>
    <w:rsid w:val="00AC171A"/>
    <w:rsid w:val="00AC23D8"/>
    <w:rsid w:val="00AC320F"/>
    <w:rsid w:val="00AC43A9"/>
    <w:rsid w:val="00AC5AF5"/>
    <w:rsid w:val="00AC5E30"/>
    <w:rsid w:val="00AD0F40"/>
    <w:rsid w:val="00AD17BC"/>
    <w:rsid w:val="00AE3B53"/>
    <w:rsid w:val="00AE3E84"/>
    <w:rsid w:val="00AE63AA"/>
    <w:rsid w:val="00AE650E"/>
    <w:rsid w:val="00AF2147"/>
    <w:rsid w:val="00AF5F9A"/>
    <w:rsid w:val="00AF79B8"/>
    <w:rsid w:val="00B00F35"/>
    <w:rsid w:val="00B02957"/>
    <w:rsid w:val="00B03093"/>
    <w:rsid w:val="00B0322B"/>
    <w:rsid w:val="00B10672"/>
    <w:rsid w:val="00B11F1F"/>
    <w:rsid w:val="00B174A0"/>
    <w:rsid w:val="00B20029"/>
    <w:rsid w:val="00B20471"/>
    <w:rsid w:val="00B22CC1"/>
    <w:rsid w:val="00B24F14"/>
    <w:rsid w:val="00B315CE"/>
    <w:rsid w:val="00B31623"/>
    <w:rsid w:val="00B316AE"/>
    <w:rsid w:val="00B31E28"/>
    <w:rsid w:val="00B32130"/>
    <w:rsid w:val="00B32560"/>
    <w:rsid w:val="00B35F5C"/>
    <w:rsid w:val="00B42453"/>
    <w:rsid w:val="00B42E28"/>
    <w:rsid w:val="00B54FFB"/>
    <w:rsid w:val="00B576CC"/>
    <w:rsid w:val="00B62B01"/>
    <w:rsid w:val="00B62FCB"/>
    <w:rsid w:val="00B6371B"/>
    <w:rsid w:val="00B6589F"/>
    <w:rsid w:val="00B6734C"/>
    <w:rsid w:val="00B70B6A"/>
    <w:rsid w:val="00B74CEB"/>
    <w:rsid w:val="00B75C71"/>
    <w:rsid w:val="00B76C31"/>
    <w:rsid w:val="00B863F7"/>
    <w:rsid w:val="00B87C01"/>
    <w:rsid w:val="00B922D9"/>
    <w:rsid w:val="00B925B7"/>
    <w:rsid w:val="00B9410C"/>
    <w:rsid w:val="00B9660E"/>
    <w:rsid w:val="00B96F5A"/>
    <w:rsid w:val="00BA1906"/>
    <w:rsid w:val="00BA32FE"/>
    <w:rsid w:val="00BA4966"/>
    <w:rsid w:val="00BB002C"/>
    <w:rsid w:val="00BB3217"/>
    <w:rsid w:val="00BB5EDA"/>
    <w:rsid w:val="00BC4C7E"/>
    <w:rsid w:val="00BC644F"/>
    <w:rsid w:val="00BD1EA0"/>
    <w:rsid w:val="00BD69B1"/>
    <w:rsid w:val="00BE2198"/>
    <w:rsid w:val="00BE403E"/>
    <w:rsid w:val="00BE5000"/>
    <w:rsid w:val="00BE72AF"/>
    <w:rsid w:val="00BE7599"/>
    <w:rsid w:val="00BE79E6"/>
    <w:rsid w:val="00BF027D"/>
    <w:rsid w:val="00BF0527"/>
    <w:rsid w:val="00BF1AA6"/>
    <w:rsid w:val="00BF261C"/>
    <w:rsid w:val="00BF2F2B"/>
    <w:rsid w:val="00BF34FA"/>
    <w:rsid w:val="00BF73BA"/>
    <w:rsid w:val="00BF7E12"/>
    <w:rsid w:val="00C0055C"/>
    <w:rsid w:val="00C01179"/>
    <w:rsid w:val="00C034D5"/>
    <w:rsid w:val="00C05074"/>
    <w:rsid w:val="00C05CFC"/>
    <w:rsid w:val="00C06606"/>
    <w:rsid w:val="00C07166"/>
    <w:rsid w:val="00C105AA"/>
    <w:rsid w:val="00C13F42"/>
    <w:rsid w:val="00C141DF"/>
    <w:rsid w:val="00C14421"/>
    <w:rsid w:val="00C261DD"/>
    <w:rsid w:val="00C33258"/>
    <w:rsid w:val="00C3394B"/>
    <w:rsid w:val="00C35962"/>
    <w:rsid w:val="00C374E1"/>
    <w:rsid w:val="00C40C39"/>
    <w:rsid w:val="00C41408"/>
    <w:rsid w:val="00C430A1"/>
    <w:rsid w:val="00C4318D"/>
    <w:rsid w:val="00C44E0D"/>
    <w:rsid w:val="00C46166"/>
    <w:rsid w:val="00C46245"/>
    <w:rsid w:val="00C4708C"/>
    <w:rsid w:val="00C52F8A"/>
    <w:rsid w:val="00C56CDE"/>
    <w:rsid w:val="00C57783"/>
    <w:rsid w:val="00C6077C"/>
    <w:rsid w:val="00C645EB"/>
    <w:rsid w:val="00C656AA"/>
    <w:rsid w:val="00C6620D"/>
    <w:rsid w:val="00C67AEB"/>
    <w:rsid w:val="00C71824"/>
    <w:rsid w:val="00C71D4E"/>
    <w:rsid w:val="00C754A1"/>
    <w:rsid w:val="00C77557"/>
    <w:rsid w:val="00C77FCF"/>
    <w:rsid w:val="00C8030F"/>
    <w:rsid w:val="00C8069F"/>
    <w:rsid w:val="00C85DDC"/>
    <w:rsid w:val="00C913A0"/>
    <w:rsid w:val="00C94128"/>
    <w:rsid w:val="00C94686"/>
    <w:rsid w:val="00C958C1"/>
    <w:rsid w:val="00C97128"/>
    <w:rsid w:val="00CA3D5F"/>
    <w:rsid w:val="00CA7B95"/>
    <w:rsid w:val="00CA7F2E"/>
    <w:rsid w:val="00CB2A8B"/>
    <w:rsid w:val="00CB5C94"/>
    <w:rsid w:val="00CB7D62"/>
    <w:rsid w:val="00CC0056"/>
    <w:rsid w:val="00CC09E1"/>
    <w:rsid w:val="00CC1790"/>
    <w:rsid w:val="00CC1818"/>
    <w:rsid w:val="00CC1927"/>
    <w:rsid w:val="00CC25A8"/>
    <w:rsid w:val="00CC25C0"/>
    <w:rsid w:val="00CC331C"/>
    <w:rsid w:val="00CC4198"/>
    <w:rsid w:val="00CD24CA"/>
    <w:rsid w:val="00CD2AF5"/>
    <w:rsid w:val="00CD3DB1"/>
    <w:rsid w:val="00CD5EB6"/>
    <w:rsid w:val="00CD6D19"/>
    <w:rsid w:val="00CD7544"/>
    <w:rsid w:val="00CE03E1"/>
    <w:rsid w:val="00CE3E28"/>
    <w:rsid w:val="00CF080D"/>
    <w:rsid w:val="00CF1804"/>
    <w:rsid w:val="00CF183E"/>
    <w:rsid w:val="00CF6544"/>
    <w:rsid w:val="00CF7F44"/>
    <w:rsid w:val="00D0096F"/>
    <w:rsid w:val="00D01AB1"/>
    <w:rsid w:val="00D01D90"/>
    <w:rsid w:val="00D06CCD"/>
    <w:rsid w:val="00D072F2"/>
    <w:rsid w:val="00D104BB"/>
    <w:rsid w:val="00D1084D"/>
    <w:rsid w:val="00D13BA2"/>
    <w:rsid w:val="00D16015"/>
    <w:rsid w:val="00D16BDC"/>
    <w:rsid w:val="00D20215"/>
    <w:rsid w:val="00D217E4"/>
    <w:rsid w:val="00D35094"/>
    <w:rsid w:val="00D42502"/>
    <w:rsid w:val="00D434A7"/>
    <w:rsid w:val="00D4525F"/>
    <w:rsid w:val="00D46F40"/>
    <w:rsid w:val="00D4755C"/>
    <w:rsid w:val="00D4798B"/>
    <w:rsid w:val="00D47B8E"/>
    <w:rsid w:val="00D5031D"/>
    <w:rsid w:val="00D52D4C"/>
    <w:rsid w:val="00D5536D"/>
    <w:rsid w:val="00D57221"/>
    <w:rsid w:val="00D60AF7"/>
    <w:rsid w:val="00D60BDF"/>
    <w:rsid w:val="00D65B28"/>
    <w:rsid w:val="00D702A4"/>
    <w:rsid w:val="00D727E6"/>
    <w:rsid w:val="00D9169A"/>
    <w:rsid w:val="00D96B6D"/>
    <w:rsid w:val="00D97648"/>
    <w:rsid w:val="00DA104F"/>
    <w:rsid w:val="00DA4E29"/>
    <w:rsid w:val="00DA6944"/>
    <w:rsid w:val="00DB1BF9"/>
    <w:rsid w:val="00DC2487"/>
    <w:rsid w:val="00DD29EE"/>
    <w:rsid w:val="00DD63A3"/>
    <w:rsid w:val="00DD6690"/>
    <w:rsid w:val="00DE030B"/>
    <w:rsid w:val="00DE426B"/>
    <w:rsid w:val="00DE4597"/>
    <w:rsid w:val="00DE570B"/>
    <w:rsid w:val="00DF0F50"/>
    <w:rsid w:val="00DF17FC"/>
    <w:rsid w:val="00DF4425"/>
    <w:rsid w:val="00DF4DC9"/>
    <w:rsid w:val="00DF58D4"/>
    <w:rsid w:val="00DF7137"/>
    <w:rsid w:val="00E07CEB"/>
    <w:rsid w:val="00E10A7C"/>
    <w:rsid w:val="00E1350F"/>
    <w:rsid w:val="00E15F6B"/>
    <w:rsid w:val="00E16BA2"/>
    <w:rsid w:val="00E2322D"/>
    <w:rsid w:val="00E254DB"/>
    <w:rsid w:val="00E25672"/>
    <w:rsid w:val="00E30B2A"/>
    <w:rsid w:val="00E339AD"/>
    <w:rsid w:val="00E34AAE"/>
    <w:rsid w:val="00E361B9"/>
    <w:rsid w:val="00E37C21"/>
    <w:rsid w:val="00E407D7"/>
    <w:rsid w:val="00E41D5A"/>
    <w:rsid w:val="00E45B25"/>
    <w:rsid w:val="00E501A8"/>
    <w:rsid w:val="00E56F2D"/>
    <w:rsid w:val="00E66768"/>
    <w:rsid w:val="00E67469"/>
    <w:rsid w:val="00E67687"/>
    <w:rsid w:val="00E75229"/>
    <w:rsid w:val="00E75444"/>
    <w:rsid w:val="00E854A7"/>
    <w:rsid w:val="00E92367"/>
    <w:rsid w:val="00E94B5F"/>
    <w:rsid w:val="00E94F7E"/>
    <w:rsid w:val="00EA1400"/>
    <w:rsid w:val="00EA2C1F"/>
    <w:rsid w:val="00EA384E"/>
    <w:rsid w:val="00EB3F98"/>
    <w:rsid w:val="00EB4F2A"/>
    <w:rsid w:val="00EB535E"/>
    <w:rsid w:val="00EC045A"/>
    <w:rsid w:val="00EC1CAF"/>
    <w:rsid w:val="00EC44D4"/>
    <w:rsid w:val="00EC50DB"/>
    <w:rsid w:val="00EC6C9D"/>
    <w:rsid w:val="00ED6D5A"/>
    <w:rsid w:val="00ED73FC"/>
    <w:rsid w:val="00EE20E5"/>
    <w:rsid w:val="00EE4F45"/>
    <w:rsid w:val="00EE5182"/>
    <w:rsid w:val="00EE5DB6"/>
    <w:rsid w:val="00EE6463"/>
    <w:rsid w:val="00EE66B0"/>
    <w:rsid w:val="00EF23F1"/>
    <w:rsid w:val="00EF36E7"/>
    <w:rsid w:val="00EF55CE"/>
    <w:rsid w:val="00EF6E37"/>
    <w:rsid w:val="00EF6E55"/>
    <w:rsid w:val="00F03E9C"/>
    <w:rsid w:val="00F20DAB"/>
    <w:rsid w:val="00F22D54"/>
    <w:rsid w:val="00F24099"/>
    <w:rsid w:val="00F25B88"/>
    <w:rsid w:val="00F304A2"/>
    <w:rsid w:val="00F350FE"/>
    <w:rsid w:val="00F35F66"/>
    <w:rsid w:val="00F375A6"/>
    <w:rsid w:val="00F37C42"/>
    <w:rsid w:val="00F40A21"/>
    <w:rsid w:val="00F424A5"/>
    <w:rsid w:val="00F44D97"/>
    <w:rsid w:val="00F516E9"/>
    <w:rsid w:val="00F52779"/>
    <w:rsid w:val="00F53026"/>
    <w:rsid w:val="00F538A0"/>
    <w:rsid w:val="00F54F1B"/>
    <w:rsid w:val="00F5771C"/>
    <w:rsid w:val="00F6029E"/>
    <w:rsid w:val="00F60DCC"/>
    <w:rsid w:val="00F63D42"/>
    <w:rsid w:val="00F64225"/>
    <w:rsid w:val="00F6750F"/>
    <w:rsid w:val="00F709FD"/>
    <w:rsid w:val="00F729F3"/>
    <w:rsid w:val="00F73729"/>
    <w:rsid w:val="00F7441D"/>
    <w:rsid w:val="00F74669"/>
    <w:rsid w:val="00F747CA"/>
    <w:rsid w:val="00F75CF3"/>
    <w:rsid w:val="00F81076"/>
    <w:rsid w:val="00F815EF"/>
    <w:rsid w:val="00F823EE"/>
    <w:rsid w:val="00F82DE9"/>
    <w:rsid w:val="00F8338D"/>
    <w:rsid w:val="00F861CC"/>
    <w:rsid w:val="00F91ECA"/>
    <w:rsid w:val="00F93703"/>
    <w:rsid w:val="00F945C2"/>
    <w:rsid w:val="00F96584"/>
    <w:rsid w:val="00F9750C"/>
    <w:rsid w:val="00FA6905"/>
    <w:rsid w:val="00FB389A"/>
    <w:rsid w:val="00FB546E"/>
    <w:rsid w:val="00FB5B6F"/>
    <w:rsid w:val="00FB6BDE"/>
    <w:rsid w:val="00FB7037"/>
    <w:rsid w:val="00FC1439"/>
    <w:rsid w:val="00FC541A"/>
    <w:rsid w:val="00FC6E6B"/>
    <w:rsid w:val="00FD11A5"/>
    <w:rsid w:val="00FD1373"/>
    <w:rsid w:val="00FD1E64"/>
    <w:rsid w:val="00FD5A1C"/>
    <w:rsid w:val="00FE025E"/>
    <w:rsid w:val="00FE05E0"/>
    <w:rsid w:val="00FE0FE8"/>
    <w:rsid w:val="00FE16FB"/>
    <w:rsid w:val="00FE53AC"/>
    <w:rsid w:val="00FF039B"/>
    <w:rsid w:val="00FF4A6F"/>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44"/>
    <w:rPr>
      <w:sz w:val="22"/>
      <w:szCs w:val="22"/>
    </w:rPr>
  </w:style>
  <w:style w:type="paragraph" w:styleId="Heading1">
    <w:name w:val="heading 1"/>
    <w:basedOn w:val="Normal"/>
    <w:next w:val="Normal"/>
    <w:link w:val="Heading1Char"/>
    <w:uiPriority w:val="99"/>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C6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C3C6B"/>
    <w:rPr>
      <w:rFonts w:ascii="Cambria" w:eastAsia="Times New Roman" w:hAnsi="Cambria" w:cs="Times New Roman"/>
      <w:b/>
      <w:bCs/>
      <w:i/>
      <w:iCs/>
      <w:sz w:val="28"/>
      <w:szCs w:val="28"/>
    </w:rPr>
  </w:style>
  <w:style w:type="character" w:styleId="FootnoteReference">
    <w:name w:val="footnote reference"/>
    <w:aliases w:val="Style 4,Style 12,(NECG) Footnote Reference,Appel note de bas de p,Style 124,Style 13,o,fr,Style 3"/>
    <w:semiHidden/>
    <w:rsid w:val="00BC4C7E"/>
    <w:rPr>
      <w:rFonts w:cs="Times New Roman"/>
      <w:sz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z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sid w:val="00B0322B"/>
    <w:rPr>
      <w:snapToGrid w:val="0"/>
      <w:sz w:val="22"/>
      <w:lang w:val="en-US" w:eastAsia="en-US"/>
    </w:rPr>
  </w:style>
  <w:style w:type="paragraph" w:styleId="BodyText2">
    <w:name w:val="Body Text 2"/>
    <w:basedOn w:val="Normal"/>
    <w:link w:val="BodyText2Char"/>
    <w:uiPriority w:val="99"/>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character" w:customStyle="1" w:styleId="BodyText2Char">
    <w:name w:val="Body Text 2 Char"/>
    <w:basedOn w:val="DefaultParagraphFont"/>
    <w:link w:val="BodyText2"/>
    <w:uiPriority w:val="99"/>
    <w:semiHidden/>
    <w:rsid w:val="006C3C6B"/>
  </w:style>
  <w:style w:type="paragraph" w:customStyle="1" w:styleId="ParaNum">
    <w:name w:val="ParaNum"/>
    <w:basedOn w:val="Normal"/>
    <w:link w:val="ParaNumChar"/>
    <w:rsid w:val="00BC4C7E"/>
    <w:pPr>
      <w:numPr>
        <w:numId w:val="2"/>
      </w:numPr>
      <w:tabs>
        <w:tab w:val="num" w:pos="1440"/>
      </w:tabs>
      <w:spacing w:after="220"/>
    </w:pPr>
  </w:style>
  <w:style w:type="paragraph" w:styleId="Header">
    <w:name w:val="header"/>
    <w:basedOn w:val="Normal"/>
    <w:link w:val="HeaderChar"/>
    <w:uiPriority w:val="99"/>
    <w:rsid w:val="00085A2A"/>
    <w:pPr>
      <w:tabs>
        <w:tab w:val="center" w:pos="4320"/>
        <w:tab w:val="right" w:pos="8640"/>
      </w:tabs>
    </w:pPr>
  </w:style>
  <w:style w:type="character" w:customStyle="1" w:styleId="HeaderChar">
    <w:name w:val="Header Char"/>
    <w:basedOn w:val="DefaultParagraphFont"/>
    <w:link w:val="Header"/>
    <w:uiPriority w:val="99"/>
    <w:semiHidden/>
    <w:rsid w:val="006C3C6B"/>
  </w:style>
  <w:style w:type="paragraph" w:styleId="Footer">
    <w:name w:val="footer"/>
    <w:basedOn w:val="Normal"/>
    <w:link w:val="FooterChar"/>
    <w:uiPriority w:val="99"/>
    <w:rsid w:val="00085A2A"/>
    <w:pPr>
      <w:tabs>
        <w:tab w:val="center" w:pos="4320"/>
        <w:tab w:val="right" w:pos="8640"/>
      </w:tabs>
    </w:pPr>
  </w:style>
  <w:style w:type="character" w:customStyle="1" w:styleId="FooterChar">
    <w:name w:val="Footer Char"/>
    <w:basedOn w:val="DefaultParagraphFont"/>
    <w:link w:val="Footer"/>
    <w:uiPriority w:val="99"/>
    <w:semiHidden/>
    <w:rsid w:val="006C3C6B"/>
  </w:style>
  <w:style w:type="character" w:styleId="PageNumber">
    <w:name w:val="page number"/>
    <w:uiPriority w:val="99"/>
    <w:rsid w:val="00085A2A"/>
    <w:rPr>
      <w:rFonts w:cs="Times New Roman"/>
    </w:rPr>
  </w:style>
  <w:style w:type="character" w:customStyle="1" w:styleId="documentbody">
    <w:name w:val="documentbody"/>
    <w:rsid w:val="00A44195"/>
    <w:rPr>
      <w:rFonts w:cs="Times New Roman"/>
    </w:rPr>
  </w:style>
  <w:style w:type="character" w:styleId="Hyperlink">
    <w:name w:val="Hyperlink"/>
    <w:uiPriority w:val="99"/>
    <w:rsid w:val="00A44195"/>
    <w:rPr>
      <w:rFonts w:cs="Times New Roman"/>
      <w:color w:val="0000FF"/>
      <w:u w:val="single"/>
    </w:rPr>
  </w:style>
  <w:style w:type="character" w:customStyle="1" w:styleId="searchterm">
    <w:name w:val="searchterm"/>
    <w:uiPriority w:val="99"/>
    <w:rsid w:val="00A44195"/>
    <w:rPr>
      <w:rFonts w:cs="Times New Roman"/>
    </w:rPr>
  </w:style>
  <w:style w:type="character" w:customStyle="1" w:styleId="documentbody1">
    <w:name w:val="documentbody1"/>
    <w:uiPriority w:val="99"/>
    <w:rsid w:val="00634FC4"/>
    <w:rPr>
      <w:rFonts w:ascii="Verdana" w:hAnsi="Verdana"/>
      <w:sz w:val="19"/>
    </w:rPr>
  </w:style>
  <w:style w:type="paragraph" w:styleId="HTMLPreformatted">
    <w:name w:val="HTML Preformatted"/>
    <w:basedOn w:val="Normal"/>
    <w:link w:val="HTMLPreformattedChar"/>
    <w:uiPriority w:val="99"/>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C3C6B"/>
    <w:rPr>
      <w:rFonts w:ascii="Courier New" w:hAnsi="Courier New" w:cs="Courier New"/>
      <w:sz w:val="20"/>
      <w:szCs w:val="20"/>
    </w:rPr>
  </w:style>
  <w:style w:type="paragraph" w:styleId="TOC3">
    <w:name w:val="toc 3"/>
    <w:basedOn w:val="Normal"/>
    <w:next w:val="Normal"/>
    <w:uiPriority w:val="99"/>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uiPriority w:val="99"/>
    <w:rsid w:val="002F062C"/>
    <w:rPr>
      <w:rFonts w:cs="Times New Roman"/>
    </w:rPr>
  </w:style>
  <w:style w:type="character" w:customStyle="1" w:styleId="pmterms2">
    <w:name w:val="pmterms2"/>
    <w:uiPriority w:val="99"/>
    <w:rsid w:val="003A377E"/>
    <w:rPr>
      <w:rFonts w:cs="Times New Roman"/>
    </w:rPr>
  </w:style>
  <w:style w:type="character" w:customStyle="1" w:styleId="rrfootnoteCharChar">
    <w:name w:val="rrfootnote Char Char"/>
    <w:aliases w:val="rrfootnote Char Char Char1 Char,rrfootnote Char1 Char Char,rrfootnote Char Char1"/>
    <w:uiPriority w:val="99"/>
    <w:rsid w:val="00286E98"/>
    <w:rPr>
      <w:lang w:val="en-US" w:eastAsia="en-US"/>
    </w:rPr>
  </w:style>
  <w:style w:type="character" w:customStyle="1" w:styleId="rrfootnoteCharCharCharCharChar">
    <w:name w:val="rrfootnote Char Char Char Char Char"/>
    <w:aliases w:val="Footnote Text Char Char Char Char Char Char"/>
    <w:uiPriority w:val="99"/>
    <w:locked/>
    <w:rsid w:val="00234D07"/>
    <w:rPr>
      <w:color w:val="000000"/>
      <w:lang w:val="en-US" w:eastAsia="en-US"/>
    </w:rPr>
  </w:style>
  <w:style w:type="paragraph" w:styleId="BodyTextIndent3">
    <w:name w:val="Body Text Indent 3"/>
    <w:basedOn w:val="Normal"/>
    <w:link w:val="BodyTextIndent3Char"/>
    <w:uiPriority w:val="99"/>
    <w:rsid w:val="00BF027D"/>
    <w:pPr>
      <w:spacing w:after="120"/>
      <w:ind w:left="360"/>
    </w:pPr>
    <w:rPr>
      <w:sz w:val="16"/>
      <w:szCs w:val="16"/>
    </w:rPr>
  </w:style>
  <w:style w:type="character" w:customStyle="1" w:styleId="BodyTextIndent3Char">
    <w:name w:val="Body Text Indent 3 Char"/>
    <w:link w:val="BodyTextIndent3"/>
    <w:uiPriority w:val="99"/>
    <w:semiHidden/>
    <w:rsid w:val="006C3C6B"/>
    <w:rPr>
      <w:sz w:val="16"/>
      <w:szCs w:val="16"/>
    </w:rPr>
  </w:style>
  <w:style w:type="character" w:customStyle="1" w:styleId="NOVBodyindented">
    <w:name w:val="NOV Body indented"/>
    <w:uiPriority w:val="99"/>
    <w:rsid w:val="00B6734C"/>
    <w:rPr>
      <w:sz w:val="22"/>
    </w:rPr>
  </w:style>
  <w:style w:type="paragraph" w:styleId="BodyText">
    <w:name w:val="Body Text"/>
    <w:basedOn w:val="Normal"/>
    <w:link w:val="BodyTextChar"/>
    <w:uiPriority w:val="99"/>
    <w:rsid w:val="00081BD1"/>
    <w:pPr>
      <w:spacing w:after="120"/>
    </w:pPr>
  </w:style>
  <w:style w:type="character" w:customStyle="1" w:styleId="BodyTextChar">
    <w:name w:val="Body Text Char"/>
    <w:basedOn w:val="DefaultParagraphFont"/>
    <w:link w:val="BodyText"/>
    <w:uiPriority w:val="99"/>
    <w:semiHidden/>
    <w:rsid w:val="006C3C6B"/>
  </w:style>
  <w:style w:type="character" w:customStyle="1" w:styleId="starpage">
    <w:name w:val="starpage"/>
    <w:uiPriority w:val="99"/>
    <w:rsid w:val="000C3295"/>
    <w:rPr>
      <w:rFonts w:cs="Times New Roman"/>
    </w:rPr>
  </w:style>
  <w:style w:type="character" w:styleId="CommentReference">
    <w:name w:val="annotation reference"/>
    <w:uiPriority w:val="99"/>
    <w:semiHidden/>
    <w:rsid w:val="00244FA8"/>
    <w:rPr>
      <w:rFonts w:cs="Times New Roman"/>
      <w:sz w:val="16"/>
    </w:rPr>
  </w:style>
  <w:style w:type="paragraph" w:customStyle="1" w:styleId="textinfo">
    <w:name w:val="textinfo"/>
    <w:basedOn w:val="Normal"/>
    <w:uiPriority w:val="99"/>
    <w:rsid w:val="00244FA8"/>
    <w:pPr>
      <w:spacing w:before="100" w:beforeAutospacing="1" w:after="100" w:afterAutospacing="1"/>
    </w:pPr>
    <w:rPr>
      <w:sz w:val="24"/>
      <w:szCs w:val="24"/>
    </w:rPr>
  </w:style>
  <w:style w:type="paragraph" w:styleId="CommentText">
    <w:name w:val="annotation text"/>
    <w:basedOn w:val="Normal"/>
    <w:link w:val="CommentTextChar"/>
    <w:uiPriority w:val="99"/>
    <w:semiHidden/>
    <w:rsid w:val="007E33E7"/>
    <w:rPr>
      <w:sz w:val="20"/>
      <w:szCs w:val="20"/>
    </w:rPr>
  </w:style>
  <w:style w:type="character" w:customStyle="1" w:styleId="CommentTextChar">
    <w:name w:val="Comment Text Char"/>
    <w:link w:val="CommentText"/>
    <w:uiPriority w:val="99"/>
    <w:semiHidden/>
    <w:rsid w:val="006C3C6B"/>
    <w:rPr>
      <w:sz w:val="20"/>
      <w:szCs w:val="20"/>
    </w:rPr>
  </w:style>
  <w:style w:type="paragraph" w:styleId="CommentSubject">
    <w:name w:val="annotation subject"/>
    <w:basedOn w:val="CommentText"/>
    <w:next w:val="CommentText"/>
    <w:link w:val="CommentSubjectChar"/>
    <w:uiPriority w:val="99"/>
    <w:semiHidden/>
    <w:rsid w:val="007E33E7"/>
    <w:rPr>
      <w:b/>
      <w:bCs/>
    </w:rPr>
  </w:style>
  <w:style w:type="character" w:customStyle="1" w:styleId="CommentSubjectChar">
    <w:name w:val="Comment Subject Char"/>
    <w:link w:val="CommentSubject"/>
    <w:uiPriority w:val="99"/>
    <w:semiHidden/>
    <w:rsid w:val="006C3C6B"/>
    <w:rPr>
      <w:b/>
      <w:bCs/>
      <w:sz w:val="20"/>
      <w:szCs w:val="20"/>
    </w:rPr>
  </w:style>
  <w:style w:type="paragraph" w:styleId="BalloonText">
    <w:name w:val="Balloon Text"/>
    <w:basedOn w:val="Normal"/>
    <w:link w:val="BalloonTextChar"/>
    <w:uiPriority w:val="99"/>
    <w:semiHidden/>
    <w:rsid w:val="007E33E7"/>
    <w:rPr>
      <w:rFonts w:ascii="Tahoma" w:hAnsi="Tahoma" w:cs="Tahoma"/>
      <w:sz w:val="16"/>
      <w:szCs w:val="16"/>
    </w:rPr>
  </w:style>
  <w:style w:type="character" w:customStyle="1" w:styleId="BalloonTextChar">
    <w:name w:val="Balloon Text Char"/>
    <w:link w:val="BalloonText"/>
    <w:uiPriority w:val="99"/>
    <w:semiHidden/>
    <w:rsid w:val="006C3C6B"/>
    <w:rPr>
      <w:sz w:val="0"/>
      <w:szCs w:val="0"/>
    </w:rPr>
  </w:style>
  <w:style w:type="paragraph" w:styleId="ListParagraph">
    <w:name w:val="List Paragraph"/>
    <w:basedOn w:val="Normal"/>
    <w:uiPriority w:val="99"/>
    <w:qFormat/>
    <w:rsid w:val="0081418C"/>
    <w:pPr>
      <w:ind w:left="720"/>
    </w:pPr>
  </w:style>
  <w:style w:type="paragraph" w:styleId="TOAHeading">
    <w:name w:val="toa heading"/>
    <w:basedOn w:val="Normal"/>
    <w:next w:val="Normal"/>
    <w:uiPriority w:val="99"/>
    <w:rsid w:val="00E501A8"/>
    <w:pPr>
      <w:widowControl w:val="0"/>
      <w:tabs>
        <w:tab w:val="right" w:pos="9360"/>
      </w:tabs>
      <w:suppressAutoHyphens/>
    </w:pPr>
    <w:rPr>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lang w:eastAsia="ar-SA" w:bidi="ar-SA"/>
    </w:rPr>
  </w:style>
  <w:style w:type="character" w:customStyle="1" w:styleId="apple-converted-space">
    <w:name w:val="apple-converted-space"/>
    <w:rsid w:val="00E30B2A"/>
  </w:style>
  <w:style w:type="character" w:customStyle="1" w:styleId="ParaNumChar">
    <w:name w:val="ParaNum Char"/>
    <w:link w:val="ParaNum"/>
    <w:locked/>
    <w:rsid w:val="009D09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44"/>
    <w:rPr>
      <w:sz w:val="22"/>
      <w:szCs w:val="22"/>
    </w:rPr>
  </w:style>
  <w:style w:type="paragraph" w:styleId="Heading1">
    <w:name w:val="heading 1"/>
    <w:basedOn w:val="Normal"/>
    <w:next w:val="Normal"/>
    <w:link w:val="Heading1Char"/>
    <w:uiPriority w:val="99"/>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C6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C3C6B"/>
    <w:rPr>
      <w:rFonts w:ascii="Cambria" w:eastAsia="Times New Roman" w:hAnsi="Cambria" w:cs="Times New Roman"/>
      <w:b/>
      <w:bCs/>
      <w:i/>
      <w:iCs/>
      <w:sz w:val="28"/>
      <w:szCs w:val="28"/>
    </w:rPr>
  </w:style>
  <w:style w:type="character" w:styleId="FootnoteReference">
    <w:name w:val="footnote reference"/>
    <w:aliases w:val="Style 4,Style 12,(NECG) Footnote Reference,Appel note de bas de p,Style 124,Style 13,o,fr,Style 3"/>
    <w:semiHidden/>
    <w:rsid w:val="00BC4C7E"/>
    <w:rPr>
      <w:rFonts w:cs="Times New Roman"/>
      <w:sz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z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sid w:val="00B0322B"/>
    <w:rPr>
      <w:snapToGrid w:val="0"/>
      <w:sz w:val="22"/>
      <w:lang w:val="en-US" w:eastAsia="en-US"/>
    </w:rPr>
  </w:style>
  <w:style w:type="paragraph" w:styleId="BodyText2">
    <w:name w:val="Body Text 2"/>
    <w:basedOn w:val="Normal"/>
    <w:link w:val="BodyText2Char"/>
    <w:uiPriority w:val="99"/>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character" w:customStyle="1" w:styleId="BodyText2Char">
    <w:name w:val="Body Text 2 Char"/>
    <w:basedOn w:val="DefaultParagraphFont"/>
    <w:link w:val="BodyText2"/>
    <w:uiPriority w:val="99"/>
    <w:semiHidden/>
    <w:rsid w:val="006C3C6B"/>
  </w:style>
  <w:style w:type="paragraph" w:customStyle="1" w:styleId="ParaNum">
    <w:name w:val="ParaNum"/>
    <w:basedOn w:val="Normal"/>
    <w:link w:val="ParaNumChar"/>
    <w:rsid w:val="00BC4C7E"/>
    <w:pPr>
      <w:numPr>
        <w:numId w:val="2"/>
      </w:numPr>
      <w:tabs>
        <w:tab w:val="num" w:pos="1440"/>
      </w:tabs>
      <w:spacing w:after="220"/>
    </w:pPr>
  </w:style>
  <w:style w:type="paragraph" w:styleId="Header">
    <w:name w:val="header"/>
    <w:basedOn w:val="Normal"/>
    <w:link w:val="HeaderChar"/>
    <w:uiPriority w:val="99"/>
    <w:rsid w:val="00085A2A"/>
    <w:pPr>
      <w:tabs>
        <w:tab w:val="center" w:pos="4320"/>
        <w:tab w:val="right" w:pos="8640"/>
      </w:tabs>
    </w:pPr>
  </w:style>
  <w:style w:type="character" w:customStyle="1" w:styleId="HeaderChar">
    <w:name w:val="Header Char"/>
    <w:basedOn w:val="DefaultParagraphFont"/>
    <w:link w:val="Header"/>
    <w:uiPriority w:val="99"/>
    <w:semiHidden/>
    <w:rsid w:val="006C3C6B"/>
  </w:style>
  <w:style w:type="paragraph" w:styleId="Footer">
    <w:name w:val="footer"/>
    <w:basedOn w:val="Normal"/>
    <w:link w:val="FooterChar"/>
    <w:uiPriority w:val="99"/>
    <w:rsid w:val="00085A2A"/>
    <w:pPr>
      <w:tabs>
        <w:tab w:val="center" w:pos="4320"/>
        <w:tab w:val="right" w:pos="8640"/>
      </w:tabs>
    </w:pPr>
  </w:style>
  <w:style w:type="character" w:customStyle="1" w:styleId="FooterChar">
    <w:name w:val="Footer Char"/>
    <w:basedOn w:val="DefaultParagraphFont"/>
    <w:link w:val="Footer"/>
    <w:uiPriority w:val="99"/>
    <w:semiHidden/>
    <w:rsid w:val="006C3C6B"/>
  </w:style>
  <w:style w:type="character" w:styleId="PageNumber">
    <w:name w:val="page number"/>
    <w:uiPriority w:val="99"/>
    <w:rsid w:val="00085A2A"/>
    <w:rPr>
      <w:rFonts w:cs="Times New Roman"/>
    </w:rPr>
  </w:style>
  <w:style w:type="character" w:customStyle="1" w:styleId="documentbody">
    <w:name w:val="documentbody"/>
    <w:rsid w:val="00A44195"/>
    <w:rPr>
      <w:rFonts w:cs="Times New Roman"/>
    </w:rPr>
  </w:style>
  <w:style w:type="character" w:styleId="Hyperlink">
    <w:name w:val="Hyperlink"/>
    <w:uiPriority w:val="99"/>
    <w:rsid w:val="00A44195"/>
    <w:rPr>
      <w:rFonts w:cs="Times New Roman"/>
      <w:color w:val="0000FF"/>
      <w:u w:val="single"/>
    </w:rPr>
  </w:style>
  <w:style w:type="character" w:customStyle="1" w:styleId="searchterm">
    <w:name w:val="searchterm"/>
    <w:uiPriority w:val="99"/>
    <w:rsid w:val="00A44195"/>
    <w:rPr>
      <w:rFonts w:cs="Times New Roman"/>
    </w:rPr>
  </w:style>
  <w:style w:type="character" w:customStyle="1" w:styleId="documentbody1">
    <w:name w:val="documentbody1"/>
    <w:uiPriority w:val="99"/>
    <w:rsid w:val="00634FC4"/>
    <w:rPr>
      <w:rFonts w:ascii="Verdana" w:hAnsi="Verdana"/>
      <w:sz w:val="19"/>
    </w:rPr>
  </w:style>
  <w:style w:type="paragraph" w:styleId="HTMLPreformatted">
    <w:name w:val="HTML Preformatted"/>
    <w:basedOn w:val="Normal"/>
    <w:link w:val="HTMLPreformattedChar"/>
    <w:uiPriority w:val="99"/>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C3C6B"/>
    <w:rPr>
      <w:rFonts w:ascii="Courier New" w:hAnsi="Courier New" w:cs="Courier New"/>
      <w:sz w:val="20"/>
      <w:szCs w:val="20"/>
    </w:rPr>
  </w:style>
  <w:style w:type="paragraph" w:styleId="TOC3">
    <w:name w:val="toc 3"/>
    <w:basedOn w:val="Normal"/>
    <w:next w:val="Normal"/>
    <w:uiPriority w:val="99"/>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uiPriority w:val="99"/>
    <w:rsid w:val="002F062C"/>
    <w:rPr>
      <w:rFonts w:cs="Times New Roman"/>
    </w:rPr>
  </w:style>
  <w:style w:type="character" w:customStyle="1" w:styleId="pmterms2">
    <w:name w:val="pmterms2"/>
    <w:uiPriority w:val="99"/>
    <w:rsid w:val="003A377E"/>
    <w:rPr>
      <w:rFonts w:cs="Times New Roman"/>
    </w:rPr>
  </w:style>
  <w:style w:type="character" w:customStyle="1" w:styleId="rrfootnoteCharChar">
    <w:name w:val="rrfootnote Char Char"/>
    <w:aliases w:val="rrfootnote Char Char Char1 Char,rrfootnote Char1 Char Char,rrfootnote Char Char1"/>
    <w:uiPriority w:val="99"/>
    <w:rsid w:val="00286E98"/>
    <w:rPr>
      <w:lang w:val="en-US" w:eastAsia="en-US"/>
    </w:rPr>
  </w:style>
  <w:style w:type="character" w:customStyle="1" w:styleId="rrfootnoteCharCharCharCharChar">
    <w:name w:val="rrfootnote Char Char Char Char Char"/>
    <w:aliases w:val="Footnote Text Char Char Char Char Char Char"/>
    <w:uiPriority w:val="99"/>
    <w:locked/>
    <w:rsid w:val="00234D07"/>
    <w:rPr>
      <w:color w:val="000000"/>
      <w:lang w:val="en-US" w:eastAsia="en-US"/>
    </w:rPr>
  </w:style>
  <w:style w:type="paragraph" w:styleId="BodyTextIndent3">
    <w:name w:val="Body Text Indent 3"/>
    <w:basedOn w:val="Normal"/>
    <w:link w:val="BodyTextIndent3Char"/>
    <w:uiPriority w:val="99"/>
    <w:rsid w:val="00BF027D"/>
    <w:pPr>
      <w:spacing w:after="120"/>
      <w:ind w:left="360"/>
    </w:pPr>
    <w:rPr>
      <w:sz w:val="16"/>
      <w:szCs w:val="16"/>
    </w:rPr>
  </w:style>
  <w:style w:type="character" w:customStyle="1" w:styleId="BodyTextIndent3Char">
    <w:name w:val="Body Text Indent 3 Char"/>
    <w:link w:val="BodyTextIndent3"/>
    <w:uiPriority w:val="99"/>
    <w:semiHidden/>
    <w:rsid w:val="006C3C6B"/>
    <w:rPr>
      <w:sz w:val="16"/>
      <w:szCs w:val="16"/>
    </w:rPr>
  </w:style>
  <w:style w:type="character" w:customStyle="1" w:styleId="NOVBodyindented">
    <w:name w:val="NOV Body indented"/>
    <w:uiPriority w:val="99"/>
    <w:rsid w:val="00B6734C"/>
    <w:rPr>
      <w:sz w:val="22"/>
    </w:rPr>
  </w:style>
  <w:style w:type="paragraph" w:styleId="BodyText">
    <w:name w:val="Body Text"/>
    <w:basedOn w:val="Normal"/>
    <w:link w:val="BodyTextChar"/>
    <w:uiPriority w:val="99"/>
    <w:rsid w:val="00081BD1"/>
    <w:pPr>
      <w:spacing w:after="120"/>
    </w:pPr>
  </w:style>
  <w:style w:type="character" w:customStyle="1" w:styleId="BodyTextChar">
    <w:name w:val="Body Text Char"/>
    <w:basedOn w:val="DefaultParagraphFont"/>
    <w:link w:val="BodyText"/>
    <w:uiPriority w:val="99"/>
    <w:semiHidden/>
    <w:rsid w:val="006C3C6B"/>
  </w:style>
  <w:style w:type="character" w:customStyle="1" w:styleId="starpage">
    <w:name w:val="starpage"/>
    <w:uiPriority w:val="99"/>
    <w:rsid w:val="000C3295"/>
    <w:rPr>
      <w:rFonts w:cs="Times New Roman"/>
    </w:rPr>
  </w:style>
  <w:style w:type="character" w:styleId="CommentReference">
    <w:name w:val="annotation reference"/>
    <w:uiPriority w:val="99"/>
    <w:semiHidden/>
    <w:rsid w:val="00244FA8"/>
    <w:rPr>
      <w:rFonts w:cs="Times New Roman"/>
      <w:sz w:val="16"/>
    </w:rPr>
  </w:style>
  <w:style w:type="paragraph" w:customStyle="1" w:styleId="textinfo">
    <w:name w:val="textinfo"/>
    <w:basedOn w:val="Normal"/>
    <w:uiPriority w:val="99"/>
    <w:rsid w:val="00244FA8"/>
    <w:pPr>
      <w:spacing w:before="100" w:beforeAutospacing="1" w:after="100" w:afterAutospacing="1"/>
    </w:pPr>
    <w:rPr>
      <w:sz w:val="24"/>
      <w:szCs w:val="24"/>
    </w:rPr>
  </w:style>
  <w:style w:type="paragraph" w:styleId="CommentText">
    <w:name w:val="annotation text"/>
    <w:basedOn w:val="Normal"/>
    <w:link w:val="CommentTextChar"/>
    <w:uiPriority w:val="99"/>
    <w:semiHidden/>
    <w:rsid w:val="007E33E7"/>
    <w:rPr>
      <w:sz w:val="20"/>
      <w:szCs w:val="20"/>
    </w:rPr>
  </w:style>
  <w:style w:type="character" w:customStyle="1" w:styleId="CommentTextChar">
    <w:name w:val="Comment Text Char"/>
    <w:link w:val="CommentText"/>
    <w:uiPriority w:val="99"/>
    <w:semiHidden/>
    <w:rsid w:val="006C3C6B"/>
    <w:rPr>
      <w:sz w:val="20"/>
      <w:szCs w:val="20"/>
    </w:rPr>
  </w:style>
  <w:style w:type="paragraph" w:styleId="CommentSubject">
    <w:name w:val="annotation subject"/>
    <w:basedOn w:val="CommentText"/>
    <w:next w:val="CommentText"/>
    <w:link w:val="CommentSubjectChar"/>
    <w:uiPriority w:val="99"/>
    <w:semiHidden/>
    <w:rsid w:val="007E33E7"/>
    <w:rPr>
      <w:b/>
      <w:bCs/>
    </w:rPr>
  </w:style>
  <w:style w:type="character" w:customStyle="1" w:styleId="CommentSubjectChar">
    <w:name w:val="Comment Subject Char"/>
    <w:link w:val="CommentSubject"/>
    <w:uiPriority w:val="99"/>
    <w:semiHidden/>
    <w:rsid w:val="006C3C6B"/>
    <w:rPr>
      <w:b/>
      <w:bCs/>
      <w:sz w:val="20"/>
      <w:szCs w:val="20"/>
    </w:rPr>
  </w:style>
  <w:style w:type="paragraph" w:styleId="BalloonText">
    <w:name w:val="Balloon Text"/>
    <w:basedOn w:val="Normal"/>
    <w:link w:val="BalloonTextChar"/>
    <w:uiPriority w:val="99"/>
    <w:semiHidden/>
    <w:rsid w:val="007E33E7"/>
    <w:rPr>
      <w:rFonts w:ascii="Tahoma" w:hAnsi="Tahoma" w:cs="Tahoma"/>
      <w:sz w:val="16"/>
      <w:szCs w:val="16"/>
    </w:rPr>
  </w:style>
  <w:style w:type="character" w:customStyle="1" w:styleId="BalloonTextChar">
    <w:name w:val="Balloon Text Char"/>
    <w:link w:val="BalloonText"/>
    <w:uiPriority w:val="99"/>
    <w:semiHidden/>
    <w:rsid w:val="006C3C6B"/>
    <w:rPr>
      <w:sz w:val="0"/>
      <w:szCs w:val="0"/>
    </w:rPr>
  </w:style>
  <w:style w:type="paragraph" w:styleId="ListParagraph">
    <w:name w:val="List Paragraph"/>
    <w:basedOn w:val="Normal"/>
    <w:uiPriority w:val="99"/>
    <w:qFormat/>
    <w:rsid w:val="0081418C"/>
    <w:pPr>
      <w:ind w:left="720"/>
    </w:pPr>
  </w:style>
  <w:style w:type="paragraph" w:styleId="TOAHeading">
    <w:name w:val="toa heading"/>
    <w:basedOn w:val="Normal"/>
    <w:next w:val="Normal"/>
    <w:uiPriority w:val="99"/>
    <w:rsid w:val="00E501A8"/>
    <w:pPr>
      <w:widowControl w:val="0"/>
      <w:tabs>
        <w:tab w:val="right" w:pos="9360"/>
      </w:tabs>
      <w:suppressAutoHyphens/>
    </w:pPr>
    <w:rPr>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lang w:eastAsia="ar-SA" w:bidi="ar-SA"/>
    </w:rPr>
  </w:style>
  <w:style w:type="character" w:customStyle="1" w:styleId="apple-converted-space">
    <w:name w:val="apple-converted-space"/>
    <w:rsid w:val="00E30B2A"/>
  </w:style>
  <w:style w:type="character" w:customStyle="1" w:styleId="ParaNumChar">
    <w:name w:val="ParaNum Char"/>
    <w:link w:val="ParaNum"/>
    <w:locked/>
    <w:rsid w:val="009D09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5152">
      <w:bodyDiv w:val="1"/>
      <w:marLeft w:val="0"/>
      <w:marRight w:val="0"/>
      <w:marTop w:val="0"/>
      <w:marBottom w:val="0"/>
      <w:divBdr>
        <w:top w:val="none" w:sz="0" w:space="0" w:color="auto"/>
        <w:left w:val="none" w:sz="0" w:space="0" w:color="auto"/>
        <w:bottom w:val="none" w:sz="0" w:space="0" w:color="auto"/>
        <w:right w:val="none" w:sz="0" w:space="0" w:color="auto"/>
      </w:divBdr>
    </w:div>
    <w:div w:id="310061415">
      <w:marLeft w:val="0"/>
      <w:marRight w:val="0"/>
      <w:marTop w:val="0"/>
      <w:marBottom w:val="0"/>
      <w:divBdr>
        <w:top w:val="none" w:sz="0" w:space="0" w:color="auto"/>
        <w:left w:val="none" w:sz="0" w:space="0" w:color="auto"/>
        <w:bottom w:val="none" w:sz="0" w:space="0" w:color="auto"/>
        <w:right w:val="none" w:sz="0" w:space="0" w:color="auto"/>
      </w:divBdr>
    </w:div>
    <w:div w:id="310061416">
      <w:marLeft w:val="0"/>
      <w:marRight w:val="0"/>
      <w:marTop w:val="0"/>
      <w:marBottom w:val="0"/>
      <w:divBdr>
        <w:top w:val="none" w:sz="0" w:space="0" w:color="auto"/>
        <w:left w:val="none" w:sz="0" w:space="0" w:color="auto"/>
        <w:bottom w:val="none" w:sz="0" w:space="0" w:color="auto"/>
        <w:right w:val="none" w:sz="0" w:space="0" w:color="auto"/>
      </w:divBdr>
      <w:divsChild>
        <w:div w:id="310061422">
          <w:marLeft w:val="720"/>
          <w:marRight w:val="720"/>
          <w:marTop w:val="100"/>
          <w:marBottom w:val="100"/>
          <w:divBdr>
            <w:top w:val="none" w:sz="0" w:space="0" w:color="auto"/>
            <w:left w:val="none" w:sz="0" w:space="0" w:color="auto"/>
            <w:bottom w:val="none" w:sz="0" w:space="0" w:color="auto"/>
            <w:right w:val="none" w:sz="0" w:space="0" w:color="auto"/>
          </w:divBdr>
        </w:div>
        <w:div w:id="310061423">
          <w:marLeft w:val="720"/>
          <w:marRight w:val="720"/>
          <w:marTop w:val="100"/>
          <w:marBottom w:val="100"/>
          <w:divBdr>
            <w:top w:val="none" w:sz="0" w:space="0" w:color="auto"/>
            <w:left w:val="none" w:sz="0" w:space="0" w:color="auto"/>
            <w:bottom w:val="none" w:sz="0" w:space="0" w:color="auto"/>
            <w:right w:val="none" w:sz="0" w:space="0" w:color="auto"/>
          </w:divBdr>
        </w:div>
      </w:divsChild>
    </w:div>
    <w:div w:id="310061417">
      <w:marLeft w:val="0"/>
      <w:marRight w:val="0"/>
      <w:marTop w:val="0"/>
      <w:marBottom w:val="0"/>
      <w:divBdr>
        <w:top w:val="none" w:sz="0" w:space="0" w:color="auto"/>
        <w:left w:val="none" w:sz="0" w:space="0" w:color="auto"/>
        <w:bottom w:val="none" w:sz="0" w:space="0" w:color="auto"/>
        <w:right w:val="none" w:sz="0" w:space="0" w:color="auto"/>
      </w:divBdr>
    </w:div>
    <w:div w:id="310061418">
      <w:marLeft w:val="0"/>
      <w:marRight w:val="0"/>
      <w:marTop w:val="0"/>
      <w:marBottom w:val="0"/>
      <w:divBdr>
        <w:top w:val="none" w:sz="0" w:space="0" w:color="auto"/>
        <w:left w:val="none" w:sz="0" w:space="0" w:color="auto"/>
        <w:bottom w:val="none" w:sz="0" w:space="0" w:color="auto"/>
        <w:right w:val="none" w:sz="0" w:space="0" w:color="auto"/>
      </w:divBdr>
    </w:div>
    <w:div w:id="310061419">
      <w:marLeft w:val="0"/>
      <w:marRight w:val="0"/>
      <w:marTop w:val="0"/>
      <w:marBottom w:val="0"/>
      <w:divBdr>
        <w:top w:val="none" w:sz="0" w:space="0" w:color="auto"/>
        <w:left w:val="none" w:sz="0" w:space="0" w:color="auto"/>
        <w:bottom w:val="none" w:sz="0" w:space="0" w:color="auto"/>
        <w:right w:val="none" w:sz="0" w:space="0" w:color="auto"/>
      </w:divBdr>
    </w:div>
    <w:div w:id="310061420">
      <w:marLeft w:val="0"/>
      <w:marRight w:val="0"/>
      <w:marTop w:val="0"/>
      <w:marBottom w:val="0"/>
      <w:divBdr>
        <w:top w:val="none" w:sz="0" w:space="0" w:color="auto"/>
        <w:left w:val="none" w:sz="0" w:space="0" w:color="auto"/>
        <w:bottom w:val="none" w:sz="0" w:space="0" w:color="auto"/>
        <w:right w:val="none" w:sz="0" w:space="0" w:color="auto"/>
      </w:divBdr>
    </w:div>
    <w:div w:id="310061421">
      <w:marLeft w:val="0"/>
      <w:marRight w:val="0"/>
      <w:marTop w:val="0"/>
      <w:marBottom w:val="0"/>
      <w:divBdr>
        <w:top w:val="none" w:sz="0" w:space="0" w:color="auto"/>
        <w:left w:val="none" w:sz="0" w:space="0" w:color="auto"/>
        <w:bottom w:val="none" w:sz="0" w:space="0" w:color="auto"/>
        <w:right w:val="none" w:sz="0" w:space="0" w:color="auto"/>
      </w:divBdr>
    </w:div>
    <w:div w:id="310061424">
      <w:marLeft w:val="0"/>
      <w:marRight w:val="0"/>
      <w:marTop w:val="0"/>
      <w:marBottom w:val="0"/>
      <w:divBdr>
        <w:top w:val="none" w:sz="0" w:space="0" w:color="auto"/>
        <w:left w:val="none" w:sz="0" w:space="0" w:color="auto"/>
        <w:bottom w:val="none" w:sz="0" w:space="0" w:color="auto"/>
        <w:right w:val="none" w:sz="0" w:space="0" w:color="auto"/>
      </w:divBdr>
    </w:div>
    <w:div w:id="488639733">
      <w:bodyDiv w:val="1"/>
      <w:marLeft w:val="0"/>
      <w:marRight w:val="0"/>
      <w:marTop w:val="0"/>
      <w:marBottom w:val="0"/>
      <w:divBdr>
        <w:top w:val="none" w:sz="0" w:space="0" w:color="auto"/>
        <w:left w:val="none" w:sz="0" w:space="0" w:color="auto"/>
        <w:bottom w:val="none" w:sz="0" w:space="0" w:color="auto"/>
        <w:right w:val="none" w:sz="0" w:space="0" w:color="auto"/>
      </w:divBdr>
    </w:div>
    <w:div w:id="840195660">
      <w:bodyDiv w:val="1"/>
      <w:marLeft w:val="0"/>
      <w:marRight w:val="0"/>
      <w:marTop w:val="0"/>
      <w:marBottom w:val="0"/>
      <w:divBdr>
        <w:top w:val="none" w:sz="0" w:space="0" w:color="auto"/>
        <w:left w:val="none" w:sz="0" w:space="0" w:color="auto"/>
        <w:bottom w:val="none" w:sz="0" w:space="0" w:color="auto"/>
        <w:right w:val="none" w:sz="0" w:space="0" w:color="auto"/>
      </w:divBdr>
    </w:div>
    <w:div w:id="998772233">
      <w:bodyDiv w:val="1"/>
      <w:marLeft w:val="0"/>
      <w:marRight w:val="0"/>
      <w:marTop w:val="0"/>
      <w:marBottom w:val="0"/>
      <w:divBdr>
        <w:top w:val="none" w:sz="0" w:space="0" w:color="auto"/>
        <w:left w:val="none" w:sz="0" w:space="0" w:color="auto"/>
        <w:bottom w:val="none" w:sz="0" w:space="0" w:color="auto"/>
        <w:right w:val="none" w:sz="0" w:space="0" w:color="auto"/>
      </w:divBdr>
    </w:div>
    <w:div w:id="1268345329">
      <w:bodyDiv w:val="1"/>
      <w:marLeft w:val="0"/>
      <w:marRight w:val="0"/>
      <w:marTop w:val="0"/>
      <w:marBottom w:val="0"/>
      <w:divBdr>
        <w:top w:val="none" w:sz="0" w:space="0" w:color="auto"/>
        <w:left w:val="none" w:sz="0" w:space="0" w:color="auto"/>
        <w:bottom w:val="none" w:sz="0" w:space="0" w:color="auto"/>
        <w:right w:val="none" w:sz="0" w:space="0" w:color="auto"/>
      </w:divBdr>
    </w:div>
    <w:div w:id="1508401667">
      <w:bodyDiv w:val="1"/>
      <w:marLeft w:val="0"/>
      <w:marRight w:val="0"/>
      <w:marTop w:val="0"/>
      <w:marBottom w:val="0"/>
      <w:divBdr>
        <w:top w:val="none" w:sz="0" w:space="0" w:color="auto"/>
        <w:left w:val="none" w:sz="0" w:space="0" w:color="auto"/>
        <w:bottom w:val="none" w:sz="0" w:space="0" w:color="auto"/>
        <w:right w:val="none" w:sz="0" w:space="0" w:color="auto"/>
      </w:divBdr>
    </w:div>
    <w:div w:id="1739202949">
      <w:bodyDiv w:val="1"/>
      <w:marLeft w:val="0"/>
      <w:marRight w:val="0"/>
      <w:marTop w:val="0"/>
      <w:marBottom w:val="0"/>
      <w:divBdr>
        <w:top w:val="none" w:sz="0" w:space="0" w:color="auto"/>
        <w:left w:val="none" w:sz="0" w:space="0" w:color="auto"/>
        <w:bottom w:val="none" w:sz="0" w:space="0" w:color="auto"/>
        <w:right w:val="none" w:sz="0" w:space="0" w:color="auto"/>
      </w:divBdr>
      <w:divsChild>
        <w:div w:id="128135935">
          <w:marLeft w:val="0"/>
          <w:marRight w:val="0"/>
          <w:marTop w:val="0"/>
          <w:marBottom w:val="0"/>
          <w:divBdr>
            <w:top w:val="none" w:sz="0" w:space="0" w:color="auto"/>
            <w:left w:val="none" w:sz="0" w:space="0" w:color="auto"/>
            <w:bottom w:val="none" w:sz="0" w:space="0" w:color="auto"/>
            <w:right w:val="none" w:sz="0" w:space="0" w:color="auto"/>
          </w:divBdr>
          <w:divsChild>
            <w:div w:id="20212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3592">
      <w:bodyDiv w:val="1"/>
      <w:marLeft w:val="0"/>
      <w:marRight w:val="0"/>
      <w:marTop w:val="0"/>
      <w:marBottom w:val="0"/>
      <w:divBdr>
        <w:top w:val="none" w:sz="0" w:space="0" w:color="auto"/>
        <w:left w:val="none" w:sz="0" w:space="0" w:color="auto"/>
        <w:bottom w:val="none" w:sz="0" w:space="0" w:color="auto"/>
        <w:right w:val="none" w:sz="0" w:space="0" w:color="auto"/>
      </w:divBdr>
      <w:divsChild>
        <w:div w:id="509834581">
          <w:marLeft w:val="0"/>
          <w:marRight w:val="0"/>
          <w:marTop w:val="0"/>
          <w:marBottom w:val="0"/>
          <w:divBdr>
            <w:top w:val="none" w:sz="0" w:space="0" w:color="auto"/>
            <w:left w:val="none" w:sz="0" w:space="0" w:color="auto"/>
            <w:bottom w:val="none" w:sz="0" w:space="0" w:color="auto"/>
            <w:right w:val="none" w:sz="0" w:space="0" w:color="auto"/>
          </w:divBdr>
          <w:divsChild>
            <w:div w:id="4480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4957">
      <w:bodyDiv w:val="1"/>
      <w:marLeft w:val="0"/>
      <w:marRight w:val="0"/>
      <w:marTop w:val="0"/>
      <w:marBottom w:val="0"/>
      <w:divBdr>
        <w:top w:val="none" w:sz="0" w:space="0" w:color="auto"/>
        <w:left w:val="none" w:sz="0" w:space="0" w:color="auto"/>
        <w:bottom w:val="none" w:sz="0" w:space="0" w:color="auto"/>
        <w:right w:val="none" w:sz="0" w:space="0" w:color="auto"/>
      </w:divBdr>
    </w:div>
    <w:div w:id="1851722500">
      <w:bodyDiv w:val="1"/>
      <w:marLeft w:val="0"/>
      <w:marRight w:val="0"/>
      <w:marTop w:val="0"/>
      <w:marBottom w:val="0"/>
      <w:divBdr>
        <w:top w:val="none" w:sz="0" w:space="0" w:color="auto"/>
        <w:left w:val="none" w:sz="0" w:space="0" w:color="auto"/>
        <w:bottom w:val="none" w:sz="0" w:space="0" w:color="auto"/>
        <w:right w:val="none" w:sz="0" w:space="0" w:color="auto"/>
      </w:divBdr>
      <w:divsChild>
        <w:div w:id="1512258784">
          <w:marLeft w:val="0"/>
          <w:marRight w:val="0"/>
          <w:marTop w:val="0"/>
          <w:marBottom w:val="0"/>
          <w:divBdr>
            <w:top w:val="none" w:sz="0" w:space="0" w:color="auto"/>
            <w:left w:val="none" w:sz="0" w:space="0" w:color="auto"/>
            <w:bottom w:val="none" w:sz="0" w:space="0" w:color="auto"/>
            <w:right w:val="none" w:sz="0" w:space="0" w:color="auto"/>
          </w:divBdr>
          <w:divsChild>
            <w:div w:id="1807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6980</Characters>
  <Application>Microsoft Office Word</Application>
  <DocSecurity>0</DocSecurity>
  <Lines>132</Lines>
  <Paragraphs>44</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8352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2012-02-23T18:40:00Z</cp:lastPrinted>
  <dcterms:created xsi:type="dcterms:W3CDTF">2014-07-30T14:15:00Z</dcterms:created>
  <dcterms:modified xsi:type="dcterms:W3CDTF">2014-07-30T14:15:00Z</dcterms:modified>
  <cp:category> </cp:category>
  <cp:contentStatus> </cp:contentStatus>
</cp:coreProperties>
</file>