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86" w:rsidRDefault="00DE5386">
      <w:pPr>
        <w:tabs>
          <w:tab w:val="center" w:pos="4680"/>
        </w:tabs>
        <w:suppressAutoHyphens/>
        <w:spacing w:line="240" w:lineRule="atLeast"/>
        <w:jc w:val="center"/>
        <w:outlineLvl w:val="0"/>
        <w:rPr>
          <w:b/>
        </w:rPr>
      </w:pPr>
      <w:bookmarkStart w:id="0" w:name="_GoBack"/>
      <w:bookmarkEnd w:id="0"/>
      <w:r>
        <w:rPr>
          <w:b/>
        </w:rPr>
        <w:t>Before the</w:t>
      </w:r>
    </w:p>
    <w:p w:rsidR="00DE5386" w:rsidRDefault="00DE5386">
      <w:pPr>
        <w:tabs>
          <w:tab w:val="center" w:pos="4680"/>
        </w:tabs>
        <w:suppressAutoHyphens/>
        <w:spacing w:line="240" w:lineRule="atLeast"/>
        <w:jc w:val="both"/>
        <w:outlineLvl w:val="0"/>
        <w:rPr>
          <w:b/>
        </w:rPr>
      </w:pPr>
      <w:r>
        <w:rPr>
          <w:b/>
        </w:rPr>
        <w:tab/>
        <w:t>Federal Communications Commission</w:t>
      </w:r>
    </w:p>
    <w:p w:rsidR="00DE5386" w:rsidRDefault="00DE5386">
      <w:pPr>
        <w:tabs>
          <w:tab w:val="center" w:pos="4680"/>
        </w:tabs>
        <w:suppressAutoHyphens/>
        <w:spacing w:line="240" w:lineRule="atLeast"/>
        <w:jc w:val="both"/>
        <w:outlineLvl w:val="0"/>
        <w:rPr>
          <w:b/>
        </w:rPr>
      </w:pPr>
      <w:r>
        <w:rPr>
          <w:b/>
        </w:rPr>
        <w:tab/>
      </w: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DE5386" w:rsidRDefault="00DE5386">
      <w:pPr>
        <w:tabs>
          <w:tab w:val="center" w:pos="4680"/>
        </w:tabs>
        <w:suppressAutoHyphens/>
        <w:spacing w:line="240" w:lineRule="atLeast"/>
        <w:jc w:val="both"/>
        <w:outlineLvl w:val="0"/>
        <w:rPr>
          <w:b/>
        </w:rPr>
      </w:pPr>
    </w:p>
    <w:tbl>
      <w:tblPr>
        <w:tblW w:w="0" w:type="auto"/>
        <w:tblLayout w:type="fixed"/>
        <w:tblLook w:val="0000" w:firstRow="0" w:lastRow="0" w:firstColumn="0" w:lastColumn="0" w:noHBand="0" w:noVBand="0"/>
      </w:tblPr>
      <w:tblGrid>
        <w:gridCol w:w="4698"/>
        <w:gridCol w:w="360"/>
        <w:gridCol w:w="4374"/>
      </w:tblGrid>
      <w:tr w:rsidR="00DE5386">
        <w:trPr>
          <w:trHeight w:val="1566"/>
        </w:trPr>
        <w:tc>
          <w:tcPr>
            <w:tcW w:w="4698" w:type="dxa"/>
          </w:tcPr>
          <w:p w:rsidR="00DE5386" w:rsidRDefault="00DE5386">
            <w:r>
              <w:rPr>
                <w:spacing w:val="-2"/>
              </w:rPr>
              <w:t>In the Matter of</w:t>
            </w:r>
            <w:r>
              <w:t xml:space="preserve"> </w:t>
            </w:r>
          </w:p>
          <w:p w:rsidR="00DE5386" w:rsidRDefault="00DE5386"/>
          <w:p w:rsidR="00981395" w:rsidRPr="00FC0257" w:rsidRDefault="006F2FFA" w:rsidP="00981395">
            <w:pPr>
              <w:rPr>
                <w:spacing w:val="-2"/>
              </w:rPr>
            </w:pPr>
            <w:r>
              <w:rPr>
                <w:spacing w:val="-2"/>
              </w:rPr>
              <w:t>Timothy J. Mullen</w:t>
            </w:r>
          </w:p>
          <w:p w:rsidR="006F37EC" w:rsidRPr="00981395" w:rsidRDefault="00981395" w:rsidP="00981395">
            <w:pPr>
              <w:rPr>
                <w:spacing w:val="-2"/>
              </w:rPr>
            </w:pPr>
            <w:r w:rsidRPr="00981395">
              <w:rPr>
                <w:spacing w:val="-2"/>
              </w:rPr>
              <w:t xml:space="preserve"> </w:t>
            </w:r>
          </w:p>
          <w:p w:rsidR="00DE5386" w:rsidRDefault="006F2FFA">
            <w:r>
              <w:t>Registrant of Antenna Structure No. 1016437</w:t>
            </w:r>
          </w:p>
          <w:p w:rsidR="00981395" w:rsidRPr="00FC0257" w:rsidRDefault="006F2FFA" w:rsidP="00981395">
            <w:smartTag w:uri="urn:schemas-microsoft-com:office:smarttags" w:element="place">
              <w:smartTag w:uri="urn:schemas-microsoft-com:office:smarttags" w:element="City">
                <w:r>
                  <w:t>Cawelo</w:t>
                </w:r>
              </w:smartTag>
              <w:r w:rsidR="00981395" w:rsidRPr="00FC0257">
                <w:t xml:space="preserve">, </w:t>
              </w:r>
              <w:smartTag w:uri="urn:schemas-microsoft-com:office:smarttags" w:element="State">
                <w:r w:rsidR="00981395" w:rsidRPr="00FC0257">
                  <w:t>California</w:t>
                </w:r>
              </w:smartTag>
            </w:smartTag>
          </w:p>
          <w:p w:rsidR="00DE5386" w:rsidRDefault="00DE5386">
            <w:pPr>
              <w:rPr>
                <w:spacing w:val="-2"/>
              </w:rPr>
            </w:pPr>
          </w:p>
        </w:tc>
        <w:tc>
          <w:tcPr>
            <w:tcW w:w="360" w:type="dxa"/>
          </w:tcPr>
          <w:p w:rsidR="00DE5386" w:rsidRDefault="00DE5386">
            <w:pPr>
              <w:tabs>
                <w:tab w:val="center" w:pos="4680"/>
              </w:tabs>
              <w:suppressAutoHyphens/>
              <w:spacing w:line="240" w:lineRule="atLeast"/>
              <w:jc w:val="both"/>
              <w:outlineLvl w:val="0"/>
            </w:pPr>
            <w:r>
              <w:t>)</w:t>
            </w:r>
          </w:p>
          <w:p w:rsidR="00DE5386" w:rsidRDefault="00DE5386">
            <w:pPr>
              <w:tabs>
                <w:tab w:val="center" w:pos="4680"/>
              </w:tabs>
              <w:suppressAutoHyphens/>
              <w:spacing w:line="240" w:lineRule="atLeast"/>
              <w:jc w:val="both"/>
              <w:outlineLvl w:val="0"/>
            </w:pPr>
            <w:r>
              <w:t>)</w:t>
            </w:r>
          </w:p>
          <w:p w:rsidR="00DE5386" w:rsidRDefault="00DE5386">
            <w:pPr>
              <w:tabs>
                <w:tab w:val="center" w:pos="4680"/>
              </w:tabs>
              <w:suppressAutoHyphens/>
              <w:spacing w:line="240" w:lineRule="atLeast"/>
              <w:jc w:val="both"/>
              <w:outlineLvl w:val="0"/>
            </w:pPr>
            <w:r>
              <w:t>)</w:t>
            </w:r>
          </w:p>
          <w:p w:rsidR="00DE5386" w:rsidRDefault="00DE5386">
            <w:pPr>
              <w:tabs>
                <w:tab w:val="center" w:pos="4680"/>
              </w:tabs>
              <w:suppressAutoHyphens/>
              <w:spacing w:line="240" w:lineRule="atLeast"/>
              <w:jc w:val="both"/>
              <w:outlineLvl w:val="0"/>
            </w:pPr>
            <w:r>
              <w:t>)</w:t>
            </w:r>
          </w:p>
          <w:p w:rsidR="00DE5386" w:rsidRDefault="00DE5386">
            <w:pPr>
              <w:tabs>
                <w:tab w:val="center" w:pos="4680"/>
              </w:tabs>
              <w:suppressAutoHyphens/>
              <w:spacing w:line="240" w:lineRule="atLeast"/>
              <w:jc w:val="both"/>
              <w:outlineLvl w:val="0"/>
            </w:pPr>
            <w:r>
              <w:t>)</w:t>
            </w:r>
          </w:p>
          <w:p w:rsidR="00DE5386" w:rsidRDefault="00DE5386">
            <w:pPr>
              <w:tabs>
                <w:tab w:val="center" w:pos="4680"/>
              </w:tabs>
              <w:suppressAutoHyphens/>
              <w:spacing w:line="240" w:lineRule="atLeast"/>
              <w:jc w:val="both"/>
              <w:outlineLvl w:val="0"/>
            </w:pPr>
            <w:r>
              <w:t>)</w:t>
            </w:r>
          </w:p>
        </w:tc>
        <w:tc>
          <w:tcPr>
            <w:tcW w:w="4374" w:type="dxa"/>
          </w:tcPr>
          <w:p w:rsidR="00DE5386" w:rsidRPr="00981395" w:rsidRDefault="00DE5386">
            <w:pPr>
              <w:rPr>
                <w:spacing w:val="-2"/>
                <w:lang w:val="es-ES"/>
              </w:rPr>
            </w:pPr>
          </w:p>
          <w:p w:rsidR="00DE5386" w:rsidRPr="00981395" w:rsidRDefault="00DE5386">
            <w:pPr>
              <w:ind w:left="702"/>
              <w:rPr>
                <w:spacing w:val="-2"/>
                <w:lang w:val="es-ES"/>
              </w:rPr>
            </w:pPr>
          </w:p>
          <w:p w:rsidR="00DE5386" w:rsidRPr="00981395" w:rsidRDefault="00DE5386">
            <w:pPr>
              <w:ind w:left="522"/>
              <w:rPr>
                <w:lang w:val="es-ES"/>
              </w:rPr>
            </w:pPr>
            <w:r w:rsidRPr="00981395">
              <w:rPr>
                <w:lang w:val="es-ES"/>
              </w:rPr>
              <w:t xml:space="preserve">File No.:  </w:t>
            </w:r>
            <w:r w:rsidR="002622B8" w:rsidRPr="00981395">
              <w:rPr>
                <w:color w:val="000000"/>
                <w:lang w:val="es-ES"/>
              </w:rPr>
              <w:t>EB-1</w:t>
            </w:r>
            <w:r w:rsidR="00981395" w:rsidRPr="00981395">
              <w:rPr>
                <w:color w:val="000000"/>
                <w:lang w:val="es-ES"/>
              </w:rPr>
              <w:t>0-LA-0</w:t>
            </w:r>
            <w:r w:rsidR="006F2FFA">
              <w:rPr>
                <w:color w:val="000000"/>
                <w:lang w:val="es-ES"/>
              </w:rPr>
              <w:t>268</w:t>
            </w:r>
          </w:p>
          <w:p w:rsidR="00DE5386" w:rsidRPr="00981395" w:rsidRDefault="00DE5386">
            <w:pPr>
              <w:ind w:left="522"/>
              <w:rPr>
                <w:lang w:val="es-ES"/>
              </w:rPr>
            </w:pPr>
            <w:r w:rsidRPr="00981395">
              <w:rPr>
                <w:lang w:val="es-ES"/>
              </w:rPr>
              <w:t>NAL/Acct. No.:  201</w:t>
            </w:r>
            <w:r w:rsidR="006F2FFA">
              <w:rPr>
                <w:lang w:val="es-ES"/>
              </w:rPr>
              <w:t>232900003</w:t>
            </w:r>
          </w:p>
          <w:p w:rsidR="00DE5386" w:rsidRDefault="00981395">
            <w:pPr>
              <w:ind w:left="522"/>
            </w:pPr>
            <w:r>
              <w:t>FRN:</w:t>
            </w:r>
            <w:r w:rsidR="006F2FFA">
              <w:t xml:space="preserve">  0020481289</w:t>
            </w:r>
          </w:p>
          <w:p w:rsidR="00DE5386" w:rsidRDefault="00DE5386">
            <w:pPr>
              <w:ind w:left="522"/>
            </w:pPr>
            <w:r>
              <w:t xml:space="preserve">    </w:t>
            </w:r>
          </w:p>
        </w:tc>
      </w:tr>
    </w:tbl>
    <w:p w:rsidR="00DE5386" w:rsidRDefault="00DE5386">
      <w:pPr>
        <w:pStyle w:val="Heading2"/>
        <w:rPr>
          <w:sz w:val="22"/>
          <w:szCs w:val="22"/>
        </w:rPr>
      </w:pPr>
      <w:r>
        <w:rPr>
          <w:sz w:val="22"/>
          <w:szCs w:val="22"/>
        </w:rPr>
        <w:t>ORDER</w:t>
      </w:r>
    </w:p>
    <w:p w:rsidR="00DE5386" w:rsidRDefault="00DE5386">
      <w:pPr>
        <w:tabs>
          <w:tab w:val="left" w:pos="0"/>
        </w:tabs>
        <w:suppressAutoHyphens/>
        <w:spacing w:line="240" w:lineRule="atLeast"/>
        <w:jc w:val="center"/>
      </w:pPr>
    </w:p>
    <w:p w:rsidR="00DE5386" w:rsidRDefault="00DE5386" w:rsidP="00627660">
      <w:pPr>
        <w:tabs>
          <w:tab w:val="left" w:pos="0"/>
          <w:tab w:val="left" w:pos="720"/>
          <w:tab w:val="left" w:pos="5760"/>
        </w:tabs>
        <w:suppressAutoHyphens/>
        <w:spacing w:line="240" w:lineRule="atLeast"/>
      </w:pPr>
      <w:r>
        <w:rPr>
          <w:b/>
        </w:rPr>
        <w:t xml:space="preserve">Adopted:  </w:t>
      </w:r>
      <w:r w:rsidR="00B016C3">
        <w:rPr>
          <w:b/>
        </w:rPr>
        <w:t>July 30, 2014</w:t>
      </w:r>
      <w:r>
        <w:rPr>
          <w:b/>
        </w:rPr>
        <w:tab/>
      </w:r>
      <w:r>
        <w:rPr>
          <w:b/>
        </w:rPr>
        <w:tab/>
        <w:t xml:space="preserve">Released:  </w:t>
      </w:r>
      <w:r w:rsidR="00B016C3">
        <w:rPr>
          <w:b/>
        </w:rPr>
        <w:t>July 31, 2014</w:t>
      </w:r>
    </w:p>
    <w:p w:rsidR="00DE5386" w:rsidRDefault="00DE5386" w:rsidP="00627660">
      <w:pPr>
        <w:tabs>
          <w:tab w:val="left" w:pos="0"/>
          <w:tab w:val="left" w:pos="720"/>
          <w:tab w:val="left" w:pos="5760"/>
        </w:tabs>
        <w:suppressAutoHyphens/>
        <w:spacing w:line="240" w:lineRule="atLeast"/>
        <w:jc w:val="both"/>
      </w:pPr>
    </w:p>
    <w:p w:rsidR="00DE5386" w:rsidRPr="002A7814" w:rsidRDefault="001F0226" w:rsidP="00627660">
      <w:pPr>
        <w:tabs>
          <w:tab w:val="left" w:pos="0"/>
          <w:tab w:val="left" w:pos="720"/>
          <w:tab w:val="left" w:pos="5760"/>
        </w:tabs>
        <w:suppressAutoHyphens/>
        <w:spacing w:line="240" w:lineRule="atLeast"/>
        <w:jc w:val="both"/>
        <w:rPr>
          <w:color w:val="000000"/>
          <w:spacing w:val="-2"/>
        </w:rPr>
      </w:pPr>
      <w:r w:rsidRPr="002A7814">
        <w:rPr>
          <w:color w:val="000000"/>
          <w:spacing w:val="-2"/>
        </w:rPr>
        <w:t>By the Regional Director, Western</w:t>
      </w:r>
      <w:r w:rsidR="00DE5386" w:rsidRPr="002A7814">
        <w:rPr>
          <w:color w:val="000000"/>
          <w:spacing w:val="-2"/>
        </w:rPr>
        <w:t xml:space="preserve"> Region, Enforcement Bureau:</w:t>
      </w:r>
    </w:p>
    <w:p w:rsidR="00DE5386" w:rsidRPr="002A7814" w:rsidRDefault="00DE5386" w:rsidP="00627660">
      <w:pPr>
        <w:tabs>
          <w:tab w:val="left" w:pos="0"/>
        </w:tabs>
        <w:suppressAutoHyphens/>
        <w:spacing w:line="240" w:lineRule="atLeast"/>
        <w:rPr>
          <w:color w:val="000000"/>
          <w:spacing w:val="-2"/>
        </w:rPr>
      </w:pPr>
    </w:p>
    <w:p w:rsidR="00DE5386" w:rsidRPr="002A7814" w:rsidRDefault="00DE5386" w:rsidP="00016AEB">
      <w:pPr>
        <w:tabs>
          <w:tab w:val="center" w:pos="720"/>
        </w:tabs>
        <w:suppressAutoHyphens/>
        <w:spacing w:after="120"/>
        <w:rPr>
          <w:b/>
          <w:color w:val="000000"/>
          <w:spacing w:val="-2"/>
        </w:rPr>
      </w:pPr>
      <w:r w:rsidRPr="002A7814">
        <w:rPr>
          <w:b/>
          <w:color w:val="000000"/>
          <w:spacing w:val="-2"/>
        </w:rPr>
        <w:t xml:space="preserve">I.  </w:t>
      </w:r>
      <w:r w:rsidRPr="002A7814">
        <w:rPr>
          <w:b/>
          <w:color w:val="000000"/>
          <w:spacing w:val="-2"/>
        </w:rPr>
        <w:tab/>
        <w:t xml:space="preserve">         INTRODUCTION</w:t>
      </w:r>
    </w:p>
    <w:p w:rsidR="00CB14AE" w:rsidRDefault="00466FDD" w:rsidP="00016AEB">
      <w:pPr>
        <w:numPr>
          <w:ilvl w:val="0"/>
          <w:numId w:val="1"/>
        </w:numPr>
        <w:tabs>
          <w:tab w:val="clear" w:pos="1080"/>
          <w:tab w:val="left" w:pos="0"/>
          <w:tab w:val="num" w:pos="1440"/>
        </w:tabs>
        <w:suppressAutoHyphens/>
        <w:autoSpaceDE w:val="0"/>
        <w:autoSpaceDN w:val="0"/>
        <w:adjustRightInd w:val="0"/>
        <w:spacing w:after="120"/>
        <w:rPr>
          <w:color w:val="000000"/>
          <w:spacing w:val="-2"/>
        </w:rPr>
      </w:pPr>
      <w:r>
        <w:rPr>
          <w:color w:val="000000"/>
          <w:spacing w:val="-2"/>
        </w:rPr>
        <w:t>W</w:t>
      </w:r>
      <w:r w:rsidR="00CB14AE" w:rsidRPr="00CB14AE">
        <w:rPr>
          <w:color w:val="000000"/>
          <w:spacing w:val="-2"/>
        </w:rPr>
        <w:t xml:space="preserve">e find that Timothy J. Mullen failed to light his antenna structure </w:t>
      </w:r>
      <w:r>
        <w:rPr>
          <w:color w:val="000000"/>
          <w:spacing w:val="-2"/>
        </w:rPr>
        <w:t>as required, notify the Federal Aviation Administration (FAA) of a lighting outage, and inform the Commission of an antenna structure ownership change.</w:t>
      </w:r>
      <w:r w:rsidR="00CB14AE" w:rsidRPr="00CB14AE">
        <w:rPr>
          <w:color w:val="000000"/>
          <w:spacing w:val="-2"/>
        </w:rPr>
        <w:t xml:space="preserve"> </w:t>
      </w:r>
      <w:r>
        <w:rPr>
          <w:color w:val="000000"/>
          <w:spacing w:val="-2"/>
        </w:rPr>
        <w:t xml:space="preserve"> </w:t>
      </w:r>
      <w:r w:rsidR="00CB14AE" w:rsidRPr="00CB14AE">
        <w:rPr>
          <w:color w:val="000000"/>
          <w:spacing w:val="-2"/>
        </w:rPr>
        <w:t xml:space="preserve">However, in light of information concerning whether Mr. Mullen was aware of his responsibilities concerning the structure, we do not impose a forfeiture.  Nevertheless, we warn Mr. Mullen that future violations may result in substantial forfeitures, regardless of </w:t>
      </w:r>
      <w:r w:rsidR="000D6437">
        <w:rPr>
          <w:color w:val="000000"/>
          <w:spacing w:val="-2"/>
        </w:rPr>
        <w:t>his</w:t>
      </w:r>
      <w:r w:rsidR="00CB14AE" w:rsidRPr="00CB14AE">
        <w:rPr>
          <w:color w:val="000000"/>
          <w:spacing w:val="-2"/>
        </w:rPr>
        <w:t xml:space="preserve"> financial situation.</w:t>
      </w:r>
    </w:p>
    <w:p w:rsidR="00DE5386" w:rsidRPr="00466FDD" w:rsidRDefault="00CB14AE" w:rsidP="00016AEB">
      <w:pPr>
        <w:pStyle w:val="ListParagraph"/>
        <w:numPr>
          <w:ilvl w:val="0"/>
          <w:numId w:val="1"/>
        </w:numPr>
        <w:spacing w:after="120"/>
        <w:rPr>
          <w:color w:val="000000"/>
          <w:spacing w:val="-2"/>
        </w:rPr>
      </w:pPr>
      <w:r w:rsidRPr="00524F23">
        <w:rPr>
          <w:color w:val="000000"/>
          <w:spacing w:val="-2"/>
        </w:rPr>
        <w:t>Specifically, we find that Mr. Mullen</w:t>
      </w:r>
      <w:r w:rsidR="00466FDD">
        <w:rPr>
          <w:color w:val="000000"/>
          <w:spacing w:val="-2"/>
        </w:rPr>
        <w:t xml:space="preserve"> </w:t>
      </w:r>
      <w:r w:rsidRPr="00524F23">
        <w:rPr>
          <w:color w:val="000000"/>
          <w:spacing w:val="-2"/>
        </w:rPr>
        <w:t xml:space="preserve">violated Section 303(q) of the Communications </w:t>
      </w:r>
      <w:r w:rsidR="000D6437">
        <w:rPr>
          <w:color w:val="000000"/>
          <w:spacing w:val="-2"/>
        </w:rPr>
        <w:t xml:space="preserve">Act of 1934, as amended (Act), </w:t>
      </w:r>
      <w:r w:rsidRPr="00524F23">
        <w:rPr>
          <w:color w:val="000000"/>
          <w:spacing w:val="-2"/>
        </w:rPr>
        <w:t xml:space="preserve">and Sections 17.48, 17.51(a), and 17.57 of the Commission’s rules (Rules) with respect </w:t>
      </w:r>
      <w:r w:rsidR="00466FDD">
        <w:rPr>
          <w:color w:val="000000"/>
          <w:spacing w:val="-2"/>
        </w:rPr>
        <w:t>to Antenna Structure No. 1016437 in Cawelo, California (</w:t>
      </w:r>
      <w:r w:rsidR="00176B8B">
        <w:rPr>
          <w:color w:val="000000"/>
          <w:spacing w:val="-2"/>
        </w:rPr>
        <w:t xml:space="preserve">the </w:t>
      </w:r>
      <w:r w:rsidR="00466FDD">
        <w:rPr>
          <w:color w:val="000000"/>
          <w:spacing w:val="-2"/>
        </w:rPr>
        <w:t>Antenna Structure)</w:t>
      </w:r>
      <w:r w:rsidRPr="00524F23">
        <w:rPr>
          <w:color w:val="000000"/>
          <w:spacing w:val="-2"/>
        </w:rPr>
        <w:t>.</w:t>
      </w:r>
      <w:r w:rsidR="00670D00">
        <w:rPr>
          <w:rStyle w:val="FootnoteReference"/>
          <w:color w:val="000000"/>
          <w:spacing w:val="-2"/>
        </w:rPr>
        <w:footnoteReference w:id="2"/>
      </w:r>
      <w:r w:rsidRPr="00524F23">
        <w:rPr>
          <w:color w:val="000000"/>
          <w:spacing w:val="-2"/>
        </w:rPr>
        <w:t xml:space="preserve">  </w:t>
      </w:r>
    </w:p>
    <w:p w:rsidR="00DE5386" w:rsidRPr="002A7814" w:rsidRDefault="00DE5386" w:rsidP="00466FDD">
      <w:pPr>
        <w:pStyle w:val="ParaNum"/>
        <w:numPr>
          <w:ilvl w:val="0"/>
          <w:numId w:val="0"/>
        </w:numPr>
        <w:spacing w:after="120"/>
        <w:rPr>
          <w:b/>
          <w:color w:val="000000"/>
          <w:spacing w:val="-2"/>
        </w:rPr>
      </w:pPr>
      <w:r w:rsidRPr="002A7814">
        <w:rPr>
          <w:b/>
          <w:color w:val="000000"/>
          <w:spacing w:val="-2"/>
        </w:rPr>
        <w:t xml:space="preserve">II.  </w:t>
      </w:r>
      <w:r w:rsidRPr="002A7814">
        <w:rPr>
          <w:b/>
          <w:color w:val="000000"/>
          <w:spacing w:val="-2"/>
        </w:rPr>
        <w:tab/>
        <w:t>BACKGROUND</w:t>
      </w:r>
    </w:p>
    <w:p w:rsidR="00DE5386" w:rsidRPr="002A7814" w:rsidRDefault="00DE5386" w:rsidP="00016AEB">
      <w:pPr>
        <w:numPr>
          <w:ilvl w:val="0"/>
          <w:numId w:val="1"/>
        </w:numPr>
        <w:tabs>
          <w:tab w:val="clear" w:pos="1080"/>
          <w:tab w:val="left" w:pos="0"/>
          <w:tab w:val="num" w:pos="1440"/>
        </w:tabs>
        <w:suppressAutoHyphens/>
        <w:autoSpaceDE w:val="0"/>
        <w:autoSpaceDN w:val="0"/>
        <w:adjustRightInd w:val="0"/>
        <w:spacing w:after="120"/>
        <w:rPr>
          <w:color w:val="000000"/>
          <w:spacing w:val="-2"/>
        </w:rPr>
      </w:pPr>
      <w:r w:rsidRPr="002A7814">
        <w:rPr>
          <w:color w:val="000000"/>
          <w:spacing w:val="-2"/>
        </w:rPr>
        <w:t xml:space="preserve">On </w:t>
      </w:r>
      <w:r w:rsidR="00981395">
        <w:rPr>
          <w:color w:val="000000"/>
          <w:spacing w:val="-2"/>
        </w:rPr>
        <w:t>November</w:t>
      </w:r>
      <w:r w:rsidR="00895196" w:rsidRPr="002A7814">
        <w:rPr>
          <w:color w:val="000000"/>
          <w:spacing w:val="-2"/>
        </w:rPr>
        <w:t xml:space="preserve"> 1</w:t>
      </w:r>
      <w:r w:rsidR="006F2FFA">
        <w:rPr>
          <w:color w:val="000000"/>
          <w:spacing w:val="-2"/>
        </w:rPr>
        <w:t>8</w:t>
      </w:r>
      <w:r w:rsidRPr="002A7814">
        <w:rPr>
          <w:color w:val="000000"/>
          <w:spacing w:val="-2"/>
        </w:rPr>
        <w:t>, 201</w:t>
      </w:r>
      <w:r w:rsidR="00895196" w:rsidRPr="002A7814">
        <w:rPr>
          <w:color w:val="000000"/>
          <w:spacing w:val="-2"/>
        </w:rPr>
        <w:t>1</w:t>
      </w:r>
      <w:r w:rsidRPr="002A7814">
        <w:rPr>
          <w:color w:val="000000"/>
          <w:spacing w:val="-2"/>
        </w:rPr>
        <w:t xml:space="preserve">, the Enforcement Bureau’s </w:t>
      </w:r>
      <w:r w:rsidR="00981395">
        <w:rPr>
          <w:color w:val="000000"/>
          <w:spacing w:val="-2"/>
        </w:rPr>
        <w:t>Los Angeles</w:t>
      </w:r>
      <w:r w:rsidR="00895196" w:rsidRPr="002A7814">
        <w:rPr>
          <w:color w:val="000000"/>
          <w:spacing w:val="-2"/>
        </w:rPr>
        <w:t xml:space="preserve"> </w:t>
      </w:r>
      <w:r w:rsidRPr="002A7814">
        <w:rPr>
          <w:color w:val="000000"/>
          <w:spacing w:val="-2"/>
        </w:rPr>
        <w:t>Office (</w:t>
      </w:r>
      <w:r w:rsidR="00981395">
        <w:rPr>
          <w:color w:val="000000"/>
          <w:spacing w:val="-2"/>
        </w:rPr>
        <w:t>Los Angeles</w:t>
      </w:r>
      <w:r w:rsidRPr="002A7814">
        <w:rPr>
          <w:color w:val="000000"/>
          <w:spacing w:val="-2"/>
        </w:rPr>
        <w:t xml:space="preserve"> Office) issued a Notice of Apparent Liability for Forfeiture (</w:t>
      </w:r>
      <w:r w:rsidRPr="00E26178">
        <w:rPr>
          <w:i/>
          <w:color w:val="000000"/>
          <w:spacing w:val="-2"/>
        </w:rPr>
        <w:t>NAL</w:t>
      </w:r>
      <w:r w:rsidRPr="002A7814">
        <w:rPr>
          <w:color w:val="000000"/>
          <w:spacing w:val="-2"/>
        </w:rPr>
        <w:t>)</w:t>
      </w:r>
      <w:r w:rsidR="00981395" w:rsidRPr="002A7814">
        <w:rPr>
          <w:rStyle w:val="FootnoteReference"/>
          <w:color w:val="000000"/>
          <w:spacing w:val="-2"/>
          <w:sz w:val="22"/>
        </w:rPr>
        <w:footnoteReference w:id="3"/>
      </w:r>
      <w:r w:rsidR="00981395" w:rsidRPr="002A7814">
        <w:rPr>
          <w:color w:val="000000"/>
          <w:spacing w:val="-2"/>
        </w:rPr>
        <w:t xml:space="preserve"> </w:t>
      </w:r>
      <w:r w:rsidRPr="002A7814">
        <w:rPr>
          <w:color w:val="000000"/>
          <w:spacing w:val="-2"/>
        </w:rPr>
        <w:t>for</w:t>
      </w:r>
      <w:r w:rsidR="006F2FFA">
        <w:rPr>
          <w:color w:val="000000"/>
          <w:spacing w:val="-2"/>
        </w:rPr>
        <w:t xml:space="preserve"> thirteen</w:t>
      </w:r>
      <w:r w:rsidR="00981395">
        <w:rPr>
          <w:color w:val="000000"/>
          <w:spacing w:val="-2"/>
        </w:rPr>
        <w:t xml:space="preserve"> th</w:t>
      </w:r>
      <w:r w:rsidRPr="002A7814">
        <w:rPr>
          <w:color w:val="000000"/>
          <w:spacing w:val="-2"/>
        </w:rPr>
        <w:t>ousand dollars ($</w:t>
      </w:r>
      <w:r w:rsidR="00981395">
        <w:rPr>
          <w:color w:val="000000"/>
          <w:spacing w:val="-2"/>
        </w:rPr>
        <w:t>1</w:t>
      </w:r>
      <w:r w:rsidR="006F2FFA">
        <w:rPr>
          <w:color w:val="000000"/>
          <w:spacing w:val="-2"/>
        </w:rPr>
        <w:t>3</w:t>
      </w:r>
      <w:r w:rsidRPr="002A7814">
        <w:rPr>
          <w:color w:val="000000"/>
          <w:spacing w:val="-2"/>
        </w:rPr>
        <w:t xml:space="preserve">,000) to </w:t>
      </w:r>
      <w:r w:rsidR="006F2FFA">
        <w:rPr>
          <w:color w:val="000000"/>
          <w:spacing w:val="-2"/>
        </w:rPr>
        <w:t xml:space="preserve">Mr. Mullen </w:t>
      </w:r>
      <w:r w:rsidR="00466FDD">
        <w:rPr>
          <w:color w:val="000000"/>
          <w:spacing w:val="-2"/>
        </w:rPr>
        <w:t xml:space="preserve">for </w:t>
      </w:r>
      <w:r w:rsidR="00AA7A67">
        <w:rPr>
          <w:color w:val="000000"/>
          <w:spacing w:val="-2"/>
        </w:rPr>
        <w:t>antenna structure lighting and notification violations</w:t>
      </w:r>
      <w:r w:rsidR="002552FA">
        <w:rPr>
          <w:color w:val="000000"/>
          <w:spacing w:val="-2"/>
        </w:rPr>
        <w:t xml:space="preserve"> </w:t>
      </w:r>
      <w:r w:rsidR="009B0ACB">
        <w:rPr>
          <w:color w:val="000000"/>
          <w:spacing w:val="-2"/>
        </w:rPr>
        <w:t xml:space="preserve">occurring in 2010 </w:t>
      </w:r>
      <w:r w:rsidR="002552FA">
        <w:rPr>
          <w:color w:val="000000"/>
          <w:spacing w:val="-2"/>
        </w:rPr>
        <w:t xml:space="preserve">involving </w:t>
      </w:r>
      <w:r w:rsidR="006941F0">
        <w:rPr>
          <w:color w:val="000000"/>
          <w:spacing w:val="-2"/>
        </w:rPr>
        <w:t xml:space="preserve">the Antenna Structure. </w:t>
      </w:r>
      <w:r w:rsidR="00981395">
        <w:t xml:space="preserve"> </w:t>
      </w:r>
      <w:r w:rsidRPr="002A7814">
        <w:rPr>
          <w:color w:val="000000"/>
          <w:spacing w:val="-2"/>
        </w:rPr>
        <w:t xml:space="preserve">In response to the </w:t>
      </w:r>
      <w:r w:rsidRPr="002552FA">
        <w:rPr>
          <w:i/>
          <w:color w:val="000000"/>
          <w:spacing w:val="-2"/>
        </w:rPr>
        <w:t>NAL</w:t>
      </w:r>
      <w:r w:rsidRPr="002A7814">
        <w:rPr>
          <w:color w:val="000000"/>
          <w:spacing w:val="-2"/>
        </w:rPr>
        <w:t>,</w:t>
      </w:r>
      <w:r w:rsidR="007960CE">
        <w:rPr>
          <w:color w:val="000000"/>
          <w:spacing w:val="-2"/>
        </w:rPr>
        <w:t xml:space="preserve"> </w:t>
      </w:r>
      <w:r w:rsidR="00AA7A67">
        <w:rPr>
          <w:color w:val="000000"/>
          <w:spacing w:val="-2"/>
        </w:rPr>
        <w:t>Mr. Mullen</w:t>
      </w:r>
      <w:r w:rsidRPr="002A7814">
        <w:rPr>
          <w:color w:val="000000"/>
          <w:spacing w:val="-2"/>
        </w:rPr>
        <w:t xml:space="preserve"> does not deny the violations, but </w:t>
      </w:r>
      <w:r w:rsidR="002552FA">
        <w:rPr>
          <w:color w:val="000000"/>
          <w:spacing w:val="-2"/>
        </w:rPr>
        <w:t xml:space="preserve">states that he was first notified of his </w:t>
      </w:r>
      <w:r w:rsidR="00466FDD">
        <w:rPr>
          <w:color w:val="000000"/>
          <w:spacing w:val="-2"/>
        </w:rPr>
        <w:t>responsibilities regarding the Antenna S</w:t>
      </w:r>
      <w:r w:rsidR="002552FA">
        <w:rPr>
          <w:color w:val="000000"/>
          <w:spacing w:val="-2"/>
        </w:rPr>
        <w:t xml:space="preserve">tructure during the </w:t>
      </w:r>
      <w:r w:rsidR="000D6437">
        <w:rPr>
          <w:color w:val="000000"/>
          <w:spacing w:val="-2"/>
        </w:rPr>
        <w:t xml:space="preserve">December 2010 </w:t>
      </w:r>
      <w:r w:rsidR="002552FA">
        <w:rPr>
          <w:color w:val="000000"/>
          <w:spacing w:val="-2"/>
        </w:rPr>
        <w:t>inspection that resulted in the issuance of th</w:t>
      </w:r>
      <w:r w:rsidR="006941F0">
        <w:rPr>
          <w:color w:val="000000"/>
          <w:spacing w:val="-2"/>
        </w:rPr>
        <w:t>e</w:t>
      </w:r>
      <w:r w:rsidR="002552FA">
        <w:rPr>
          <w:color w:val="000000"/>
          <w:spacing w:val="-2"/>
        </w:rPr>
        <w:t xml:space="preserve"> </w:t>
      </w:r>
      <w:r w:rsidR="002552FA" w:rsidRPr="002552FA">
        <w:rPr>
          <w:i/>
          <w:color w:val="000000"/>
          <w:spacing w:val="-2"/>
        </w:rPr>
        <w:t>NAL</w:t>
      </w:r>
      <w:r w:rsidR="002552FA">
        <w:rPr>
          <w:color w:val="000000"/>
          <w:spacing w:val="-2"/>
        </w:rPr>
        <w:t>.</w:t>
      </w:r>
      <w:r w:rsidR="002552FA">
        <w:rPr>
          <w:rStyle w:val="FootnoteReference"/>
          <w:color w:val="000000"/>
          <w:spacing w:val="-2"/>
        </w:rPr>
        <w:footnoteReference w:id="4"/>
      </w:r>
      <w:r w:rsidR="002552FA">
        <w:rPr>
          <w:color w:val="000000"/>
          <w:spacing w:val="-2"/>
        </w:rPr>
        <w:t xml:space="preserve">  Mr. Mullen also r</w:t>
      </w:r>
      <w:r w:rsidRPr="002552FA">
        <w:rPr>
          <w:color w:val="000000"/>
          <w:spacing w:val="-2"/>
        </w:rPr>
        <w:t>equests</w:t>
      </w:r>
      <w:r w:rsidRPr="002A7814">
        <w:rPr>
          <w:color w:val="000000"/>
          <w:spacing w:val="-2"/>
        </w:rPr>
        <w:t xml:space="preserve"> cancellation of the forfeiture based on </w:t>
      </w:r>
      <w:r w:rsidR="00AA7A67">
        <w:rPr>
          <w:color w:val="000000"/>
          <w:spacing w:val="-2"/>
        </w:rPr>
        <w:t>his</w:t>
      </w:r>
      <w:r w:rsidR="00FA623A" w:rsidRPr="002A7814">
        <w:rPr>
          <w:color w:val="000000"/>
          <w:spacing w:val="-2"/>
        </w:rPr>
        <w:t xml:space="preserve"> </w:t>
      </w:r>
      <w:r w:rsidRPr="002A7814">
        <w:rPr>
          <w:color w:val="000000"/>
          <w:spacing w:val="-2"/>
        </w:rPr>
        <w:t>inability to pay.</w:t>
      </w:r>
      <w:r w:rsidRPr="002A7814">
        <w:rPr>
          <w:rStyle w:val="FootnoteReference"/>
          <w:color w:val="000000"/>
          <w:spacing w:val="-2"/>
          <w:sz w:val="22"/>
        </w:rPr>
        <w:footnoteReference w:id="5"/>
      </w:r>
      <w:r w:rsidRPr="002A7814">
        <w:rPr>
          <w:color w:val="000000"/>
          <w:spacing w:val="-2"/>
        </w:rPr>
        <w:t xml:space="preserve">      </w:t>
      </w:r>
    </w:p>
    <w:p w:rsidR="00DE5386" w:rsidRPr="002A7814" w:rsidRDefault="00DE5386" w:rsidP="00016AEB">
      <w:pPr>
        <w:numPr>
          <w:ilvl w:val="0"/>
          <w:numId w:val="3"/>
        </w:numPr>
        <w:tabs>
          <w:tab w:val="clear" w:pos="1080"/>
          <w:tab w:val="num" w:pos="450"/>
        </w:tabs>
        <w:suppressAutoHyphens/>
        <w:autoSpaceDE w:val="0"/>
        <w:autoSpaceDN w:val="0"/>
        <w:adjustRightInd w:val="0"/>
        <w:spacing w:after="120"/>
        <w:ind w:left="0" w:firstLine="0"/>
        <w:rPr>
          <w:b/>
          <w:color w:val="000000"/>
          <w:spacing w:val="-2"/>
        </w:rPr>
      </w:pPr>
      <w:r w:rsidRPr="002A7814">
        <w:rPr>
          <w:b/>
          <w:color w:val="000000"/>
          <w:spacing w:val="-2"/>
        </w:rPr>
        <w:tab/>
        <w:t>DISCUSSION</w:t>
      </w:r>
    </w:p>
    <w:p w:rsidR="00DE5386" w:rsidRPr="002A7814" w:rsidRDefault="00DE5386" w:rsidP="00016AEB">
      <w:pPr>
        <w:numPr>
          <w:ilvl w:val="0"/>
          <w:numId w:val="1"/>
        </w:numPr>
        <w:tabs>
          <w:tab w:val="clear" w:pos="1080"/>
          <w:tab w:val="num" w:pos="1440"/>
          <w:tab w:val="left" w:pos="4680"/>
          <w:tab w:val="left" w:pos="5760"/>
        </w:tabs>
        <w:autoSpaceDE w:val="0"/>
        <w:autoSpaceDN w:val="0"/>
        <w:adjustRightInd w:val="0"/>
        <w:spacing w:after="120"/>
        <w:rPr>
          <w:color w:val="000000"/>
          <w:spacing w:val="-2"/>
        </w:rPr>
      </w:pPr>
      <w:r w:rsidRPr="002A7814">
        <w:rPr>
          <w:color w:val="000000"/>
          <w:spacing w:val="-2"/>
        </w:rPr>
        <w:t>The proposed forfeiture amount in this case was assessed in accordance with Section 503(b) of the Act,</w:t>
      </w:r>
      <w:r w:rsidRPr="002A7814">
        <w:rPr>
          <w:rStyle w:val="FootnoteReference"/>
          <w:color w:val="000000"/>
          <w:spacing w:val="-2"/>
          <w:sz w:val="22"/>
        </w:rPr>
        <w:footnoteReference w:id="6"/>
      </w:r>
      <w:r w:rsidRPr="002A7814">
        <w:rPr>
          <w:color w:val="000000"/>
          <w:spacing w:val="-2"/>
        </w:rPr>
        <w:t xml:space="preserve"> Section 1.80 of the</w:t>
      </w:r>
      <w:r w:rsidR="006E5C1A">
        <w:rPr>
          <w:color w:val="000000"/>
          <w:spacing w:val="-2"/>
        </w:rPr>
        <w:t xml:space="preserve"> </w:t>
      </w:r>
      <w:r w:rsidRPr="002A7814">
        <w:rPr>
          <w:color w:val="000000"/>
          <w:spacing w:val="-2"/>
        </w:rPr>
        <w:t>Rules,</w:t>
      </w:r>
      <w:r w:rsidRPr="002A7814">
        <w:rPr>
          <w:rStyle w:val="FootnoteReference"/>
          <w:color w:val="000000"/>
          <w:spacing w:val="-2"/>
          <w:sz w:val="22"/>
        </w:rPr>
        <w:footnoteReference w:id="7"/>
      </w:r>
      <w:r w:rsidRPr="002A7814">
        <w:rPr>
          <w:color w:val="000000"/>
          <w:spacing w:val="-2"/>
        </w:rPr>
        <w:t xml:space="preserve"> and the </w:t>
      </w:r>
      <w:r w:rsidRPr="00016AEB">
        <w:rPr>
          <w:i/>
          <w:color w:val="000000"/>
          <w:spacing w:val="-2"/>
        </w:rPr>
        <w:t>Forfeiture Policy Statement</w:t>
      </w:r>
      <w:r w:rsidRPr="002A7814">
        <w:rPr>
          <w:color w:val="000000"/>
          <w:spacing w:val="-2"/>
        </w:rPr>
        <w:t>.</w:t>
      </w:r>
      <w:r w:rsidRPr="002A7814">
        <w:rPr>
          <w:rStyle w:val="FootnoteReference"/>
          <w:color w:val="000000"/>
          <w:spacing w:val="-2"/>
          <w:sz w:val="22"/>
        </w:rPr>
        <w:footnoteReference w:id="8"/>
      </w:r>
      <w:r w:rsidRPr="002A7814">
        <w:rPr>
          <w:color w:val="000000"/>
          <w:spacing w:val="-2"/>
        </w:rPr>
        <w:t xml:space="preserve">  In examining </w:t>
      </w:r>
      <w:r w:rsidR="009342C0">
        <w:rPr>
          <w:color w:val="000000"/>
          <w:spacing w:val="-2"/>
        </w:rPr>
        <w:t xml:space="preserve">Mr. </w:t>
      </w:r>
      <w:r w:rsidR="009342C0">
        <w:rPr>
          <w:color w:val="000000"/>
          <w:spacing w:val="-2"/>
        </w:rPr>
        <w:lastRenderedPageBreak/>
        <w:t>Mullen</w:t>
      </w:r>
      <w:r w:rsidR="007960CE">
        <w:rPr>
          <w:color w:val="000000"/>
          <w:spacing w:val="-2"/>
        </w:rPr>
        <w:t>’s</w:t>
      </w:r>
      <w:r w:rsidRPr="002A7814">
        <w:rPr>
          <w:color w:val="000000"/>
          <w:spacing w:val="-2"/>
        </w:rPr>
        <w:t xml:space="preserve"> </w:t>
      </w:r>
      <w:r w:rsidR="00B4546B">
        <w:rPr>
          <w:i/>
          <w:color w:val="000000"/>
          <w:spacing w:val="-2"/>
        </w:rPr>
        <w:t>NAL Response</w:t>
      </w:r>
      <w:r w:rsidRPr="002A7814">
        <w:rPr>
          <w:color w:val="000000"/>
          <w:spacing w:val="-2"/>
        </w:rPr>
        <w:t>, Section 503(b)(2)(E) of the Act requires that the Commission take into account the nature, circumstances, extent, and gravity of the violation and, with respect to the violator, the degree of culpability, any history of prior offenses, ability to pay, and other such matters as justice may require.</w:t>
      </w:r>
      <w:r w:rsidRPr="002A7814">
        <w:rPr>
          <w:rStyle w:val="FootnoteReference"/>
          <w:color w:val="000000"/>
          <w:spacing w:val="-2"/>
          <w:sz w:val="22"/>
        </w:rPr>
        <w:footnoteReference w:id="9"/>
      </w:r>
      <w:r w:rsidRPr="002A7814">
        <w:rPr>
          <w:color w:val="000000"/>
          <w:spacing w:val="-2"/>
        </w:rPr>
        <w:t xml:space="preserve">  </w:t>
      </w:r>
    </w:p>
    <w:p w:rsidR="00176B8B" w:rsidRPr="00176B8B" w:rsidRDefault="00B4546B" w:rsidP="00B4546B">
      <w:pPr>
        <w:pStyle w:val="ParaNum"/>
        <w:numPr>
          <w:ilvl w:val="0"/>
          <w:numId w:val="1"/>
        </w:numPr>
        <w:tabs>
          <w:tab w:val="clear" w:pos="1080"/>
          <w:tab w:val="num" w:pos="1440"/>
        </w:tabs>
        <w:kinsoku w:val="0"/>
        <w:autoSpaceDE w:val="0"/>
        <w:autoSpaceDN w:val="0"/>
        <w:adjustRightInd w:val="0"/>
        <w:spacing w:after="120"/>
        <w:rPr>
          <w:rFonts w:ascii="Verdana" w:hAnsi="Verdana"/>
          <w:sz w:val="19"/>
          <w:szCs w:val="19"/>
        </w:rPr>
      </w:pPr>
      <w:r>
        <w:t xml:space="preserve">As Mr. Mullen does not deny any of the facts stated in the </w:t>
      </w:r>
      <w:r>
        <w:rPr>
          <w:i/>
        </w:rPr>
        <w:t>NAL</w:t>
      </w:r>
      <w:r>
        <w:t>,</w:t>
      </w:r>
      <w:r>
        <w:rPr>
          <w:i/>
        </w:rPr>
        <w:t xml:space="preserve"> </w:t>
      </w:r>
      <w:r>
        <w:t>w</w:t>
      </w:r>
      <w:r w:rsidR="00524F23" w:rsidRPr="00524F23">
        <w:t xml:space="preserve">e affirm the </w:t>
      </w:r>
      <w:r w:rsidR="00524F23" w:rsidRPr="00524F23">
        <w:rPr>
          <w:i/>
        </w:rPr>
        <w:t>NAL</w:t>
      </w:r>
      <w:r w:rsidR="00524F23" w:rsidRPr="00524F23">
        <w:t>’s finding</w:t>
      </w:r>
      <w:r>
        <w:t>s</w:t>
      </w:r>
      <w:r w:rsidR="00524F23" w:rsidRPr="00524F23">
        <w:t xml:space="preserve"> that </w:t>
      </w:r>
      <w:r w:rsidR="00524F23">
        <w:t>Mr. Mullen</w:t>
      </w:r>
      <w:r w:rsidR="00524F23" w:rsidRPr="00524F23">
        <w:t xml:space="preserve"> violated Section 303(q) </w:t>
      </w:r>
      <w:r>
        <w:t xml:space="preserve">of the Act and Sections </w:t>
      </w:r>
      <w:r w:rsidRPr="00524F23">
        <w:rPr>
          <w:color w:val="000000"/>
          <w:spacing w:val="-2"/>
        </w:rPr>
        <w:t>17.48, 17.51(a), and 17.57</w:t>
      </w:r>
      <w:r w:rsidR="00524F23" w:rsidRPr="00524F23">
        <w:t xml:space="preserve"> of the Rules.</w:t>
      </w:r>
      <w:r w:rsidR="00524F23" w:rsidRPr="00524F23">
        <w:rPr>
          <w:vertAlign w:val="superscript"/>
        </w:rPr>
        <w:footnoteReference w:id="10"/>
      </w:r>
      <w:r w:rsidR="00524F23" w:rsidRPr="00524F23">
        <w:t xml:space="preserve">  </w:t>
      </w:r>
      <w:r w:rsidR="00DE5386" w:rsidRPr="00B4546B">
        <w:rPr>
          <w:color w:val="000000"/>
          <w:spacing w:val="-2"/>
        </w:rPr>
        <w:t xml:space="preserve">In </w:t>
      </w:r>
      <w:r>
        <w:rPr>
          <w:color w:val="000000"/>
          <w:spacing w:val="-2"/>
        </w:rPr>
        <w:t xml:space="preserve">his </w:t>
      </w:r>
      <w:r>
        <w:rPr>
          <w:i/>
          <w:color w:val="000000"/>
          <w:spacing w:val="-2"/>
        </w:rPr>
        <w:t>NAL Response</w:t>
      </w:r>
      <w:r w:rsidR="00F87F65" w:rsidRPr="00B4546B">
        <w:rPr>
          <w:color w:val="000000"/>
          <w:spacing w:val="-2"/>
        </w:rPr>
        <w:t xml:space="preserve">, </w:t>
      </w:r>
      <w:r w:rsidR="00F763F7" w:rsidRPr="00B4546B">
        <w:rPr>
          <w:color w:val="000000"/>
          <w:spacing w:val="-2"/>
        </w:rPr>
        <w:t>Mr. Mullen</w:t>
      </w:r>
      <w:r w:rsidR="00DE5386" w:rsidRPr="00B4546B">
        <w:rPr>
          <w:color w:val="000000"/>
          <w:spacing w:val="-2"/>
        </w:rPr>
        <w:t xml:space="preserve"> requests cancellation of the $</w:t>
      </w:r>
      <w:r w:rsidR="003C0F28" w:rsidRPr="00B4546B">
        <w:rPr>
          <w:color w:val="000000"/>
          <w:spacing w:val="-2"/>
        </w:rPr>
        <w:t>1</w:t>
      </w:r>
      <w:r w:rsidR="00F763F7" w:rsidRPr="00B4546B">
        <w:rPr>
          <w:color w:val="000000"/>
          <w:spacing w:val="-2"/>
        </w:rPr>
        <w:t>3</w:t>
      </w:r>
      <w:r w:rsidR="00DE5386" w:rsidRPr="00B4546B">
        <w:rPr>
          <w:color w:val="000000"/>
          <w:spacing w:val="-2"/>
        </w:rPr>
        <w:t>,000 forfeiture</w:t>
      </w:r>
      <w:r w:rsidR="00F763F7" w:rsidRPr="00B4546B">
        <w:rPr>
          <w:color w:val="000000"/>
          <w:spacing w:val="-2"/>
        </w:rPr>
        <w:t xml:space="preserve"> because</w:t>
      </w:r>
      <w:r w:rsidR="00EE555E" w:rsidRPr="00B4546B">
        <w:rPr>
          <w:color w:val="000000"/>
          <w:spacing w:val="-2"/>
        </w:rPr>
        <w:t xml:space="preserve"> of his inability to</w:t>
      </w:r>
      <w:r w:rsidR="00F4415E" w:rsidRPr="00B4546B">
        <w:rPr>
          <w:color w:val="000000"/>
          <w:spacing w:val="-2"/>
        </w:rPr>
        <w:t xml:space="preserve"> pay, and provides three years o</w:t>
      </w:r>
      <w:r w:rsidR="00EE555E" w:rsidRPr="00B4546B">
        <w:rPr>
          <w:color w:val="000000"/>
          <w:spacing w:val="-2"/>
        </w:rPr>
        <w:t>f tax ret</w:t>
      </w:r>
      <w:r w:rsidR="00F4415E" w:rsidRPr="00B4546B">
        <w:rPr>
          <w:color w:val="000000"/>
          <w:spacing w:val="-2"/>
        </w:rPr>
        <w:t>u</w:t>
      </w:r>
      <w:r w:rsidR="00EE555E" w:rsidRPr="00B4546B">
        <w:rPr>
          <w:color w:val="000000"/>
          <w:spacing w:val="-2"/>
        </w:rPr>
        <w:t>rns to support his claim.</w:t>
      </w:r>
      <w:r w:rsidR="00EE555E">
        <w:rPr>
          <w:rStyle w:val="FootnoteReference"/>
          <w:color w:val="000000"/>
          <w:spacing w:val="-2"/>
        </w:rPr>
        <w:footnoteReference w:id="11"/>
      </w:r>
      <w:r w:rsidR="00EE555E" w:rsidRPr="00B4546B">
        <w:rPr>
          <w:color w:val="000000"/>
          <w:spacing w:val="-2"/>
        </w:rPr>
        <w:t xml:space="preserve">  </w:t>
      </w:r>
      <w:r w:rsidR="00176B8B">
        <w:rPr>
          <w:color w:val="000000"/>
          <w:spacing w:val="-2"/>
        </w:rPr>
        <w:t>That information supports a finding, based on our precedent, that Mr. Mullen lacks the resources to pay a forfeiture in this proceeding.</w:t>
      </w:r>
    </w:p>
    <w:p w:rsidR="002F4553" w:rsidRPr="00B4546B" w:rsidRDefault="00EE555E" w:rsidP="00B4546B">
      <w:pPr>
        <w:pStyle w:val="ParaNum"/>
        <w:numPr>
          <w:ilvl w:val="0"/>
          <w:numId w:val="1"/>
        </w:numPr>
        <w:tabs>
          <w:tab w:val="clear" w:pos="1080"/>
          <w:tab w:val="num" w:pos="1440"/>
        </w:tabs>
        <w:kinsoku w:val="0"/>
        <w:autoSpaceDE w:val="0"/>
        <w:autoSpaceDN w:val="0"/>
        <w:adjustRightInd w:val="0"/>
        <w:spacing w:after="120"/>
        <w:rPr>
          <w:rFonts w:ascii="Verdana" w:hAnsi="Verdana"/>
          <w:sz w:val="19"/>
          <w:szCs w:val="19"/>
        </w:rPr>
      </w:pPr>
      <w:r w:rsidRPr="00B4546B">
        <w:rPr>
          <w:color w:val="000000"/>
          <w:spacing w:val="-2"/>
        </w:rPr>
        <w:t xml:space="preserve">In addition, </w:t>
      </w:r>
      <w:r w:rsidR="00176B8B">
        <w:rPr>
          <w:color w:val="000000"/>
          <w:spacing w:val="-2"/>
        </w:rPr>
        <w:t xml:space="preserve">there is a question about whether Mr. Mullen </w:t>
      </w:r>
      <w:r w:rsidR="00E00C19">
        <w:rPr>
          <w:color w:val="000000"/>
          <w:spacing w:val="-2"/>
        </w:rPr>
        <w:t xml:space="preserve">should have received a citation prior to the forfeiture in this case.  </w:t>
      </w:r>
      <w:r w:rsidR="00D72109" w:rsidRPr="002F4553">
        <w:rPr>
          <w:color w:val="000000"/>
          <w:spacing w:val="-2"/>
        </w:rPr>
        <w:t xml:space="preserve">A review of Commission records reveals that Mr. Mullen was not a Commission licensee </w:t>
      </w:r>
      <w:r w:rsidR="00D72109">
        <w:rPr>
          <w:color w:val="000000"/>
          <w:spacing w:val="-2"/>
        </w:rPr>
        <w:t>at the time of the Antenna S</w:t>
      </w:r>
      <w:r w:rsidR="00D72109" w:rsidRPr="002F4553">
        <w:rPr>
          <w:color w:val="000000"/>
          <w:spacing w:val="-2"/>
        </w:rPr>
        <w:t>tructure light outage</w:t>
      </w:r>
      <w:r w:rsidR="00D72109">
        <w:rPr>
          <w:color w:val="000000"/>
          <w:spacing w:val="-2"/>
        </w:rPr>
        <w:t xml:space="preserve">.  </w:t>
      </w:r>
      <w:r w:rsidR="00E00C19" w:rsidRPr="00B4546B">
        <w:rPr>
          <w:color w:val="000000"/>
          <w:spacing w:val="-2"/>
        </w:rPr>
        <w:t xml:space="preserve">Section 503(b)(5) of the Act requires that when a person is “nonlicensee tower owner,” he or she must first receive a citation from the Commission, prior to </w:t>
      </w:r>
      <w:r w:rsidR="00E00C19">
        <w:rPr>
          <w:color w:val="000000"/>
          <w:spacing w:val="-2"/>
        </w:rPr>
        <w:t xml:space="preserve">incurring </w:t>
      </w:r>
      <w:r w:rsidR="00E00C19" w:rsidRPr="00B4546B">
        <w:rPr>
          <w:color w:val="000000"/>
          <w:spacing w:val="-2"/>
        </w:rPr>
        <w:t>any forfeiture liability, unless he or she “has previously received notice of the obligations imposed by section 303(q) of this title from the Commission or the permittee or licensee who uses that tower.”</w:t>
      </w:r>
      <w:r w:rsidR="00E00C19">
        <w:rPr>
          <w:rStyle w:val="FootnoteReference"/>
          <w:color w:val="000000"/>
          <w:spacing w:val="-2"/>
        </w:rPr>
        <w:footnoteReference w:id="12"/>
      </w:r>
      <w:r w:rsidR="00E00C19">
        <w:rPr>
          <w:color w:val="000000"/>
          <w:spacing w:val="-2"/>
        </w:rPr>
        <w:t xml:space="preserve">  </w:t>
      </w:r>
      <w:r w:rsidRPr="00B4546B">
        <w:rPr>
          <w:color w:val="000000"/>
          <w:spacing w:val="-2"/>
        </w:rPr>
        <w:t xml:space="preserve">Mr. Mullen </w:t>
      </w:r>
      <w:r w:rsidR="00E00C19">
        <w:rPr>
          <w:color w:val="000000"/>
          <w:spacing w:val="-2"/>
        </w:rPr>
        <w:t xml:space="preserve">has provided a sworn statement under penalty of perjury </w:t>
      </w:r>
      <w:r w:rsidRPr="00B4546B">
        <w:rPr>
          <w:color w:val="000000"/>
          <w:spacing w:val="-2"/>
        </w:rPr>
        <w:t xml:space="preserve">that he </w:t>
      </w:r>
      <w:r w:rsidR="00176B8B">
        <w:rPr>
          <w:color w:val="000000"/>
          <w:spacing w:val="-2"/>
        </w:rPr>
        <w:t xml:space="preserve">only learned </w:t>
      </w:r>
      <w:r w:rsidRPr="00B4546B">
        <w:rPr>
          <w:color w:val="000000"/>
          <w:spacing w:val="-2"/>
        </w:rPr>
        <w:t xml:space="preserve">of his responsibility to register the Antenna Structure in December 2010, </w:t>
      </w:r>
      <w:r w:rsidR="00176B8B">
        <w:rPr>
          <w:color w:val="000000"/>
          <w:spacing w:val="-2"/>
        </w:rPr>
        <w:t xml:space="preserve">when he met with </w:t>
      </w:r>
      <w:r w:rsidR="00176B8B" w:rsidRPr="00B4546B">
        <w:rPr>
          <w:color w:val="000000"/>
          <w:spacing w:val="-2"/>
        </w:rPr>
        <w:t xml:space="preserve">a Los Angeles Office agent </w:t>
      </w:r>
      <w:r w:rsidRPr="00B4546B">
        <w:rPr>
          <w:color w:val="000000"/>
          <w:spacing w:val="-2"/>
        </w:rPr>
        <w:t xml:space="preserve">during the investigation that resulted in the issuance of the </w:t>
      </w:r>
      <w:r w:rsidRPr="00B4546B">
        <w:rPr>
          <w:i/>
          <w:color w:val="000000"/>
          <w:spacing w:val="-2"/>
        </w:rPr>
        <w:t>NAL</w:t>
      </w:r>
      <w:r w:rsidRPr="00B4546B">
        <w:rPr>
          <w:color w:val="000000"/>
          <w:spacing w:val="-2"/>
        </w:rPr>
        <w:t>.</w:t>
      </w:r>
      <w:r w:rsidR="00580D3E">
        <w:rPr>
          <w:rStyle w:val="FootnoteReference"/>
          <w:color w:val="000000"/>
          <w:spacing w:val="-2"/>
        </w:rPr>
        <w:footnoteReference w:id="13"/>
      </w:r>
      <w:r w:rsidRPr="00B4546B">
        <w:rPr>
          <w:color w:val="000000"/>
          <w:spacing w:val="-2"/>
        </w:rPr>
        <w:t xml:space="preserve">  </w:t>
      </w:r>
      <w:r w:rsidR="007F62B7" w:rsidRPr="00B4546B">
        <w:rPr>
          <w:color w:val="000000"/>
          <w:spacing w:val="-2"/>
        </w:rPr>
        <w:t>During the investigation</w:t>
      </w:r>
      <w:r w:rsidRPr="00B4546B">
        <w:rPr>
          <w:color w:val="000000"/>
          <w:spacing w:val="-2"/>
        </w:rPr>
        <w:t xml:space="preserve">, </w:t>
      </w:r>
      <w:r w:rsidR="00E00C19">
        <w:rPr>
          <w:color w:val="000000"/>
          <w:spacing w:val="-2"/>
        </w:rPr>
        <w:t xml:space="preserve">however, </w:t>
      </w:r>
      <w:r w:rsidRPr="00B4546B">
        <w:rPr>
          <w:color w:val="000000"/>
          <w:spacing w:val="-2"/>
        </w:rPr>
        <w:t xml:space="preserve">the prior owner of the Antenna Structure, Communications Enterprises, Inc., </w:t>
      </w:r>
      <w:r w:rsidR="007F62B7" w:rsidRPr="00B4546B">
        <w:rPr>
          <w:color w:val="000000"/>
          <w:spacing w:val="-2"/>
        </w:rPr>
        <w:t xml:space="preserve">informed the Los Angeles Office that it had </w:t>
      </w:r>
      <w:r w:rsidRPr="00B4546B">
        <w:rPr>
          <w:color w:val="000000"/>
          <w:spacing w:val="-2"/>
        </w:rPr>
        <w:t>sent Mr. Mullen a FCC Form 854 to update the registration in 2008.</w:t>
      </w:r>
      <w:r w:rsidRPr="00F4415E">
        <w:rPr>
          <w:rStyle w:val="FootnoteReference"/>
          <w:color w:val="000000"/>
          <w:spacing w:val="-2"/>
          <w:sz w:val="22"/>
          <w:szCs w:val="22"/>
        </w:rPr>
        <w:footnoteReference w:id="14"/>
      </w:r>
      <w:r w:rsidRPr="00B4546B">
        <w:rPr>
          <w:color w:val="000000"/>
          <w:spacing w:val="-2"/>
        </w:rPr>
        <w:t xml:space="preserve">  </w:t>
      </w:r>
    </w:p>
    <w:p w:rsidR="0061124B" w:rsidRPr="00016AEB" w:rsidRDefault="003A6B24" w:rsidP="00466FDD">
      <w:pPr>
        <w:pStyle w:val="ParaNum"/>
        <w:numPr>
          <w:ilvl w:val="0"/>
          <w:numId w:val="1"/>
        </w:numPr>
        <w:tabs>
          <w:tab w:val="clear" w:pos="1080"/>
          <w:tab w:val="num" w:pos="1440"/>
        </w:tabs>
        <w:kinsoku w:val="0"/>
        <w:autoSpaceDE w:val="0"/>
        <w:autoSpaceDN w:val="0"/>
        <w:adjustRightInd w:val="0"/>
        <w:spacing w:after="120"/>
        <w:rPr>
          <w:rFonts w:ascii="Verdana" w:hAnsi="Verdana"/>
        </w:rPr>
      </w:pPr>
      <w:r>
        <w:rPr>
          <w:color w:val="000000"/>
          <w:spacing w:val="-2"/>
        </w:rPr>
        <w:t>W</w:t>
      </w:r>
      <w:r w:rsidR="007346BA" w:rsidRPr="002F4553">
        <w:rPr>
          <w:color w:val="000000"/>
          <w:spacing w:val="-2"/>
        </w:rPr>
        <w:t xml:space="preserve">e find that </w:t>
      </w:r>
      <w:r w:rsidR="00580D3E" w:rsidRPr="002F4553">
        <w:rPr>
          <w:color w:val="000000"/>
          <w:spacing w:val="-2"/>
        </w:rPr>
        <w:t xml:space="preserve">the evidence </w:t>
      </w:r>
      <w:r w:rsidR="00D72109">
        <w:rPr>
          <w:color w:val="000000"/>
          <w:spacing w:val="-2"/>
        </w:rPr>
        <w:t xml:space="preserve">is unclear whether Mr. Mullen </w:t>
      </w:r>
      <w:r w:rsidR="00580D3E" w:rsidRPr="002F4553">
        <w:rPr>
          <w:color w:val="000000"/>
          <w:spacing w:val="-2"/>
        </w:rPr>
        <w:t xml:space="preserve">received notice of his obligations </w:t>
      </w:r>
      <w:r w:rsidR="008058D6" w:rsidRPr="002F4553">
        <w:rPr>
          <w:color w:val="000000"/>
          <w:spacing w:val="-2"/>
        </w:rPr>
        <w:t xml:space="preserve">as a nonlicensee tower owner </w:t>
      </w:r>
      <w:r w:rsidR="00580D3E" w:rsidRPr="002F4553">
        <w:rPr>
          <w:color w:val="000000"/>
          <w:spacing w:val="-2"/>
        </w:rPr>
        <w:t>concerning the Antenna Structure fr</w:t>
      </w:r>
      <w:r w:rsidR="007346BA" w:rsidRPr="002F4553">
        <w:rPr>
          <w:color w:val="000000"/>
          <w:spacing w:val="-2"/>
        </w:rPr>
        <w:t>o</w:t>
      </w:r>
      <w:r w:rsidR="00580D3E" w:rsidRPr="002F4553">
        <w:rPr>
          <w:color w:val="000000"/>
          <w:spacing w:val="-2"/>
        </w:rPr>
        <w:t>m th</w:t>
      </w:r>
      <w:r w:rsidR="007346BA" w:rsidRPr="002F4553">
        <w:rPr>
          <w:color w:val="000000"/>
          <w:spacing w:val="-2"/>
        </w:rPr>
        <w:t>e</w:t>
      </w:r>
      <w:r w:rsidR="00580D3E" w:rsidRPr="002F4553">
        <w:rPr>
          <w:color w:val="000000"/>
          <w:spacing w:val="-2"/>
        </w:rPr>
        <w:t xml:space="preserve"> Commission or a permittee or</w:t>
      </w:r>
      <w:r w:rsidR="00CC0DF1" w:rsidRPr="002F4553">
        <w:rPr>
          <w:color w:val="000000"/>
          <w:spacing w:val="-2"/>
        </w:rPr>
        <w:t xml:space="preserve"> a</w:t>
      </w:r>
      <w:r w:rsidR="00580D3E" w:rsidRPr="002F4553">
        <w:rPr>
          <w:color w:val="000000"/>
          <w:spacing w:val="-2"/>
        </w:rPr>
        <w:t xml:space="preserve"> licensee that used the Antenna Structure</w:t>
      </w:r>
      <w:r w:rsidR="00CC0DF1" w:rsidRPr="002F4553">
        <w:rPr>
          <w:color w:val="000000"/>
          <w:spacing w:val="-2"/>
        </w:rPr>
        <w:t xml:space="preserve"> prior to the investigation by the Los Angeles Office</w:t>
      </w:r>
      <w:r w:rsidR="007346BA" w:rsidRPr="002F4553">
        <w:rPr>
          <w:color w:val="000000"/>
          <w:spacing w:val="-2"/>
        </w:rPr>
        <w:t xml:space="preserve">.  Given this </w:t>
      </w:r>
      <w:r w:rsidR="00176B8B">
        <w:rPr>
          <w:color w:val="000000"/>
          <w:spacing w:val="-2"/>
        </w:rPr>
        <w:lastRenderedPageBreak/>
        <w:t>uncertainty</w:t>
      </w:r>
      <w:r w:rsidR="007346BA" w:rsidRPr="002F4553">
        <w:rPr>
          <w:color w:val="000000"/>
          <w:spacing w:val="-2"/>
        </w:rPr>
        <w:t xml:space="preserve">, along with the financial information produced by Mr. Mullen, </w:t>
      </w:r>
      <w:r w:rsidR="00D72109">
        <w:rPr>
          <w:color w:val="000000"/>
        </w:rPr>
        <w:t xml:space="preserve">we find that </w:t>
      </w:r>
      <w:r w:rsidR="007346BA" w:rsidRPr="002F4553">
        <w:rPr>
          <w:color w:val="000000"/>
        </w:rPr>
        <w:t>circumstances</w:t>
      </w:r>
      <w:r w:rsidR="002F4553">
        <w:rPr>
          <w:color w:val="000000"/>
        </w:rPr>
        <w:t xml:space="preserve"> require that the proposed forfeiture not be imposed</w:t>
      </w:r>
      <w:r w:rsidR="007346BA" w:rsidRPr="002F4553">
        <w:rPr>
          <w:iCs/>
          <w:color w:val="000000"/>
        </w:rPr>
        <w:t>.</w:t>
      </w:r>
      <w:r w:rsidR="00E21CAE">
        <w:rPr>
          <w:iCs/>
          <w:color w:val="000000"/>
        </w:rPr>
        <w:t xml:space="preserve">  However, we warn Mr. Mullen that he is on notice regarding his responsibilities as a </w:t>
      </w:r>
      <w:r w:rsidR="00E21CAE" w:rsidRPr="002F4553">
        <w:rPr>
          <w:color w:val="000000"/>
          <w:spacing w:val="-2"/>
        </w:rPr>
        <w:t>nonlicensee tower owner</w:t>
      </w:r>
      <w:r w:rsidR="00E21CAE">
        <w:rPr>
          <w:color w:val="000000"/>
          <w:spacing w:val="-2"/>
        </w:rPr>
        <w:t xml:space="preserve"> and that </w:t>
      </w:r>
      <w:r w:rsidR="00E21CAE" w:rsidRPr="000C287D">
        <w:t>future violations of this kind may</w:t>
      </w:r>
      <w:r w:rsidR="009B0ACB">
        <w:t xml:space="preserve"> result in substantial </w:t>
      </w:r>
      <w:r w:rsidR="00E21CAE" w:rsidRPr="000C287D">
        <w:t>forfeitures tha</w:t>
      </w:r>
      <w:r w:rsidR="00E21CAE">
        <w:t>t may not be reduced due to his</w:t>
      </w:r>
      <w:r w:rsidR="00E21CAE" w:rsidRPr="000C287D">
        <w:t xml:space="preserve"> financial circumstances.</w:t>
      </w:r>
    </w:p>
    <w:p w:rsidR="006E5C1A" w:rsidRPr="00466FDD" w:rsidRDefault="00DE5386" w:rsidP="00016AEB">
      <w:pPr>
        <w:numPr>
          <w:ilvl w:val="0"/>
          <w:numId w:val="3"/>
        </w:numPr>
        <w:tabs>
          <w:tab w:val="clear" w:pos="1080"/>
          <w:tab w:val="num" w:pos="450"/>
        </w:tabs>
        <w:suppressAutoHyphens/>
        <w:autoSpaceDE w:val="0"/>
        <w:autoSpaceDN w:val="0"/>
        <w:adjustRightInd w:val="0"/>
        <w:spacing w:after="120"/>
        <w:ind w:left="0" w:firstLine="0"/>
        <w:rPr>
          <w:b/>
          <w:color w:val="000000"/>
          <w:spacing w:val="-2"/>
        </w:rPr>
      </w:pPr>
      <w:bookmarkStart w:id="1" w:name="_Toc70235218"/>
      <w:r w:rsidRPr="002A7814">
        <w:rPr>
          <w:b/>
          <w:color w:val="000000"/>
          <w:spacing w:val="-2"/>
        </w:rPr>
        <w:tab/>
        <w:t>ORDERING CLAUSES</w:t>
      </w:r>
      <w:bookmarkEnd w:id="1"/>
    </w:p>
    <w:p w:rsidR="006E5C1A" w:rsidRPr="002F4553" w:rsidRDefault="00524F23" w:rsidP="00016AEB">
      <w:pPr>
        <w:numPr>
          <w:ilvl w:val="0"/>
          <w:numId w:val="1"/>
        </w:numPr>
        <w:tabs>
          <w:tab w:val="clear" w:pos="1080"/>
          <w:tab w:val="left" w:pos="0"/>
          <w:tab w:val="num" w:pos="1440"/>
        </w:tabs>
        <w:suppressAutoHyphens/>
        <w:autoSpaceDE w:val="0"/>
        <w:autoSpaceDN w:val="0"/>
        <w:adjustRightInd w:val="0"/>
        <w:spacing w:after="120"/>
        <w:rPr>
          <w:color w:val="000000"/>
          <w:spacing w:val="-2"/>
        </w:rPr>
      </w:pPr>
      <w:r w:rsidRPr="002F4553">
        <w:rPr>
          <w:color w:val="000000"/>
          <w:spacing w:val="-2"/>
        </w:rPr>
        <w:t>Accordingly</w:t>
      </w:r>
      <w:r w:rsidRPr="002F4553">
        <w:rPr>
          <w:b/>
          <w:color w:val="000000"/>
          <w:spacing w:val="-2"/>
        </w:rPr>
        <w:t>, IT IS ORDERED</w:t>
      </w:r>
      <w:r w:rsidRPr="002F4553">
        <w:rPr>
          <w:color w:val="000000"/>
          <w:spacing w:val="-2"/>
        </w:rPr>
        <w:t xml:space="preserve"> that, pursuant to Section 503(b) of the Communications Act of 1934, as amended, and Sections 0.111, 0.204, 0.311, 0.314, and 1.80(f)(4) of the Commission’s rules, the propos</w:t>
      </w:r>
      <w:r w:rsidR="002F4553">
        <w:rPr>
          <w:color w:val="000000"/>
          <w:spacing w:val="-2"/>
        </w:rPr>
        <w:t>ed forfeiture in the amount of thirteen</w:t>
      </w:r>
      <w:r w:rsidRPr="002F4553">
        <w:rPr>
          <w:color w:val="000000"/>
          <w:spacing w:val="-2"/>
        </w:rPr>
        <w:t xml:space="preserve"> thousand dollars ($1</w:t>
      </w:r>
      <w:r w:rsidR="002F4553">
        <w:rPr>
          <w:color w:val="000000"/>
          <w:spacing w:val="-2"/>
        </w:rPr>
        <w:t>3</w:t>
      </w:r>
      <w:r w:rsidRPr="002F4553">
        <w:rPr>
          <w:color w:val="000000"/>
          <w:spacing w:val="-2"/>
        </w:rPr>
        <w:t xml:space="preserve">,000) issued to </w:t>
      </w:r>
      <w:r w:rsidR="002F4553">
        <w:rPr>
          <w:color w:val="000000"/>
          <w:spacing w:val="-2"/>
        </w:rPr>
        <w:t>Timothy J. Mullen</w:t>
      </w:r>
      <w:r w:rsidRPr="002F4553">
        <w:rPr>
          <w:color w:val="000000"/>
          <w:spacing w:val="-2"/>
        </w:rPr>
        <w:t xml:space="preserve"> </w:t>
      </w:r>
      <w:r w:rsidRPr="002F4553">
        <w:rPr>
          <w:b/>
          <w:color w:val="000000"/>
          <w:spacing w:val="-2"/>
        </w:rPr>
        <w:t>WILL NOT BE IMPOSED</w:t>
      </w:r>
      <w:r w:rsidR="002F4553" w:rsidRPr="002F4553">
        <w:rPr>
          <w:color w:val="000000"/>
          <w:spacing w:val="-2"/>
        </w:rPr>
        <w:t>.</w:t>
      </w:r>
      <w:r w:rsidR="006E5C1A" w:rsidRPr="006E5C1A">
        <w:rPr>
          <w:rStyle w:val="FootnoteReference"/>
          <w:color w:val="000000"/>
          <w:spacing w:val="-2"/>
          <w:sz w:val="22"/>
          <w:szCs w:val="22"/>
        </w:rPr>
        <w:footnoteReference w:id="15"/>
      </w:r>
    </w:p>
    <w:p w:rsidR="00CC0DF1" w:rsidRDefault="00DE5386" w:rsidP="00016AEB">
      <w:pPr>
        <w:numPr>
          <w:ilvl w:val="0"/>
          <w:numId w:val="1"/>
        </w:numPr>
        <w:tabs>
          <w:tab w:val="clear" w:pos="1080"/>
          <w:tab w:val="left" w:pos="0"/>
          <w:tab w:val="num" w:pos="1440"/>
          <w:tab w:val="num" w:pos="1800"/>
        </w:tabs>
        <w:suppressAutoHyphens/>
        <w:autoSpaceDE w:val="0"/>
        <w:autoSpaceDN w:val="0"/>
        <w:adjustRightInd w:val="0"/>
        <w:spacing w:after="120"/>
        <w:rPr>
          <w:color w:val="000000"/>
          <w:spacing w:val="-2"/>
        </w:rPr>
      </w:pPr>
      <w:r w:rsidRPr="00AA2464">
        <w:rPr>
          <w:b/>
          <w:color w:val="000000"/>
          <w:spacing w:val="-2"/>
        </w:rPr>
        <w:t>IT IS FURTHER ORDERED</w:t>
      </w:r>
      <w:r w:rsidRPr="002A7814">
        <w:rPr>
          <w:color w:val="000000"/>
          <w:spacing w:val="-2"/>
        </w:rPr>
        <w:t xml:space="preserve"> that a copy of this Order shall be sent by both First Class and Certified Mail, Return Receipt Requested, to </w:t>
      </w:r>
      <w:r w:rsidR="00CC0DF1">
        <w:rPr>
          <w:color w:val="000000"/>
          <w:spacing w:val="-2"/>
        </w:rPr>
        <w:t xml:space="preserve">Timothy J. Mullen at his address of record. </w:t>
      </w:r>
    </w:p>
    <w:p w:rsidR="00C6604E" w:rsidRPr="002A7814" w:rsidRDefault="00C6604E" w:rsidP="00523766">
      <w:pPr>
        <w:tabs>
          <w:tab w:val="left" w:pos="0"/>
          <w:tab w:val="num" w:pos="1800"/>
        </w:tabs>
        <w:suppressAutoHyphens/>
        <w:autoSpaceDE w:val="0"/>
        <w:autoSpaceDN w:val="0"/>
        <w:adjustRightInd w:val="0"/>
        <w:spacing w:after="120" w:line="240" w:lineRule="atLeast"/>
        <w:rPr>
          <w:color w:val="000000"/>
          <w:spacing w:val="-2"/>
        </w:rPr>
      </w:pPr>
      <w:r w:rsidRPr="00FC0257">
        <w:rPr>
          <w:b/>
          <w:color w:val="FF00FF"/>
          <w:spacing w:val="-2"/>
        </w:rPr>
        <w:t xml:space="preserve"> </w:t>
      </w:r>
    </w:p>
    <w:p w:rsidR="00DE5386" w:rsidRPr="002A7814" w:rsidRDefault="00DE5386" w:rsidP="00627660">
      <w:pPr>
        <w:pStyle w:val="ParaNum"/>
        <w:numPr>
          <w:ilvl w:val="0"/>
          <w:numId w:val="0"/>
        </w:numPr>
        <w:spacing w:after="0"/>
        <w:ind w:left="4320"/>
        <w:rPr>
          <w:color w:val="000000"/>
          <w:spacing w:val="-2"/>
        </w:rPr>
      </w:pPr>
      <w:r w:rsidRPr="002A7814">
        <w:rPr>
          <w:color w:val="000000"/>
          <w:spacing w:val="-2"/>
        </w:rPr>
        <w:t>FEDERAL COMMUNICATIONS COMMISSION</w:t>
      </w:r>
    </w:p>
    <w:p w:rsidR="00DE5386" w:rsidRPr="002A7814" w:rsidRDefault="00DE5386" w:rsidP="00627660">
      <w:pPr>
        <w:pStyle w:val="ParaNum"/>
        <w:numPr>
          <w:ilvl w:val="0"/>
          <w:numId w:val="0"/>
        </w:numPr>
        <w:spacing w:after="0"/>
        <w:ind w:left="4320"/>
        <w:rPr>
          <w:color w:val="000000"/>
          <w:spacing w:val="-2"/>
        </w:rPr>
      </w:pPr>
    </w:p>
    <w:p w:rsidR="00DE5386" w:rsidRPr="002A7814" w:rsidRDefault="00DE5386" w:rsidP="00627660">
      <w:pPr>
        <w:pStyle w:val="ParaNum"/>
        <w:numPr>
          <w:ilvl w:val="0"/>
          <w:numId w:val="0"/>
        </w:numPr>
        <w:spacing w:after="0"/>
        <w:ind w:left="4320"/>
        <w:rPr>
          <w:color w:val="000000"/>
          <w:spacing w:val="-2"/>
        </w:rPr>
      </w:pPr>
    </w:p>
    <w:p w:rsidR="00DE5386" w:rsidRPr="002A7814" w:rsidRDefault="00DE5386" w:rsidP="00627660">
      <w:pPr>
        <w:pStyle w:val="ParaNum"/>
        <w:numPr>
          <w:ilvl w:val="0"/>
          <w:numId w:val="0"/>
        </w:numPr>
        <w:spacing w:after="0"/>
        <w:ind w:left="4320"/>
        <w:rPr>
          <w:color w:val="000000"/>
          <w:spacing w:val="-2"/>
        </w:rPr>
      </w:pPr>
    </w:p>
    <w:p w:rsidR="00523766" w:rsidRDefault="00523766" w:rsidP="00627660">
      <w:pPr>
        <w:pStyle w:val="ParaNum"/>
        <w:numPr>
          <w:ilvl w:val="0"/>
          <w:numId w:val="0"/>
        </w:numPr>
        <w:spacing w:after="0"/>
        <w:ind w:left="3600" w:firstLine="720"/>
        <w:rPr>
          <w:color w:val="000000"/>
          <w:spacing w:val="-2"/>
        </w:rPr>
      </w:pPr>
    </w:p>
    <w:p w:rsidR="00DE5386" w:rsidRPr="002A7814" w:rsidRDefault="00627660" w:rsidP="00627660">
      <w:pPr>
        <w:pStyle w:val="ParaNum"/>
        <w:numPr>
          <w:ilvl w:val="0"/>
          <w:numId w:val="0"/>
        </w:numPr>
        <w:spacing w:after="0"/>
        <w:ind w:left="3600" w:firstLine="720"/>
        <w:rPr>
          <w:color w:val="000000"/>
          <w:spacing w:val="-2"/>
        </w:rPr>
      </w:pPr>
      <w:r w:rsidRPr="002A7814">
        <w:rPr>
          <w:color w:val="000000"/>
          <w:spacing w:val="-2"/>
        </w:rPr>
        <w:t>Rebecca L. Dorch</w:t>
      </w:r>
    </w:p>
    <w:p w:rsidR="00DE5386" w:rsidRPr="002A7814" w:rsidRDefault="00DE5386" w:rsidP="00627660">
      <w:pPr>
        <w:pStyle w:val="ParaNum"/>
        <w:numPr>
          <w:ilvl w:val="0"/>
          <w:numId w:val="0"/>
        </w:numPr>
        <w:spacing w:after="0"/>
        <w:ind w:left="3600" w:firstLine="720"/>
        <w:rPr>
          <w:color w:val="000000"/>
          <w:spacing w:val="-2"/>
        </w:rPr>
      </w:pPr>
      <w:r w:rsidRPr="002A7814">
        <w:rPr>
          <w:color w:val="000000"/>
          <w:spacing w:val="-2"/>
        </w:rPr>
        <w:t xml:space="preserve">Regional Director, </w:t>
      </w:r>
      <w:r w:rsidR="00627660" w:rsidRPr="002A7814">
        <w:rPr>
          <w:color w:val="000000"/>
          <w:spacing w:val="-2"/>
        </w:rPr>
        <w:t>Western</w:t>
      </w:r>
      <w:r w:rsidRPr="002A7814">
        <w:rPr>
          <w:color w:val="000000"/>
          <w:spacing w:val="-2"/>
        </w:rPr>
        <w:t xml:space="preserve"> Region</w:t>
      </w:r>
    </w:p>
    <w:p w:rsidR="00DE5386" w:rsidRPr="002A7814" w:rsidRDefault="00DE5386" w:rsidP="00627660">
      <w:pPr>
        <w:pStyle w:val="ParaNum"/>
        <w:numPr>
          <w:ilvl w:val="0"/>
          <w:numId w:val="0"/>
        </w:numPr>
        <w:spacing w:after="0"/>
        <w:ind w:left="3600" w:firstLine="720"/>
        <w:rPr>
          <w:color w:val="000000"/>
          <w:spacing w:val="-2"/>
        </w:rPr>
      </w:pPr>
      <w:r w:rsidRPr="002A7814">
        <w:rPr>
          <w:color w:val="000000"/>
          <w:spacing w:val="-2"/>
        </w:rPr>
        <w:t>Enforcement Bureau</w:t>
      </w:r>
    </w:p>
    <w:sectPr w:rsidR="00DE5386" w:rsidRPr="002A78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DC" w:rsidRDefault="007C1EDC">
      <w:r>
        <w:separator/>
      </w:r>
    </w:p>
  </w:endnote>
  <w:endnote w:type="continuationSeparator" w:id="0">
    <w:p w:rsidR="007C1EDC" w:rsidRDefault="007C1EDC">
      <w:r>
        <w:continuationSeparator/>
      </w:r>
    </w:p>
  </w:endnote>
  <w:endnote w:type="continuationNotice" w:id="1">
    <w:p w:rsidR="007C1EDC" w:rsidRDefault="007C1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F9" w:rsidRDefault="00A80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0EF9" w:rsidRDefault="00A80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F9" w:rsidRDefault="00A80EF9">
    <w:pPr>
      <w:pStyle w:val="Footer"/>
      <w:framePr w:wrap="around"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744E42">
      <w:rPr>
        <w:rStyle w:val="PageNumber"/>
        <w:noProof/>
        <w:sz w:val="20"/>
        <w:szCs w:val="20"/>
      </w:rPr>
      <w:t>2</w:t>
    </w:r>
    <w:r>
      <w:rPr>
        <w:rStyle w:val="PageNumber"/>
        <w:sz w:val="20"/>
        <w:szCs w:val="20"/>
      </w:rPr>
      <w:fldChar w:fldCharType="end"/>
    </w:r>
  </w:p>
  <w:p w:rsidR="00A80EF9" w:rsidRDefault="00A80EF9" w:rsidP="00B1715C">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E32" w:rsidRDefault="00B03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DC" w:rsidRDefault="007C1EDC">
      <w:r>
        <w:separator/>
      </w:r>
    </w:p>
  </w:footnote>
  <w:footnote w:type="continuationSeparator" w:id="0">
    <w:p w:rsidR="007C1EDC" w:rsidRDefault="007C1EDC">
      <w:r>
        <w:continuationSeparator/>
      </w:r>
    </w:p>
  </w:footnote>
  <w:footnote w:type="continuationNotice" w:id="1">
    <w:p w:rsidR="007C1EDC" w:rsidRDefault="007C1EDC"/>
  </w:footnote>
  <w:footnote w:id="2">
    <w:p w:rsidR="00670D00" w:rsidRDefault="00670D00" w:rsidP="00466FDD">
      <w:pPr>
        <w:pStyle w:val="FootnoteText"/>
        <w:tabs>
          <w:tab w:val="clear" w:pos="720"/>
        </w:tabs>
        <w:ind w:firstLine="0"/>
      </w:pPr>
      <w:r>
        <w:rPr>
          <w:rStyle w:val="FootnoteReference"/>
        </w:rPr>
        <w:footnoteRef/>
      </w:r>
      <w:r>
        <w:t xml:space="preserve"> 47 U.S.C. § 303(q); 47 C.F.R. §§ 17.48, 17.51(a), 17.57.</w:t>
      </w:r>
    </w:p>
  </w:footnote>
  <w:footnote w:id="3">
    <w:p w:rsidR="00981395" w:rsidRPr="002A7814" w:rsidRDefault="00981395" w:rsidP="00981395">
      <w:pPr>
        <w:pStyle w:val="FootnoteText"/>
        <w:widowControl/>
        <w:ind w:firstLine="0"/>
        <w:jc w:val="left"/>
        <w:rPr>
          <w:szCs w:val="20"/>
        </w:rPr>
      </w:pPr>
      <w:r w:rsidRPr="002A7814">
        <w:rPr>
          <w:rStyle w:val="FootnoteReference"/>
        </w:rPr>
        <w:footnoteRef/>
      </w:r>
      <w:r w:rsidRPr="002A7814">
        <w:rPr>
          <w:szCs w:val="20"/>
        </w:rPr>
        <w:t xml:space="preserve"> </w:t>
      </w:r>
      <w:r w:rsidR="006E5C1A">
        <w:rPr>
          <w:i/>
          <w:szCs w:val="20"/>
        </w:rPr>
        <w:t>Timothy J. Mullen</w:t>
      </w:r>
      <w:r w:rsidRPr="002A7814">
        <w:rPr>
          <w:szCs w:val="20"/>
        </w:rPr>
        <w:t>, Notice of Appar</w:t>
      </w:r>
      <w:r>
        <w:rPr>
          <w:szCs w:val="20"/>
        </w:rPr>
        <w:t>ent Liability for Forfeiture, 26</w:t>
      </w:r>
      <w:r w:rsidRPr="002A7814">
        <w:rPr>
          <w:szCs w:val="20"/>
        </w:rPr>
        <w:t xml:space="preserve"> FCC Rcd </w:t>
      </w:r>
      <w:r>
        <w:rPr>
          <w:szCs w:val="20"/>
        </w:rPr>
        <w:t>1</w:t>
      </w:r>
      <w:r w:rsidR="007960CE">
        <w:rPr>
          <w:szCs w:val="20"/>
        </w:rPr>
        <w:t>60</w:t>
      </w:r>
      <w:r w:rsidR="006E5C1A">
        <w:rPr>
          <w:szCs w:val="20"/>
        </w:rPr>
        <w:t>11</w:t>
      </w:r>
      <w:r w:rsidRPr="002A7814">
        <w:rPr>
          <w:szCs w:val="20"/>
        </w:rPr>
        <w:t xml:space="preserve"> (Enf. Bur. 201</w:t>
      </w:r>
      <w:r>
        <w:rPr>
          <w:szCs w:val="20"/>
        </w:rPr>
        <w:t>1</w:t>
      </w:r>
      <w:r w:rsidRPr="002A7814">
        <w:rPr>
          <w:szCs w:val="20"/>
        </w:rPr>
        <w:t>) (</w:t>
      </w:r>
      <w:r w:rsidRPr="002A7814">
        <w:rPr>
          <w:i/>
          <w:szCs w:val="20"/>
        </w:rPr>
        <w:t>NAL</w:t>
      </w:r>
      <w:r w:rsidRPr="002A7814">
        <w:rPr>
          <w:szCs w:val="20"/>
        </w:rPr>
        <w:t xml:space="preserve">).  A comprehensive recitation of the facts and history of this case can be found in the </w:t>
      </w:r>
      <w:r w:rsidRPr="002A7814">
        <w:rPr>
          <w:i/>
          <w:szCs w:val="20"/>
        </w:rPr>
        <w:t>NAL</w:t>
      </w:r>
      <w:r w:rsidRPr="002A7814">
        <w:rPr>
          <w:szCs w:val="20"/>
        </w:rPr>
        <w:t xml:space="preserve"> and is incorporated herein by reference.</w:t>
      </w:r>
    </w:p>
  </w:footnote>
  <w:footnote w:id="4">
    <w:p w:rsidR="002552FA" w:rsidRDefault="002552FA" w:rsidP="006E5C1A">
      <w:pPr>
        <w:pStyle w:val="FootnoteText"/>
        <w:ind w:firstLine="0"/>
        <w:jc w:val="left"/>
      </w:pPr>
      <w:r>
        <w:rPr>
          <w:rStyle w:val="FootnoteReference"/>
        </w:rPr>
        <w:footnoteRef/>
      </w:r>
      <w:r>
        <w:t xml:space="preserve"> </w:t>
      </w:r>
      <w:r w:rsidR="006E5C1A" w:rsidRPr="002A7814">
        <w:rPr>
          <w:i/>
          <w:szCs w:val="20"/>
        </w:rPr>
        <w:t>See</w:t>
      </w:r>
      <w:r w:rsidR="006E5C1A" w:rsidRPr="002A7814">
        <w:rPr>
          <w:szCs w:val="20"/>
        </w:rPr>
        <w:t xml:space="preserve"> Letter from </w:t>
      </w:r>
      <w:r w:rsidR="006E5C1A">
        <w:rPr>
          <w:szCs w:val="20"/>
        </w:rPr>
        <w:t xml:space="preserve">Timothy J. Mullen, </w:t>
      </w:r>
      <w:r w:rsidR="006E5C1A" w:rsidRPr="002A7814">
        <w:rPr>
          <w:szCs w:val="20"/>
        </w:rPr>
        <w:t xml:space="preserve">to </w:t>
      </w:r>
      <w:r w:rsidR="006E5C1A">
        <w:rPr>
          <w:szCs w:val="20"/>
        </w:rPr>
        <w:t>Los Angeles</w:t>
      </w:r>
      <w:r w:rsidR="006E5C1A" w:rsidRPr="002A7814">
        <w:rPr>
          <w:szCs w:val="20"/>
        </w:rPr>
        <w:t xml:space="preserve"> Office, Western Region, Enforcement Bureau (</w:t>
      </w:r>
      <w:r w:rsidR="006E5C1A">
        <w:rPr>
          <w:szCs w:val="20"/>
        </w:rPr>
        <w:t xml:space="preserve">Dec. 29, </w:t>
      </w:r>
      <w:r w:rsidR="006E5C1A" w:rsidRPr="002A7814">
        <w:rPr>
          <w:szCs w:val="20"/>
        </w:rPr>
        <w:t xml:space="preserve">2011) (on file in </w:t>
      </w:r>
      <w:r w:rsidR="006E5C1A" w:rsidRPr="002A7814">
        <w:rPr>
          <w:color w:val="000000"/>
          <w:szCs w:val="20"/>
        </w:rPr>
        <w:t>EB-1</w:t>
      </w:r>
      <w:r w:rsidR="006E5C1A">
        <w:rPr>
          <w:color w:val="000000"/>
          <w:szCs w:val="20"/>
        </w:rPr>
        <w:t>0-LA-0268</w:t>
      </w:r>
      <w:r w:rsidR="006E5C1A" w:rsidRPr="002A7814">
        <w:rPr>
          <w:szCs w:val="20"/>
        </w:rPr>
        <w:t>) (</w:t>
      </w:r>
      <w:r w:rsidR="006E5C1A" w:rsidRPr="002A7814">
        <w:rPr>
          <w:i/>
          <w:szCs w:val="20"/>
        </w:rPr>
        <w:t>NAL Response</w:t>
      </w:r>
      <w:r w:rsidR="006E5C1A" w:rsidRPr="002A7814">
        <w:rPr>
          <w:szCs w:val="20"/>
        </w:rPr>
        <w:t>).</w:t>
      </w:r>
    </w:p>
  </w:footnote>
  <w:footnote w:id="5">
    <w:p w:rsidR="00A80EF9" w:rsidRPr="002A7814" w:rsidRDefault="00A80EF9">
      <w:pPr>
        <w:pStyle w:val="FootnoteText"/>
        <w:ind w:firstLine="0"/>
        <w:jc w:val="left"/>
        <w:rPr>
          <w:szCs w:val="20"/>
        </w:rPr>
      </w:pPr>
      <w:r w:rsidRPr="002A7814">
        <w:rPr>
          <w:rStyle w:val="FootnoteReference"/>
        </w:rPr>
        <w:footnoteRef/>
      </w:r>
      <w:r w:rsidRPr="002A7814">
        <w:rPr>
          <w:szCs w:val="20"/>
        </w:rPr>
        <w:t xml:space="preserve"> </w:t>
      </w:r>
      <w:r w:rsidRPr="002A7814">
        <w:rPr>
          <w:i/>
          <w:szCs w:val="20"/>
        </w:rPr>
        <w:t>See</w:t>
      </w:r>
      <w:r w:rsidRPr="002A7814">
        <w:rPr>
          <w:szCs w:val="20"/>
        </w:rPr>
        <w:t xml:space="preserve"> </w:t>
      </w:r>
      <w:r w:rsidR="00466FDD">
        <w:rPr>
          <w:i/>
          <w:szCs w:val="20"/>
        </w:rPr>
        <w:t>id.</w:t>
      </w:r>
      <w:r w:rsidR="006E5C1A" w:rsidRPr="002A7814">
        <w:rPr>
          <w:szCs w:val="20"/>
        </w:rPr>
        <w:t xml:space="preserve"> </w:t>
      </w:r>
      <w:r w:rsidR="006E5C1A">
        <w:rPr>
          <w:szCs w:val="20"/>
        </w:rPr>
        <w:t xml:space="preserve">at 2. </w:t>
      </w:r>
      <w:r w:rsidRPr="002A7814">
        <w:rPr>
          <w:szCs w:val="20"/>
        </w:rPr>
        <w:t xml:space="preserve"> </w:t>
      </w:r>
    </w:p>
  </w:footnote>
  <w:footnote w:id="6">
    <w:p w:rsidR="00A80EF9" w:rsidRPr="002A7814" w:rsidRDefault="00A80EF9">
      <w:pPr>
        <w:pStyle w:val="FootnoteText"/>
        <w:widowControl/>
        <w:ind w:firstLine="0"/>
        <w:jc w:val="left"/>
        <w:rPr>
          <w:szCs w:val="20"/>
        </w:rPr>
      </w:pPr>
      <w:r w:rsidRPr="002A7814">
        <w:rPr>
          <w:rStyle w:val="FootnoteReference"/>
        </w:rPr>
        <w:footnoteRef/>
      </w:r>
      <w:r w:rsidRPr="002A7814">
        <w:rPr>
          <w:szCs w:val="20"/>
        </w:rPr>
        <w:t xml:space="preserve"> 47 U.S.C. § 503(b).</w:t>
      </w:r>
    </w:p>
  </w:footnote>
  <w:footnote w:id="7">
    <w:p w:rsidR="00A80EF9" w:rsidRPr="002A7814" w:rsidRDefault="00A80EF9">
      <w:pPr>
        <w:pStyle w:val="FootnoteText"/>
        <w:widowControl/>
        <w:ind w:firstLine="0"/>
        <w:jc w:val="left"/>
        <w:rPr>
          <w:szCs w:val="20"/>
        </w:rPr>
      </w:pPr>
      <w:r w:rsidRPr="002A7814">
        <w:rPr>
          <w:rStyle w:val="FootnoteReference"/>
        </w:rPr>
        <w:footnoteRef/>
      </w:r>
      <w:r w:rsidRPr="002A7814">
        <w:rPr>
          <w:szCs w:val="20"/>
        </w:rPr>
        <w:t xml:space="preserve"> 47 C.F.R. § 1.80.</w:t>
      </w:r>
    </w:p>
  </w:footnote>
  <w:footnote w:id="8">
    <w:p w:rsidR="00A80EF9" w:rsidRPr="002A7814" w:rsidRDefault="00A80EF9" w:rsidP="00E26178">
      <w:pPr>
        <w:pStyle w:val="FootnoteText"/>
        <w:widowControl/>
        <w:ind w:firstLine="0"/>
        <w:jc w:val="left"/>
        <w:rPr>
          <w:szCs w:val="20"/>
        </w:rPr>
      </w:pPr>
      <w:r w:rsidRPr="002A7814">
        <w:rPr>
          <w:rStyle w:val="FootnoteReference"/>
        </w:rPr>
        <w:footnoteRef/>
      </w:r>
      <w:r w:rsidRPr="002A7814">
        <w:rPr>
          <w:szCs w:val="20"/>
        </w:rPr>
        <w:t xml:space="preserve"> </w:t>
      </w:r>
      <w:r w:rsidRPr="002A7814">
        <w:rPr>
          <w:i/>
          <w:szCs w:val="20"/>
        </w:rPr>
        <w:t>The Commission’s Forfeiture Policy Statement and Amendment of Section 1.80 of the Rules to Incorporate the Forfeiture Guidelines</w:t>
      </w:r>
      <w:r w:rsidRPr="002A7814">
        <w:rPr>
          <w:szCs w:val="20"/>
        </w:rPr>
        <w:t xml:space="preserve">, Report and Order, 12 FCC Rcd 17087 (1997), </w:t>
      </w:r>
      <w:r w:rsidRPr="002A7814">
        <w:rPr>
          <w:i/>
          <w:szCs w:val="20"/>
        </w:rPr>
        <w:t>recons. denied</w:t>
      </w:r>
      <w:r w:rsidRPr="002A7814">
        <w:rPr>
          <w:szCs w:val="20"/>
        </w:rPr>
        <w:t>, 15 FCC Rcd 303 (1999) (</w:t>
      </w:r>
      <w:r w:rsidRPr="002A7814">
        <w:rPr>
          <w:i/>
          <w:szCs w:val="20"/>
        </w:rPr>
        <w:t>Forfeiture Policy Statement</w:t>
      </w:r>
      <w:r w:rsidRPr="002A7814">
        <w:rPr>
          <w:szCs w:val="20"/>
        </w:rPr>
        <w:t xml:space="preserve">).  </w:t>
      </w:r>
    </w:p>
  </w:footnote>
  <w:footnote w:id="9">
    <w:p w:rsidR="00A80EF9" w:rsidRPr="002A7814" w:rsidRDefault="00A80EF9" w:rsidP="00E26178">
      <w:pPr>
        <w:pStyle w:val="FootnoteText"/>
        <w:widowControl/>
        <w:ind w:firstLine="0"/>
        <w:jc w:val="left"/>
        <w:rPr>
          <w:szCs w:val="20"/>
        </w:rPr>
      </w:pPr>
      <w:r w:rsidRPr="002A7814">
        <w:rPr>
          <w:rStyle w:val="FootnoteReference"/>
        </w:rPr>
        <w:footnoteRef/>
      </w:r>
      <w:r w:rsidRPr="002A7814">
        <w:rPr>
          <w:szCs w:val="20"/>
        </w:rPr>
        <w:t xml:space="preserve"> 47 U.S.C. § 503(b)(2)(E).</w:t>
      </w:r>
    </w:p>
  </w:footnote>
  <w:footnote w:id="10">
    <w:p w:rsidR="00524F23" w:rsidRPr="002A7814" w:rsidRDefault="00524F23" w:rsidP="00524F23">
      <w:pPr>
        <w:pStyle w:val="FootnoteText"/>
        <w:widowControl/>
        <w:ind w:firstLine="0"/>
        <w:jc w:val="left"/>
        <w:rPr>
          <w:szCs w:val="20"/>
        </w:rPr>
      </w:pPr>
      <w:r w:rsidRPr="002A7814">
        <w:rPr>
          <w:rStyle w:val="FootnoteReference"/>
        </w:rPr>
        <w:footnoteRef/>
      </w:r>
      <w:r w:rsidRPr="002A7814">
        <w:rPr>
          <w:i/>
          <w:szCs w:val="20"/>
        </w:rPr>
        <w:t xml:space="preserve"> See NAL</w:t>
      </w:r>
      <w:r w:rsidRPr="002A7814">
        <w:rPr>
          <w:szCs w:val="20"/>
        </w:rPr>
        <w:t xml:space="preserve">, </w:t>
      </w:r>
      <w:r w:rsidRPr="002A7814">
        <w:rPr>
          <w:i/>
          <w:szCs w:val="20"/>
        </w:rPr>
        <w:t>supra</w:t>
      </w:r>
      <w:r w:rsidRPr="002A7814">
        <w:rPr>
          <w:szCs w:val="20"/>
        </w:rPr>
        <w:t xml:space="preserve"> note </w:t>
      </w:r>
      <w:r w:rsidR="00B4546B">
        <w:rPr>
          <w:szCs w:val="20"/>
        </w:rPr>
        <w:t>2</w:t>
      </w:r>
      <w:r w:rsidRPr="002A7814">
        <w:rPr>
          <w:szCs w:val="20"/>
        </w:rPr>
        <w:t xml:space="preserve">. </w:t>
      </w:r>
    </w:p>
  </w:footnote>
  <w:footnote w:id="11">
    <w:p w:rsidR="00EE555E" w:rsidRPr="00CC0DF1" w:rsidRDefault="00EE555E" w:rsidP="006E5C1A">
      <w:pPr>
        <w:pStyle w:val="FootnoteText"/>
        <w:ind w:firstLine="0"/>
      </w:pPr>
      <w:r>
        <w:rPr>
          <w:rStyle w:val="FootnoteReference"/>
        </w:rPr>
        <w:footnoteRef/>
      </w:r>
      <w:r>
        <w:t xml:space="preserve"> </w:t>
      </w:r>
      <w:r w:rsidR="00CC0DF1">
        <w:rPr>
          <w:i/>
        </w:rPr>
        <w:t xml:space="preserve">See </w:t>
      </w:r>
      <w:r w:rsidR="006E5C1A" w:rsidRPr="002A7814">
        <w:rPr>
          <w:i/>
          <w:szCs w:val="20"/>
        </w:rPr>
        <w:t>NAL Response</w:t>
      </w:r>
      <w:r w:rsidR="00CC0DF1">
        <w:rPr>
          <w:szCs w:val="20"/>
        </w:rPr>
        <w:t xml:space="preserve"> at 2.</w:t>
      </w:r>
    </w:p>
  </w:footnote>
  <w:footnote w:id="12">
    <w:p w:rsidR="00E00C19" w:rsidRDefault="00E00C19" w:rsidP="00E00C19">
      <w:pPr>
        <w:pStyle w:val="FootnoteText"/>
        <w:ind w:firstLine="0"/>
      </w:pPr>
      <w:r>
        <w:rPr>
          <w:rStyle w:val="FootnoteReference"/>
        </w:rPr>
        <w:footnoteRef/>
      </w:r>
      <w:r>
        <w:t xml:space="preserve"> </w:t>
      </w:r>
      <w:r w:rsidRPr="002F4553">
        <w:t>47 U.S.C. § 503(b)(5).</w:t>
      </w:r>
      <w:r>
        <w:t xml:space="preserve">  Section 503(b)(5) requires that:</w:t>
      </w:r>
    </w:p>
    <w:p w:rsidR="00E00C19" w:rsidRDefault="00E00C19" w:rsidP="00E00C19">
      <w:pPr>
        <w:pStyle w:val="FootnoteText"/>
        <w:ind w:left="720" w:right="1440" w:firstLine="0"/>
        <w:rPr>
          <w:lang w:val="en"/>
        </w:rPr>
      </w:pPr>
      <w:r w:rsidRPr="002F4553">
        <w:rPr>
          <w:lang w:val="en"/>
        </w:rPr>
        <w:t xml:space="preserve">No forfeiture liability shall be determined under this subsection against any person, if such person does not hold a license, permit, certificate, or other authorization issued by the Commission, and if such person is not an applicant for a license, permit, certificate, or other authorization issued by the Commission, unless,  . . . , such person (A) is sent a citation of the violation charged; (B) is given a reasonable opportunity for a personal interview with an official of the Commission, at the field office of the Commission which is nearest to such person’s place of residence; and (C) subsequently engages in conduct of the type described in such citation.  </w:t>
      </w:r>
      <w:r w:rsidRPr="00016AEB">
        <w:rPr>
          <w:i/>
          <w:lang w:val="en"/>
        </w:rPr>
        <w:t>The provisions of this paragraph shall not apply, however, . . . in the case of violations of section 303(q) of this title, if the person involved is a nonlicensee tower owner who has previously received notice of the obligations imposed by section 303(q) of this title from the Commission or the permittee or licensee who uses that tower</w:t>
      </w:r>
      <w:r w:rsidRPr="002F4553">
        <w:rPr>
          <w:lang w:val="en"/>
        </w:rPr>
        <w:t>.</w:t>
      </w:r>
    </w:p>
    <w:p w:rsidR="00E00C19" w:rsidRDefault="00E00C19" w:rsidP="00016AEB">
      <w:pPr>
        <w:pStyle w:val="FootnoteText"/>
        <w:tabs>
          <w:tab w:val="clear" w:pos="720"/>
        </w:tabs>
        <w:ind w:left="720" w:firstLine="0"/>
      </w:pPr>
      <w:r>
        <w:rPr>
          <w:i/>
        </w:rPr>
        <w:t>Id</w:t>
      </w:r>
      <w:r w:rsidRPr="002F4553">
        <w:t>.</w:t>
      </w:r>
      <w:r>
        <w:t xml:space="preserve"> (emphasis added).</w:t>
      </w:r>
    </w:p>
  </w:footnote>
  <w:footnote w:id="13">
    <w:p w:rsidR="00580D3E" w:rsidRPr="00CC0DF1" w:rsidRDefault="00580D3E" w:rsidP="00CC0DF1">
      <w:pPr>
        <w:pStyle w:val="FootnoteText"/>
        <w:ind w:firstLine="0"/>
        <w:jc w:val="left"/>
        <w:rPr>
          <w:i/>
        </w:rPr>
      </w:pPr>
      <w:r>
        <w:rPr>
          <w:rStyle w:val="FootnoteReference"/>
        </w:rPr>
        <w:footnoteRef/>
      </w:r>
      <w:r>
        <w:t xml:space="preserve"> </w:t>
      </w:r>
      <w:r w:rsidR="007346BA">
        <w:rPr>
          <w:i/>
        </w:rPr>
        <w:t>See</w:t>
      </w:r>
      <w:r w:rsidR="007346BA">
        <w:t xml:space="preserve"> </w:t>
      </w:r>
      <w:r w:rsidR="007A738A" w:rsidRPr="007A738A">
        <w:rPr>
          <w:i/>
        </w:rPr>
        <w:t>NAL Response</w:t>
      </w:r>
      <w:r w:rsidR="009B0ACB" w:rsidRPr="0085412E">
        <w:rPr>
          <w:i/>
        </w:rPr>
        <w:t xml:space="preserve"> </w:t>
      </w:r>
      <w:r w:rsidR="007346BA">
        <w:t>at</w:t>
      </w:r>
      <w:r w:rsidR="00CC0DF1">
        <w:t xml:space="preserve"> 1</w:t>
      </w:r>
      <w:r w:rsidR="007346BA">
        <w:t>.  Mr. Mullen also states that the Antenna Structure has not been used for “</w:t>
      </w:r>
      <w:r w:rsidR="00CC0DF1">
        <w:t>communicatio</w:t>
      </w:r>
      <w:r w:rsidR="007346BA">
        <w:t>n purposes” since before he o</w:t>
      </w:r>
      <w:r w:rsidR="00CC0DF1">
        <w:t>btained</w:t>
      </w:r>
      <w:r w:rsidR="00EA2D9F">
        <w:t xml:space="preserve"> apparent</w:t>
      </w:r>
      <w:r w:rsidR="00CC0DF1">
        <w:t xml:space="preserve"> </w:t>
      </w:r>
      <w:r w:rsidR="007346BA">
        <w:t>ownersh</w:t>
      </w:r>
      <w:r w:rsidR="00CC0DF1">
        <w:t>i</w:t>
      </w:r>
      <w:r w:rsidR="007346BA">
        <w:t xml:space="preserve">p </w:t>
      </w:r>
      <w:r w:rsidR="00CC0DF1">
        <w:t>of</w:t>
      </w:r>
      <w:r w:rsidR="007346BA">
        <w:t xml:space="preserve"> </w:t>
      </w:r>
      <w:r w:rsidR="00CC0DF1">
        <w:t xml:space="preserve">the </w:t>
      </w:r>
      <w:r w:rsidR="007346BA">
        <w:t>struct</w:t>
      </w:r>
      <w:r w:rsidR="00CC0DF1">
        <w:t>u</w:t>
      </w:r>
      <w:r w:rsidR="007346BA">
        <w:t>re in 2008.</w:t>
      </w:r>
      <w:r w:rsidR="00CC0DF1">
        <w:t xml:space="preserve">  </w:t>
      </w:r>
      <w:r w:rsidR="00CC0DF1">
        <w:rPr>
          <w:i/>
        </w:rPr>
        <w:t>Id.</w:t>
      </w:r>
    </w:p>
  </w:footnote>
  <w:footnote w:id="14">
    <w:p w:rsidR="00EE555E" w:rsidRDefault="00EE555E" w:rsidP="006E5C1A">
      <w:pPr>
        <w:pStyle w:val="FootnoteText"/>
        <w:ind w:firstLine="0"/>
        <w:jc w:val="left"/>
      </w:pPr>
      <w:r>
        <w:rPr>
          <w:rStyle w:val="FootnoteReference"/>
        </w:rPr>
        <w:footnoteRef/>
      </w:r>
      <w:r>
        <w:t xml:space="preserve"> </w:t>
      </w:r>
      <w:r w:rsidRPr="002A7814">
        <w:rPr>
          <w:i/>
          <w:szCs w:val="20"/>
        </w:rPr>
        <w:t>See</w:t>
      </w:r>
      <w:r w:rsidRPr="002A7814">
        <w:rPr>
          <w:szCs w:val="20"/>
        </w:rPr>
        <w:t xml:space="preserve"> </w:t>
      </w:r>
      <w:r>
        <w:rPr>
          <w:szCs w:val="20"/>
        </w:rPr>
        <w:t xml:space="preserve">Email </w:t>
      </w:r>
      <w:r w:rsidRPr="002A7814">
        <w:rPr>
          <w:szCs w:val="20"/>
        </w:rPr>
        <w:t xml:space="preserve">from </w:t>
      </w:r>
      <w:r>
        <w:rPr>
          <w:szCs w:val="20"/>
        </w:rPr>
        <w:t xml:space="preserve">Paul G. Poor, Communications Enterprises, Inc., </w:t>
      </w:r>
      <w:r w:rsidRPr="002A7814">
        <w:rPr>
          <w:szCs w:val="20"/>
        </w:rPr>
        <w:t xml:space="preserve">to </w:t>
      </w:r>
      <w:r>
        <w:rPr>
          <w:szCs w:val="20"/>
        </w:rPr>
        <w:t>Los Angeles</w:t>
      </w:r>
      <w:r w:rsidRPr="002A7814">
        <w:rPr>
          <w:szCs w:val="20"/>
        </w:rPr>
        <w:t xml:space="preserve"> Office, Western Region, Enforcement Bureau (</w:t>
      </w:r>
      <w:r>
        <w:rPr>
          <w:szCs w:val="20"/>
        </w:rPr>
        <w:t xml:space="preserve">Dec. 15, </w:t>
      </w:r>
      <w:r w:rsidRPr="002A7814">
        <w:rPr>
          <w:szCs w:val="20"/>
        </w:rPr>
        <w:t>201</w:t>
      </w:r>
      <w:r>
        <w:rPr>
          <w:szCs w:val="20"/>
        </w:rPr>
        <w:t>0</w:t>
      </w:r>
      <w:r w:rsidRPr="002A7814">
        <w:rPr>
          <w:szCs w:val="20"/>
        </w:rPr>
        <w:t xml:space="preserve">) (on file in </w:t>
      </w:r>
      <w:r w:rsidRPr="002A7814">
        <w:rPr>
          <w:color w:val="000000"/>
          <w:szCs w:val="20"/>
        </w:rPr>
        <w:t>EB-1</w:t>
      </w:r>
      <w:r>
        <w:rPr>
          <w:color w:val="000000"/>
          <w:szCs w:val="20"/>
        </w:rPr>
        <w:t>0-LA-0268</w:t>
      </w:r>
      <w:r w:rsidRPr="002A7814">
        <w:rPr>
          <w:szCs w:val="20"/>
        </w:rPr>
        <w:t xml:space="preserve">). </w:t>
      </w:r>
      <w:r w:rsidR="00DC2596">
        <w:rPr>
          <w:szCs w:val="20"/>
        </w:rPr>
        <w:t xml:space="preserve">  No corroborating evidence exists in the Commission’s records in this case. </w:t>
      </w:r>
    </w:p>
  </w:footnote>
  <w:footnote w:id="15">
    <w:p w:rsidR="006E5C1A" w:rsidRPr="00F87F65" w:rsidRDefault="006E5C1A" w:rsidP="006E5C1A">
      <w:pPr>
        <w:pStyle w:val="FootnoteText"/>
        <w:widowControl/>
        <w:ind w:firstLine="0"/>
        <w:jc w:val="left"/>
        <w:rPr>
          <w:szCs w:val="20"/>
        </w:rPr>
      </w:pPr>
      <w:r w:rsidRPr="00F87F65">
        <w:rPr>
          <w:rStyle w:val="FootnoteReference"/>
        </w:rPr>
        <w:footnoteRef/>
      </w:r>
      <w:r w:rsidRPr="00F87F65">
        <w:rPr>
          <w:szCs w:val="20"/>
        </w:rPr>
        <w:t xml:space="preserve"> 47 U.S.C. §</w:t>
      </w:r>
      <w:r w:rsidR="00523766">
        <w:rPr>
          <w:szCs w:val="20"/>
        </w:rPr>
        <w:t xml:space="preserve"> </w:t>
      </w:r>
      <w:r w:rsidRPr="00F87F65">
        <w:rPr>
          <w:szCs w:val="20"/>
        </w:rPr>
        <w:t xml:space="preserve">503(b); 47 C.F.R. §§ 0.111, </w:t>
      </w:r>
      <w:r w:rsidR="00523766">
        <w:rPr>
          <w:szCs w:val="20"/>
        </w:rPr>
        <w:t>0.204, 0.311, 0.314, 1.80(f)(4)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E32" w:rsidRDefault="00B03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F9" w:rsidRDefault="00A80EF9">
    <w:pPr>
      <w:tabs>
        <w:tab w:val="center" w:pos="4680"/>
        <w:tab w:val="right" w:pos="9360"/>
      </w:tabs>
      <w:suppressAutoHyphens/>
      <w:spacing w:line="227" w:lineRule="auto"/>
      <w:jc w:val="both"/>
      <w:rPr>
        <w:b/>
      </w:rPr>
    </w:pPr>
    <w:r>
      <w:rPr>
        <w:b/>
      </w:rPr>
      <w:tab/>
      <w:t>Federal Communications Commission</w:t>
    </w:r>
    <w:r>
      <w:rPr>
        <w:b/>
      </w:rPr>
      <w:tab/>
      <w:t>DA 1</w:t>
    </w:r>
    <w:r w:rsidR="00524F23">
      <w:rPr>
        <w:b/>
      </w:rPr>
      <w:t>4</w:t>
    </w:r>
    <w:r>
      <w:rPr>
        <w:b/>
      </w:rPr>
      <w:t>-</w:t>
    </w:r>
    <w:r w:rsidR="00593805">
      <w:rPr>
        <w:b/>
      </w:rPr>
      <w:t>1082</w:t>
    </w:r>
  </w:p>
  <w:p w:rsidR="00A80EF9" w:rsidRDefault="008E4352">
    <w:pPr>
      <w:pStyle w:val="Header"/>
      <w:jc w:val="both"/>
      <w:rPr>
        <w:b/>
      </w:rPr>
    </w:pPr>
    <w:r>
      <w:rPr>
        <w:b/>
        <w:noProof/>
      </w:rPr>
      <mc:AlternateContent>
        <mc:Choice Requires="wps">
          <w:drawing>
            <wp:anchor distT="0" distB="0" distL="114300" distR="114300" simplePos="0" relativeHeight="251657216" behindDoc="1" locked="0" layoutInCell="0" allowOverlap="1" wp14:anchorId="6B389AEC" wp14:editId="759C3BC7">
              <wp:simplePos x="0" y="0"/>
              <wp:positionH relativeFrom="margin">
                <wp:posOffset>0</wp:posOffset>
              </wp:positionH>
              <wp:positionV relativeFrom="paragraph">
                <wp:posOffset>-8890</wp:posOffset>
              </wp:positionV>
              <wp:extent cx="5943600" cy="1206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0EF9" w:rsidRDefault="00A80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0;margin-top:-.7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Ue7AIAAD4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" o:allowincell="f" fillcolor="black" stroked="f" strokeweight=".05pt">
              <v:textbox>
                <w:txbxContent>
                  <w:p w:rsidR="00A80EF9" w:rsidRDefault="00A80EF9"/>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F9" w:rsidRDefault="00A80EF9">
    <w:pPr>
      <w:tabs>
        <w:tab w:val="center" w:pos="4680"/>
        <w:tab w:val="right" w:pos="9360"/>
      </w:tabs>
      <w:suppressAutoHyphens/>
      <w:spacing w:line="227" w:lineRule="auto"/>
      <w:jc w:val="both"/>
      <w:rPr>
        <w:spacing w:val="-2"/>
      </w:rPr>
    </w:pPr>
    <w:r>
      <w:rPr>
        <w:b/>
        <w:spacing w:val="-2"/>
      </w:rPr>
      <w:tab/>
      <w:t>Federal Communications Commission</w:t>
    </w:r>
    <w:r>
      <w:rPr>
        <w:b/>
        <w:spacing w:val="-2"/>
      </w:rPr>
      <w:tab/>
      <w:t>DA 1</w:t>
    </w:r>
    <w:r w:rsidR="00524F23">
      <w:rPr>
        <w:b/>
        <w:spacing w:val="-2"/>
      </w:rPr>
      <w:t>4</w:t>
    </w:r>
    <w:r>
      <w:rPr>
        <w:b/>
        <w:spacing w:val="-2"/>
      </w:rPr>
      <w:t>-</w:t>
    </w:r>
    <w:r w:rsidR="00593805">
      <w:rPr>
        <w:b/>
        <w:spacing w:val="-2"/>
      </w:rPr>
      <w:t>1082</w:t>
    </w:r>
  </w:p>
  <w:p w:rsidR="00A80EF9" w:rsidRDefault="008E4352">
    <w:pPr>
      <w:tabs>
        <w:tab w:val="left" w:pos="-1440"/>
        <w:tab w:val="left" w:pos="-720"/>
      </w:tabs>
      <w:suppressAutoHyphens/>
      <w:spacing w:line="19" w:lineRule="exact"/>
      <w:jc w:val="both"/>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0EF9" w:rsidRDefault="00A80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Ua7wIAAEU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BGlKUa7wIAAEUGAAAOAAAA&#10;AAAAAAAAAAAAAC4CAABkcnMvZTJvRG9jLnhtbFBLAQItABQABgAIAAAAIQAiPO7R1wAAAAMBAAAP&#10;AAAAAAAAAAAAAAAAAEkFAABkcnMvZG93bnJldi54bWxQSwUGAAAAAAQABADzAAAATQYAAAAA&#10;" o:allowincell="f" fillcolor="black" stroked="f" strokeweight=".05pt">
              <v:textbox>
                <w:txbxContent>
                  <w:p w:rsidR="00A80EF9" w:rsidRDefault="00A80EF9"/>
                </w:txbxContent>
              </v:textbox>
              <w10:wrap anchorx="margin"/>
            </v:rect>
          </w:pict>
        </mc:Fallback>
      </mc:AlternateContent>
    </w:r>
  </w:p>
  <w:p w:rsidR="00A80EF9" w:rsidRDefault="00A80EF9">
    <w:pPr>
      <w:pStyle w:val="Header"/>
      <w:pBdr>
        <w:between w:val="single" w:sz="4" w:space="1" w:color="auto"/>
      </w:pBdr>
      <w:tabs>
        <w:tab w:val="center" w:pos="4680"/>
        <w:tab w:val="left" w:pos="8434"/>
      </w:tabs>
      <w:rPr>
        <w:b/>
      </w:rPr>
    </w:pPr>
    <w:r>
      <w:rPr>
        <w:b/>
      </w:rPr>
      <w:t xml:space="preserve">      </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B4623"/>
    <w:multiLevelType w:val="hybridMultilevel"/>
    <w:tmpl w:val="3B860DE8"/>
    <w:lvl w:ilvl="0" w:tplc="CABAE556">
      <w:start w:val="1"/>
      <w:numFmt w:val="decimal"/>
      <w:lvlText w:val="%1."/>
      <w:lvlJc w:val="left"/>
      <w:pPr>
        <w:tabs>
          <w:tab w:val="num" w:pos="1260"/>
        </w:tabs>
        <w:ind w:left="180" w:firstLine="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BB274C"/>
    <w:multiLevelType w:val="hybridMultilevel"/>
    <w:tmpl w:val="92BE03C4"/>
    <w:lvl w:ilvl="0" w:tplc="6D1AE0AA">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2CCD7CCE"/>
    <w:multiLevelType w:val="hybridMultilevel"/>
    <w:tmpl w:val="3DB6DD78"/>
    <w:lvl w:ilvl="0" w:tplc="36049E4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222D9A"/>
    <w:multiLevelType w:val="singleLevel"/>
    <w:tmpl w:val="E0B2BEC6"/>
    <w:lvl w:ilvl="0">
      <w:start w:val="1"/>
      <w:numFmt w:val="decimal"/>
      <w:lvlText w:val="%1."/>
      <w:legacy w:legacy="1" w:legacySpace="0" w:legacyIndent="720"/>
      <w:lvlJc w:val="left"/>
      <w:rPr>
        <w:rFonts w:ascii="Times New Roman" w:hAnsi="Times New Roman" w:cs="Times New Roman" w:hint="default"/>
      </w:rPr>
    </w:lvl>
  </w:abstractNum>
  <w:abstractNum w:abstractNumId="4">
    <w:nsid w:val="3D0F1B3D"/>
    <w:multiLevelType w:val="singleLevel"/>
    <w:tmpl w:val="FBEE92A4"/>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6">
    <w:nsid w:val="432817C4"/>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7">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1182925"/>
    <w:multiLevelType w:val="singleLevel"/>
    <w:tmpl w:val="D5A8460C"/>
    <w:lvl w:ilvl="0">
      <w:start w:val="1"/>
      <w:numFmt w:val="decimal"/>
      <w:lvlText w:val="%1."/>
      <w:lvlJc w:val="left"/>
      <w:pPr>
        <w:tabs>
          <w:tab w:val="num" w:pos="1080"/>
        </w:tabs>
        <w:ind w:left="0" w:firstLine="720"/>
      </w:pPr>
      <w:rPr>
        <w:b w:val="0"/>
      </w:rPr>
    </w:lvl>
  </w:abstractNum>
  <w:abstractNum w:abstractNumId="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7E5C6F81"/>
    <w:multiLevelType w:val="hybridMultilevel"/>
    <w:tmpl w:val="F0E4DE98"/>
    <w:lvl w:ilvl="0" w:tplc="CABAE556">
      <w:start w:val="1"/>
      <w:numFmt w:val="decimal"/>
      <w:lvlText w:val="%1."/>
      <w:lvlJc w:val="left"/>
      <w:pPr>
        <w:tabs>
          <w:tab w:val="num" w:pos="1080"/>
        </w:tabs>
        <w:ind w:left="0" w:firstLine="720"/>
      </w:pPr>
      <w:rPr>
        <w:rFonts w:ascii="Times New Roman" w:hAnsi="Times New Roman" w:hint="default"/>
        <w:b w:val="0"/>
        <w:i w:val="0"/>
        <w:sz w:val="22"/>
        <w:szCs w:val="22"/>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6"/>
  </w:num>
  <w:num w:numId="2">
    <w:abstractNumId w:val="4"/>
  </w:num>
  <w:num w:numId="3">
    <w:abstractNumId w:val="2"/>
  </w:num>
  <w:num w:numId="4">
    <w:abstractNumId w:val="9"/>
  </w:num>
  <w:num w:numId="5">
    <w:abstractNumId w:val="1"/>
  </w:num>
  <w:num w:numId="6">
    <w:abstractNumId w:val="3"/>
  </w:num>
  <w:num w:numId="7">
    <w:abstractNumId w:val="0"/>
  </w:num>
  <w:num w:numId="8">
    <w:abstractNumId w:val="10"/>
  </w:num>
  <w:num w:numId="9">
    <w:abstractNumId w:val="8"/>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86"/>
    <w:rsid w:val="00016AEB"/>
    <w:rsid w:val="000279A8"/>
    <w:rsid w:val="0004593E"/>
    <w:rsid w:val="0008114C"/>
    <w:rsid w:val="000D6437"/>
    <w:rsid w:val="00137154"/>
    <w:rsid w:val="00176B8B"/>
    <w:rsid w:val="001C3864"/>
    <w:rsid w:val="001D477F"/>
    <w:rsid w:val="001F0226"/>
    <w:rsid w:val="001F311A"/>
    <w:rsid w:val="00203877"/>
    <w:rsid w:val="002375F1"/>
    <w:rsid w:val="002552FA"/>
    <w:rsid w:val="002622B8"/>
    <w:rsid w:val="0026674C"/>
    <w:rsid w:val="002A7814"/>
    <w:rsid w:val="002E0E56"/>
    <w:rsid w:val="002F38CA"/>
    <w:rsid w:val="002F4553"/>
    <w:rsid w:val="00334D47"/>
    <w:rsid w:val="003A6B24"/>
    <w:rsid w:val="003C0F28"/>
    <w:rsid w:val="003F1A01"/>
    <w:rsid w:val="004319DF"/>
    <w:rsid w:val="004573F0"/>
    <w:rsid w:val="00466FDD"/>
    <w:rsid w:val="00472343"/>
    <w:rsid w:val="004803B6"/>
    <w:rsid w:val="004B3565"/>
    <w:rsid w:val="004E01FB"/>
    <w:rsid w:val="00523766"/>
    <w:rsid w:val="00524F23"/>
    <w:rsid w:val="00580D3E"/>
    <w:rsid w:val="00593805"/>
    <w:rsid w:val="00604B08"/>
    <w:rsid w:val="006073E0"/>
    <w:rsid w:val="0061124B"/>
    <w:rsid w:val="00627660"/>
    <w:rsid w:val="00670847"/>
    <w:rsid w:val="00670D00"/>
    <w:rsid w:val="00672EC6"/>
    <w:rsid w:val="006941F0"/>
    <w:rsid w:val="006A5290"/>
    <w:rsid w:val="006D603C"/>
    <w:rsid w:val="006E5C1A"/>
    <w:rsid w:val="006F2FFA"/>
    <w:rsid w:val="006F37EC"/>
    <w:rsid w:val="007346BA"/>
    <w:rsid w:val="00744E42"/>
    <w:rsid w:val="00770105"/>
    <w:rsid w:val="007877C0"/>
    <w:rsid w:val="007960CE"/>
    <w:rsid w:val="007A738A"/>
    <w:rsid w:val="007C1EDC"/>
    <w:rsid w:val="007D6532"/>
    <w:rsid w:val="007F62B7"/>
    <w:rsid w:val="008058D6"/>
    <w:rsid w:val="0084736B"/>
    <w:rsid w:val="0085412E"/>
    <w:rsid w:val="00855E4D"/>
    <w:rsid w:val="00895196"/>
    <w:rsid w:val="008E4352"/>
    <w:rsid w:val="008F3399"/>
    <w:rsid w:val="00922A99"/>
    <w:rsid w:val="00922ED7"/>
    <w:rsid w:val="00932F73"/>
    <w:rsid w:val="009342C0"/>
    <w:rsid w:val="00956166"/>
    <w:rsid w:val="00981395"/>
    <w:rsid w:val="009B0ACB"/>
    <w:rsid w:val="009B1201"/>
    <w:rsid w:val="009E4724"/>
    <w:rsid w:val="00A053E8"/>
    <w:rsid w:val="00A316D0"/>
    <w:rsid w:val="00A52750"/>
    <w:rsid w:val="00A63509"/>
    <w:rsid w:val="00A65E23"/>
    <w:rsid w:val="00A80EF9"/>
    <w:rsid w:val="00AA2464"/>
    <w:rsid w:val="00AA7A67"/>
    <w:rsid w:val="00B0092C"/>
    <w:rsid w:val="00B016C3"/>
    <w:rsid w:val="00B03E32"/>
    <w:rsid w:val="00B06ECF"/>
    <w:rsid w:val="00B1715C"/>
    <w:rsid w:val="00B4546B"/>
    <w:rsid w:val="00B73892"/>
    <w:rsid w:val="00B80A16"/>
    <w:rsid w:val="00BA32EC"/>
    <w:rsid w:val="00BD4217"/>
    <w:rsid w:val="00C4222B"/>
    <w:rsid w:val="00C570BB"/>
    <w:rsid w:val="00C6604E"/>
    <w:rsid w:val="00CA4592"/>
    <w:rsid w:val="00CA5A09"/>
    <w:rsid w:val="00CB14AE"/>
    <w:rsid w:val="00CC0DF1"/>
    <w:rsid w:val="00CF7E9F"/>
    <w:rsid w:val="00D440EE"/>
    <w:rsid w:val="00D72109"/>
    <w:rsid w:val="00D83C63"/>
    <w:rsid w:val="00D90356"/>
    <w:rsid w:val="00DA316C"/>
    <w:rsid w:val="00DC2596"/>
    <w:rsid w:val="00DE5386"/>
    <w:rsid w:val="00E00C19"/>
    <w:rsid w:val="00E21CAE"/>
    <w:rsid w:val="00E26178"/>
    <w:rsid w:val="00E416B6"/>
    <w:rsid w:val="00E42A42"/>
    <w:rsid w:val="00E47C9D"/>
    <w:rsid w:val="00E509B2"/>
    <w:rsid w:val="00E90A6F"/>
    <w:rsid w:val="00E91543"/>
    <w:rsid w:val="00EA2D9F"/>
    <w:rsid w:val="00EE4D59"/>
    <w:rsid w:val="00EE555E"/>
    <w:rsid w:val="00F4415E"/>
    <w:rsid w:val="00F467B8"/>
    <w:rsid w:val="00F638FA"/>
    <w:rsid w:val="00F763F7"/>
    <w:rsid w:val="00F87F65"/>
    <w:rsid w:val="00F90B13"/>
    <w:rsid w:val="00FA623A"/>
    <w:rsid w:val="00FC1471"/>
    <w:rsid w:val="00FC207F"/>
    <w:rsid w:val="00FE0DA6"/>
    <w:rsid w:val="00FF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120"/>
      <w:ind w:firstLine="360"/>
      <w:jc w:val="both"/>
    </w:pPr>
    <w:rPr>
      <w:snapToGrid w:val="0"/>
      <w:sz w:val="20"/>
    </w:r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rPr>
      <w:snapToGrid w:val="0"/>
      <w:szCs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
    <w:name w:val="documentbody"/>
    <w:basedOn w:val="DefaultParagraphFont"/>
    <w:uiPriority w:val="99"/>
  </w:style>
  <w:style w:type="character" w:styleId="Hyperlink">
    <w:name w:val="Hyperlink"/>
    <w:uiPriority w:val="99"/>
    <w:rPr>
      <w:color w:val="0000FF"/>
      <w:u w:val="single"/>
    </w:rPr>
  </w:style>
  <w:style w:type="character" w:customStyle="1" w:styleId="searchterm">
    <w:name w:val="searchterm"/>
    <w:basedOn w:val="DefaultParagraphFont"/>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style>
  <w:style w:type="character" w:customStyle="1" w:styleId="pmterms2">
    <w:name w:val="pmterms2"/>
    <w:basedOn w:val="DefaultParagraphFont"/>
  </w:style>
  <w:style w:type="character" w:customStyle="1" w:styleId="rrfootnoteCharChar">
    <w:name w:val="rrfootnote Char Char"/>
    <w:aliases w:val="rrfootnote Char Char Char1 Char,rrfootnote Char1 Char Char,rrfootnote Char Char1,Footnote Text Char2 Char Char Char Char,Footnote Text Char1 Char2 Char Char Char Char,Footnote Text Char1 Char Char1"/>
    <w:rPr>
      <w:lang w:val="en-US" w:eastAsia="en-US" w:bidi="ar-SA"/>
    </w:rPr>
  </w:style>
  <w:style w:type="character" w:customStyle="1" w:styleId="rrfootnoteCharCharCharCharChar">
    <w:name w:val="rrfootnote Char Char Char Char Char"/>
    <w:aliases w:val="Footnote Text Char Char Char Char Char Char"/>
    <w:locked/>
    <w:rPr>
      <w:rFonts w:cs="Times New Roman"/>
      <w:color w:val="000000"/>
      <w:lang w:val="en-US" w:eastAsia="en-US" w:bidi="ar-SA"/>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szCs w:val="22"/>
    </w:rPr>
  </w:style>
  <w:style w:type="paragraph" w:styleId="BodyText">
    <w:name w:val="Body Text"/>
    <w:basedOn w:val="Normal"/>
    <w:pPr>
      <w:spacing w:after="120"/>
    </w:pPr>
  </w:style>
  <w:style w:type="character" w:customStyle="1" w:styleId="starpage">
    <w:name w:val="starpage"/>
    <w:basedOn w:val="DefaultParagraphFont"/>
  </w:style>
  <w:style w:type="character" w:styleId="CommentReference">
    <w:name w:val="annotation reference"/>
    <w:semiHidden/>
    <w:rPr>
      <w:sz w:val="16"/>
      <w:szCs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val="0"/>
      <w:tabs>
        <w:tab w:val="right" w:pos="9360"/>
      </w:tabs>
      <w:suppressAutoHyphens/>
    </w:pPr>
    <w:rPr>
      <w:snapToGrid w:val="0"/>
      <w:kern w:val="28"/>
      <w:szCs w:val="20"/>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szCs w:val="20"/>
      <w:lang w:eastAsia="ar-SA"/>
    </w:rPr>
  </w:style>
  <w:style w:type="character" w:customStyle="1" w:styleId="apple-converted-space">
    <w:name w:val="apple-converted-space"/>
  </w:style>
  <w:style w:type="character" w:customStyle="1" w:styleId="ParaNumChar">
    <w:name w:val="ParaNum Char"/>
    <w:link w:val="ParaNum"/>
    <w:locked/>
    <w:rPr>
      <w:sz w:val="22"/>
      <w:szCs w:val="22"/>
    </w:rPr>
  </w:style>
  <w:style w:type="character" w:customStyle="1" w:styleId="ptext-18">
    <w:name w:val="ptext-18"/>
    <w:basedOn w:val="DefaultParagraphFont"/>
    <w:rsid w:val="00F4415E"/>
  </w:style>
  <w:style w:type="character" w:customStyle="1" w:styleId="enumlstr1">
    <w:name w:val="enumlstr1"/>
    <w:rsid w:val="00F4415E"/>
    <w:rPr>
      <w:b/>
      <w:bCs/>
      <w:color w:val="0000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120"/>
      <w:ind w:firstLine="360"/>
      <w:jc w:val="both"/>
    </w:pPr>
    <w:rPr>
      <w:snapToGrid w:val="0"/>
      <w:sz w:val="20"/>
    </w:r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rPr>
      <w:snapToGrid w:val="0"/>
      <w:szCs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
    <w:name w:val="documentbody"/>
    <w:basedOn w:val="DefaultParagraphFont"/>
    <w:uiPriority w:val="99"/>
  </w:style>
  <w:style w:type="character" w:styleId="Hyperlink">
    <w:name w:val="Hyperlink"/>
    <w:uiPriority w:val="99"/>
    <w:rPr>
      <w:color w:val="0000FF"/>
      <w:u w:val="single"/>
    </w:rPr>
  </w:style>
  <w:style w:type="character" w:customStyle="1" w:styleId="searchterm">
    <w:name w:val="searchterm"/>
    <w:basedOn w:val="DefaultParagraphFont"/>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style>
  <w:style w:type="character" w:customStyle="1" w:styleId="pmterms2">
    <w:name w:val="pmterms2"/>
    <w:basedOn w:val="DefaultParagraphFont"/>
  </w:style>
  <w:style w:type="character" w:customStyle="1" w:styleId="rrfootnoteCharChar">
    <w:name w:val="rrfootnote Char Char"/>
    <w:aliases w:val="rrfootnote Char Char Char1 Char,rrfootnote Char1 Char Char,rrfootnote Char Char1,Footnote Text Char2 Char Char Char Char,Footnote Text Char1 Char2 Char Char Char Char,Footnote Text Char1 Char Char1"/>
    <w:rPr>
      <w:lang w:val="en-US" w:eastAsia="en-US" w:bidi="ar-SA"/>
    </w:rPr>
  </w:style>
  <w:style w:type="character" w:customStyle="1" w:styleId="rrfootnoteCharCharCharCharChar">
    <w:name w:val="rrfootnote Char Char Char Char Char"/>
    <w:aliases w:val="Footnote Text Char Char Char Char Char Char"/>
    <w:locked/>
    <w:rPr>
      <w:rFonts w:cs="Times New Roman"/>
      <w:color w:val="000000"/>
      <w:lang w:val="en-US" w:eastAsia="en-US" w:bidi="ar-SA"/>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szCs w:val="22"/>
    </w:rPr>
  </w:style>
  <w:style w:type="paragraph" w:styleId="BodyText">
    <w:name w:val="Body Text"/>
    <w:basedOn w:val="Normal"/>
    <w:pPr>
      <w:spacing w:after="120"/>
    </w:pPr>
  </w:style>
  <w:style w:type="character" w:customStyle="1" w:styleId="starpage">
    <w:name w:val="starpage"/>
    <w:basedOn w:val="DefaultParagraphFont"/>
  </w:style>
  <w:style w:type="character" w:styleId="CommentReference">
    <w:name w:val="annotation reference"/>
    <w:semiHidden/>
    <w:rPr>
      <w:sz w:val="16"/>
      <w:szCs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val="0"/>
      <w:tabs>
        <w:tab w:val="right" w:pos="9360"/>
      </w:tabs>
      <w:suppressAutoHyphens/>
    </w:pPr>
    <w:rPr>
      <w:snapToGrid w:val="0"/>
      <w:kern w:val="28"/>
      <w:szCs w:val="20"/>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szCs w:val="20"/>
      <w:lang w:eastAsia="ar-SA"/>
    </w:rPr>
  </w:style>
  <w:style w:type="character" w:customStyle="1" w:styleId="apple-converted-space">
    <w:name w:val="apple-converted-space"/>
  </w:style>
  <w:style w:type="character" w:customStyle="1" w:styleId="ParaNumChar">
    <w:name w:val="ParaNum Char"/>
    <w:link w:val="ParaNum"/>
    <w:locked/>
    <w:rPr>
      <w:sz w:val="22"/>
      <w:szCs w:val="22"/>
    </w:rPr>
  </w:style>
  <w:style w:type="character" w:customStyle="1" w:styleId="ptext-18">
    <w:name w:val="ptext-18"/>
    <w:basedOn w:val="DefaultParagraphFont"/>
    <w:rsid w:val="00F4415E"/>
  </w:style>
  <w:style w:type="character" w:customStyle="1" w:styleId="enumlstr1">
    <w:name w:val="enumlstr1"/>
    <w:rsid w:val="00F4415E"/>
    <w:rPr>
      <w:b/>
      <w:bCs/>
      <w:color w:val="00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19204">
      <w:bodyDiv w:val="1"/>
      <w:marLeft w:val="0"/>
      <w:marRight w:val="0"/>
      <w:marTop w:val="0"/>
      <w:marBottom w:val="0"/>
      <w:divBdr>
        <w:top w:val="none" w:sz="0" w:space="0" w:color="auto"/>
        <w:left w:val="none" w:sz="0" w:space="0" w:color="auto"/>
        <w:bottom w:val="none" w:sz="0" w:space="0" w:color="auto"/>
        <w:right w:val="none" w:sz="0" w:space="0" w:color="auto"/>
      </w:divBdr>
    </w:div>
    <w:div w:id="313022983">
      <w:bodyDiv w:val="1"/>
      <w:marLeft w:val="0"/>
      <w:marRight w:val="0"/>
      <w:marTop w:val="0"/>
      <w:marBottom w:val="0"/>
      <w:divBdr>
        <w:top w:val="none" w:sz="0" w:space="0" w:color="auto"/>
        <w:left w:val="none" w:sz="0" w:space="0" w:color="auto"/>
        <w:bottom w:val="none" w:sz="0" w:space="0" w:color="auto"/>
        <w:right w:val="none" w:sz="0" w:space="0" w:color="auto"/>
      </w:divBdr>
      <w:divsChild>
        <w:div w:id="170979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434750">
      <w:bodyDiv w:val="1"/>
      <w:marLeft w:val="0"/>
      <w:marRight w:val="0"/>
      <w:marTop w:val="0"/>
      <w:marBottom w:val="0"/>
      <w:divBdr>
        <w:top w:val="none" w:sz="0" w:space="0" w:color="auto"/>
        <w:left w:val="none" w:sz="0" w:space="0" w:color="auto"/>
        <w:bottom w:val="none" w:sz="0" w:space="0" w:color="auto"/>
        <w:right w:val="none" w:sz="0" w:space="0" w:color="auto"/>
      </w:divBdr>
      <w:divsChild>
        <w:div w:id="1582061321">
          <w:marLeft w:val="0"/>
          <w:marRight w:val="0"/>
          <w:marTop w:val="0"/>
          <w:marBottom w:val="0"/>
          <w:divBdr>
            <w:top w:val="none" w:sz="0" w:space="0" w:color="auto"/>
            <w:left w:val="none" w:sz="0" w:space="0" w:color="auto"/>
            <w:bottom w:val="none" w:sz="0" w:space="0" w:color="auto"/>
            <w:right w:val="none" w:sz="0" w:space="0" w:color="auto"/>
          </w:divBdr>
          <w:divsChild>
            <w:div w:id="175537490">
              <w:marLeft w:val="0"/>
              <w:marRight w:val="0"/>
              <w:marTop w:val="0"/>
              <w:marBottom w:val="0"/>
              <w:divBdr>
                <w:top w:val="none" w:sz="0" w:space="0" w:color="auto"/>
                <w:left w:val="none" w:sz="0" w:space="0" w:color="auto"/>
                <w:bottom w:val="none" w:sz="0" w:space="0" w:color="auto"/>
                <w:right w:val="none" w:sz="0" w:space="0" w:color="auto"/>
              </w:divBdr>
              <w:divsChild>
                <w:div w:id="665740729">
                  <w:marLeft w:val="0"/>
                  <w:marRight w:val="0"/>
                  <w:marTop w:val="0"/>
                  <w:marBottom w:val="0"/>
                  <w:divBdr>
                    <w:top w:val="none" w:sz="0" w:space="0" w:color="auto"/>
                    <w:left w:val="none" w:sz="0" w:space="0" w:color="auto"/>
                    <w:bottom w:val="none" w:sz="0" w:space="0" w:color="auto"/>
                    <w:right w:val="none" w:sz="0" w:space="0" w:color="auto"/>
                  </w:divBdr>
                  <w:divsChild>
                    <w:div w:id="1239100837">
                      <w:marLeft w:val="0"/>
                      <w:marRight w:val="0"/>
                      <w:marTop w:val="0"/>
                      <w:marBottom w:val="0"/>
                      <w:divBdr>
                        <w:top w:val="none" w:sz="0" w:space="0" w:color="auto"/>
                        <w:left w:val="none" w:sz="0" w:space="0" w:color="auto"/>
                        <w:bottom w:val="none" w:sz="0" w:space="0" w:color="auto"/>
                        <w:right w:val="none" w:sz="0" w:space="0" w:color="auto"/>
                      </w:divBdr>
                      <w:divsChild>
                        <w:div w:id="1540245347">
                          <w:marLeft w:val="0"/>
                          <w:marRight w:val="0"/>
                          <w:marTop w:val="0"/>
                          <w:marBottom w:val="0"/>
                          <w:divBdr>
                            <w:top w:val="none" w:sz="0" w:space="0" w:color="auto"/>
                            <w:left w:val="none" w:sz="0" w:space="0" w:color="auto"/>
                            <w:bottom w:val="none" w:sz="0" w:space="0" w:color="auto"/>
                            <w:right w:val="none" w:sz="0" w:space="0" w:color="auto"/>
                          </w:divBdr>
                          <w:divsChild>
                            <w:div w:id="142935716">
                              <w:marLeft w:val="0"/>
                              <w:marRight w:val="0"/>
                              <w:marTop w:val="0"/>
                              <w:marBottom w:val="0"/>
                              <w:divBdr>
                                <w:top w:val="none" w:sz="0" w:space="0" w:color="auto"/>
                                <w:left w:val="none" w:sz="0" w:space="0" w:color="auto"/>
                                <w:bottom w:val="none" w:sz="0" w:space="0" w:color="auto"/>
                                <w:right w:val="none" w:sz="0" w:space="0" w:color="auto"/>
                              </w:divBdr>
                              <w:divsChild>
                                <w:div w:id="1121337786">
                                  <w:marLeft w:val="0"/>
                                  <w:marRight w:val="0"/>
                                  <w:marTop w:val="0"/>
                                  <w:marBottom w:val="0"/>
                                  <w:divBdr>
                                    <w:top w:val="none" w:sz="0" w:space="0" w:color="auto"/>
                                    <w:left w:val="none" w:sz="0" w:space="0" w:color="auto"/>
                                    <w:bottom w:val="none" w:sz="0" w:space="0" w:color="auto"/>
                                    <w:right w:val="none" w:sz="0" w:space="0" w:color="auto"/>
                                  </w:divBdr>
                                  <w:divsChild>
                                    <w:div w:id="1108428386">
                                      <w:marLeft w:val="0"/>
                                      <w:marRight w:val="0"/>
                                      <w:marTop w:val="0"/>
                                      <w:marBottom w:val="0"/>
                                      <w:divBdr>
                                        <w:top w:val="none" w:sz="0" w:space="0" w:color="auto"/>
                                        <w:left w:val="none" w:sz="0" w:space="0" w:color="auto"/>
                                        <w:bottom w:val="none" w:sz="0" w:space="0" w:color="auto"/>
                                        <w:right w:val="none" w:sz="0" w:space="0" w:color="auto"/>
                                      </w:divBdr>
                                      <w:divsChild>
                                        <w:div w:id="2013069804">
                                          <w:marLeft w:val="0"/>
                                          <w:marRight w:val="0"/>
                                          <w:marTop w:val="0"/>
                                          <w:marBottom w:val="0"/>
                                          <w:divBdr>
                                            <w:top w:val="none" w:sz="0" w:space="0" w:color="auto"/>
                                            <w:left w:val="none" w:sz="0" w:space="0" w:color="auto"/>
                                            <w:bottom w:val="none" w:sz="0" w:space="0" w:color="auto"/>
                                            <w:right w:val="none" w:sz="0" w:space="0" w:color="auto"/>
                                          </w:divBdr>
                                          <w:divsChild>
                                            <w:div w:id="569192681">
                                              <w:marLeft w:val="0"/>
                                              <w:marRight w:val="0"/>
                                              <w:marTop w:val="0"/>
                                              <w:marBottom w:val="0"/>
                                              <w:divBdr>
                                                <w:top w:val="none" w:sz="0" w:space="0" w:color="auto"/>
                                                <w:left w:val="none" w:sz="0" w:space="0" w:color="auto"/>
                                                <w:bottom w:val="none" w:sz="0" w:space="0" w:color="auto"/>
                                                <w:right w:val="none" w:sz="0" w:space="0" w:color="auto"/>
                                              </w:divBdr>
                                              <w:divsChild>
                                                <w:div w:id="358167917">
                                                  <w:marLeft w:val="0"/>
                                                  <w:marRight w:val="0"/>
                                                  <w:marTop w:val="0"/>
                                                  <w:marBottom w:val="0"/>
                                                  <w:divBdr>
                                                    <w:top w:val="none" w:sz="0" w:space="0" w:color="auto"/>
                                                    <w:left w:val="none" w:sz="0" w:space="0" w:color="auto"/>
                                                    <w:bottom w:val="none" w:sz="0" w:space="0" w:color="auto"/>
                                                    <w:right w:val="none" w:sz="0" w:space="0" w:color="auto"/>
                                                  </w:divBdr>
                                                  <w:divsChild>
                                                    <w:div w:id="819149515">
                                                      <w:marLeft w:val="0"/>
                                                      <w:marRight w:val="0"/>
                                                      <w:marTop w:val="0"/>
                                                      <w:marBottom w:val="0"/>
                                                      <w:divBdr>
                                                        <w:top w:val="none" w:sz="0" w:space="0" w:color="auto"/>
                                                        <w:left w:val="none" w:sz="0" w:space="0" w:color="auto"/>
                                                        <w:bottom w:val="none" w:sz="0" w:space="0" w:color="auto"/>
                                                        <w:right w:val="none" w:sz="0" w:space="0" w:color="auto"/>
                                                      </w:divBdr>
                                                      <w:divsChild>
                                                        <w:div w:id="1763336247">
                                                          <w:marLeft w:val="0"/>
                                                          <w:marRight w:val="0"/>
                                                          <w:marTop w:val="0"/>
                                                          <w:marBottom w:val="0"/>
                                                          <w:divBdr>
                                                            <w:top w:val="none" w:sz="0" w:space="0" w:color="auto"/>
                                                            <w:left w:val="none" w:sz="0" w:space="0" w:color="auto"/>
                                                            <w:bottom w:val="none" w:sz="0" w:space="0" w:color="auto"/>
                                                            <w:right w:val="none" w:sz="0" w:space="0" w:color="auto"/>
                                                          </w:divBdr>
                                                          <w:divsChild>
                                                            <w:div w:id="1675843870">
                                                              <w:marLeft w:val="0"/>
                                                              <w:marRight w:val="0"/>
                                                              <w:marTop w:val="0"/>
                                                              <w:marBottom w:val="0"/>
                                                              <w:divBdr>
                                                                <w:top w:val="none" w:sz="0" w:space="0" w:color="auto"/>
                                                                <w:left w:val="none" w:sz="0" w:space="0" w:color="auto"/>
                                                                <w:bottom w:val="none" w:sz="0" w:space="0" w:color="auto"/>
                                                                <w:right w:val="none" w:sz="0" w:space="0" w:color="auto"/>
                                                              </w:divBdr>
                                                              <w:divsChild>
                                                                <w:div w:id="1120494985">
                                                                  <w:marLeft w:val="0"/>
                                                                  <w:marRight w:val="0"/>
                                                                  <w:marTop w:val="0"/>
                                                                  <w:marBottom w:val="0"/>
                                                                  <w:divBdr>
                                                                    <w:top w:val="none" w:sz="0" w:space="0" w:color="auto"/>
                                                                    <w:left w:val="none" w:sz="0" w:space="0" w:color="auto"/>
                                                                    <w:bottom w:val="none" w:sz="0" w:space="0" w:color="auto"/>
                                                                    <w:right w:val="none" w:sz="0" w:space="0" w:color="auto"/>
                                                                  </w:divBdr>
                                                                  <w:divsChild>
                                                                    <w:div w:id="1818256853">
                                                                      <w:marLeft w:val="0"/>
                                                                      <w:marRight w:val="0"/>
                                                                      <w:marTop w:val="0"/>
                                                                      <w:marBottom w:val="0"/>
                                                                      <w:divBdr>
                                                                        <w:top w:val="none" w:sz="0" w:space="0" w:color="auto"/>
                                                                        <w:left w:val="none" w:sz="0" w:space="0" w:color="auto"/>
                                                                        <w:bottom w:val="none" w:sz="0" w:space="0" w:color="auto"/>
                                                                        <w:right w:val="none" w:sz="0" w:space="0" w:color="auto"/>
                                                                      </w:divBdr>
                                                                      <w:divsChild>
                                                                        <w:div w:id="1981494932">
                                                                          <w:marLeft w:val="0"/>
                                                                          <w:marRight w:val="0"/>
                                                                          <w:marTop w:val="0"/>
                                                                          <w:marBottom w:val="0"/>
                                                                          <w:divBdr>
                                                                            <w:top w:val="none" w:sz="0" w:space="0" w:color="auto"/>
                                                                            <w:left w:val="none" w:sz="0" w:space="0" w:color="auto"/>
                                                                            <w:bottom w:val="none" w:sz="0" w:space="0" w:color="auto"/>
                                                                            <w:right w:val="none" w:sz="0" w:space="0" w:color="auto"/>
                                                                          </w:divBdr>
                                                                          <w:divsChild>
                                                                            <w:div w:id="66656973">
                                                                              <w:marLeft w:val="0"/>
                                                                              <w:marRight w:val="0"/>
                                                                              <w:marTop w:val="0"/>
                                                                              <w:marBottom w:val="0"/>
                                                                              <w:divBdr>
                                                                                <w:top w:val="none" w:sz="0" w:space="0" w:color="auto"/>
                                                                                <w:left w:val="none" w:sz="0" w:space="0" w:color="auto"/>
                                                                                <w:bottom w:val="none" w:sz="0" w:space="0" w:color="auto"/>
                                                                                <w:right w:val="none" w:sz="0" w:space="0" w:color="auto"/>
                                                                              </w:divBdr>
                                                                            </w:div>
                                                                            <w:div w:id="855382807">
                                                                              <w:marLeft w:val="0"/>
                                                                              <w:marRight w:val="0"/>
                                                                              <w:marTop w:val="0"/>
                                                                              <w:marBottom w:val="0"/>
                                                                              <w:divBdr>
                                                                                <w:top w:val="none" w:sz="0" w:space="0" w:color="auto"/>
                                                                                <w:left w:val="none" w:sz="0" w:space="0" w:color="auto"/>
                                                                                <w:bottom w:val="none" w:sz="0" w:space="0" w:color="auto"/>
                                                                                <w:right w:val="none" w:sz="0" w:space="0" w:color="auto"/>
                                                                              </w:divBdr>
                                                                            </w:div>
                                                                            <w:div w:id="15371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669058">
      <w:bodyDiv w:val="1"/>
      <w:marLeft w:val="0"/>
      <w:marRight w:val="0"/>
      <w:marTop w:val="0"/>
      <w:marBottom w:val="0"/>
      <w:divBdr>
        <w:top w:val="none" w:sz="0" w:space="0" w:color="auto"/>
        <w:left w:val="none" w:sz="0" w:space="0" w:color="auto"/>
        <w:bottom w:val="none" w:sz="0" w:space="0" w:color="auto"/>
        <w:right w:val="none" w:sz="0" w:space="0" w:color="auto"/>
      </w:divBdr>
    </w:div>
    <w:div w:id="978337345">
      <w:bodyDiv w:val="1"/>
      <w:marLeft w:val="0"/>
      <w:marRight w:val="0"/>
      <w:marTop w:val="0"/>
      <w:marBottom w:val="0"/>
      <w:divBdr>
        <w:top w:val="none" w:sz="0" w:space="0" w:color="auto"/>
        <w:left w:val="none" w:sz="0" w:space="0" w:color="auto"/>
        <w:bottom w:val="none" w:sz="0" w:space="0" w:color="auto"/>
        <w:right w:val="none" w:sz="0" w:space="0" w:color="auto"/>
      </w:divBdr>
    </w:div>
    <w:div w:id="995301105">
      <w:bodyDiv w:val="1"/>
      <w:marLeft w:val="0"/>
      <w:marRight w:val="0"/>
      <w:marTop w:val="0"/>
      <w:marBottom w:val="0"/>
      <w:divBdr>
        <w:top w:val="none" w:sz="0" w:space="0" w:color="auto"/>
        <w:left w:val="none" w:sz="0" w:space="0" w:color="auto"/>
        <w:bottom w:val="none" w:sz="0" w:space="0" w:color="auto"/>
        <w:right w:val="none" w:sz="0" w:space="0" w:color="auto"/>
      </w:divBdr>
    </w:div>
    <w:div w:id="1040781086">
      <w:bodyDiv w:val="1"/>
      <w:marLeft w:val="0"/>
      <w:marRight w:val="0"/>
      <w:marTop w:val="0"/>
      <w:marBottom w:val="0"/>
      <w:divBdr>
        <w:top w:val="none" w:sz="0" w:space="0" w:color="auto"/>
        <w:left w:val="none" w:sz="0" w:space="0" w:color="auto"/>
        <w:bottom w:val="none" w:sz="0" w:space="0" w:color="auto"/>
        <w:right w:val="none" w:sz="0" w:space="0" w:color="auto"/>
      </w:divBdr>
    </w:div>
    <w:div w:id="1300377653">
      <w:bodyDiv w:val="1"/>
      <w:marLeft w:val="0"/>
      <w:marRight w:val="0"/>
      <w:marTop w:val="0"/>
      <w:marBottom w:val="0"/>
      <w:divBdr>
        <w:top w:val="none" w:sz="0" w:space="0" w:color="auto"/>
        <w:left w:val="none" w:sz="0" w:space="0" w:color="auto"/>
        <w:bottom w:val="none" w:sz="0" w:space="0" w:color="auto"/>
        <w:right w:val="none" w:sz="0" w:space="0" w:color="auto"/>
      </w:divBdr>
    </w:div>
    <w:div w:id="19307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4492</Characters>
  <Application>Microsoft Office Word</Application>
  <DocSecurity>0</DocSecurity>
  <Lines>91</Lines>
  <Paragraphs>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5357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2013-08-27T23:48:00Z</cp:lastPrinted>
  <dcterms:created xsi:type="dcterms:W3CDTF">2014-07-31T01:39:00Z</dcterms:created>
  <dcterms:modified xsi:type="dcterms:W3CDTF">2014-07-31T01:39:00Z</dcterms:modified>
  <cp:category> </cp:category>
  <cp:contentStatus> </cp:contentStatus>
</cp:coreProperties>
</file>