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FE748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34BD" w:rsidRDefault="00FE34BD">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FE34BD" w:rsidRDefault="00FE34BD">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FE748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873985" w:rsidRPr="00C4740D">
        <w:rPr>
          <w:b/>
          <w:spacing w:val="-2"/>
          <w:sz w:val="22"/>
        </w:rPr>
        <w:t>1</w:t>
      </w:r>
      <w:r w:rsidR="00055E9E">
        <w:rPr>
          <w:b/>
          <w:spacing w:val="-2"/>
          <w:sz w:val="22"/>
        </w:rPr>
        <w:t>4</w:t>
      </w:r>
      <w:r w:rsidR="00A60C92" w:rsidRPr="00C4740D">
        <w:rPr>
          <w:b/>
          <w:spacing w:val="-2"/>
          <w:sz w:val="22"/>
        </w:rPr>
        <w:t>-</w:t>
      </w:r>
      <w:r w:rsidR="00FE7489">
        <w:rPr>
          <w:b/>
          <w:spacing w:val="-2"/>
          <w:sz w:val="22"/>
        </w:rPr>
        <w:t>1086</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8F50A7">
        <w:rPr>
          <w:b/>
          <w:spacing w:val="-2"/>
          <w:sz w:val="22"/>
          <w:szCs w:val="22"/>
        </w:rPr>
        <w:t>July 30</w:t>
      </w:r>
      <w:r w:rsidR="00873985" w:rsidRPr="00C4740D">
        <w:rPr>
          <w:b/>
          <w:spacing w:val="-2"/>
          <w:sz w:val="22"/>
          <w:szCs w:val="22"/>
        </w:rPr>
        <w:t>, 201</w:t>
      </w:r>
      <w:r w:rsidR="00055E9E">
        <w:rPr>
          <w:b/>
          <w:spacing w:val="-2"/>
          <w:sz w:val="22"/>
          <w:szCs w:val="22"/>
        </w:rPr>
        <w:t>4</w:t>
      </w:r>
    </w:p>
    <w:p w:rsidR="00677F8D" w:rsidRDefault="00677F8D">
      <w:pPr>
        <w:tabs>
          <w:tab w:val="right" w:pos="9360"/>
        </w:tabs>
        <w:suppressAutoHyphens/>
        <w:spacing w:line="227" w:lineRule="auto"/>
        <w:jc w:val="both"/>
        <w:outlineLvl w:val="0"/>
        <w:rPr>
          <w:b/>
          <w:spacing w:val="-2"/>
          <w:sz w:val="22"/>
          <w:szCs w:val="22"/>
        </w:rPr>
      </w:pPr>
    </w:p>
    <w:p w:rsidR="00BC29C5" w:rsidRDefault="00BC29C5" w:rsidP="00F80958">
      <w:pPr>
        <w:jc w:val="center"/>
        <w:outlineLvl w:val="0"/>
        <w:rPr>
          <w:b/>
          <w:sz w:val="22"/>
          <w:szCs w:val="22"/>
        </w:rPr>
      </w:pPr>
      <w:r w:rsidRPr="00BC29C5">
        <w:rPr>
          <w:b/>
          <w:sz w:val="22"/>
          <w:szCs w:val="22"/>
        </w:rPr>
        <w:t>AT&amp;T INC.</w:t>
      </w:r>
      <w:r w:rsidR="001A15F0" w:rsidRPr="00BC29C5">
        <w:rPr>
          <w:b/>
          <w:sz w:val="22"/>
          <w:szCs w:val="22"/>
        </w:rPr>
        <w:t xml:space="preserve"> AND </w:t>
      </w:r>
      <w:r w:rsidR="00CD6351" w:rsidRPr="00BC29C5">
        <w:rPr>
          <w:b/>
          <w:sz w:val="22"/>
          <w:szCs w:val="22"/>
        </w:rPr>
        <w:t>T-MOBILE USA, INC.</w:t>
      </w:r>
      <w:r w:rsidR="001A15F0" w:rsidRPr="00BC29C5">
        <w:rPr>
          <w:b/>
          <w:sz w:val="22"/>
          <w:szCs w:val="22"/>
        </w:rPr>
        <w:t xml:space="preserve"> </w:t>
      </w:r>
      <w:r w:rsidR="00DF192C" w:rsidRPr="00BC29C5">
        <w:rPr>
          <w:b/>
          <w:sz w:val="22"/>
          <w:szCs w:val="22"/>
        </w:rPr>
        <w:t>SEEK</w:t>
      </w:r>
      <w:r w:rsidR="00EB5171" w:rsidRPr="00BC29C5">
        <w:rPr>
          <w:b/>
          <w:sz w:val="22"/>
          <w:szCs w:val="22"/>
        </w:rPr>
        <w:t xml:space="preserve"> </w:t>
      </w:r>
      <w:r w:rsidR="00D519C7" w:rsidRPr="00BC29C5">
        <w:rPr>
          <w:b/>
          <w:sz w:val="22"/>
          <w:szCs w:val="22"/>
        </w:rPr>
        <w:t>FCC CONSENT</w:t>
      </w:r>
    </w:p>
    <w:p w:rsidR="00BC29C5" w:rsidRDefault="0052101B" w:rsidP="00F80958">
      <w:pPr>
        <w:jc w:val="center"/>
        <w:outlineLvl w:val="0"/>
        <w:rPr>
          <w:b/>
          <w:sz w:val="22"/>
          <w:szCs w:val="22"/>
        </w:rPr>
      </w:pPr>
      <w:r w:rsidRPr="00BC29C5">
        <w:rPr>
          <w:b/>
          <w:sz w:val="22"/>
          <w:szCs w:val="22"/>
        </w:rPr>
        <w:t>TO THE</w:t>
      </w:r>
      <w:r w:rsidR="006133DB" w:rsidRPr="00BC29C5">
        <w:rPr>
          <w:b/>
          <w:sz w:val="22"/>
          <w:szCs w:val="22"/>
        </w:rPr>
        <w:t xml:space="preserve"> </w:t>
      </w:r>
      <w:r w:rsidR="00536820" w:rsidRPr="00BC29C5">
        <w:rPr>
          <w:b/>
          <w:sz w:val="22"/>
          <w:szCs w:val="22"/>
        </w:rPr>
        <w:t>ASSIGNMENT</w:t>
      </w:r>
      <w:r w:rsidR="009D69ED" w:rsidRPr="00BC29C5">
        <w:rPr>
          <w:b/>
          <w:sz w:val="22"/>
          <w:szCs w:val="22"/>
        </w:rPr>
        <w:t>S</w:t>
      </w:r>
      <w:r w:rsidRPr="00BC29C5">
        <w:rPr>
          <w:b/>
          <w:sz w:val="22"/>
          <w:szCs w:val="22"/>
        </w:rPr>
        <w:t xml:space="preserve"> </w:t>
      </w:r>
      <w:r w:rsidR="00FD11C1" w:rsidRPr="00BC29C5">
        <w:rPr>
          <w:b/>
          <w:sz w:val="22"/>
          <w:szCs w:val="22"/>
        </w:rPr>
        <w:t>OF</w:t>
      </w:r>
      <w:r w:rsidR="00873985" w:rsidRPr="00BC29C5">
        <w:rPr>
          <w:b/>
          <w:sz w:val="22"/>
          <w:szCs w:val="22"/>
        </w:rPr>
        <w:t xml:space="preserve"> </w:t>
      </w:r>
      <w:r w:rsidR="00BC29C5">
        <w:rPr>
          <w:b/>
          <w:sz w:val="22"/>
          <w:szCs w:val="22"/>
        </w:rPr>
        <w:t>ADVANCED WIRELESS SERVICE AND</w:t>
      </w:r>
    </w:p>
    <w:p w:rsidR="00F80958" w:rsidRDefault="009739FC" w:rsidP="00F80958">
      <w:pPr>
        <w:jc w:val="center"/>
        <w:outlineLvl w:val="0"/>
        <w:rPr>
          <w:b/>
          <w:sz w:val="22"/>
          <w:szCs w:val="22"/>
        </w:rPr>
      </w:pPr>
      <w:r w:rsidRPr="00BC29C5">
        <w:rPr>
          <w:b/>
          <w:sz w:val="22"/>
          <w:szCs w:val="22"/>
        </w:rPr>
        <w:t>PERSONAL COMMUNICATIONS SERVICE</w:t>
      </w:r>
      <w:r w:rsidR="006133DB" w:rsidRPr="00BC29C5">
        <w:rPr>
          <w:b/>
          <w:sz w:val="22"/>
          <w:szCs w:val="22"/>
        </w:rPr>
        <w:t xml:space="preserve"> </w:t>
      </w:r>
      <w:r w:rsidR="001A15F0" w:rsidRPr="00BC29C5">
        <w:rPr>
          <w:b/>
          <w:sz w:val="22"/>
          <w:szCs w:val="22"/>
        </w:rPr>
        <w:t>LICENSES</w:t>
      </w:r>
    </w:p>
    <w:p w:rsidR="00677F8D" w:rsidRDefault="00677F8D">
      <w:pPr>
        <w:jc w:val="center"/>
        <w:rPr>
          <w:b/>
          <w:sz w:val="22"/>
          <w:szCs w:val="22"/>
        </w:rPr>
      </w:pPr>
    </w:p>
    <w:p w:rsidR="00677F8D" w:rsidRPr="00D21575" w:rsidRDefault="007B5BA3">
      <w:pPr>
        <w:jc w:val="center"/>
        <w:outlineLvl w:val="0"/>
        <w:rPr>
          <w:b/>
          <w:sz w:val="22"/>
          <w:szCs w:val="22"/>
        </w:rPr>
      </w:pPr>
      <w:r w:rsidRPr="00D21575">
        <w:rPr>
          <w:b/>
          <w:sz w:val="22"/>
          <w:szCs w:val="22"/>
        </w:rPr>
        <w:t>ULS File No</w:t>
      </w:r>
      <w:r w:rsidR="00A535DC" w:rsidRPr="00D21575">
        <w:rPr>
          <w:b/>
          <w:sz w:val="22"/>
          <w:szCs w:val="22"/>
        </w:rPr>
        <w:t>s</w:t>
      </w:r>
      <w:r w:rsidRPr="00D21575">
        <w:rPr>
          <w:b/>
          <w:sz w:val="22"/>
          <w:szCs w:val="22"/>
        </w:rPr>
        <w:t>.</w:t>
      </w:r>
      <w:r w:rsidR="00975178" w:rsidRPr="00D21575">
        <w:rPr>
          <w:b/>
          <w:sz w:val="22"/>
          <w:szCs w:val="22"/>
        </w:rPr>
        <w:t xml:space="preserve"> </w:t>
      </w:r>
      <w:r w:rsidR="00D21575" w:rsidRPr="00D21575">
        <w:rPr>
          <w:b/>
          <w:sz w:val="22"/>
          <w:szCs w:val="22"/>
        </w:rPr>
        <w:t>0006341062, 0006340995, 0006341010, 0006344480, 00063445</w:t>
      </w:r>
      <w:r w:rsidR="002232D8">
        <w:rPr>
          <w:b/>
          <w:sz w:val="22"/>
          <w:szCs w:val="22"/>
        </w:rPr>
        <w:t xml:space="preserve">26, 0006344528, 0006344533, and </w:t>
      </w:r>
      <w:r w:rsidR="002232D8" w:rsidRPr="002232D8">
        <w:rPr>
          <w:b/>
          <w:sz w:val="22"/>
          <w:szCs w:val="22"/>
        </w:rPr>
        <w:t>0006347935</w:t>
      </w:r>
    </w:p>
    <w:p w:rsidR="00677F8D" w:rsidRDefault="00677F8D">
      <w:pPr>
        <w:rPr>
          <w:b/>
          <w:sz w:val="22"/>
          <w:szCs w:val="22"/>
        </w:rPr>
      </w:pPr>
    </w:p>
    <w:p w:rsidR="00677F8D" w:rsidRDefault="00677F8D">
      <w:pPr>
        <w:jc w:val="center"/>
        <w:outlineLvl w:val="0"/>
        <w:rPr>
          <w:b/>
          <w:sz w:val="22"/>
          <w:szCs w:val="22"/>
        </w:rPr>
      </w:pPr>
      <w:r>
        <w:rPr>
          <w:b/>
          <w:sz w:val="22"/>
          <w:szCs w:val="22"/>
        </w:rPr>
        <w:t>PLEADING CYCLE ESTABLISHED</w:t>
      </w:r>
    </w:p>
    <w:p w:rsidR="00677F8D" w:rsidRDefault="00677F8D">
      <w:pPr>
        <w:rPr>
          <w:b/>
          <w:sz w:val="22"/>
          <w:szCs w:val="22"/>
        </w:rPr>
      </w:pPr>
    </w:p>
    <w:p w:rsidR="00333720" w:rsidRDefault="00333720" w:rsidP="00333720">
      <w:pPr>
        <w:widowControl/>
        <w:outlineLvl w:val="0"/>
        <w:rPr>
          <w:b/>
          <w:sz w:val="22"/>
          <w:szCs w:val="22"/>
        </w:rPr>
      </w:pPr>
      <w:r>
        <w:rPr>
          <w:b/>
          <w:sz w:val="22"/>
          <w:szCs w:val="22"/>
        </w:rPr>
        <w:t>Petitions to Deny Due:</w:t>
      </w:r>
      <w:r>
        <w:rPr>
          <w:b/>
          <w:sz w:val="22"/>
          <w:szCs w:val="22"/>
        </w:rPr>
        <w:tab/>
      </w:r>
      <w:r>
        <w:rPr>
          <w:b/>
          <w:sz w:val="22"/>
          <w:szCs w:val="22"/>
        </w:rPr>
        <w:tab/>
      </w:r>
      <w:r w:rsidR="008F50A7">
        <w:rPr>
          <w:b/>
          <w:spacing w:val="-2"/>
          <w:sz w:val="22"/>
          <w:szCs w:val="22"/>
        </w:rPr>
        <w:t>August 20</w:t>
      </w:r>
      <w:r w:rsidR="00900634">
        <w:rPr>
          <w:b/>
          <w:spacing w:val="-2"/>
          <w:sz w:val="22"/>
          <w:szCs w:val="22"/>
        </w:rPr>
        <w:t>, 2014</w:t>
      </w:r>
    </w:p>
    <w:p w:rsidR="00333720" w:rsidRDefault="00333720" w:rsidP="00333720">
      <w:pPr>
        <w:widowControl/>
        <w:rPr>
          <w:b/>
          <w:sz w:val="22"/>
          <w:szCs w:val="22"/>
        </w:rPr>
      </w:pPr>
      <w:r>
        <w:rPr>
          <w:b/>
          <w:sz w:val="22"/>
          <w:szCs w:val="22"/>
        </w:rPr>
        <w:t>Oppositions Due:</w:t>
      </w:r>
      <w:r>
        <w:rPr>
          <w:b/>
          <w:sz w:val="22"/>
          <w:szCs w:val="22"/>
        </w:rPr>
        <w:tab/>
      </w:r>
      <w:r>
        <w:rPr>
          <w:b/>
          <w:sz w:val="22"/>
          <w:szCs w:val="22"/>
        </w:rPr>
        <w:tab/>
      </w:r>
      <w:r w:rsidR="008F50A7">
        <w:rPr>
          <w:b/>
          <w:spacing w:val="-2"/>
          <w:sz w:val="22"/>
          <w:szCs w:val="22"/>
        </w:rPr>
        <w:t>September 2</w:t>
      </w:r>
      <w:r w:rsidR="00900634">
        <w:rPr>
          <w:b/>
          <w:spacing w:val="-2"/>
          <w:sz w:val="22"/>
          <w:szCs w:val="22"/>
        </w:rPr>
        <w:t>, 2014</w:t>
      </w:r>
    </w:p>
    <w:p w:rsidR="00333720" w:rsidRDefault="00333720" w:rsidP="00333720">
      <w:pPr>
        <w:widowControl/>
        <w:rPr>
          <w:b/>
          <w:sz w:val="22"/>
          <w:szCs w:val="22"/>
        </w:rPr>
      </w:pPr>
      <w:r>
        <w:rPr>
          <w:b/>
          <w:sz w:val="22"/>
          <w:szCs w:val="22"/>
        </w:rPr>
        <w:t>Replies Due:</w:t>
      </w:r>
      <w:r>
        <w:rPr>
          <w:b/>
          <w:sz w:val="22"/>
          <w:szCs w:val="22"/>
        </w:rPr>
        <w:tab/>
      </w:r>
      <w:r>
        <w:rPr>
          <w:b/>
          <w:sz w:val="22"/>
          <w:szCs w:val="22"/>
        </w:rPr>
        <w:tab/>
      </w:r>
      <w:r>
        <w:rPr>
          <w:b/>
          <w:sz w:val="22"/>
          <w:szCs w:val="22"/>
        </w:rPr>
        <w:tab/>
      </w:r>
      <w:r w:rsidR="008F50A7">
        <w:rPr>
          <w:b/>
          <w:spacing w:val="-2"/>
          <w:sz w:val="22"/>
          <w:szCs w:val="22"/>
        </w:rPr>
        <w:t>September 9</w:t>
      </w:r>
      <w:r w:rsidR="00900634">
        <w:rPr>
          <w:b/>
          <w:sz w:val="22"/>
          <w:szCs w:val="22"/>
        </w:rPr>
        <w:t>, 2014</w:t>
      </w:r>
    </w:p>
    <w:p w:rsidR="00677F8D" w:rsidRDefault="00677F8D">
      <w:pPr>
        <w:rPr>
          <w:b/>
          <w:sz w:val="22"/>
          <w:szCs w:val="22"/>
        </w:rPr>
      </w:pPr>
    </w:p>
    <w:p w:rsidR="00677F8D" w:rsidRDefault="00677F8D">
      <w:pPr>
        <w:outlineLvl w:val="0"/>
        <w:rPr>
          <w:b/>
          <w:sz w:val="22"/>
          <w:szCs w:val="22"/>
        </w:rPr>
      </w:pPr>
      <w:r>
        <w:rPr>
          <w:b/>
          <w:sz w:val="22"/>
          <w:szCs w:val="22"/>
        </w:rPr>
        <w:t>I.</w:t>
      </w:r>
      <w:r>
        <w:rPr>
          <w:b/>
          <w:sz w:val="22"/>
          <w:szCs w:val="22"/>
        </w:rPr>
        <w:tab/>
        <w:t>INTRODUCTION</w:t>
      </w:r>
    </w:p>
    <w:p w:rsidR="00A96D24" w:rsidRDefault="00677F8D">
      <w:pPr>
        <w:rPr>
          <w:b/>
          <w:sz w:val="22"/>
          <w:szCs w:val="22"/>
        </w:rPr>
      </w:pPr>
      <w:r>
        <w:rPr>
          <w:b/>
          <w:sz w:val="22"/>
          <w:szCs w:val="22"/>
        </w:rPr>
        <w:tab/>
      </w:r>
    </w:p>
    <w:p w:rsidR="00A34C90" w:rsidRDefault="00BC29C5" w:rsidP="00A16A24">
      <w:pPr>
        <w:ind w:firstLine="720"/>
        <w:rPr>
          <w:sz w:val="22"/>
          <w:szCs w:val="22"/>
        </w:rPr>
      </w:pPr>
      <w:r>
        <w:rPr>
          <w:sz w:val="22"/>
          <w:szCs w:val="22"/>
        </w:rPr>
        <w:t>AT&amp;T Inc.</w:t>
      </w:r>
      <w:r w:rsidR="00F933C4">
        <w:rPr>
          <w:sz w:val="22"/>
          <w:szCs w:val="22"/>
        </w:rPr>
        <w:t xml:space="preserve"> (“</w:t>
      </w:r>
      <w:r>
        <w:rPr>
          <w:sz w:val="22"/>
          <w:szCs w:val="22"/>
        </w:rPr>
        <w:t>AT&amp;T</w:t>
      </w:r>
      <w:r w:rsidR="00536820">
        <w:rPr>
          <w:sz w:val="22"/>
          <w:szCs w:val="22"/>
        </w:rPr>
        <w:t xml:space="preserve">”) and </w:t>
      </w:r>
      <w:r w:rsidR="00CD6351">
        <w:rPr>
          <w:sz w:val="22"/>
          <w:szCs w:val="22"/>
        </w:rPr>
        <w:t>T-Mobile USA, Inc.</w:t>
      </w:r>
      <w:r w:rsidR="00F933C4">
        <w:rPr>
          <w:sz w:val="22"/>
          <w:szCs w:val="22"/>
        </w:rPr>
        <w:t xml:space="preserve"> </w:t>
      </w:r>
      <w:r w:rsidR="00536820">
        <w:rPr>
          <w:sz w:val="22"/>
          <w:szCs w:val="22"/>
        </w:rPr>
        <w:t>(“</w:t>
      </w:r>
      <w:r w:rsidR="00CD6351">
        <w:rPr>
          <w:sz w:val="22"/>
          <w:szCs w:val="22"/>
        </w:rPr>
        <w:t>T-Mobile,</w:t>
      </w:r>
      <w:r w:rsidR="00D43250">
        <w:rPr>
          <w:sz w:val="22"/>
          <w:szCs w:val="22"/>
        </w:rPr>
        <w:t>”</w:t>
      </w:r>
      <w:r w:rsidR="004545FF">
        <w:rPr>
          <w:sz w:val="22"/>
          <w:szCs w:val="22"/>
        </w:rPr>
        <w:t xml:space="preserve"> and together with </w:t>
      </w:r>
      <w:r>
        <w:rPr>
          <w:sz w:val="22"/>
          <w:szCs w:val="22"/>
        </w:rPr>
        <w:t>AT&amp;T</w:t>
      </w:r>
      <w:r w:rsidR="004545FF">
        <w:rPr>
          <w:sz w:val="22"/>
          <w:szCs w:val="22"/>
        </w:rPr>
        <w:t>,</w:t>
      </w:r>
      <w:r w:rsidR="005453E8">
        <w:rPr>
          <w:sz w:val="22"/>
          <w:szCs w:val="22"/>
        </w:rPr>
        <w:t xml:space="preserve"> the “Applicants”)</w:t>
      </w:r>
      <w:r w:rsidR="00677F8D" w:rsidRPr="00586237">
        <w:rPr>
          <w:sz w:val="22"/>
          <w:szCs w:val="22"/>
        </w:rPr>
        <w:t xml:space="preserve"> have filed application</w:t>
      </w:r>
      <w:r w:rsidR="00401995">
        <w:rPr>
          <w:sz w:val="22"/>
          <w:szCs w:val="22"/>
        </w:rPr>
        <w:t>s</w:t>
      </w:r>
      <w:r w:rsidR="00F80958">
        <w:rPr>
          <w:sz w:val="22"/>
          <w:szCs w:val="22"/>
        </w:rPr>
        <w:t xml:space="preserve"> pursuant to s</w:t>
      </w:r>
      <w:r w:rsidR="00677F8D" w:rsidRPr="00586237">
        <w:rPr>
          <w:sz w:val="22"/>
          <w:szCs w:val="22"/>
        </w:rPr>
        <w:t>ection</w:t>
      </w:r>
      <w:r w:rsidR="00F80958">
        <w:rPr>
          <w:sz w:val="22"/>
          <w:szCs w:val="22"/>
        </w:rPr>
        <w:t xml:space="preserve"> </w:t>
      </w:r>
      <w:r w:rsidR="00677F8D" w:rsidRPr="00586237">
        <w:rPr>
          <w:sz w:val="22"/>
          <w:szCs w:val="22"/>
        </w:rPr>
        <w:t>310(d) of the Communications Act of 1934, as amended</w:t>
      </w:r>
      <w:r w:rsidR="00F700D7">
        <w:rPr>
          <w:sz w:val="22"/>
          <w:szCs w:val="22"/>
        </w:rPr>
        <w:t>,</w:t>
      </w:r>
      <w:r w:rsidR="00677F8D" w:rsidRPr="00586237">
        <w:rPr>
          <w:rStyle w:val="FootnoteReference"/>
          <w:sz w:val="22"/>
          <w:szCs w:val="22"/>
        </w:rPr>
        <w:footnoteReference w:id="1"/>
      </w:r>
      <w:r w:rsidR="00677F8D" w:rsidRPr="00586237">
        <w:rPr>
          <w:sz w:val="22"/>
          <w:szCs w:val="22"/>
        </w:rPr>
        <w:t xml:space="preserve"> seeking </w:t>
      </w:r>
      <w:r w:rsidR="004854BC">
        <w:rPr>
          <w:sz w:val="22"/>
          <w:szCs w:val="22"/>
        </w:rPr>
        <w:t>the simultaneous</w:t>
      </w:r>
      <w:r w:rsidR="00677F8D" w:rsidRPr="00586237">
        <w:rPr>
          <w:sz w:val="22"/>
          <w:szCs w:val="22"/>
        </w:rPr>
        <w:t xml:space="preserve"> assign</w:t>
      </w:r>
      <w:r w:rsidR="004854BC">
        <w:rPr>
          <w:sz w:val="22"/>
          <w:szCs w:val="22"/>
        </w:rPr>
        <w:t>ments of</w:t>
      </w:r>
      <w:r w:rsidR="00677F8D" w:rsidRPr="00586237">
        <w:rPr>
          <w:sz w:val="22"/>
          <w:szCs w:val="22"/>
        </w:rPr>
        <w:t xml:space="preserve"> </w:t>
      </w:r>
      <w:r w:rsidR="00CA4B20">
        <w:rPr>
          <w:sz w:val="22"/>
          <w:szCs w:val="22"/>
        </w:rPr>
        <w:t>Advanced Wireless Service (“AWS</w:t>
      </w:r>
      <w:r w:rsidR="00DE2AB7">
        <w:rPr>
          <w:sz w:val="22"/>
          <w:szCs w:val="22"/>
        </w:rPr>
        <w:t>-1</w:t>
      </w:r>
      <w:r w:rsidR="00CA4B20">
        <w:rPr>
          <w:sz w:val="22"/>
          <w:szCs w:val="22"/>
        </w:rPr>
        <w:t>”) and</w:t>
      </w:r>
      <w:r w:rsidR="005453E8">
        <w:rPr>
          <w:sz w:val="22"/>
          <w:szCs w:val="22"/>
        </w:rPr>
        <w:t xml:space="preserve"> </w:t>
      </w:r>
      <w:r w:rsidR="00333720">
        <w:rPr>
          <w:sz w:val="22"/>
          <w:szCs w:val="22"/>
        </w:rPr>
        <w:t>Personal Communications Service</w:t>
      </w:r>
      <w:r w:rsidR="00FB3631">
        <w:rPr>
          <w:sz w:val="22"/>
          <w:szCs w:val="22"/>
        </w:rPr>
        <w:t xml:space="preserve"> (</w:t>
      </w:r>
      <w:r w:rsidR="00F700D7">
        <w:rPr>
          <w:sz w:val="22"/>
          <w:szCs w:val="22"/>
        </w:rPr>
        <w:t>“</w:t>
      </w:r>
      <w:r w:rsidR="00FB3631">
        <w:rPr>
          <w:sz w:val="22"/>
          <w:szCs w:val="22"/>
        </w:rPr>
        <w:t>PCS”)</w:t>
      </w:r>
      <w:r w:rsidR="005453E8">
        <w:rPr>
          <w:sz w:val="22"/>
          <w:szCs w:val="22"/>
        </w:rPr>
        <w:t xml:space="preserve"> licenses </w:t>
      </w:r>
      <w:r w:rsidR="00CD6351">
        <w:rPr>
          <w:sz w:val="22"/>
          <w:szCs w:val="22"/>
        </w:rPr>
        <w:t xml:space="preserve">by and among </w:t>
      </w:r>
      <w:r>
        <w:rPr>
          <w:sz w:val="22"/>
          <w:szCs w:val="22"/>
        </w:rPr>
        <w:t>certain wholly-owned subsidiaries of AT&amp;T</w:t>
      </w:r>
      <w:r w:rsidR="00092764" w:rsidRPr="009957B2">
        <w:rPr>
          <w:rStyle w:val="FootnoteReference"/>
          <w:sz w:val="22"/>
          <w:szCs w:val="22"/>
        </w:rPr>
        <w:footnoteReference w:id="2"/>
      </w:r>
      <w:r>
        <w:rPr>
          <w:sz w:val="22"/>
          <w:szCs w:val="22"/>
        </w:rPr>
        <w:t xml:space="preserve"> </w:t>
      </w:r>
      <w:r w:rsidR="00092764">
        <w:rPr>
          <w:sz w:val="22"/>
          <w:szCs w:val="22"/>
        </w:rPr>
        <w:t>and T-Mobile License LLC, a wholly-owned subsidiary</w:t>
      </w:r>
      <w:r w:rsidR="00CD6351">
        <w:rPr>
          <w:sz w:val="22"/>
          <w:szCs w:val="22"/>
        </w:rPr>
        <w:t xml:space="preserve"> of T-Mobile</w:t>
      </w:r>
      <w:r w:rsidR="005453E8">
        <w:rPr>
          <w:sz w:val="22"/>
          <w:szCs w:val="22"/>
        </w:rPr>
        <w:t>.</w:t>
      </w:r>
      <w:r w:rsidR="009B19CE">
        <w:rPr>
          <w:sz w:val="22"/>
          <w:szCs w:val="22"/>
        </w:rPr>
        <w:t xml:space="preserve">  </w:t>
      </w:r>
      <w:r w:rsidR="00655701">
        <w:rPr>
          <w:sz w:val="22"/>
          <w:szCs w:val="22"/>
        </w:rPr>
        <w:t>The proposed assignments involve only the transfer of spectrum</w:t>
      </w:r>
      <w:r w:rsidR="00CE370C">
        <w:rPr>
          <w:sz w:val="22"/>
          <w:szCs w:val="22"/>
        </w:rPr>
        <w:t xml:space="preserve"> licenses</w:t>
      </w:r>
      <w:r w:rsidR="00655701">
        <w:rPr>
          <w:sz w:val="22"/>
          <w:szCs w:val="22"/>
        </w:rPr>
        <w:t xml:space="preserve">; no customers or networks would be transferred.  </w:t>
      </w:r>
    </w:p>
    <w:p w:rsidR="00A34C90" w:rsidRDefault="00A34C90" w:rsidP="00A16A24">
      <w:pPr>
        <w:ind w:firstLine="720"/>
        <w:rPr>
          <w:sz w:val="22"/>
          <w:szCs w:val="22"/>
        </w:rPr>
      </w:pPr>
    </w:p>
    <w:p w:rsidR="00677F8D" w:rsidRDefault="006471A5" w:rsidP="00F50EED">
      <w:pPr>
        <w:spacing w:after="220"/>
        <w:ind w:firstLine="720"/>
        <w:rPr>
          <w:sz w:val="22"/>
          <w:szCs w:val="22"/>
        </w:rPr>
      </w:pPr>
      <w:r>
        <w:rPr>
          <w:sz w:val="22"/>
          <w:szCs w:val="22"/>
        </w:rPr>
        <w:t xml:space="preserve">The Applicants </w:t>
      </w:r>
      <w:r w:rsidR="0054160E">
        <w:rPr>
          <w:sz w:val="22"/>
          <w:szCs w:val="22"/>
        </w:rPr>
        <w:t>assert</w:t>
      </w:r>
      <w:r>
        <w:rPr>
          <w:sz w:val="22"/>
          <w:szCs w:val="22"/>
        </w:rPr>
        <w:t xml:space="preserve"> that</w:t>
      </w:r>
      <w:r w:rsidR="00A34C90">
        <w:rPr>
          <w:sz w:val="22"/>
          <w:szCs w:val="22"/>
        </w:rPr>
        <w:t xml:space="preserve"> the instant transaction would allow them to</w:t>
      </w:r>
      <w:r w:rsidR="00655701">
        <w:rPr>
          <w:sz w:val="22"/>
          <w:szCs w:val="22"/>
        </w:rPr>
        <w:t xml:space="preserve"> operate more efficiently due to holding larger blocks of contiguous spectrum and/or aligning spectrum blocks with </w:t>
      </w:r>
      <w:r w:rsidR="00D440C4">
        <w:rPr>
          <w:sz w:val="22"/>
          <w:szCs w:val="22"/>
        </w:rPr>
        <w:t xml:space="preserve">those </w:t>
      </w:r>
      <w:r w:rsidR="004E0F03">
        <w:rPr>
          <w:sz w:val="22"/>
          <w:szCs w:val="22"/>
        </w:rPr>
        <w:t xml:space="preserve">already </w:t>
      </w:r>
      <w:r w:rsidR="00D440C4">
        <w:rPr>
          <w:sz w:val="22"/>
          <w:szCs w:val="22"/>
        </w:rPr>
        <w:t>held</w:t>
      </w:r>
      <w:r w:rsidR="00655701">
        <w:rPr>
          <w:sz w:val="22"/>
          <w:szCs w:val="22"/>
        </w:rPr>
        <w:t xml:space="preserve"> in adjacent markets</w:t>
      </w:r>
      <w:r>
        <w:rPr>
          <w:sz w:val="22"/>
          <w:szCs w:val="22"/>
        </w:rPr>
        <w:t>.</w:t>
      </w:r>
      <w:r w:rsidR="0054160E">
        <w:rPr>
          <w:sz w:val="22"/>
          <w:szCs w:val="22"/>
        </w:rPr>
        <w:t xml:space="preserve">  </w:t>
      </w:r>
      <w:r w:rsidR="003B7BCC">
        <w:rPr>
          <w:sz w:val="22"/>
          <w:szCs w:val="22"/>
        </w:rPr>
        <w:t>The Applicants also indicate that the proposed transaction would help AT&amp;T satisfy certain divestiture obligations that arose from its merger with Leap Wireless International, Inc.</w:t>
      </w:r>
      <w:r w:rsidR="003B7BCC" w:rsidRPr="00A16A24">
        <w:rPr>
          <w:rStyle w:val="FootnoteReference"/>
          <w:sz w:val="22"/>
          <w:szCs w:val="22"/>
        </w:rPr>
        <w:footnoteReference w:id="3"/>
      </w:r>
    </w:p>
    <w:p w:rsidR="00480CD8" w:rsidRPr="008F50A7" w:rsidRDefault="006E3609" w:rsidP="00A16A24">
      <w:pPr>
        <w:widowControl/>
        <w:spacing w:after="240"/>
        <w:ind w:firstLine="720"/>
        <w:rPr>
          <w:sz w:val="22"/>
          <w:szCs w:val="22"/>
        </w:rPr>
      </w:pPr>
      <w:r w:rsidRPr="008F50A7">
        <w:rPr>
          <w:sz w:val="22"/>
          <w:szCs w:val="22"/>
        </w:rPr>
        <w:lastRenderedPageBreak/>
        <w:t>Preliminary review of t</w:t>
      </w:r>
      <w:r w:rsidR="007370CA" w:rsidRPr="008F50A7">
        <w:rPr>
          <w:sz w:val="22"/>
          <w:szCs w:val="22"/>
        </w:rPr>
        <w:t>he applications indicates that</w:t>
      </w:r>
      <w:r w:rsidR="00A34C90" w:rsidRPr="008F50A7">
        <w:rPr>
          <w:sz w:val="22"/>
          <w:szCs w:val="22"/>
        </w:rPr>
        <w:t xml:space="preserve"> spectrum would be assigned in 76 counties covering all or parts of 25 </w:t>
      </w:r>
      <w:r w:rsidR="001565F2" w:rsidRPr="008F50A7">
        <w:rPr>
          <w:sz w:val="22"/>
          <w:szCs w:val="22"/>
        </w:rPr>
        <w:t>CMAs</w:t>
      </w:r>
      <w:r w:rsidR="00A34C90" w:rsidRPr="008F50A7">
        <w:rPr>
          <w:sz w:val="22"/>
          <w:szCs w:val="22"/>
        </w:rPr>
        <w:t xml:space="preserve">.  </w:t>
      </w:r>
      <w:r w:rsidR="001565F2" w:rsidRPr="008F50A7">
        <w:rPr>
          <w:sz w:val="22"/>
          <w:szCs w:val="22"/>
        </w:rPr>
        <w:t xml:space="preserve">T-Mobile would </w:t>
      </w:r>
      <w:r w:rsidR="00F50EED" w:rsidRPr="008F50A7">
        <w:rPr>
          <w:sz w:val="22"/>
          <w:szCs w:val="22"/>
        </w:rPr>
        <w:t xml:space="preserve">exchange or </w:t>
      </w:r>
      <w:r w:rsidR="001565F2" w:rsidRPr="008F50A7">
        <w:rPr>
          <w:sz w:val="22"/>
          <w:szCs w:val="22"/>
        </w:rPr>
        <w:t xml:space="preserve">be assigned </w:t>
      </w:r>
      <w:r w:rsidR="000D3FAC" w:rsidRPr="008F50A7">
        <w:rPr>
          <w:sz w:val="22"/>
          <w:szCs w:val="22"/>
        </w:rPr>
        <w:t>5</w:t>
      </w:r>
      <w:r w:rsidR="008F50A7" w:rsidRPr="008F50A7">
        <w:rPr>
          <w:sz w:val="22"/>
          <w:szCs w:val="22"/>
        </w:rPr>
        <w:t xml:space="preserve"> to </w:t>
      </w:r>
      <w:r w:rsidR="000D3FAC" w:rsidRPr="008F50A7">
        <w:rPr>
          <w:sz w:val="22"/>
          <w:szCs w:val="22"/>
        </w:rPr>
        <w:t>10</w:t>
      </w:r>
      <w:r w:rsidR="001565F2" w:rsidRPr="008F50A7">
        <w:rPr>
          <w:sz w:val="22"/>
          <w:szCs w:val="22"/>
        </w:rPr>
        <w:t xml:space="preserve"> megahertz of </w:t>
      </w:r>
      <w:r w:rsidR="000D3FAC" w:rsidRPr="008F50A7">
        <w:rPr>
          <w:sz w:val="22"/>
          <w:szCs w:val="22"/>
        </w:rPr>
        <w:t>PCS</w:t>
      </w:r>
      <w:r w:rsidR="001565F2" w:rsidRPr="008F50A7">
        <w:rPr>
          <w:sz w:val="22"/>
          <w:szCs w:val="22"/>
        </w:rPr>
        <w:t xml:space="preserve"> spectrum in </w:t>
      </w:r>
      <w:r w:rsidR="000D3FAC" w:rsidRPr="008F50A7">
        <w:rPr>
          <w:sz w:val="22"/>
          <w:szCs w:val="22"/>
        </w:rPr>
        <w:t>20</w:t>
      </w:r>
      <w:r w:rsidR="00AE77FA" w:rsidRPr="008F50A7">
        <w:rPr>
          <w:sz w:val="22"/>
          <w:szCs w:val="22"/>
        </w:rPr>
        <w:t xml:space="preserve"> counties in </w:t>
      </w:r>
      <w:r w:rsidR="001565F2" w:rsidRPr="008F50A7">
        <w:rPr>
          <w:sz w:val="22"/>
          <w:szCs w:val="22"/>
        </w:rPr>
        <w:t xml:space="preserve">all or parts of </w:t>
      </w:r>
      <w:r w:rsidR="00904726" w:rsidRPr="008F50A7">
        <w:rPr>
          <w:sz w:val="22"/>
          <w:szCs w:val="22"/>
        </w:rPr>
        <w:t xml:space="preserve">seven </w:t>
      </w:r>
      <w:r w:rsidR="001565F2" w:rsidRPr="008F50A7">
        <w:rPr>
          <w:sz w:val="22"/>
          <w:szCs w:val="22"/>
        </w:rPr>
        <w:t>CMAs</w:t>
      </w:r>
      <w:r w:rsidR="000D3FAC" w:rsidRPr="008F50A7">
        <w:rPr>
          <w:sz w:val="22"/>
          <w:szCs w:val="22"/>
        </w:rPr>
        <w:t xml:space="preserve">, and 10 megahertz of AWS-1 spectrum in 22 counties in all or part of </w:t>
      </w:r>
      <w:r w:rsidR="00904726" w:rsidRPr="008F50A7">
        <w:rPr>
          <w:sz w:val="22"/>
          <w:szCs w:val="22"/>
        </w:rPr>
        <w:t xml:space="preserve">eight </w:t>
      </w:r>
      <w:r w:rsidR="000D3FAC" w:rsidRPr="008F50A7">
        <w:rPr>
          <w:sz w:val="22"/>
          <w:szCs w:val="22"/>
        </w:rPr>
        <w:t>CMAs</w:t>
      </w:r>
      <w:r w:rsidR="00332F64" w:rsidRPr="008F50A7">
        <w:rPr>
          <w:sz w:val="22"/>
          <w:szCs w:val="22"/>
        </w:rPr>
        <w:t xml:space="preserve">.  </w:t>
      </w:r>
      <w:r w:rsidR="00AE77FA" w:rsidRPr="008F50A7">
        <w:rPr>
          <w:sz w:val="22"/>
          <w:szCs w:val="22"/>
        </w:rPr>
        <w:t>Post-transaction,</w:t>
      </w:r>
      <w:r w:rsidR="00332F64" w:rsidRPr="008F50A7">
        <w:rPr>
          <w:sz w:val="22"/>
          <w:szCs w:val="22"/>
        </w:rPr>
        <w:t xml:space="preserve"> T-Mobile </w:t>
      </w:r>
      <w:r w:rsidR="00AE77FA" w:rsidRPr="008F50A7">
        <w:rPr>
          <w:sz w:val="22"/>
          <w:szCs w:val="22"/>
        </w:rPr>
        <w:t xml:space="preserve">would hold 40 to 102 megahertz of spectrum in </w:t>
      </w:r>
      <w:r w:rsidR="00332F64" w:rsidRPr="008F50A7">
        <w:rPr>
          <w:sz w:val="22"/>
          <w:szCs w:val="22"/>
        </w:rPr>
        <w:t>total</w:t>
      </w:r>
      <w:r w:rsidR="00CE370C" w:rsidRPr="008F50A7">
        <w:rPr>
          <w:sz w:val="22"/>
          <w:szCs w:val="22"/>
        </w:rPr>
        <w:t xml:space="preserve"> in these </w:t>
      </w:r>
      <w:r w:rsidR="00C84566" w:rsidRPr="008F50A7">
        <w:rPr>
          <w:sz w:val="22"/>
          <w:szCs w:val="22"/>
        </w:rPr>
        <w:t>counties in these CMAs</w:t>
      </w:r>
      <w:r w:rsidR="00D34AF5" w:rsidRPr="008F50A7">
        <w:rPr>
          <w:sz w:val="22"/>
          <w:szCs w:val="22"/>
        </w:rPr>
        <w:t xml:space="preserve">.  </w:t>
      </w:r>
      <w:r w:rsidR="00AE77FA" w:rsidRPr="008F50A7">
        <w:rPr>
          <w:sz w:val="22"/>
          <w:szCs w:val="22"/>
        </w:rPr>
        <w:t xml:space="preserve">AT&amp;T would </w:t>
      </w:r>
      <w:r w:rsidR="00F50EED" w:rsidRPr="008F50A7">
        <w:rPr>
          <w:sz w:val="22"/>
          <w:szCs w:val="22"/>
        </w:rPr>
        <w:t xml:space="preserve">exchange or </w:t>
      </w:r>
      <w:r w:rsidR="00AE77FA" w:rsidRPr="008F50A7">
        <w:rPr>
          <w:sz w:val="22"/>
          <w:szCs w:val="22"/>
        </w:rPr>
        <w:t xml:space="preserve">be assigned </w:t>
      </w:r>
      <w:r w:rsidR="008F50A7" w:rsidRPr="008F50A7">
        <w:rPr>
          <w:sz w:val="22"/>
          <w:szCs w:val="22"/>
        </w:rPr>
        <w:t xml:space="preserve">5 to </w:t>
      </w:r>
      <w:r w:rsidR="0067793B" w:rsidRPr="008F50A7">
        <w:rPr>
          <w:sz w:val="22"/>
          <w:szCs w:val="22"/>
        </w:rPr>
        <w:t>20</w:t>
      </w:r>
      <w:r w:rsidR="00AE77FA" w:rsidRPr="008F50A7">
        <w:rPr>
          <w:sz w:val="22"/>
          <w:szCs w:val="22"/>
        </w:rPr>
        <w:t xml:space="preserve"> megahertz of </w:t>
      </w:r>
      <w:r w:rsidR="0067793B" w:rsidRPr="008F50A7">
        <w:rPr>
          <w:sz w:val="22"/>
          <w:szCs w:val="22"/>
        </w:rPr>
        <w:t>PCS</w:t>
      </w:r>
      <w:r w:rsidR="00AE77FA" w:rsidRPr="008F50A7">
        <w:rPr>
          <w:sz w:val="22"/>
          <w:szCs w:val="22"/>
        </w:rPr>
        <w:t xml:space="preserve"> spectrum in </w:t>
      </w:r>
      <w:r w:rsidR="0067793B" w:rsidRPr="008F50A7">
        <w:rPr>
          <w:sz w:val="22"/>
          <w:szCs w:val="22"/>
        </w:rPr>
        <w:t>31</w:t>
      </w:r>
      <w:r w:rsidR="00AE77FA" w:rsidRPr="008F50A7">
        <w:rPr>
          <w:sz w:val="22"/>
          <w:szCs w:val="22"/>
        </w:rPr>
        <w:t xml:space="preserve"> counties in all or parts of </w:t>
      </w:r>
      <w:r w:rsidR="0067793B" w:rsidRPr="008F50A7">
        <w:rPr>
          <w:sz w:val="22"/>
          <w:szCs w:val="22"/>
        </w:rPr>
        <w:t>14</w:t>
      </w:r>
      <w:r w:rsidR="00AE77FA" w:rsidRPr="008F50A7">
        <w:rPr>
          <w:sz w:val="22"/>
          <w:szCs w:val="22"/>
        </w:rPr>
        <w:t xml:space="preserve"> CMAs</w:t>
      </w:r>
      <w:r w:rsidR="008F50A7" w:rsidRPr="008F50A7">
        <w:rPr>
          <w:sz w:val="22"/>
          <w:szCs w:val="22"/>
        </w:rPr>
        <w:t xml:space="preserve">, and 10 to </w:t>
      </w:r>
      <w:r w:rsidR="0067793B" w:rsidRPr="008F50A7">
        <w:rPr>
          <w:sz w:val="22"/>
          <w:szCs w:val="22"/>
        </w:rPr>
        <w:t>20 megahertz of AWS-1 spectrum in</w:t>
      </w:r>
      <w:r w:rsidR="00332F64" w:rsidRPr="008F50A7">
        <w:rPr>
          <w:sz w:val="22"/>
          <w:szCs w:val="22"/>
        </w:rPr>
        <w:t xml:space="preserve"> </w:t>
      </w:r>
      <w:r w:rsidR="0067793B" w:rsidRPr="008F50A7">
        <w:rPr>
          <w:sz w:val="22"/>
          <w:szCs w:val="22"/>
        </w:rPr>
        <w:t xml:space="preserve">19 counties covering </w:t>
      </w:r>
      <w:r w:rsidR="00904726" w:rsidRPr="008F50A7">
        <w:rPr>
          <w:sz w:val="22"/>
          <w:szCs w:val="22"/>
        </w:rPr>
        <w:t xml:space="preserve">three </w:t>
      </w:r>
      <w:r w:rsidR="0067793B" w:rsidRPr="008F50A7">
        <w:rPr>
          <w:sz w:val="22"/>
          <w:szCs w:val="22"/>
        </w:rPr>
        <w:t>CMAs</w:t>
      </w:r>
      <w:r w:rsidR="00AE77FA" w:rsidRPr="008F50A7">
        <w:rPr>
          <w:sz w:val="22"/>
          <w:szCs w:val="22"/>
        </w:rPr>
        <w:t xml:space="preserve">. </w:t>
      </w:r>
      <w:r w:rsidR="00F50EED" w:rsidRPr="008F50A7">
        <w:rPr>
          <w:sz w:val="22"/>
          <w:szCs w:val="22"/>
        </w:rPr>
        <w:t xml:space="preserve"> </w:t>
      </w:r>
      <w:r w:rsidR="00A34C90" w:rsidRPr="008F50A7">
        <w:rPr>
          <w:sz w:val="22"/>
          <w:szCs w:val="22"/>
        </w:rPr>
        <w:t>P</w:t>
      </w:r>
      <w:r w:rsidR="004E0F03" w:rsidRPr="008F50A7">
        <w:rPr>
          <w:sz w:val="22"/>
          <w:szCs w:val="22"/>
        </w:rPr>
        <w:t xml:space="preserve">ost-transaction, </w:t>
      </w:r>
      <w:r w:rsidR="00FE34BD" w:rsidRPr="008F50A7">
        <w:rPr>
          <w:sz w:val="22"/>
          <w:szCs w:val="22"/>
        </w:rPr>
        <w:t>AT&amp;T</w:t>
      </w:r>
      <w:r w:rsidR="007370CA" w:rsidRPr="008F50A7">
        <w:rPr>
          <w:sz w:val="22"/>
          <w:szCs w:val="22"/>
        </w:rPr>
        <w:t xml:space="preserve"> would hold</w:t>
      </w:r>
      <w:r w:rsidR="004E0F03" w:rsidRPr="008F50A7">
        <w:rPr>
          <w:sz w:val="22"/>
          <w:szCs w:val="22"/>
        </w:rPr>
        <w:t xml:space="preserve"> </w:t>
      </w:r>
      <w:r w:rsidR="00CA2878" w:rsidRPr="008F50A7">
        <w:rPr>
          <w:sz w:val="22"/>
          <w:szCs w:val="22"/>
        </w:rPr>
        <w:t xml:space="preserve">86 </w:t>
      </w:r>
      <w:r w:rsidR="00A34C90" w:rsidRPr="008F50A7">
        <w:rPr>
          <w:sz w:val="22"/>
          <w:szCs w:val="22"/>
        </w:rPr>
        <w:t xml:space="preserve">to </w:t>
      </w:r>
      <w:r w:rsidR="00CA2878" w:rsidRPr="008F50A7">
        <w:rPr>
          <w:sz w:val="22"/>
          <w:szCs w:val="22"/>
        </w:rPr>
        <w:t xml:space="preserve">170 </w:t>
      </w:r>
      <w:r w:rsidR="00A34C90" w:rsidRPr="008F50A7">
        <w:rPr>
          <w:sz w:val="22"/>
          <w:szCs w:val="22"/>
        </w:rPr>
        <w:t xml:space="preserve">megahertz of spectrum in </w:t>
      </w:r>
      <w:r w:rsidR="00332F64" w:rsidRPr="008F50A7">
        <w:rPr>
          <w:sz w:val="22"/>
          <w:szCs w:val="22"/>
        </w:rPr>
        <w:t>total</w:t>
      </w:r>
      <w:r w:rsidR="00C84566" w:rsidRPr="008F50A7">
        <w:rPr>
          <w:sz w:val="22"/>
          <w:szCs w:val="22"/>
        </w:rPr>
        <w:t xml:space="preserve"> in these counties in these CMAs</w:t>
      </w:r>
      <w:r w:rsidR="00A34C90" w:rsidRPr="008F50A7">
        <w:rPr>
          <w:sz w:val="22"/>
          <w:szCs w:val="22"/>
        </w:rPr>
        <w:t>.</w:t>
      </w:r>
    </w:p>
    <w:p w:rsidR="00677F8D" w:rsidRPr="0089192F" w:rsidRDefault="00677F8D" w:rsidP="00A16A24">
      <w:pPr>
        <w:keepNext/>
        <w:spacing w:before="220"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r w:rsidR="009515A8">
        <w:rPr>
          <w:b/>
          <w:sz w:val="22"/>
          <w:szCs w:val="22"/>
        </w:rPr>
        <w:t>S</w:t>
      </w:r>
    </w:p>
    <w:p w:rsidR="00677F8D" w:rsidRPr="00FB3631" w:rsidRDefault="00677F8D" w:rsidP="00E870B9">
      <w:pPr>
        <w:keepNext/>
        <w:spacing w:after="220"/>
        <w:ind w:firstLine="720"/>
        <w:rPr>
          <w:rStyle w:val="Normal1"/>
          <w:sz w:val="22"/>
          <w:szCs w:val="22"/>
        </w:rPr>
      </w:pPr>
      <w:r w:rsidRPr="00D440C4">
        <w:rPr>
          <w:sz w:val="22"/>
          <w:szCs w:val="22"/>
        </w:rPr>
        <w:t>T</w:t>
      </w:r>
      <w:r w:rsidRPr="00D440C4">
        <w:rPr>
          <w:rStyle w:val="Normal1"/>
          <w:sz w:val="22"/>
          <w:szCs w:val="22"/>
        </w:rPr>
        <w:t>he application</w:t>
      </w:r>
      <w:r w:rsidR="008815DB" w:rsidRPr="00D440C4">
        <w:rPr>
          <w:rStyle w:val="Normal1"/>
          <w:sz w:val="22"/>
          <w:szCs w:val="22"/>
        </w:rPr>
        <w:t>s</w:t>
      </w:r>
      <w:r w:rsidRPr="00D440C4">
        <w:rPr>
          <w:rStyle w:val="Normal1"/>
          <w:sz w:val="22"/>
          <w:szCs w:val="22"/>
        </w:rPr>
        <w:t xml:space="preserve"> for </w:t>
      </w:r>
      <w:r w:rsidR="00D440C4" w:rsidRPr="00D440C4">
        <w:rPr>
          <w:rStyle w:val="Normal1"/>
          <w:sz w:val="22"/>
          <w:szCs w:val="22"/>
        </w:rPr>
        <w:t xml:space="preserve">the </w:t>
      </w:r>
      <w:r w:rsidRPr="00D440C4">
        <w:rPr>
          <w:rStyle w:val="Normal1"/>
          <w:sz w:val="22"/>
          <w:szCs w:val="22"/>
        </w:rPr>
        <w:t xml:space="preserve">assignment of </w:t>
      </w:r>
      <w:r w:rsidR="00DE5A5E" w:rsidRPr="00D440C4">
        <w:rPr>
          <w:sz w:val="22"/>
          <w:szCs w:val="22"/>
        </w:rPr>
        <w:t>license</w:t>
      </w:r>
      <w:r w:rsidR="008815DB" w:rsidRPr="00D440C4">
        <w:rPr>
          <w:sz w:val="22"/>
          <w:szCs w:val="22"/>
        </w:rPr>
        <w:t>s</w:t>
      </w:r>
      <w:r w:rsidRPr="00D440C4">
        <w:rPr>
          <w:sz w:val="22"/>
          <w:szCs w:val="22"/>
        </w:rPr>
        <w:t xml:space="preserve"> </w:t>
      </w:r>
      <w:r w:rsidRPr="00D440C4">
        <w:rPr>
          <w:rStyle w:val="Normal1"/>
          <w:sz w:val="22"/>
          <w:szCs w:val="22"/>
        </w:rPr>
        <w:t>ha</w:t>
      </w:r>
      <w:r w:rsidR="0089192F" w:rsidRPr="00D440C4">
        <w:rPr>
          <w:rStyle w:val="Normal1"/>
          <w:sz w:val="22"/>
          <w:szCs w:val="22"/>
        </w:rPr>
        <w:t>ve</w:t>
      </w:r>
      <w:r w:rsidRPr="00D440C4">
        <w:rPr>
          <w:rStyle w:val="Normal1"/>
          <w:sz w:val="22"/>
          <w:szCs w:val="22"/>
        </w:rPr>
        <w:t xml:space="preserve"> been assigned the following file number</w:t>
      </w:r>
      <w:r w:rsidR="008815DB" w:rsidRPr="00D440C4">
        <w:rPr>
          <w:rStyle w:val="Normal1"/>
          <w:sz w:val="22"/>
          <w:szCs w:val="22"/>
        </w:rPr>
        <w:t>s</w:t>
      </w:r>
      <w:r w:rsidRPr="00D440C4">
        <w:rPr>
          <w:rStyle w:val="Normal1"/>
          <w:sz w:val="22"/>
          <w:szCs w:val="22"/>
        </w:rPr>
        <w:t>:</w:t>
      </w:r>
    </w:p>
    <w:tbl>
      <w:tblPr>
        <w:tblW w:w="5095" w:type="pct"/>
        <w:tblCellMar>
          <w:left w:w="40" w:type="dxa"/>
          <w:right w:w="40" w:type="dxa"/>
        </w:tblCellMar>
        <w:tblLook w:val="0000" w:firstRow="0" w:lastRow="0" w:firstColumn="0" w:lastColumn="0" w:noHBand="0" w:noVBand="0"/>
      </w:tblPr>
      <w:tblGrid>
        <w:gridCol w:w="1659"/>
        <w:gridCol w:w="3240"/>
        <w:gridCol w:w="3244"/>
        <w:gridCol w:w="1476"/>
      </w:tblGrid>
      <w:tr w:rsidR="003050A6" w:rsidTr="006C37BB">
        <w:trPr>
          <w:cantSplit/>
          <w:trHeight w:val="173"/>
          <w:tblHeader/>
        </w:trPr>
        <w:tc>
          <w:tcPr>
            <w:tcW w:w="862"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684" w:type="pct"/>
            <w:shd w:val="clear" w:color="C0C0C0" w:fill="auto"/>
          </w:tcPr>
          <w:p w:rsidR="00677F8D" w:rsidRDefault="00677F8D">
            <w:pPr>
              <w:autoSpaceDE w:val="0"/>
              <w:autoSpaceDN w:val="0"/>
              <w:adjustRightInd w:val="0"/>
              <w:ind w:left="-41"/>
              <w:rPr>
                <w:b/>
                <w:color w:val="000000"/>
                <w:sz w:val="22"/>
                <w:szCs w:val="22"/>
                <w:u w:val="single"/>
              </w:rPr>
            </w:pPr>
            <w:r>
              <w:rPr>
                <w:b/>
                <w:color w:val="000000"/>
                <w:sz w:val="22"/>
                <w:szCs w:val="22"/>
                <w:u w:val="single"/>
              </w:rPr>
              <w:t>Licensee/Assignor</w:t>
            </w:r>
          </w:p>
        </w:tc>
        <w:tc>
          <w:tcPr>
            <w:tcW w:w="1686" w:type="pct"/>
            <w:shd w:val="clear" w:color="C0C0C0" w:fill="auto"/>
          </w:tcPr>
          <w:p w:rsidR="00677F8D" w:rsidRDefault="00677F8D" w:rsidP="002E2DA8">
            <w:pPr>
              <w:autoSpaceDE w:val="0"/>
              <w:autoSpaceDN w:val="0"/>
              <w:adjustRightInd w:val="0"/>
              <w:rPr>
                <w:b/>
                <w:color w:val="000000"/>
                <w:sz w:val="22"/>
                <w:szCs w:val="22"/>
                <w:u w:val="single"/>
              </w:rPr>
            </w:pPr>
            <w:r>
              <w:rPr>
                <w:b/>
                <w:color w:val="000000"/>
                <w:sz w:val="22"/>
                <w:szCs w:val="22"/>
                <w:u w:val="single"/>
              </w:rPr>
              <w:t>Assignee</w:t>
            </w:r>
          </w:p>
        </w:tc>
        <w:tc>
          <w:tcPr>
            <w:tcW w:w="767"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3050A6" w:rsidTr="006C37BB">
        <w:trPr>
          <w:cantSplit/>
          <w:trHeight w:val="152"/>
        </w:trPr>
        <w:tc>
          <w:tcPr>
            <w:tcW w:w="862" w:type="pct"/>
            <w:shd w:val="clear" w:color="C0C0C0" w:fill="auto"/>
          </w:tcPr>
          <w:p w:rsidR="00677F8D" w:rsidRPr="00821628" w:rsidRDefault="006C37BB" w:rsidP="002B7C53">
            <w:pPr>
              <w:keepNext/>
              <w:tabs>
                <w:tab w:val="left" w:pos="720"/>
              </w:tabs>
              <w:rPr>
                <w:sz w:val="22"/>
                <w:szCs w:val="22"/>
              </w:rPr>
            </w:pPr>
            <w:r w:rsidRPr="00821628">
              <w:rPr>
                <w:sz w:val="22"/>
                <w:szCs w:val="22"/>
              </w:rPr>
              <w:t>0006341062</w:t>
            </w:r>
            <w:r w:rsidR="00821628">
              <w:rPr>
                <w:rStyle w:val="FootnoteReference"/>
                <w:szCs w:val="22"/>
              </w:rPr>
              <w:footnoteReference w:id="4"/>
            </w:r>
          </w:p>
        </w:tc>
        <w:tc>
          <w:tcPr>
            <w:tcW w:w="1684" w:type="pct"/>
            <w:shd w:val="clear" w:color="C0C0C0" w:fill="auto"/>
          </w:tcPr>
          <w:p w:rsidR="00677F8D" w:rsidRPr="00000509" w:rsidRDefault="00A96D24" w:rsidP="000B3C8B">
            <w:pPr>
              <w:ind w:left="-41"/>
              <w:rPr>
                <w:sz w:val="22"/>
                <w:szCs w:val="22"/>
              </w:rPr>
            </w:pPr>
            <w:r>
              <w:rPr>
                <w:sz w:val="22"/>
                <w:szCs w:val="22"/>
              </w:rPr>
              <w:t>T-Mobile License LLC</w:t>
            </w:r>
          </w:p>
        </w:tc>
        <w:tc>
          <w:tcPr>
            <w:tcW w:w="1686" w:type="pct"/>
            <w:shd w:val="clear" w:color="C0C0C0" w:fill="auto"/>
          </w:tcPr>
          <w:p w:rsidR="00677F8D" w:rsidRPr="00530B3B" w:rsidRDefault="00821628" w:rsidP="002E2DA8">
            <w:pPr>
              <w:rPr>
                <w:sz w:val="22"/>
                <w:szCs w:val="22"/>
              </w:rPr>
            </w:pPr>
            <w:r>
              <w:rPr>
                <w:sz w:val="22"/>
                <w:szCs w:val="22"/>
              </w:rPr>
              <w:t>AT&amp;T Mobility Spectrum LLC</w:t>
            </w:r>
          </w:p>
        </w:tc>
        <w:tc>
          <w:tcPr>
            <w:tcW w:w="767" w:type="pct"/>
            <w:shd w:val="clear" w:color="C0C0C0" w:fill="auto"/>
          </w:tcPr>
          <w:p w:rsidR="00677F8D" w:rsidRDefault="00821628">
            <w:pPr>
              <w:ind w:hanging="40"/>
              <w:rPr>
                <w:sz w:val="22"/>
                <w:szCs w:val="22"/>
              </w:rPr>
            </w:pPr>
            <w:r>
              <w:rPr>
                <w:sz w:val="22"/>
                <w:szCs w:val="22"/>
              </w:rPr>
              <w:t>WPOL281</w:t>
            </w:r>
          </w:p>
        </w:tc>
      </w:tr>
      <w:tr w:rsidR="003050A6" w:rsidTr="006C37BB">
        <w:trPr>
          <w:cantSplit/>
          <w:trHeight w:hRule="exact" w:val="144"/>
        </w:trPr>
        <w:tc>
          <w:tcPr>
            <w:tcW w:w="862" w:type="pct"/>
            <w:shd w:val="clear" w:color="C0C0C0" w:fill="auto"/>
            <w:vAlign w:val="center"/>
          </w:tcPr>
          <w:p w:rsidR="008815DB" w:rsidRPr="002B7C53" w:rsidRDefault="008815DB" w:rsidP="0089192F">
            <w:pPr>
              <w:keepNext/>
              <w:tabs>
                <w:tab w:val="left" w:pos="720"/>
              </w:tabs>
              <w:rPr>
                <w:sz w:val="22"/>
                <w:szCs w:val="22"/>
              </w:rPr>
            </w:pPr>
          </w:p>
        </w:tc>
        <w:tc>
          <w:tcPr>
            <w:tcW w:w="1684" w:type="pct"/>
            <w:shd w:val="clear" w:color="C0C0C0" w:fill="auto"/>
            <w:vAlign w:val="center"/>
          </w:tcPr>
          <w:p w:rsidR="008815DB" w:rsidRPr="00401995" w:rsidRDefault="008815DB">
            <w:pPr>
              <w:ind w:left="-41"/>
              <w:rPr>
                <w:sz w:val="22"/>
                <w:szCs w:val="22"/>
              </w:rPr>
            </w:pPr>
          </w:p>
        </w:tc>
        <w:tc>
          <w:tcPr>
            <w:tcW w:w="1686" w:type="pct"/>
            <w:shd w:val="clear" w:color="C0C0C0" w:fill="auto"/>
          </w:tcPr>
          <w:p w:rsidR="008815DB" w:rsidRDefault="008815DB" w:rsidP="002E2DA8">
            <w:pPr>
              <w:rPr>
                <w:sz w:val="22"/>
                <w:szCs w:val="22"/>
              </w:rPr>
            </w:pPr>
          </w:p>
        </w:tc>
        <w:tc>
          <w:tcPr>
            <w:tcW w:w="767" w:type="pct"/>
            <w:shd w:val="clear" w:color="C0C0C0" w:fill="auto"/>
            <w:vAlign w:val="center"/>
          </w:tcPr>
          <w:p w:rsidR="008815DB" w:rsidRDefault="008815DB">
            <w:pPr>
              <w:ind w:hanging="40"/>
              <w:rPr>
                <w:sz w:val="22"/>
                <w:szCs w:val="22"/>
              </w:rPr>
            </w:pPr>
          </w:p>
        </w:tc>
      </w:tr>
      <w:tr w:rsidR="003050A6" w:rsidTr="006C37BB">
        <w:trPr>
          <w:cantSplit/>
          <w:trHeight w:val="152"/>
        </w:trPr>
        <w:tc>
          <w:tcPr>
            <w:tcW w:w="862" w:type="pct"/>
            <w:shd w:val="clear" w:color="C0C0C0" w:fill="auto"/>
          </w:tcPr>
          <w:p w:rsidR="00BA6346" w:rsidRPr="00821628" w:rsidRDefault="006C37BB" w:rsidP="000B3C8B">
            <w:pPr>
              <w:tabs>
                <w:tab w:val="left" w:pos="720"/>
              </w:tabs>
              <w:rPr>
                <w:sz w:val="22"/>
                <w:szCs w:val="22"/>
              </w:rPr>
            </w:pPr>
            <w:r w:rsidRPr="00821628">
              <w:rPr>
                <w:sz w:val="22"/>
                <w:szCs w:val="22"/>
              </w:rPr>
              <w:t>0006340995</w:t>
            </w:r>
          </w:p>
        </w:tc>
        <w:tc>
          <w:tcPr>
            <w:tcW w:w="1684" w:type="pct"/>
            <w:shd w:val="clear" w:color="C0C0C0" w:fill="auto"/>
          </w:tcPr>
          <w:p w:rsidR="00BA6346" w:rsidRPr="00000509" w:rsidRDefault="00BA6346" w:rsidP="00EC251B">
            <w:pPr>
              <w:ind w:left="-41"/>
              <w:rPr>
                <w:sz w:val="22"/>
                <w:szCs w:val="22"/>
              </w:rPr>
            </w:pPr>
            <w:r>
              <w:rPr>
                <w:sz w:val="22"/>
                <w:szCs w:val="22"/>
              </w:rPr>
              <w:t>T-Mobile License LLC</w:t>
            </w:r>
          </w:p>
        </w:tc>
        <w:tc>
          <w:tcPr>
            <w:tcW w:w="1686" w:type="pct"/>
            <w:shd w:val="clear" w:color="C0C0C0" w:fill="auto"/>
          </w:tcPr>
          <w:p w:rsidR="00BA6346" w:rsidRPr="00530B3B" w:rsidRDefault="00BA6346" w:rsidP="002E2DA8">
            <w:pPr>
              <w:rPr>
                <w:sz w:val="22"/>
                <w:szCs w:val="22"/>
              </w:rPr>
            </w:pPr>
            <w:r>
              <w:rPr>
                <w:sz w:val="22"/>
                <w:szCs w:val="22"/>
              </w:rPr>
              <w:t>C</w:t>
            </w:r>
            <w:r w:rsidR="00821628">
              <w:rPr>
                <w:sz w:val="22"/>
                <w:szCs w:val="22"/>
              </w:rPr>
              <w:t>ricket License Company, LLC</w:t>
            </w:r>
          </w:p>
        </w:tc>
        <w:tc>
          <w:tcPr>
            <w:tcW w:w="767" w:type="pct"/>
            <w:shd w:val="clear" w:color="C0C0C0" w:fill="auto"/>
          </w:tcPr>
          <w:p w:rsidR="00BA6346" w:rsidRPr="00A37D5D" w:rsidRDefault="00821628">
            <w:pPr>
              <w:ind w:hanging="40"/>
              <w:rPr>
                <w:sz w:val="22"/>
                <w:szCs w:val="22"/>
              </w:rPr>
            </w:pPr>
            <w:r>
              <w:rPr>
                <w:sz w:val="22"/>
                <w:szCs w:val="22"/>
              </w:rPr>
              <w:t>KNLF561</w:t>
            </w:r>
          </w:p>
        </w:tc>
      </w:tr>
      <w:tr w:rsidR="003050A6" w:rsidTr="006C37BB">
        <w:trPr>
          <w:cantSplit/>
          <w:trHeight w:hRule="exact" w:val="144"/>
        </w:trPr>
        <w:tc>
          <w:tcPr>
            <w:tcW w:w="862" w:type="pct"/>
            <w:shd w:val="clear" w:color="C0C0C0" w:fill="auto"/>
          </w:tcPr>
          <w:p w:rsidR="00BA6346" w:rsidRPr="002B7C53" w:rsidRDefault="00BA6346" w:rsidP="000B3C8B">
            <w:pPr>
              <w:tabs>
                <w:tab w:val="left" w:pos="720"/>
              </w:tabs>
              <w:rPr>
                <w:sz w:val="22"/>
                <w:szCs w:val="22"/>
              </w:rPr>
            </w:pPr>
          </w:p>
        </w:tc>
        <w:tc>
          <w:tcPr>
            <w:tcW w:w="1684" w:type="pct"/>
            <w:shd w:val="clear" w:color="C0C0C0" w:fill="auto"/>
          </w:tcPr>
          <w:p w:rsidR="00BA6346" w:rsidRPr="00530B3B" w:rsidRDefault="00BA6346" w:rsidP="000B3C8B">
            <w:pPr>
              <w:ind w:left="-41"/>
              <w:rPr>
                <w:sz w:val="22"/>
                <w:szCs w:val="22"/>
              </w:rPr>
            </w:pPr>
          </w:p>
        </w:tc>
        <w:tc>
          <w:tcPr>
            <w:tcW w:w="1686" w:type="pct"/>
            <w:shd w:val="clear" w:color="C0C0C0" w:fill="auto"/>
          </w:tcPr>
          <w:p w:rsidR="00BA6346" w:rsidRPr="00530B3B" w:rsidRDefault="00BA6346" w:rsidP="002E2DA8">
            <w:pPr>
              <w:rPr>
                <w:sz w:val="22"/>
                <w:szCs w:val="22"/>
              </w:rPr>
            </w:pPr>
          </w:p>
        </w:tc>
        <w:tc>
          <w:tcPr>
            <w:tcW w:w="767" w:type="pct"/>
            <w:shd w:val="clear" w:color="C0C0C0" w:fill="auto"/>
          </w:tcPr>
          <w:p w:rsidR="00BA6346" w:rsidRPr="00A37D5D" w:rsidRDefault="00BA6346">
            <w:pPr>
              <w:ind w:hanging="40"/>
              <w:rPr>
                <w:sz w:val="22"/>
                <w:szCs w:val="22"/>
              </w:rPr>
            </w:pPr>
          </w:p>
        </w:tc>
      </w:tr>
      <w:tr w:rsidR="003050A6" w:rsidTr="006C37BB">
        <w:trPr>
          <w:cantSplit/>
          <w:trHeight w:val="152"/>
        </w:trPr>
        <w:tc>
          <w:tcPr>
            <w:tcW w:w="862" w:type="pct"/>
            <w:shd w:val="clear" w:color="C0C0C0" w:fill="auto"/>
          </w:tcPr>
          <w:p w:rsidR="00BA6346" w:rsidRPr="00821628" w:rsidRDefault="006C37BB" w:rsidP="000B3C8B">
            <w:pPr>
              <w:tabs>
                <w:tab w:val="left" w:pos="720"/>
              </w:tabs>
              <w:rPr>
                <w:sz w:val="22"/>
                <w:szCs w:val="22"/>
              </w:rPr>
            </w:pPr>
            <w:r w:rsidRPr="00821628">
              <w:rPr>
                <w:sz w:val="22"/>
                <w:szCs w:val="22"/>
              </w:rPr>
              <w:t>0006341010</w:t>
            </w:r>
          </w:p>
        </w:tc>
        <w:tc>
          <w:tcPr>
            <w:tcW w:w="1684" w:type="pct"/>
            <w:shd w:val="clear" w:color="C0C0C0" w:fill="auto"/>
          </w:tcPr>
          <w:p w:rsidR="00BA6346" w:rsidRPr="00530B3B" w:rsidRDefault="00BA6346" w:rsidP="000B3C8B">
            <w:pPr>
              <w:ind w:left="-41"/>
              <w:rPr>
                <w:sz w:val="22"/>
                <w:szCs w:val="22"/>
              </w:rPr>
            </w:pPr>
            <w:r>
              <w:rPr>
                <w:sz w:val="22"/>
                <w:szCs w:val="22"/>
              </w:rPr>
              <w:t>T-Mobile License LLC</w:t>
            </w:r>
          </w:p>
        </w:tc>
        <w:tc>
          <w:tcPr>
            <w:tcW w:w="1686" w:type="pct"/>
            <w:shd w:val="clear" w:color="C0C0C0" w:fill="auto"/>
          </w:tcPr>
          <w:p w:rsidR="00BA6346" w:rsidRPr="00530B3B" w:rsidRDefault="00821628" w:rsidP="002E2DA8">
            <w:pPr>
              <w:rPr>
                <w:sz w:val="22"/>
                <w:szCs w:val="22"/>
              </w:rPr>
            </w:pPr>
            <w:r>
              <w:rPr>
                <w:sz w:val="22"/>
                <w:szCs w:val="22"/>
              </w:rPr>
              <w:t>AT&amp;T Mobility Spectrum LLC</w:t>
            </w:r>
          </w:p>
        </w:tc>
        <w:tc>
          <w:tcPr>
            <w:tcW w:w="767" w:type="pct"/>
            <w:shd w:val="clear" w:color="C0C0C0" w:fill="auto"/>
          </w:tcPr>
          <w:p w:rsidR="00BA6346" w:rsidRPr="00A37D5D" w:rsidRDefault="00821628">
            <w:pPr>
              <w:ind w:hanging="40"/>
              <w:rPr>
                <w:sz w:val="22"/>
                <w:szCs w:val="22"/>
              </w:rPr>
            </w:pPr>
            <w:r>
              <w:rPr>
                <w:sz w:val="22"/>
                <w:szCs w:val="22"/>
              </w:rPr>
              <w:t>KNLF983</w:t>
            </w:r>
          </w:p>
        </w:tc>
      </w:tr>
      <w:tr w:rsidR="003050A6" w:rsidTr="006C37BB">
        <w:trPr>
          <w:cantSplit/>
          <w:trHeight w:hRule="exact" w:val="144"/>
        </w:trPr>
        <w:tc>
          <w:tcPr>
            <w:tcW w:w="862" w:type="pct"/>
            <w:shd w:val="clear" w:color="C0C0C0" w:fill="auto"/>
          </w:tcPr>
          <w:p w:rsidR="00BA6346" w:rsidRPr="002B7C53" w:rsidRDefault="00BA6346" w:rsidP="000B3C8B">
            <w:pPr>
              <w:tabs>
                <w:tab w:val="left" w:pos="720"/>
              </w:tabs>
              <w:rPr>
                <w:sz w:val="22"/>
                <w:szCs w:val="22"/>
              </w:rPr>
            </w:pPr>
          </w:p>
        </w:tc>
        <w:tc>
          <w:tcPr>
            <w:tcW w:w="1684" w:type="pct"/>
            <w:shd w:val="clear" w:color="C0C0C0" w:fill="auto"/>
          </w:tcPr>
          <w:p w:rsidR="00BA6346" w:rsidRPr="00530B3B" w:rsidRDefault="00BA6346" w:rsidP="000B3C8B">
            <w:pPr>
              <w:ind w:left="-41"/>
              <w:rPr>
                <w:sz w:val="22"/>
                <w:szCs w:val="22"/>
              </w:rPr>
            </w:pPr>
          </w:p>
        </w:tc>
        <w:tc>
          <w:tcPr>
            <w:tcW w:w="1686" w:type="pct"/>
            <w:shd w:val="clear" w:color="C0C0C0" w:fill="auto"/>
          </w:tcPr>
          <w:p w:rsidR="00BA6346" w:rsidRPr="00530B3B" w:rsidRDefault="00BA6346" w:rsidP="002E2DA8">
            <w:pPr>
              <w:rPr>
                <w:sz w:val="22"/>
                <w:szCs w:val="22"/>
              </w:rPr>
            </w:pPr>
          </w:p>
        </w:tc>
        <w:tc>
          <w:tcPr>
            <w:tcW w:w="767" w:type="pct"/>
            <w:shd w:val="clear" w:color="C0C0C0" w:fill="auto"/>
          </w:tcPr>
          <w:p w:rsidR="00BA6346" w:rsidRPr="00A37D5D" w:rsidRDefault="00BA6346">
            <w:pPr>
              <w:ind w:hanging="40"/>
              <w:rPr>
                <w:sz w:val="22"/>
                <w:szCs w:val="22"/>
              </w:rPr>
            </w:pPr>
          </w:p>
        </w:tc>
      </w:tr>
      <w:tr w:rsidR="003050A6" w:rsidTr="006C37BB">
        <w:trPr>
          <w:cantSplit/>
          <w:trHeight w:val="152"/>
        </w:trPr>
        <w:tc>
          <w:tcPr>
            <w:tcW w:w="862" w:type="pct"/>
            <w:shd w:val="clear" w:color="C0C0C0" w:fill="auto"/>
          </w:tcPr>
          <w:p w:rsidR="00BA6346" w:rsidRPr="00821628" w:rsidRDefault="006C37BB" w:rsidP="000B3C8B">
            <w:pPr>
              <w:tabs>
                <w:tab w:val="left" w:pos="720"/>
              </w:tabs>
              <w:rPr>
                <w:sz w:val="22"/>
                <w:szCs w:val="22"/>
              </w:rPr>
            </w:pPr>
            <w:r w:rsidRPr="00821628">
              <w:rPr>
                <w:sz w:val="22"/>
                <w:szCs w:val="22"/>
              </w:rPr>
              <w:t>0006344480</w:t>
            </w:r>
          </w:p>
        </w:tc>
        <w:tc>
          <w:tcPr>
            <w:tcW w:w="1684" w:type="pct"/>
            <w:shd w:val="clear" w:color="C0C0C0" w:fill="auto"/>
          </w:tcPr>
          <w:p w:rsidR="00BA6346" w:rsidRPr="00530B3B" w:rsidRDefault="00821628" w:rsidP="000B3C8B">
            <w:pPr>
              <w:ind w:left="-41"/>
              <w:rPr>
                <w:sz w:val="22"/>
                <w:szCs w:val="22"/>
              </w:rPr>
            </w:pPr>
            <w:r>
              <w:rPr>
                <w:sz w:val="22"/>
                <w:szCs w:val="22"/>
              </w:rPr>
              <w:t xml:space="preserve">AT&amp;T Mobility </w:t>
            </w:r>
            <w:r w:rsidR="00092764">
              <w:rPr>
                <w:sz w:val="22"/>
                <w:szCs w:val="22"/>
              </w:rPr>
              <w:t xml:space="preserve">Spectrum </w:t>
            </w:r>
            <w:r>
              <w:rPr>
                <w:sz w:val="22"/>
                <w:szCs w:val="22"/>
              </w:rPr>
              <w:t>LLC</w:t>
            </w:r>
          </w:p>
        </w:tc>
        <w:tc>
          <w:tcPr>
            <w:tcW w:w="1686" w:type="pct"/>
            <w:shd w:val="clear" w:color="C0C0C0" w:fill="auto"/>
          </w:tcPr>
          <w:p w:rsidR="00BA6346" w:rsidRPr="00530B3B" w:rsidRDefault="00821628" w:rsidP="002E2DA8">
            <w:pPr>
              <w:rPr>
                <w:sz w:val="22"/>
                <w:szCs w:val="22"/>
              </w:rPr>
            </w:pPr>
            <w:r>
              <w:rPr>
                <w:sz w:val="22"/>
                <w:szCs w:val="22"/>
              </w:rPr>
              <w:t>T-Mobile License LLC</w:t>
            </w:r>
          </w:p>
        </w:tc>
        <w:tc>
          <w:tcPr>
            <w:tcW w:w="767" w:type="pct"/>
            <w:shd w:val="clear" w:color="C0C0C0" w:fill="auto"/>
          </w:tcPr>
          <w:p w:rsidR="00BA6346" w:rsidRPr="00A37D5D" w:rsidRDefault="00B26D18">
            <w:pPr>
              <w:ind w:hanging="40"/>
              <w:rPr>
                <w:sz w:val="22"/>
                <w:szCs w:val="22"/>
              </w:rPr>
            </w:pPr>
            <w:r>
              <w:rPr>
                <w:sz w:val="22"/>
                <w:szCs w:val="22"/>
              </w:rPr>
              <w:t>WQ</w:t>
            </w:r>
            <w:r w:rsidR="00821628">
              <w:rPr>
                <w:sz w:val="22"/>
                <w:szCs w:val="22"/>
              </w:rPr>
              <w:t>MJ747</w:t>
            </w:r>
          </w:p>
        </w:tc>
      </w:tr>
      <w:tr w:rsidR="003050A6" w:rsidTr="006C37BB">
        <w:trPr>
          <w:cantSplit/>
          <w:trHeight w:hRule="exact" w:val="144"/>
        </w:trPr>
        <w:tc>
          <w:tcPr>
            <w:tcW w:w="862" w:type="pct"/>
            <w:shd w:val="clear" w:color="C0C0C0" w:fill="auto"/>
          </w:tcPr>
          <w:p w:rsidR="00BA6346" w:rsidRPr="002B7C53" w:rsidRDefault="00BA6346" w:rsidP="000B3C8B">
            <w:pPr>
              <w:tabs>
                <w:tab w:val="left" w:pos="720"/>
              </w:tabs>
              <w:rPr>
                <w:sz w:val="22"/>
                <w:szCs w:val="22"/>
              </w:rPr>
            </w:pPr>
          </w:p>
        </w:tc>
        <w:tc>
          <w:tcPr>
            <w:tcW w:w="1684" w:type="pct"/>
            <w:shd w:val="clear" w:color="C0C0C0" w:fill="auto"/>
          </w:tcPr>
          <w:p w:rsidR="00BA6346" w:rsidRPr="00530B3B" w:rsidRDefault="00BA6346" w:rsidP="000B3C8B">
            <w:pPr>
              <w:ind w:left="-41"/>
              <w:rPr>
                <w:sz w:val="22"/>
                <w:szCs w:val="22"/>
              </w:rPr>
            </w:pPr>
          </w:p>
        </w:tc>
        <w:tc>
          <w:tcPr>
            <w:tcW w:w="1686" w:type="pct"/>
            <w:shd w:val="clear" w:color="C0C0C0" w:fill="auto"/>
          </w:tcPr>
          <w:p w:rsidR="00BA6346" w:rsidRPr="00530B3B" w:rsidRDefault="00BA6346" w:rsidP="002E2DA8">
            <w:pPr>
              <w:rPr>
                <w:sz w:val="22"/>
                <w:szCs w:val="22"/>
              </w:rPr>
            </w:pPr>
          </w:p>
        </w:tc>
        <w:tc>
          <w:tcPr>
            <w:tcW w:w="767" w:type="pct"/>
            <w:shd w:val="clear" w:color="C0C0C0" w:fill="auto"/>
          </w:tcPr>
          <w:p w:rsidR="00BA6346" w:rsidRPr="00A37D5D" w:rsidRDefault="00BA6346">
            <w:pPr>
              <w:ind w:hanging="40"/>
              <w:rPr>
                <w:sz w:val="22"/>
                <w:szCs w:val="22"/>
              </w:rPr>
            </w:pPr>
          </w:p>
        </w:tc>
      </w:tr>
      <w:tr w:rsidR="007B7D39" w:rsidTr="006C37BB">
        <w:trPr>
          <w:cantSplit/>
          <w:trHeight w:val="152"/>
        </w:trPr>
        <w:tc>
          <w:tcPr>
            <w:tcW w:w="862" w:type="pct"/>
            <w:shd w:val="clear" w:color="C0C0C0" w:fill="auto"/>
          </w:tcPr>
          <w:p w:rsidR="007B7D39" w:rsidRPr="00821628" w:rsidRDefault="007B7D39" w:rsidP="00BC29C5">
            <w:pPr>
              <w:tabs>
                <w:tab w:val="left" w:pos="720"/>
              </w:tabs>
              <w:rPr>
                <w:sz w:val="22"/>
                <w:szCs w:val="22"/>
              </w:rPr>
            </w:pPr>
            <w:r w:rsidRPr="00821628">
              <w:rPr>
                <w:sz w:val="22"/>
                <w:szCs w:val="22"/>
              </w:rPr>
              <w:t>0006344526</w:t>
            </w:r>
          </w:p>
        </w:tc>
        <w:tc>
          <w:tcPr>
            <w:tcW w:w="1684" w:type="pct"/>
            <w:shd w:val="clear" w:color="C0C0C0" w:fill="auto"/>
          </w:tcPr>
          <w:p w:rsidR="007B7D39" w:rsidRPr="00530B3B" w:rsidRDefault="007B7D39" w:rsidP="00BC29C5">
            <w:pPr>
              <w:ind w:left="-41"/>
              <w:rPr>
                <w:sz w:val="22"/>
                <w:szCs w:val="22"/>
              </w:rPr>
            </w:pPr>
            <w:r>
              <w:rPr>
                <w:sz w:val="22"/>
                <w:szCs w:val="22"/>
              </w:rPr>
              <w:t>New Cingular Wireless PCS, LLC</w:t>
            </w:r>
          </w:p>
        </w:tc>
        <w:tc>
          <w:tcPr>
            <w:tcW w:w="1686" w:type="pct"/>
            <w:shd w:val="clear" w:color="C0C0C0" w:fill="auto"/>
          </w:tcPr>
          <w:p w:rsidR="007B7D39" w:rsidRPr="00530B3B" w:rsidRDefault="007B7D39" w:rsidP="00BC29C5">
            <w:pPr>
              <w:rPr>
                <w:sz w:val="22"/>
                <w:szCs w:val="22"/>
              </w:rPr>
            </w:pPr>
            <w:r>
              <w:rPr>
                <w:sz w:val="22"/>
                <w:szCs w:val="22"/>
              </w:rPr>
              <w:t>T-Mobile License LLC</w:t>
            </w:r>
          </w:p>
        </w:tc>
        <w:tc>
          <w:tcPr>
            <w:tcW w:w="767" w:type="pct"/>
            <w:shd w:val="clear" w:color="C0C0C0" w:fill="auto"/>
          </w:tcPr>
          <w:p w:rsidR="007B7D39" w:rsidRPr="00A37D5D" w:rsidRDefault="007B7D39" w:rsidP="00BC29C5">
            <w:pPr>
              <w:ind w:hanging="40"/>
              <w:rPr>
                <w:sz w:val="22"/>
                <w:szCs w:val="22"/>
              </w:rPr>
            </w:pPr>
            <w:r>
              <w:rPr>
                <w:sz w:val="22"/>
                <w:szCs w:val="22"/>
              </w:rPr>
              <w:t>KNLG416</w:t>
            </w:r>
          </w:p>
        </w:tc>
      </w:tr>
      <w:tr w:rsidR="007B7D39" w:rsidTr="006C37BB">
        <w:trPr>
          <w:cantSplit/>
          <w:trHeight w:hRule="exact" w:val="144"/>
        </w:trPr>
        <w:tc>
          <w:tcPr>
            <w:tcW w:w="862" w:type="pct"/>
            <w:shd w:val="clear" w:color="C0C0C0" w:fill="auto"/>
          </w:tcPr>
          <w:p w:rsidR="007B7D39" w:rsidRPr="002B7C53" w:rsidRDefault="007B7D39" w:rsidP="000B3C8B">
            <w:pPr>
              <w:tabs>
                <w:tab w:val="left" w:pos="720"/>
              </w:tabs>
              <w:rPr>
                <w:sz w:val="22"/>
                <w:szCs w:val="22"/>
              </w:rPr>
            </w:pPr>
          </w:p>
        </w:tc>
        <w:tc>
          <w:tcPr>
            <w:tcW w:w="1684" w:type="pct"/>
            <w:shd w:val="clear" w:color="C0C0C0" w:fill="auto"/>
          </w:tcPr>
          <w:p w:rsidR="007B7D39" w:rsidRPr="00530B3B" w:rsidRDefault="007B7D39" w:rsidP="000B3C8B">
            <w:pPr>
              <w:ind w:left="-41"/>
              <w:rPr>
                <w:sz w:val="22"/>
                <w:szCs w:val="22"/>
              </w:rPr>
            </w:pPr>
          </w:p>
        </w:tc>
        <w:tc>
          <w:tcPr>
            <w:tcW w:w="1686" w:type="pct"/>
            <w:shd w:val="clear" w:color="C0C0C0" w:fill="auto"/>
          </w:tcPr>
          <w:p w:rsidR="007B7D39" w:rsidRPr="00530B3B" w:rsidRDefault="007B7D39" w:rsidP="002E2DA8">
            <w:pPr>
              <w:rPr>
                <w:sz w:val="22"/>
                <w:szCs w:val="22"/>
              </w:rPr>
            </w:pPr>
          </w:p>
        </w:tc>
        <w:tc>
          <w:tcPr>
            <w:tcW w:w="767" w:type="pct"/>
            <w:shd w:val="clear" w:color="C0C0C0" w:fill="auto"/>
          </w:tcPr>
          <w:p w:rsidR="007B7D39" w:rsidRPr="00A37D5D" w:rsidRDefault="007B7D39">
            <w:pPr>
              <w:ind w:hanging="40"/>
              <w:rPr>
                <w:sz w:val="22"/>
                <w:szCs w:val="22"/>
              </w:rPr>
            </w:pPr>
          </w:p>
        </w:tc>
      </w:tr>
      <w:tr w:rsidR="007B7D39" w:rsidTr="006C37BB">
        <w:trPr>
          <w:cantSplit/>
          <w:trHeight w:val="152"/>
        </w:trPr>
        <w:tc>
          <w:tcPr>
            <w:tcW w:w="862" w:type="pct"/>
            <w:shd w:val="clear" w:color="C0C0C0" w:fill="auto"/>
          </w:tcPr>
          <w:p w:rsidR="007B7D39" w:rsidRPr="00821628" w:rsidRDefault="007B7D39" w:rsidP="00BC29C5">
            <w:pPr>
              <w:tabs>
                <w:tab w:val="left" w:pos="720"/>
              </w:tabs>
              <w:rPr>
                <w:sz w:val="22"/>
                <w:szCs w:val="22"/>
              </w:rPr>
            </w:pPr>
            <w:r w:rsidRPr="00821628">
              <w:rPr>
                <w:sz w:val="22"/>
                <w:szCs w:val="22"/>
              </w:rPr>
              <w:t>0006344528</w:t>
            </w:r>
          </w:p>
        </w:tc>
        <w:tc>
          <w:tcPr>
            <w:tcW w:w="1684" w:type="pct"/>
            <w:shd w:val="clear" w:color="C0C0C0" w:fill="auto"/>
          </w:tcPr>
          <w:p w:rsidR="007B7D39" w:rsidRPr="00530B3B" w:rsidRDefault="007B7D39" w:rsidP="00BC29C5">
            <w:pPr>
              <w:ind w:left="-41"/>
              <w:rPr>
                <w:sz w:val="22"/>
                <w:szCs w:val="22"/>
              </w:rPr>
            </w:pPr>
            <w:r>
              <w:rPr>
                <w:sz w:val="22"/>
                <w:szCs w:val="22"/>
              </w:rPr>
              <w:t>New Cingular Wireless PCS, LLC</w:t>
            </w:r>
          </w:p>
        </w:tc>
        <w:tc>
          <w:tcPr>
            <w:tcW w:w="1686" w:type="pct"/>
            <w:shd w:val="clear" w:color="C0C0C0" w:fill="auto"/>
          </w:tcPr>
          <w:p w:rsidR="007B7D39" w:rsidRPr="00530B3B" w:rsidRDefault="007B7D39" w:rsidP="00BC29C5">
            <w:pPr>
              <w:rPr>
                <w:sz w:val="22"/>
                <w:szCs w:val="22"/>
              </w:rPr>
            </w:pPr>
            <w:r>
              <w:rPr>
                <w:sz w:val="22"/>
                <w:szCs w:val="22"/>
              </w:rPr>
              <w:t>T-Mobile License LLC</w:t>
            </w:r>
          </w:p>
        </w:tc>
        <w:tc>
          <w:tcPr>
            <w:tcW w:w="767" w:type="pct"/>
            <w:shd w:val="clear" w:color="C0C0C0" w:fill="auto"/>
          </w:tcPr>
          <w:p w:rsidR="007B7D39" w:rsidRPr="00A37D5D" w:rsidRDefault="007B7D39" w:rsidP="00BC29C5">
            <w:pPr>
              <w:ind w:hanging="40"/>
              <w:rPr>
                <w:sz w:val="22"/>
                <w:szCs w:val="22"/>
              </w:rPr>
            </w:pPr>
            <w:r>
              <w:rPr>
                <w:sz w:val="22"/>
                <w:szCs w:val="22"/>
              </w:rPr>
              <w:t>KNLF205</w:t>
            </w:r>
          </w:p>
        </w:tc>
      </w:tr>
      <w:tr w:rsidR="007B7D39" w:rsidTr="006C37BB">
        <w:trPr>
          <w:cantSplit/>
          <w:trHeight w:hRule="exact" w:val="144"/>
        </w:trPr>
        <w:tc>
          <w:tcPr>
            <w:tcW w:w="862" w:type="pct"/>
            <w:shd w:val="clear" w:color="C0C0C0" w:fill="auto"/>
          </w:tcPr>
          <w:p w:rsidR="007B7D39" w:rsidRPr="002B7C53" w:rsidRDefault="007B7D39" w:rsidP="000B3C8B">
            <w:pPr>
              <w:tabs>
                <w:tab w:val="left" w:pos="720"/>
              </w:tabs>
              <w:rPr>
                <w:sz w:val="22"/>
                <w:szCs w:val="22"/>
              </w:rPr>
            </w:pPr>
          </w:p>
        </w:tc>
        <w:tc>
          <w:tcPr>
            <w:tcW w:w="1684" w:type="pct"/>
            <w:shd w:val="clear" w:color="C0C0C0" w:fill="auto"/>
          </w:tcPr>
          <w:p w:rsidR="007B7D39" w:rsidRPr="00530B3B" w:rsidRDefault="007B7D39" w:rsidP="000B3C8B">
            <w:pPr>
              <w:ind w:left="-41"/>
              <w:rPr>
                <w:sz w:val="22"/>
                <w:szCs w:val="22"/>
              </w:rPr>
            </w:pPr>
          </w:p>
        </w:tc>
        <w:tc>
          <w:tcPr>
            <w:tcW w:w="1686" w:type="pct"/>
            <w:shd w:val="clear" w:color="C0C0C0" w:fill="auto"/>
          </w:tcPr>
          <w:p w:rsidR="007B7D39" w:rsidRPr="00530B3B" w:rsidRDefault="007B7D39" w:rsidP="002E2DA8">
            <w:pPr>
              <w:rPr>
                <w:sz w:val="22"/>
                <w:szCs w:val="22"/>
              </w:rPr>
            </w:pPr>
          </w:p>
        </w:tc>
        <w:tc>
          <w:tcPr>
            <w:tcW w:w="767" w:type="pct"/>
            <w:shd w:val="clear" w:color="C0C0C0" w:fill="auto"/>
          </w:tcPr>
          <w:p w:rsidR="007B7D39" w:rsidRPr="00A37D5D" w:rsidRDefault="007B7D39">
            <w:pPr>
              <w:ind w:hanging="40"/>
              <w:rPr>
                <w:sz w:val="22"/>
                <w:szCs w:val="22"/>
              </w:rPr>
            </w:pPr>
          </w:p>
        </w:tc>
      </w:tr>
      <w:tr w:rsidR="007B7D39" w:rsidTr="006C37BB">
        <w:trPr>
          <w:cantSplit/>
          <w:trHeight w:val="152"/>
        </w:trPr>
        <w:tc>
          <w:tcPr>
            <w:tcW w:w="862" w:type="pct"/>
            <w:shd w:val="clear" w:color="C0C0C0" w:fill="auto"/>
          </w:tcPr>
          <w:p w:rsidR="007B7D39" w:rsidRPr="00821628" w:rsidRDefault="007B7D39" w:rsidP="00BC29C5">
            <w:pPr>
              <w:tabs>
                <w:tab w:val="left" w:pos="720"/>
              </w:tabs>
              <w:rPr>
                <w:sz w:val="22"/>
                <w:szCs w:val="22"/>
              </w:rPr>
            </w:pPr>
            <w:r w:rsidRPr="00821628">
              <w:rPr>
                <w:sz w:val="22"/>
                <w:szCs w:val="22"/>
              </w:rPr>
              <w:t>0006344533</w:t>
            </w:r>
          </w:p>
        </w:tc>
        <w:tc>
          <w:tcPr>
            <w:tcW w:w="1684" w:type="pct"/>
            <w:shd w:val="clear" w:color="C0C0C0" w:fill="auto"/>
          </w:tcPr>
          <w:p w:rsidR="007B7D39" w:rsidRPr="00530B3B" w:rsidRDefault="007B7D39" w:rsidP="00BC29C5">
            <w:pPr>
              <w:ind w:left="-41"/>
              <w:rPr>
                <w:sz w:val="22"/>
                <w:szCs w:val="22"/>
              </w:rPr>
            </w:pPr>
            <w:r>
              <w:rPr>
                <w:sz w:val="22"/>
                <w:szCs w:val="22"/>
              </w:rPr>
              <w:t>Cricket License Company, LLC</w:t>
            </w:r>
          </w:p>
        </w:tc>
        <w:tc>
          <w:tcPr>
            <w:tcW w:w="1686" w:type="pct"/>
            <w:shd w:val="clear" w:color="C0C0C0" w:fill="auto"/>
          </w:tcPr>
          <w:p w:rsidR="007B7D39" w:rsidRPr="00530B3B" w:rsidRDefault="007B7D39" w:rsidP="00BC29C5">
            <w:pPr>
              <w:rPr>
                <w:sz w:val="22"/>
                <w:szCs w:val="22"/>
              </w:rPr>
            </w:pPr>
            <w:r>
              <w:rPr>
                <w:sz w:val="22"/>
                <w:szCs w:val="22"/>
              </w:rPr>
              <w:t>T-Mobile License LLC</w:t>
            </w:r>
          </w:p>
        </w:tc>
        <w:tc>
          <w:tcPr>
            <w:tcW w:w="767" w:type="pct"/>
            <w:shd w:val="clear" w:color="C0C0C0" w:fill="auto"/>
          </w:tcPr>
          <w:p w:rsidR="007B7D39" w:rsidRPr="00A37D5D" w:rsidRDefault="005105EB" w:rsidP="00BC29C5">
            <w:pPr>
              <w:ind w:hanging="40"/>
              <w:rPr>
                <w:sz w:val="22"/>
                <w:szCs w:val="22"/>
              </w:rPr>
            </w:pPr>
            <w:r>
              <w:rPr>
                <w:sz w:val="22"/>
                <w:szCs w:val="22"/>
              </w:rPr>
              <w:t>KNLF914</w:t>
            </w:r>
          </w:p>
        </w:tc>
      </w:tr>
      <w:tr w:rsidR="007B7D39" w:rsidTr="006C37BB">
        <w:trPr>
          <w:cantSplit/>
          <w:trHeight w:hRule="exact" w:val="144"/>
        </w:trPr>
        <w:tc>
          <w:tcPr>
            <w:tcW w:w="862" w:type="pct"/>
            <w:shd w:val="clear" w:color="C0C0C0" w:fill="auto"/>
          </w:tcPr>
          <w:p w:rsidR="007B7D39" w:rsidRPr="002B7C53" w:rsidRDefault="007B7D39" w:rsidP="000B3C8B">
            <w:pPr>
              <w:tabs>
                <w:tab w:val="left" w:pos="720"/>
              </w:tabs>
              <w:rPr>
                <w:sz w:val="22"/>
                <w:szCs w:val="22"/>
              </w:rPr>
            </w:pPr>
          </w:p>
        </w:tc>
        <w:tc>
          <w:tcPr>
            <w:tcW w:w="1684" w:type="pct"/>
            <w:shd w:val="clear" w:color="C0C0C0" w:fill="auto"/>
          </w:tcPr>
          <w:p w:rsidR="007B7D39" w:rsidRPr="00530B3B" w:rsidRDefault="007B7D39" w:rsidP="000B3C8B">
            <w:pPr>
              <w:ind w:left="-41"/>
              <w:rPr>
                <w:sz w:val="22"/>
                <w:szCs w:val="22"/>
              </w:rPr>
            </w:pPr>
          </w:p>
        </w:tc>
        <w:tc>
          <w:tcPr>
            <w:tcW w:w="1686" w:type="pct"/>
            <w:shd w:val="clear" w:color="C0C0C0" w:fill="auto"/>
          </w:tcPr>
          <w:p w:rsidR="007B7D39" w:rsidRPr="00530B3B" w:rsidRDefault="007B7D39" w:rsidP="002E2DA8">
            <w:pPr>
              <w:rPr>
                <w:sz w:val="22"/>
                <w:szCs w:val="22"/>
              </w:rPr>
            </w:pPr>
          </w:p>
        </w:tc>
        <w:tc>
          <w:tcPr>
            <w:tcW w:w="767" w:type="pct"/>
            <w:shd w:val="clear" w:color="C0C0C0" w:fill="auto"/>
          </w:tcPr>
          <w:p w:rsidR="007B7D39" w:rsidRPr="00A37D5D" w:rsidRDefault="007B7D39">
            <w:pPr>
              <w:ind w:hanging="40"/>
              <w:rPr>
                <w:sz w:val="22"/>
                <w:szCs w:val="22"/>
              </w:rPr>
            </w:pPr>
          </w:p>
        </w:tc>
      </w:tr>
      <w:tr w:rsidR="007B7D39" w:rsidTr="006C37BB">
        <w:trPr>
          <w:cantSplit/>
          <w:trHeight w:val="152"/>
        </w:trPr>
        <w:tc>
          <w:tcPr>
            <w:tcW w:w="862" w:type="pct"/>
            <w:shd w:val="clear" w:color="C0C0C0" w:fill="auto"/>
          </w:tcPr>
          <w:p w:rsidR="007B7D39" w:rsidRPr="00821628" w:rsidRDefault="007B7D39" w:rsidP="000B3C8B">
            <w:pPr>
              <w:tabs>
                <w:tab w:val="left" w:pos="720"/>
              </w:tabs>
              <w:rPr>
                <w:sz w:val="22"/>
                <w:szCs w:val="22"/>
              </w:rPr>
            </w:pPr>
            <w:r>
              <w:rPr>
                <w:sz w:val="22"/>
                <w:szCs w:val="22"/>
              </w:rPr>
              <w:t>0006347935</w:t>
            </w:r>
          </w:p>
        </w:tc>
        <w:tc>
          <w:tcPr>
            <w:tcW w:w="1684" w:type="pct"/>
            <w:shd w:val="clear" w:color="C0C0C0" w:fill="auto"/>
          </w:tcPr>
          <w:p w:rsidR="007B7D39" w:rsidRPr="00530B3B" w:rsidRDefault="007B7D39" w:rsidP="000B3C8B">
            <w:pPr>
              <w:ind w:left="-41"/>
              <w:rPr>
                <w:sz w:val="22"/>
                <w:szCs w:val="22"/>
              </w:rPr>
            </w:pPr>
            <w:r>
              <w:rPr>
                <w:sz w:val="22"/>
                <w:szCs w:val="22"/>
              </w:rPr>
              <w:t xml:space="preserve">AT&amp;T </w:t>
            </w:r>
            <w:r w:rsidR="002232D8">
              <w:rPr>
                <w:sz w:val="22"/>
                <w:szCs w:val="22"/>
              </w:rPr>
              <w:t>Mobility Spectrum LLC</w:t>
            </w:r>
          </w:p>
        </w:tc>
        <w:tc>
          <w:tcPr>
            <w:tcW w:w="1686" w:type="pct"/>
            <w:shd w:val="clear" w:color="C0C0C0" w:fill="auto"/>
          </w:tcPr>
          <w:p w:rsidR="007B7D39" w:rsidRPr="00530B3B" w:rsidRDefault="002232D8" w:rsidP="002E2DA8">
            <w:pPr>
              <w:rPr>
                <w:sz w:val="22"/>
                <w:szCs w:val="22"/>
              </w:rPr>
            </w:pPr>
            <w:r>
              <w:rPr>
                <w:sz w:val="22"/>
                <w:szCs w:val="22"/>
              </w:rPr>
              <w:t>T-Mobile License LLC</w:t>
            </w:r>
          </w:p>
        </w:tc>
        <w:tc>
          <w:tcPr>
            <w:tcW w:w="767" w:type="pct"/>
            <w:shd w:val="clear" w:color="C0C0C0" w:fill="auto"/>
          </w:tcPr>
          <w:p w:rsidR="007B7D39" w:rsidRPr="00A37D5D" w:rsidRDefault="002232D8">
            <w:pPr>
              <w:ind w:hanging="40"/>
              <w:rPr>
                <w:sz w:val="22"/>
                <w:szCs w:val="22"/>
              </w:rPr>
            </w:pPr>
            <w:r>
              <w:rPr>
                <w:sz w:val="22"/>
                <w:szCs w:val="22"/>
              </w:rPr>
              <w:t>WQGA777</w:t>
            </w:r>
          </w:p>
        </w:tc>
      </w:tr>
    </w:tbl>
    <w:p w:rsidR="00677F8D" w:rsidRDefault="00677F8D">
      <w:pPr>
        <w:rPr>
          <w:rStyle w:val="Normal1"/>
          <w:sz w:val="22"/>
          <w:szCs w:val="22"/>
        </w:rPr>
      </w:pPr>
    </w:p>
    <w:p w:rsidR="00F80958" w:rsidRDefault="00F80958" w:rsidP="00F80958">
      <w:pPr>
        <w:rPr>
          <w:rStyle w:val="Normal1"/>
          <w:sz w:val="22"/>
          <w:szCs w:val="22"/>
        </w:rPr>
      </w:pPr>
    </w:p>
    <w:p w:rsidR="00677F8D" w:rsidRDefault="00F80958" w:rsidP="006A740A">
      <w:pPr>
        <w:keepNext/>
        <w:spacing w:after="220"/>
        <w:outlineLvl w:val="0"/>
        <w:rPr>
          <w:rStyle w:val="Normal1"/>
          <w:b/>
          <w:sz w:val="22"/>
          <w:szCs w:val="22"/>
        </w:rPr>
      </w:pPr>
      <w:r>
        <w:rPr>
          <w:rStyle w:val="StyleTimesNewRomanBold11ptBold"/>
          <w:rFonts w:hAnsi="Times New Roman"/>
        </w:rPr>
        <w:t>iiI.</w:t>
      </w:r>
      <w:r>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pPr>
        <w:widowControl/>
        <w:rPr>
          <w:rStyle w:val="Normal1"/>
          <w:b/>
          <w:sz w:val="22"/>
          <w:szCs w:val="22"/>
        </w:rPr>
      </w:pPr>
      <w:r>
        <w:rPr>
          <w:rStyle w:val="Normal1"/>
          <w:b/>
          <w:sz w:val="22"/>
          <w:szCs w:val="22"/>
        </w:rPr>
        <w:tab/>
      </w:r>
      <w:r w:rsidR="00D408DD">
        <w:rPr>
          <w:rStyle w:val="Normal1"/>
          <w:sz w:val="22"/>
          <w:szCs w:val="22"/>
        </w:rPr>
        <w:t>Pursuant to s</w:t>
      </w:r>
      <w:r>
        <w:rPr>
          <w:rStyle w:val="Normal1"/>
          <w:sz w:val="22"/>
          <w:szCs w:val="22"/>
        </w:rPr>
        <w:t>ection 1.1200(a) of the Commission’s rules,</w:t>
      </w:r>
      <w:r>
        <w:rPr>
          <w:rStyle w:val="FootnoteReference"/>
          <w:sz w:val="22"/>
          <w:szCs w:val="22"/>
        </w:rPr>
        <w:footnoteReference w:id="5"/>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restricted proceedings under s</w:t>
      </w:r>
      <w:r>
        <w:rPr>
          <w:rStyle w:val="Normal1"/>
          <w:sz w:val="22"/>
          <w:szCs w:val="22"/>
        </w:rPr>
        <w:t>ection 1.1206 of the Commission’s rules.</w:t>
      </w:r>
      <w:r>
        <w:rPr>
          <w:rStyle w:val="FootnoteReference"/>
          <w:sz w:val="22"/>
          <w:szCs w:val="22"/>
        </w:rPr>
        <w:footnoteReference w:id="6"/>
      </w:r>
    </w:p>
    <w:p w:rsidR="00677F8D" w:rsidRDefault="00677F8D">
      <w:pPr>
        <w:rPr>
          <w:rStyle w:val="Normal1"/>
          <w:b/>
          <w:sz w:val="22"/>
          <w:szCs w:val="22"/>
        </w:rPr>
      </w:pPr>
    </w:p>
    <w:p w:rsidR="00677F8D" w:rsidRDefault="00677F8D" w:rsidP="00F50EED">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7"/>
      </w:r>
      <w:r>
        <w:rPr>
          <w:rStyle w:val="Normal1"/>
          <w:sz w:val="22"/>
          <w:szCs w:val="22"/>
        </w:rPr>
        <w:t xml:space="preserve">  More than a one- or two-sentence description of the views and arguments presented is generally required.</w:t>
      </w:r>
      <w:r>
        <w:rPr>
          <w:rStyle w:val="FootnoteReference"/>
          <w:sz w:val="22"/>
          <w:szCs w:val="22"/>
        </w:rPr>
        <w:footnoteReference w:id="8"/>
      </w:r>
      <w:r>
        <w:rPr>
          <w:rStyle w:val="Normal1"/>
          <w:sz w:val="22"/>
          <w:szCs w:val="22"/>
        </w:rPr>
        <w:t xml:space="preserve">  Other rules pertaining to oral and written </w:t>
      </w:r>
      <w:r w:rsidR="00D408DD">
        <w:rPr>
          <w:rStyle w:val="Normal1"/>
          <w:sz w:val="22"/>
          <w:szCs w:val="22"/>
        </w:rPr>
        <w:t>presentations are set forth in s</w:t>
      </w:r>
      <w:r>
        <w:rPr>
          <w:rStyle w:val="Normal1"/>
          <w:sz w:val="22"/>
          <w:szCs w:val="22"/>
        </w:rPr>
        <w:t>ection 1.1206(b) as well.</w:t>
      </w:r>
      <w:r>
        <w:rPr>
          <w:rStyle w:val="FootnoteReference"/>
          <w:sz w:val="22"/>
          <w:szCs w:val="22"/>
        </w:rPr>
        <w:footnoteReference w:id="9"/>
      </w:r>
    </w:p>
    <w:p w:rsidR="00677F8D" w:rsidRDefault="00677F8D">
      <w:pPr>
        <w:outlineLvl w:val="0"/>
        <w:rPr>
          <w:b/>
          <w:sz w:val="22"/>
          <w:szCs w:val="22"/>
        </w:rPr>
      </w:pPr>
      <w:r>
        <w:rPr>
          <w:b/>
          <w:sz w:val="22"/>
          <w:szCs w:val="22"/>
        </w:rPr>
        <w:t>IV.</w:t>
      </w:r>
      <w:r>
        <w:rPr>
          <w:b/>
          <w:sz w:val="22"/>
          <w:szCs w:val="22"/>
        </w:rPr>
        <w:tab/>
        <w:t>GENERAL INFORMATION</w:t>
      </w:r>
    </w:p>
    <w:p w:rsidR="00677F8D" w:rsidRDefault="00677F8D">
      <w:pPr>
        <w:rPr>
          <w:b/>
          <w:sz w:val="22"/>
          <w:szCs w:val="22"/>
        </w:rPr>
      </w:pPr>
    </w:p>
    <w:p w:rsidR="00677F8D" w:rsidRDefault="00677F8D">
      <w:pPr>
        <w:widowControl/>
        <w:ind w:firstLine="720"/>
        <w:rPr>
          <w:sz w:val="22"/>
          <w:szCs w:val="22"/>
        </w:rPr>
      </w:pPr>
      <w:r>
        <w:rPr>
          <w:sz w:val="22"/>
          <w:szCs w:val="22"/>
        </w:rPr>
        <w:t>The assignment application</w:t>
      </w:r>
      <w:r w:rsidR="0089192F">
        <w:rPr>
          <w:sz w:val="22"/>
          <w:szCs w:val="22"/>
        </w:rPr>
        <w:t>s</w:t>
      </w:r>
      <w:r>
        <w:rPr>
          <w:sz w:val="22"/>
          <w:szCs w:val="22"/>
        </w:rPr>
        <w:t xml:space="preserve"> </w:t>
      </w:r>
      <w:r w:rsidR="0089192F">
        <w:rPr>
          <w:sz w:val="22"/>
          <w:szCs w:val="22"/>
        </w:rPr>
        <w:t>have</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pPr>
        <w:rPr>
          <w:sz w:val="22"/>
          <w:szCs w:val="22"/>
        </w:rPr>
      </w:pPr>
    </w:p>
    <w:p w:rsidR="00677F8D" w:rsidRDefault="00677F8D" w:rsidP="00C756EC">
      <w:pPr>
        <w:widowControl/>
        <w:spacing w:after="240"/>
        <w:rPr>
          <w:sz w:val="22"/>
          <w:szCs w:val="22"/>
        </w:rPr>
      </w:pPr>
      <w:r>
        <w:rPr>
          <w:sz w:val="22"/>
          <w:szCs w:val="22"/>
        </w:rPr>
        <w:tab/>
        <w:t xml:space="preserve">Interested parties must file petitions to deny no later than </w:t>
      </w:r>
      <w:r w:rsidR="00975227">
        <w:rPr>
          <w:b/>
          <w:spacing w:val="-2"/>
          <w:sz w:val="22"/>
          <w:szCs w:val="22"/>
        </w:rPr>
        <w:t>August 20</w:t>
      </w:r>
      <w:r w:rsidR="003649CF" w:rsidRPr="00472085">
        <w:rPr>
          <w:b/>
          <w:spacing w:val="-2"/>
          <w:sz w:val="22"/>
          <w:szCs w:val="22"/>
        </w:rPr>
        <w:t>, 201</w:t>
      </w:r>
      <w:r w:rsidR="00472085" w:rsidRPr="00472085">
        <w:rPr>
          <w:b/>
          <w:spacing w:val="-2"/>
          <w:sz w:val="22"/>
          <w:szCs w:val="22"/>
        </w:rPr>
        <w:t>4</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975227">
        <w:rPr>
          <w:b/>
          <w:spacing w:val="-2"/>
          <w:sz w:val="22"/>
          <w:szCs w:val="22"/>
        </w:rPr>
        <w:t>September 2</w:t>
      </w:r>
      <w:r w:rsidR="00D408DD" w:rsidRPr="00472085">
        <w:rPr>
          <w:b/>
          <w:spacing w:val="-2"/>
          <w:sz w:val="22"/>
          <w:szCs w:val="22"/>
        </w:rPr>
        <w:t>,</w:t>
      </w:r>
      <w:r w:rsidR="003649CF" w:rsidRPr="00472085">
        <w:rPr>
          <w:b/>
          <w:spacing w:val="-2"/>
          <w:sz w:val="22"/>
          <w:szCs w:val="22"/>
        </w:rPr>
        <w:t xml:space="preserve"> 201</w:t>
      </w:r>
      <w:r w:rsidR="00472085" w:rsidRPr="00472085">
        <w:rPr>
          <w:b/>
          <w:spacing w:val="-2"/>
          <w:sz w:val="22"/>
          <w:szCs w:val="22"/>
        </w:rPr>
        <w:t>4</w:t>
      </w:r>
      <w:r>
        <w:rPr>
          <w:sz w:val="22"/>
          <w:szCs w:val="22"/>
        </w:rPr>
        <w:t xml:space="preserve">.  Replies to such pleadings must be filed no later than </w:t>
      </w:r>
      <w:r w:rsidR="00975227">
        <w:rPr>
          <w:b/>
          <w:spacing w:val="-2"/>
          <w:sz w:val="22"/>
          <w:szCs w:val="22"/>
        </w:rPr>
        <w:t>September 9</w:t>
      </w:r>
      <w:r w:rsidR="003649CF" w:rsidRPr="00472085">
        <w:rPr>
          <w:b/>
          <w:sz w:val="22"/>
          <w:szCs w:val="22"/>
        </w:rPr>
        <w:t>, 201</w:t>
      </w:r>
      <w:r w:rsidR="00472085" w:rsidRPr="00472085">
        <w:rPr>
          <w:b/>
          <w:sz w:val="22"/>
          <w:szCs w:val="22"/>
        </w:rPr>
        <w:t>4</w:t>
      </w:r>
      <w:r>
        <w:rPr>
          <w:sz w:val="22"/>
          <w:szCs w:val="22"/>
        </w:rPr>
        <w:t xml:space="preserve">.  All filings concerning matters referenced in this Public Notice should refer to </w:t>
      </w:r>
      <w:r w:rsidR="00D408DD" w:rsidRPr="00D408DD">
        <w:rPr>
          <w:sz w:val="22"/>
          <w:szCs w:val="22"/>
        </w:rPr>
        <w:t>ULS File Nos.</w:t>
      </w:r>
      <w:r w:rsidR="00D440C4" w:rsidRPr="00D440C4">
        <w:rPr>
          <w:sz w:val="22"/>
          <w:szCs w:val="22"/>
        </w:rPr>
        <w:t xml:space="preserve"> </w:t>
      </w:r>
      <w:r w:rsidR="00BD1183">
        <w:rPr>
          <w:sz w:val="22"/>
          <w:szCs w:val="22"/>
        </w:rPr>
        <w:t>0006341062</w:t>
      </w:r>
      <w:r w:rsidR="00D440C4" w:rsidRPr="00D440C4">
        <w:rPr>
          <w:sz w:val="22"/>
          <w:szCs w:val="22"/>
        </w:rPr>
        <w:t xml:space="preserve">, </w:t>
      </w:r>
      <w:r w:rsidR="00BD1183">
        <w:rPr>
          <w:sz w:val="22"/>
          <w:szCs w:val="22"/>
        </w:rPr>
        <w:t xml:space="preserve">0006340995, 0006341010, 0006344480, 0006344526, </w:t>
      </w:r>
      <w:r w:rsidR="002861AE">
        <w:rPr>
          <w:sz w:val="22"/>
          <w:szCs w:val="22"/>
        </w:rPr>
        <w:t>0006344528, 0006344533</w:t>
      </w:r>
      <w:r w:rsidR="00D21575">
        <w:rPr>
          <w:sz w:val="22"/>
          <w:szCs w:val="22"/>
        </w:rPr>
        <w:t>,</w:t>
      </w:r>
      <w:r w:rsidR="002861AE">
        <w:rPr>
          <w:sz w:val="22"/>
          <w:szCs w:val="22"/>
        </w:rPr>
        <w:t xml:space="preserve"> </w:t>
      </w:r>
      <w:r w:rsidR="00D440C4" w:rsidRPr="00D440C4">
        <w:rPr>
          <w:sz w:val="22"/>
          <w:szCs w:val="22"/>
        </w:rPr>
        <w:t>and/or</w:t>
      </w:r>
      <w:r w:rsidR="002232D8">
        <w:rPr>
          <w:sz w:val="22"/>
          <w:szCs w:val="22"/>
        </w:rPr>
        <w:t xml:space="preserve"> 0006347935</w:t>
      </w:r>
      <w:r w:rsidR="006A740A" w:rsidRPr="00D440C4">
        <w:rPr>
          <w:sz w:val="22"/>
          <w:szCs w:val="22"/>
        </w:rPr>
        <w:t>,</w:t>
      </w:r>
      <w:r w:rsidR="006A740A" w:rsidRPr="006A740A">
        <w:rPr>
          <w:sz w:val="22"/>
          <w:szCs w:val="22"/>
        </w:rPr>
        <w:t xml:space="preserve"> </w:t>
      </w:r>
      <w:r w:rsidR="0089192F" w:rsidRPr="0089192F">
        <w:rPr>
          <w:sz w:val="22"/>
          <w:szCs w:val="22"/>
        </w:rPr>
        <w:t>as appropriate</w:t>
      </w:r>
      <w:r w:rsidR="0089192F">
        <w:rPr>
          <w:b/>
          <w:sz w:val="22"/>
          <w:szCs w:val="22"/>
        </w:rPr>
        <w:t>.</w:t>
      </w: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0"/>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1"/>
      </w:r>
      <w:r>
        <w:rPr>
          <w:sz w:val="22"/>
          <w:szCs w:val="22"/>
        </w:rPr>
        <w:t xml:space="preserve"> submissions in this matter may be filed electronically th</w:t>
      </w:r>
      <w:r w:rsidR="00E866B6">
        <w:rPr>
          <w:sz w:val="22"/>
          <w:szCs w:val="22"/>
        </w:rPr>
        <w:t>r</w:t>
      </w:r>
      <w:r>
        <w:rPr>
          <w:sz w:val="22"/>
          <w:szCs w:val="22"/>
        </w:rPr>
        <w:t>ough the Commission’s Uni</w:t>
      </w:r>
      <w:r w:rsidR="00C24B82">
        <w:rPr>
          <w:sz w:val="22"/>
          <w:szCs w:val="22"/>
        </w:rPr>
        <w:t>versal Licensing System (“ULS”)</w:t>
      </w:r>
      <w:r>
        <w:rPr>
          <w:sz w:val="22"/>
          <w:szCs w:val="22"/>
        </w:rPr>
        <w:t xml:space="preserve"> or by hand delivery to the Commission.  </w:t>
      </w:r>
    </w:p>
    <w:p w:rsidR="00677F8D" w:rsidRDefault="00417CC1">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 visit the ULS web site at http://wireless.fcc.gov/uls/ and click on the “Submit a Pleading” link, complete the administrative information, and upload your pleading.</w:t>
      </w:r>
    </w:p>
    <w:p w:rsidR="00677F8D" w:rsidRDefault="00677F8D">
      <w:pPr>
        <w:autoSpaceDE w:val="0"/>
        <w:autoSpaceDN w:val="0"/>
        <w:adjustRightInd w:val="0"/>
        <w:rPr>
          <w:sz w:val="22"/>
          <w:szCs w:val="22"/>
        </w:rPr>
      </w:pPr>
    </w:p>
    <w:p w:rsidR="00677F8D" w:rsidRDefault="00EA12CF" w:rsidP="00F50EED">
      <w:pPr>
        <w:widowControl/>
        <w:numPr>
          <w:ilvl w:val="0"/>
          <w:numId w:val="2"/>
        </w:numPr>
        <w:autoSpaceDE w:val="0"/>
        <w:autoSpaceDN w:val="0"/>
        <w:adjustRightInd w:val="0"/>
        <w:spacing w:after="22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four copies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sidR="00417CC1">
        <w:rPr>
          <w:sz w:val="22"/>
          <w:szCs w:val="22"/>
        </w:rPr>
        <w:t>.</w:t>
      </w:r>
      <w:r w:rsidR="00677F8D">
        <w:rPr>
          <w:sz w:val="22"/>
          <w:szCs w:val="22"/>
        </w:rPr>
        <w:t>W</w:t>
      </w:r>
      <w:r w:rsidR="00417CC1">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rsidP="00E870B9">
      <w:pPr>
        <w:pStyle w:val="BodyText"/>
        <w:widowControl/>
        <w:spacing w:after="2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Pr>
          <w:color w:val="000000"/>
          <w:szCs w:val="22"/>
        </w:rPr>
        <w:t xml:space="preserve">the Commission’s duplicating </w:t>
      </w:r>
      <w:r>
        <w:rPr>
          <w:szCs w:val="22"/>
        </w:rPr>
        <w:t xml:space="preserve">contractor, Best Copy and Printing, Inc., at FCC@BCPIWEB.COM or (202) 488-5563 (facsimile); (2) </w:t>
      </w:r>
      <w:r w:rsidR="006A740A">
        <w:rPr>
          <w:rFonts w:cs="TmsRmn"/>
          <w:szCs w:val="22"/>
        </w:rPr>
        <w:t>Scott Patrick</w:t>
      </w:r>
      <w:r>
        <w:rPr>
          <w:rFonts w:cs="TmsRmn"/>
          <w:szCs w:val="22"/>
        </w:rPr>
        <w:t xml:space="preserve">, </w:t>
      </w:r>
      <w:r>
        <w:rPr>
          <w:szCs w:val="22"/>
        </w:rPr>
        <w:t xml:space="preserve">Mobility Division, </w:t>
      </w:r>
      <w:r>
        <w:rPr>
          <w:rFonts w:cs="TmsRmn"/>
          <w:szCs w:val="22"/>
        </w:rPr>
        <w:t xml:space="preserve">Wireless Telecommunications Bureau, at </w:t>
      </w:r>
      <w:r w:rsidR="006A740A">
        <w:rPr>
          <w:rFonts w:cs="TmsRmn"/>
          <w:szCs w:val="22"/>
        </w:rPr>
        <w:t>scott</w:t>
      </w:r>
      <w:r>
        <w:rPr>
          <w:rFonts w:cs="TmsRmn"/>
          <w:szCs w:val="22"/>
        </w:rPr>
        <w:t>.</w:t>
      </w:r>
      <w:r w:rsidR="006A740A">
        <w:rPr>
          <w:rFonts w:cs="TmsRmn"/>
          <w:szCs w:val="22"/>
        </w:rPr>
        <w:t>patrick</w:t>
      </w:r>
      <w:r>
        <w:rPr>
          <w:rFonts w:cs="TmsRmn"/>
          <w:szCs w:val="22"/>
        </w:rPr>
        <w:t>@fcc.gov or (202) 418-7447 (facsimile);</w:t>
      </w:r>
      <w:r>
        <w:rPr>
          <w:szCs w:val="22"/>
        </w:rPr>
        <w:t xml:space="preserve"> </w:t>
      </w:r>
      <w:r w:rsidR="00773C82">
        <w:rPr>
          <w:szCs w:val="22"/>
        </w:rPr>
        <w:t>(3) Linda Ray, Broadband Division, Wireless Telecommunications Bureau, at linda.ray@fcc.gov or (202) 418-7247 (facsimile); (4</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sidR="00773C82">
        <w:rPr>
          <w:color w:val="000000"/>
          <w:szCs w:val="22"/>
        </w:rPr>
        <w:t>(</w:t>
      </w:r>
      <w:r w:rsidR="0052101B">
        <w:rPr>
          <w:color w:val="000000"/>
          <w:szCs w:val="22"/>
        </w:rPr>
        <w:t>5</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677F8D" w:rsidP="00E870B9">
      <w:pPr>
        <w:pStyle w:val="BodyText"/>
        <w:widowControl/>
        <w:spacing w:after="220"/>
        <w:rPr>
          <w:color w:val="000000"/>
          <w:szCs w:val="22"/>
        </w:rPr>
      </w:pPr>
      <w:r>
        <w:rPr>
          <w:color w:val="000000"/>
          <w:szCs w:val="22"/>
        </w:rPr>
        <w:t xml:space="preserve">Copies of the applications and any subsequently-filed documents in this matter may be obtained from Best Copy and Printing, Inc. in person at </w:t>
      </w:r>
      <w:smartTag w:uri="urn:schemas-microsoft-com:office:smarttags" w:element="Street">
        <w:smartTag w:uri="urn:schemas-microsoft-com:office:smarttags" w:element="address">
          <w:r>
            <w:rPr>
              <w:color w:val="000000"/>
              <w:szCs w:val="22"/>
            </w:rPr>
            <w:t>445 12th Street, S.W.</w:t>
          </w:r>
        </w:smartTag>
      </w:smartTag>
      <w:r>
        <w:rPr>
          <w:color w:val="000000"/>
          <w:szCs w:val="22"/>
        </w:rPr>
        <w:t xml:space="preserve">, Room CY-B402,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r>
          <w:rPr>
            <w:color w:val="000000"/>
            <w:szCs w:val="22"/>
          </w:rPr>
          <w:t xml:space="preserve"> </w:t>
        </w:r>
        <w:smartTag w:uri="urn:schemas-microsoft-com:office:smarttags" w:element="PostalCode">
          <w:r>
            <w:rPr>
              <w:color w:val="000000"/>
              <w:szCs w:val="22"/>
            </w:rPr>
            <w:t>20554</w:t>
          </w:r>
        </w:smartTag>
      </w:smartTag>
      <w:r>
        <w:rPr>
          <w:color w:val="000000"/>
          <w:szCs w:val="22"/>
        </w:rPr>
        <w:t>, via telephone at (202) 488-5300, via facsim</w:t>
      </w:r>
      <w:r w:rsidR="006C046B">
        <w:rPr>
          <w:color w:val="000000"/>
          <w:szCs w:val="22"/>
        </w:rPr>
        <w:t>ile at (202) 488-5563, or via e</w:t>
      </w:r>
      <w:r>
        <w:rPr>
          <w:color w:val="000000"/>
          <w:szCs w:val="22"/>
        </w:rPr>
        <w:t xml:space="preserv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 xml:space="preserve">To request materials in accessible formats for people with disabilities (Braille, large print, electronic </w:t>
      </w:r>
      <w:r w:rsidR="006C046B">
        <w:t>files, audio format), send an e</w:t>
      </w:r>
      <w:r>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t>mail:  FCC504@fcc.gov; phone:  (202) 418-0530</w:t>
      </w:r>
      <w:r w:rsidR="005105EB">
        <w:t>;</w:t>
      </w:r>
      <w:r>
        <w:t xml:space="preserve"> or TTY:  (202) 418-0432.</w:t>
      </w:r>
    </w:p>
    <w:p w:rsidR="00677F8D" w:rsidRDefault="00677F8D" w:rsidP="00E870B9">
      <w:pPr>
        <w:spacing w:after="220"/>
        <w:ind w:firstLine="720"/>
        <w:rPr>
          <w:rStyle w:val="Normal1"/>
          <w:sz w:val="22"/>
          <w:szCs w:val="22"/>
        </w:rPr>
      </w:pPr>
      <w:r>
        <w:rPr>
          <w:sz w:val="22"/>
          <w:szCs w:val="22"/>
        </w:rPr>
        <w:t xml:space="preserve">For further information, contact </w:t>
      </w:r>
      <w:r w:rsidR="0074198F">
        <w:rPr>
          <w:rFonts w:cs="TmsRmn"/>
          <w:sz w:val="22"/>
          <w:szCs w:val="22"/>
        </w:rPr>
        <w:t>Scott Patrick</w:t>
      </w:r>
      <w:r>
        <w:rPr>
          <w:rFonts w:cs="TmsRmn"/>
          <w:sz w:val="22"/>
          <w:szCs w:val="22"/>
        </w:rPr>
        <w:t xml:space="preserve">, </w:t>
      </w:r>
      <w:r>
        <w:rPr>
          <w:sz w:val="22"/>
          <w:szCs w:val="22"/>
        </w:rPr>
        <w:t>Mobility Division, Wireless Telecommunications Bureau, at (202) 418-</w:t>
      </w:r>
      <w:r w:rsidR="0074198F">
        <w:rPr>
          <w:sz w:val="22"/>
          <w:szCs w:val="22"/>
        </w:rPr>
        <w:t>2853</w:t>
      </w:r>
      <w:r>
        <w:rPr>
          <w:sz w:val="22"/>
          <w:szCs w:val="22"/>
        </w:rPr>
        <w:t xml:space="preserve">, or Kate Matraves, Spectrum and Competition 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C9" w:rsidRDefault="00DD7FC9">
      <w:r>
        <w:separator/>
      </w:r>
    </w:p>
  </w:endnote>
  <w:endnote w:type="continuationSeparator" w:id="0">
    <w:p w:rsidR="00DD7FC9" w:rsidRDefault="00D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9" w:rsidRDefault="0024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FE34BD" w:rsidRDefault="00FE34BD">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245EA9">
      <w:rPr>
        <w:noProof/>
        <w:sz w:val="22"/>
        <w:szCs w:val="22"/>
      </w:rPr>
      <w:t>3</w:t>
    </w:r>
    <w:r>
      <w:rPr>
        <w:sz w:val="22"/>
        <w:szCs w:val="22"/>
      </w:rPr>
      <w:fldChar w:fldCharType="end"/>
    </w:r>
  </w:p>
  <w:bookmarkEnd w:id="9"/>
  <w:p w:rsidR="00FE34BD" w:rsidRDefault="00FE3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9" w:rsidRDefault="0024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C9" w:rsidRDefault="00DD7FC9">
      <w:r>
        <w:separator/>
      </w:r>
    </w:p>
  </w:footnote>
  <w:footnote w:type="continuationSeparator" w:id="0">
    <w:p w:rsidR="00DD7FC9" w:rsidRDefault="00DD7FC9">
      <w:r>
        <w:continuationSeparator/>
      </w:r>
    </w:p>
  </w:footnote>
  <w:footnote w:id="1">
    <w:p w:rsidR="00FE34BD" w:rsidRDefault="00FE34BD" w:rsidP="00821628">
      <w:pPr>
        <w:pStyle w:val="FootnoteText"/>
        <w:spacing w:line="240" w:lineRule="auto"/>
      </w:pPr>
      <w:r>
        <w:rPr>
          <w:rStyle w:val="FootnoteReference"/>
          <w:sz w:val="20"/>
        </w:rPr>
        <w:footnoteRef/>
      </w:r>
      <w:r>
        <w:t xml:space="preserve"> 47 U.S.C. § 310(d).  </w:t>
      </w:r>
    </w:p>
  </w:footnote>
  <w:footnote w:id="2">
    <w:p w:rsidR="00FE34BD" w:rsidRPr="005453E8" w:rsidRDefault="00FE34BD" w:rsidP="00092764">
      <w:pPr>
        <w:pStyle w:val="FootnoteText"/>
        <w:spacing w:line="240" w:lineRule="auto"/>
      </w:pPr>
      <w:r w:rsidRPr="005453E8">
        <w:rPr>
          <w:rStyle w:val="FootnoteReference"/>
          <w:sz w:val="20"/>
        </w:rPr>
        <w:footnoteRef/>
      </w:r>
      <w:r w:rsidRPr="005453E8">
        <w:t xml:space="preserve"> </w:t>
      </w:r>
      <w:r w:rsidRPr="002E2DA8">
        <w:t xml:space="preserve">The </w:t>
      </w:r>
      <w:r>
        <w:t>AT&amp;T</w:t>
      </w:r>
      <w:r w:rsidRPr="002E2DA8">
        <w:t xml:space="preserve"> subsidiaries are:  </w:t>
      </w:r>
      <w:r>
        <w:t>AT&amp;T Mobility Spectrum LLC</w:t>
      </w:r>
      <w:r w:rsidRPr="002E2DA8">
        <w:t xml:space="preserve">; </w:t>
      </w:r>
      <w:r>
        <w:t>Cricket License Company, LLC</w:t>
      </w:r>
      <w:r w:rsidRPr="002E2DA8">
        <w:t xml:space="preserve">; </w:t>
      </w:r>
      <w:r w:rsidR="005105EB">
        <w:t xml:space="preserve">and </w:t>
      </w:r>
      <w:r>
        <w:t>New Cingular Wireless PCS, LLC</w:t>
      </w:r>
      <w:r w:rsidRPr="002E2DA8">
        <w:t>.</w:t>
      </w:r>
    </w:p>
  </w:footnote>
  <w:footnote w:id="3">
    <w:p w:rsidR="00FE34BD" w:rsidRPr="00252BF4" w:rsidRDefault="00FE34BD">
      <w:pPr>
        <w:pStyle w:val="FootnoteText"/>
      </w:pPr>
      <w:r w:rsidRPr="00A16A24">
        <w:rPr>
          <w:rStyle w:val="FootnoteReference"/>
          <w:sz w:val="20"/>
        </w:rPr>
        <w:footnoteRef/>
      </w:r>
      <w:r>
        <w:t xml:space="preserve"> </w:t>
      </w:r>
      <w:r>
        <w:rPr>
          <w:i/>
        </w:rPr>
        <w:t xml:space="preserve">See </w:t>
      </w:r>
      <w:r>
        <w:t xml:space="preserve">Applications of Cricket License Company, LLC, </w:t>
      </w:r>
      <w:r>
        <w:rPr>
          <w:i/>
        </w:rPr>
        <w:t>et al.</w:t>
      </w:r>
      <w:r>
        <w:t xml:space="preserve">, Leap Wireless International, Inc., and AT&amp;T Inc. for Consent to Transfer Control of Authorizations, Application of Cricket License Company, LLC and Leap Licensco Inc. for Consent to Assignment of Authorization, </w:t>
      </w:r>
      <w:r>
        <w:rPr>
          <w:i/>
        </w:rPr>
        <w:t>Memorandum Opinion and Order</w:t>
      </w:r>
      <w:r>
        <w:t>, 29 FCC Rcd 2735, 2802 ¶ 162 (WTB/IB 2014)</w:t>
      </w:r>
      <w:r w:rsidR="00CE370C">
        <w:t xml:space="preserve"> (“</w:t>
      </w:r>
      <w:r w:rsidR="00CE370C" w:rsidRPr="00EB634B">
        <w:rPr>
          <w:i/>
        </w:rPr>
        <w:t>AT&amp;T</w:t>
      </w:r>
      <w:r w:rsidR="00EB634B" w:rsidRPr="00EB634B">
        <w:rPr>
          <w:i/>
        </w:rPr>
        <w:t>-</w:t>
      </w:r>
      <w:r w:rsidR="00CE370C" w:rsidRPr="00EB634B">
        <w:rPr>
          <w:i/>
        </w:rPr>
        <w:t>Leap Order</w:t>
      </w:r>
      <w:r w:rsidR="00CE370C">
        <w:t>”)</w:t>
      </w:r>
      <w:r>
        <w:t>.</w:t>
      </w:r>
      <w:r w:rsidR="00577CA0">
        <w:t xml:space="preserve">  Specifically, in the proposed transaction, AT&amp;T would assign 10 </w:t>
      </w:r>
      <w:r w:rsidR="00F50EED">
        <w:t xml:space="preserve">megahertz </w:t>
      </w:r>
      <w:r w:rsidR="00577CA0">
        <w:t xml:space="preserve">of AWS-1 spectrum to T-Mobile in </w:t>
      </w:r>
      <w:r w:rsidR="00904726">
        <w:t>Cellular Market Area (“</w:t>
      </w:r>
      <w:r w:rsidR="00577CA0">
        <w:t>CMA</w:t>
      </w:r>
      <w:r w:rsidR="00904726">
        <w:t>”)</w:t>
      </w:r>
      <w:r w:rsidR="00577CA0">
        <w:t xml:space="preserve"> 101 (Beaumont-Port Arthur, TX) (</w:t>
      </w:r>
      <w:r w:rsidR="00577CA0" w:rsidRPr="00EB634B">
        <w:rPr>
          <w:i/>
        </w:rPr>
        <w:t>i.e.</w:t>
      </w:r>
      <w:r w:rsidR="00577CA0">
        <w:t xml:space="preserve">, 10 </w:t>
      </w:r>
      <w:r w:rsidR="00F50EED">
        <w:t xml:space="preserve">megahertz </w:t>
      </w:r>
      <w:r w:rsidR="00577CA0">
        <w:t xml:space="preserve">of the 20 </w:t>
      </w:r>
      <w:r w:rsidR="00F50EED">
        <w:t xml:space="preserve">megahertz </w:t>
      </w:r>
      <w:r w:rsidR="00577CA0">
        <w:t xml:space="preserve">to be divested in that market); 10 </w:t>
      </w:r>
      <w:r w:rsidR="00F50EED">
        <w:t xml:space="preserve">megahertz </w:t>
      </w:r>
      <w:r w:rsidR="00577CA0">
        <w:t xml:space="preserve">of AWS-1 spectrum in CMA 109 (Spokane, WA); 10 </w:t>
      </w:r>
      <w:r w:rsidR="00F50EED">
        <w:t xml:space="preserve">megahertz </w:t>
      </w:r>
      <w:r w:rsidR="00577CA0">
        <w:t xml:space="preserve">of AWS-1 spectrum in CMA 112 (Corpus Christi, TX); 10 </w:t>
      </w:r>
      <w:r w:rsidR="00F50EED">
        <w:t xml:space="preserve">megahertz </w:t>
      </w:r>
      <w:r w:rsidR="00577CA0">
        <w:t xml:space="preserve">of AWS-1 spectrum in CMA 128 (McAllen-Edinburg-Mission, TX); 10 </w:t>
      </w:r>
      <w:r w:rsidR="00F50EED">
        <w:t xml:space="preserve">megahertz </w:t>
      </w:r>
      <w:r w:rsidR="00577CA0">
        <w:t xml:space="preserve">of AWS-1 spectrum in CMA 162 (Brownsville-Harlingen, TX); 10 </w:t>
      </w:r>
      <w:r w:rsidR="00F50EED">
        <w:t xml:space="preserve">megahertz </w:t>
      </w:r>
      <w:r w:rsidR="00577CA0">
        <w:t xml:space="preserve">of AWS-1 spectrum in CMA 432 (Kansas 5 – Brown (Atchison, Doniphan, and Leavenworth counties)).  In addition, consistent with AT&amp;T’s divestment commitment reflected in </w:t>
      </w:r>
      <w:r w:rsidR="008F50A7">
        <w:t xml:space="preserve">the </w:t>
      </w:r>
      <w:r w:rsidR="00CE370C" w:rsidRPr="00EB634B">
        <w:rPr>
          <w:i/>
        </w:rPr>
        <w:t>AT&amp;T</w:t>
      </w:r>
      <w:r w:rsidR="00EB634B" w:rsidRPr="00EB634B">
        <w:rPr>
          <w:i/>
        </w:rPr>
        <w:t>-</w:t>
      </w:r>
      <w:r w:rsidR="00CE370C" w:rsidRPr="00EB634B">
        <w:rPr>
          <w:i/>
        </w:rPr>
        <w:t>Leap O</w:t>
      </w:r>
      <w:r w:rsidR="00577CA0" w:rsidRPr="00EB634B">
        <w:rPr>
          <w:i/>
        </w:rPr>
        <w:t>rder</w:t>
      </w:r>
      <w:r w:rsidR="00577CA0">
        <w:t xml:space="preserve">, AT&amp;T would assign 10 </w:t>
      </w:r>
      <w:r w:rsidR="00F50EED">
        <w:t xml:space="preserve">megahertz </w:t>
      </w:r>
      <w:r w:rsidR="00577CA0">
        <w:t>of PCS spectrum instead of AWS-1 spectrum as substitute spectrum in two markets – CMA 281 (Laredo, TX) and CMA 669 (Texas 18 – Edwards).</w:t>
      </w:r>
    </w:p>
  </w:footnote>
  <w:footnote w:id="4">
    <w:p w:rsidR="00FE34BD" w:rsidRDefault="00FE34BD" w:rsidP="00821628">
      <w:pPr>
        <w:pStyle w:val="FootnoteText"/>
        <w:spacing w:line="240" w:lineRule="auto"/>
      </w:pPr>
      <w:r w:rsidRPr="00821628">
        <w:rPr>
          <w:rStyle w:val="FootnoteReference"/>
          <w:sz w:val="20"/>
        </w:rPr>
        <w:footnoteRef/>
      </w:r>
      <w:r>
        <w:t xml:space="preserve"> The Applicants have designated ULS File No. </w:t>
      </w:r>
      <w:r w:rsidRPr="00821628">
        <w:t>0006341062</w:t>
      </w:r>
      <w:r>
        <w:t xml:space="preserve"> </w:t>
      </w:r>
      <w:r w:rsidRPr="00821628">
        <w:t>as</w:t>
      </w:r>
      <w:r>
        <w:t xml:space="preserve"> the lead application.</w:t>
      </w:r>
    </w:p>
  </w:footnote>
  <w:footnote w:id="5">
    <w:p w:rsidR="00FE34BD" w:rsidRDefault="00FE34BD">
      <w:pPr>
        <w:spacing w:after="120"/>
        <w:rPr>
          <w:lang w:val="pt-BR"/>
        </w:rPr>
      </w:pPr>
      <w:r>
        <w:rPr>
          <w:rStyle w:val="FootnoteReference"/>
          <w:sz w:val="20"/>
        </w:rPr>
        <w:footnoteRef/>
      </w:r>
      <w:r>
        <w:rPr>
          <w:lang w:val="pt-BR"/>
        </w:rPr>
        <w:t xml:space="preserve"> 47 C.F.R. § 1.1200(a).  </w:t>
      </w:r>
    </w:p>
  </w:footnote>
  <w:footnote w:id="6">
    <w:p w:rsidR="00FE34BD" w:rsidRDefault="00FE34BD" w:rsidP="00821628">
      <w:pPr>
        <w:pStyle w:val="FootnoteText"/>
        <w:spacing w:line="240" w:lineRule="auto"/>
      </w:pPr>
      <w:r>
        <w:rPr>
          <w:rStyle w:val="FootnoteReference"/>
          <w:sz w:val="20"/>
        </w:rPr>
        <w:footnoteRef/>
      </w:r>
      <w:r>
        <w:t xml:space="preserve"> 47 C.F.R. § 1.1206.</w:t>
      </w:r>
    </w:p>
  </w:footnote>
  <w:footnote w:id="7">
    <w:p w:rsidR="00FE34BD" w:rsidRDefault="00FE34BD" w:rsidP="00821628">
      <w:pPr>
        <w:pStyle w:val="FootnoteText"/>
        <w:spacing w:line="240" w:lineRule="auto"/>
      </w:pPr>
      <w:r>
        <w:rPr>
          <w:rStyle w:val="FootnoteReference"/>
          <w:sz w:val="20"/>
        </w:rPr>
        <w:footnoteRef/>
      </w:r>
      <w:r>
        <w:t xml:space="preserve"> </w:t>
      </w:r>
      <w:r>
        <w:rPr>
          <w:i/>
        </w:rPr>
        <w:t xml:space="preserve">See </w:t>
      </w:r>
      <w:r>
        <w:t>47 C.F.R. § 1.1206(b)(1).</w:t>
      </w:r>
    </w:p>
  </w:footnote>
  <w:footnote w:id="8">
    <w:p w:rsidR="00FE34BD" w:rsidRDefault="00FE34BD" w:rsidP="00821628">
      <w:pPr>
        <w:pStyle w:val="FootnoteText"/>
        <w:spacing w:line="240" w:lineRule="auto"/>
      </w:pPr>
      <w:r>
        <w:rPr>
          <w:rStyle w:val="FootnoteReference"/>
          <w:sz w:val="20"/>
        </w:rPr>
        <w:footnoteRef/>
      </w:r>
      <w:r>
        <w:t xml:space="preserve"> </w:t>
      </w:r>
      <w:r>
        <w:rPr>
          <w:i/>
        </w:rPr>
        <w:t>See id</w:t>
      </w:r>
      <w:r>
        <w:t>.</w:t>
      </w:r>
    </w:p>
  </w:footnote>
  <w:footnote w:id="9">
    <w:p w:rsidR="00FE34BD" w:rsidRDefault="00FE34BD" w:rsidP="00821628">
      <w:pPr>
        <w:pStyle w:val="FootnoteText"/>
        <w:spacing w:line="240" w:lineRule="auto"/>
      </w:pPr>
      <w:r>
        <w:rPr>
          <w:rStyle w:val="FootnoteReference"/>
          <w:sz w:val="20"/>
        </w:rPr>
        <w:footnoteRef/>
      </w:r>
      <w:r>
        <w:t xml:space="preserve"> </w:t>
      </w:r>
      <w:r w:rsidRPr="00984C82">
        <w:t>47</w:t>
      </w:r>
      <w:r>
        <w:t xml:space="preserve"> C.F.R. § 1.1206(b).</w:t>
      </w:r>
    </w:p>
  </w:footnote>
  <w:footnote w:id="10">
    <w:p w:rsidR="00FE34BD" w:rsidRDefault="00FE34BD" w:rsidP="00821628">
      <w:pPr>
        <w:pStyle w:val="FootnoteText"/>
        <w:spacing w:line="240" w:lineRule="auto"/>
      </w:pPr>
      <w:r>
        <w:rPr>
          <w:rStyle w:val="FootnoteReference"/>
          <w:sz w:val="20"/>
        </w:rPr>
        <w:footnoteRef/>
      </w:r>
      <w:r>
        <w:t xml:space="preserve"> </w:t>
      </w:r>
      <w:r>
        <w:rPr>
          <w:i/>
        </w:rPr>
        <w:t>See</w:t>
      </w:r>
      <w:r>
        <w:t xml:space="preserve"> 47 C.F.R. § 1.45(c).</w:t>
      </w:r>
    </w:p>
  </w:footnote>
  <w:footnote w:id="11">
    <w:p w:rsidR="00FE34BD" w:rsidRDefault="00FE34BD" w:rsidP="00821628">
      <w:pPr>
        <w:pStyle w:val="FootnoteText"/>
        <w:spacing w:line="240" w:lineRule="auto"/>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9" w:rsidRDefault="0024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9" w:rsidRDefault="0024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9" w:rsidRDefault="00245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05A65"/>
    <w:rsid w:val="0001102C"/>
    <w:rsid w:val="0002745F"/>
    <w:rsid w:val="00034397"/>
    <w:rsid w:val="00047287"/>
    <w:rsid w:val="00055E9E"/>
    <w:rsid w:val="00057CCB"/>
    <w:rsid w:val="00063431"/>
    <w:rsid w:val="00072AF0"/>
    <w:rsid w:val="00081A9D"/>
    <w:rsid w:val="00082953"/>
    <w:rsid w:val="00092764"/>
    <w:rsid w:val="000A3D69"/>
    <w:rsid w:val="000A4B96"/>
    <w:rsid w:val="000A63DF"/>
    <w:rsid w:val="000B3C8B"/>
    <w:rsid w:val="000B5CDB"/>
    <w:rsid w:val="000C0CC6"/>
    <w:rsid w:val="000C20F7"/>
    <w:rsid w:val="000D0F6F"/>
    <w:rsid w:val="000D25E8"/>
    <w:rsid w:val="000D3FAC"/>
    <w:rsid w:val="000F32D1"/>
    <w:rsid w:val="000F4082"/>
    <w:rsid w:val="000F7E3C"/>
    <w:rsid w:val="001169AD"/>
    <w:rsid w:val="0012564E"/>
    <w:rsid w:val="00134241"/>
    <w:rsid w:val="00136C69"/>
    <w:rsid w:val="00140D61"/>
    <w:rsid w:val="001565F2"/>
    <w:rsid w:val="0018560F"/>
    <w:rsid w:val="001A15F0"/>
    <w:rsid w:val="001A1E3B"/>
    <w:rsid w:val="001C30B1"/>
    <w:rsid w:val="001C7231"/>
    <w:rsid w:val="001D6577"/>
    <w:rsid w:val="001F42EC"/>
    <w:rsid w:val="00206039"/>
    <w:rsid w:val="00210FAD"/>
    <w:rsid w:val="002116BF"/>
    <w:rsid w:val="0021240B"/>
    <w:rsid w:val="002232D8"/>
    <w:rsid w:val="00235D9B"/>
    <w:rsid w:val="002448C6"/>
    <w:rsid w:val="00245EA9"/>
    <w:rsid w:val="0025210A"/>
    <w:rsid w:val="00252BF4"/>
    <w:rsid w:val="00277DCE"/>
    <w:rsid w:val="002861AE"/>
    <w:rsid w:val="00292AC0"/>
    <w:rsid w:val="002B07D7"/>
    <w:rsid w:val="002B14E3"/>
    <w:rsid w:val="002B6CF6"/>
    <w:rsid w:val="002B7C53"/>
    <w:rsid w:val="002C5840"/>
    <w:rsid w:val="002E2DA8"/>
    <w:rsid w:val="002F726C"/>
    <w:rsid w:val="003050A6"/>
    <w:rsid w:val="00306EF1"/>
    <w:rsid w:val="00316834"/>
    <w:rsid w:val="00326C7B"/>
    <w:rsid w:val="00332F64"/>
    <w:rsid w:val="00333720"/>
    <w:rsid w:val="003351B8"/>
    <w:rsid w:val="003372ED"/>
    <w:rsid w:val="00347B0B"/>
    <w:rsid w:val="00351E77"/>
    <w:rsid w:val="00355221"/>
    <w:rsid w:val="003649CF"/>
    <w:rsid w:val="00364E45"/>
    <w:rsid w:val="00383EAA"/>
    <w:rsid w:val="003B0C0D"/>
    <w:rsid w:val="003B7BCC"/>
    <w:rsid w:val="003C3439"/>
    <w:rsid w:val="003D51C4"/>
    <w:rsid w:val="003E57CB"/>
    <w:rsid w:val="003E61A5"/>
    <w:rsid w:val="003E6E77"/>
    <w:rsid w:val="00401995"/>
    <w:rsid w:val="00403F34"/>
    <w:rsid w:val="00417CC1"/>
    <w:rsid w:val="004214AC"/>
    <w:rsid w:val="0042250C"/>
    <w:rsid w:val="00423520"/>
    <w:rsid w:val="00425BC1"/>
    <w:rsid w:val="0043770D"/>
    <w:rsid w:val="00447701"/>
    <w:rsid w:val="004545FF"/>
    <w:rsid w:val="00456FDD"/>
    <w:rsid w:val="00464358"/>
    <w:rsid w:val="00464392"/>
    <w:rsid w:val="0046657D"/>
    <w:rsid w:val="00472085"/>
    <w:rsid w:val="00477A8C"/>
    <w:rsid w:val="00480CD8"/>
    <w:rsid w:val="004854BC"/>
    <w:rsid w:val="00486A7E"/>
    <w:rsid w:val="0049508D"/>
    <w:rsid w:val="004C79D2"/>
    <w:rsid w:val="004E0F03"/>
    <w:rsid w:val="004E207A"/>
    <w:rsid w:val="004F7A4B"/>
    <w:rsid w:val="005023FC"/>
    <w:rsid w:val="00503D66"/>
    <w:rsid w:val="00504995"/>
    <w:rsid w:val="005105EB"/>
    <w:rsid w:val="00515B31"/>
    <w:rsid w:val="00517283"/>
    <w:rsid w:val="0052101B"/>
    <w:rsid w:val="00530B3B"/>
    <w:rsid w:val="005314BE"/>
    <w:rsid w:val="00536820"/>
    <w:rsid w:val="0054160E"/>
    <w:rsid w:val="005448D6"/>
    <w:rsid w:val="005453E8"/>
    <w:rsid w:val="005679E0"/>
    <w:rsid w:val="0057004C"/>
    <w:rsid w:val="0057338C"/>
    <w:rsid w:val="00577CA0"/>
    <w:rsid w:val="005800DB"/>
    <w:rsid w:val="00586237"/>
    <w:rsid w:val="00587E3E"/>
    <w:rsid w:val="005A7837"/>
    <w:rsid w:val="005A7BC7"/>
    <w:rsid w:val="005B0C21"/>
    <w:rsid w:val="005C2259"/>
    <w:rsid w:val="005D0AF1"/>
    <w:rsid w:val="005D15FA"/>
    <w:rsid w:val="005E4AA2"/>
    <w:rsid w:val="005F510C"/>
    <w:rsid w:val="006003C2"/>
    <w:rsid w:val="00612C7A"/>
    <w:rsid w:val="006133DB"/>
    <w:rsid w:val="006224DE"/>
    <w:rsid w:val="006428F9"/>
    <w:rsid w:val="00645EBF"/>
    <w:rsid w:val="006471A5"/>
    <w:rsid w:val="00651112"/>
    <w:rsid w:val="00652B48"/>
    <w:rsid w:val="00655701"/>
    <w:rsid w:val="00656CDD"/>
    <w:rsid w:val="006570B8"/>
    <w:rsid w:val="00667AD7"/>
    <w:rsid w:val="0067793B"/>
    <w:rsid w:val="00677F8D"/>
    <w:rsid w:val="0068151F"/>
    <w:rsid w:val="00681725"/>
    <w:rsid w:val="00694B33"/>
    <w:rsid w:val="006A12E5"/>
    <w:rsid w:val="006A71FB"/>
    <w:rsid w:val="006A740A"/>
    <w:rsid w:val="006B46C4"/>
    <w:rsid w:val="006C046B"/>
    <w:rsid w:val="006C37BB"/>
    <w:rsid w:val="006C3B87"/>
    <w:rsid w:val="006D28F9"/>
    <w:rsid w:val="006E2BAF"/>
    <w:rsid w:val="006E3609"/>
    <w:rsid w:val="00721982"/>
    <w:rsid w:val="007337D5"/>
    <w:rsid w:val="007350D2"/>
    <w:rsid w:val="00735367"/>
    <w:rsid w:val="007370CA"/>
    <w:rsid w:val="0074198F"/>
    <w:rsid w:val="00752D16"/>
    <w:rsid w:val="0076694F"/>
    <w:rsid w:val="00767C61"/>
    <w:rsid w:val="00773C82"/>
    <w:rsid w:val="00775C36"/>
    <w:rsid w:val="007B1E3B"/>
    <w:rsid w:val="007B5BA3"/>
    <w:rsid w:val="007B7D39"/>
    <w:rsid w:val="007C09B3"/>
    <w:rsid w:val="007D6F71"/>
    <w:rsid w:val="007E1899"/>
    <w:rsid w:val="0080010D"/>
    <w:rsid w:val="00803E33"/>
    <w:rsid w:val="00821628"/>
    <w:rsid w:val="00824C75"/>
    <w:rsid w:val="0085372E"/>
    <w:rsid w:val="00863C62"/>
    <w:rsid w:val="00873985"/>
    <w:rsid w:val="008815DB"/>
    <w:rsid w:val="00883BA2"/>
    <w:rsid w:val="0089192F"/>
    <w:rsid w:val="008A1203"/>
    <w:rsid w:val="008B0BC9"/>
    <w:rsid w:val="008D014E"/>
    <w:rsid w:val="008F50A7"/>
    <w:rsid w:val="008F6D85"/>
    <w:rsid w:val="00900634"/>
    <w:rsid w:val="00901DBA"/>
    <w:rsid w:val="00903DBB"/>
    <w:rsid w:val="00903E93"/>
    <w:rsid w:val="00904726"/>
    <w:rsid w:val="00914C0E"/>
    <w:rsid w:val="00934298"/>
    <w:rsid w:val="00941C30"/>
    <w:rsid w:val="009515A8"/>
    <w:rsid w:val="009553D8"/>
    <w:rsid w:val="009562BB"/>
    <w:rsid w:val="00957372"/>
    <w:rsid w:val="009739FC"/>
    <w:rsid w:val="00975178"/>
    <w:rsid w:val="00975227"/>
    <w:rsid w:val="00982888"/>
    <w:rsid w:val="00982F01"/>
    <w:rsid w:val="00983ACC"/>
    <w:rsid w:val="00984C82"/>
    <w:rsid w:val="00991DC8"/>
    <w:rsid w:val="00993B6F"/>
    <w:rsid w:val="009957B2"/>
    <w:rsid w:val="009A6D5B"/>
    <w:rsid w:val="009B19CE"/>
    <w:rsid w:val="009B37D4"/>
    <w:rsid w:val="009C2A04"/>
    <w:rsid w:val="009D69ED"/>
    <w:rsid w:val="009F7005"/>
    <w:rsid w:val="00A00F92"/>
    <w:rsid w:val="00A136B1"/>
    <w:rsid w:val="00A16A24"/>
    <w:rsid w:val="00A22548"/>
    <w:rsid w:val="00A31D40"/>
    <w:rsid w:val="00A34C90"/>
    <w:rsid w:val="00A37D5D"/>
    <w:rsid w:val="00A535DC"/>
    <w:rsid w:val="00A60C92"/>
    <w:rsid w:val="00A60DEB"/>
    <w:rsid w:val="00A72230"/>
    <w:rsid w:val="00A76D5D"/>
    <w:rsid w:val="00A83B3C"/>
    <w:rsid w:val="00A96D24"/>
    <w:rsid w:val="00AA5EAE"/>
    <w:rsid w:val="00AB5B23"/>
    <w:rsid w:val="00AC01CE"/>
    <w:rsid w:val="00AC0E5E"/>
    <w:rsid w:val="00AD78F3"/>
    <w:rsid w:val="00AE77FA"/>
    <w:rsid w:val="00AF2538"/>
    <w:rsid w:val="00AF2DE6"/>
    <w:rsid w:val="00B01EAD"/>
    <w:rsid w:val="00B067D2"/>
    <w:rsid w:val="00B1028A"/>
    <w:rsid w:val="00B230DB"/>
    <w:rsid w:val="00B25310"/>
    <w:rsid w:val="00B26D18"/>
    <w:rsid w:val="00B3166C"/>
    <w:rsid w:val="00B40D0B"/>
    <w:rsid w:val="00B41B48"/>
    <w:rsid w:val="00B52A76"/>
    <w:rsid w:val="00B54122"/>
    <w:rsid w:val="00B61D94"/>
    <w:rsid w:val="00B76B3E"/>
    <w:rsid w:val="00B816F2"/>
    <w:rsid w:val="00B92715"/>
    <w:rsid w:val="00B96B0D"/>
    <w:rsid w:val="00BA5D1F"/>
    <w:rsid w:val="00BA6346"/>
    <w:rsid w:val="00BA65C4"/>
    <w:rsid w:val="00BB15FE"/>
    <w:rsid w:val="00BB4E72"/>
    <w:rsid w:val="00BB7717"/>
    <w:rsid w:val="00BB7795"/>
    <w:rsid w:val="00BC25ED"/>
    <w:rsid w:val="00BC29C5"/>
    <w:rsid w:val="00BC583C"/>
    <w:rsid w:val="00BC7099"/>
    <w:rsid w:val="00BD1183"/>
    <w:rsid w:val="00BD17BA"/>
    <w:rsid w:val="00BD2323"/>
    <w:rsid w:val="00BE11E5"/>
    <w:rsid w:val="00BF05A5"/>
    <w:rsid w:val="00BF7867"/>
    <w:rsid w:val="00C13E61"/>
    <w:rsid w:val="00C24B82"/>
    <w:rsid w:val="00C31250"/>
    <w:rsid w:val="00C31724"/>
    <w:rsid w:val="00C33CF3"/>
    <w:rsid w:val="00C41DDA"/>
    <w:rsid w:val="00C4740D"/>
    <w:rsid w:val="00C567EA"/>
    <w:rsid w:val="00C61351"/>
    <w:rsid w:val="00C62422"/>
    <w:rsid w:val="00C756EC"/>
    <w:rsid w:val="00C77420"/>
    <w:rsid w:val="00C84566"/>
    <w:rsid w:val="00C96DD2"/>
    <w:rsid w:val="00CA2878"/>
    <w:rsid w:val="00CA4B20"/>
    <w:rsid w:val="00CC6FAF"/>
    <w:rsid w:val="00CD5540"/>
    <w:rsid w:val="00CD6351"/>
    <w:rsid w:val="00CE370C"/>
    <w:rsid w:val="00CF049C"/>
    <w:rsid w:val="00CF0B04"/>
    <w:rsid w:val="00CF573C"/>
    <w:rsid w:val="00D13800"/>
    <w:rsid w:val="00D21575"/>
    <w:rsid w:val="00D31F30"/>
    <w:rsid w:val="00D34AF5"/>
    <w:rsid w:val="00D408DD"/>
    <w:rsid w:val="00D41944"/>
    <w:rsid w:val="00D43250"/>
    <w:rsid w:val="00D43BC1"/>
    <w:rsid w:val="00D440C4"/>
    <w:rsid w:val="00D44C9A"/>
    <w:rsid w:val="00D45262"/>
    <w:rsid w:val="00D519C7"/>
    <w:rsid w:val="00D60517"/>
    <w:rsid w:val="00D74C38"/>
    <w:rsid w:val="00D76632"/>
    <w:rsid w:val="00D810F0"/>
    <w:rsid w:val="00D81E48"/>
    <w:rsid w:val="00D84F07"/>
    <w:rsid w:val="00DA440B"/>
    <w:rsid w:val="00DA5024"/>
    <w:rsid w:val="00DA7B54"/>
    <w:rsid w:val="00DB293C"/>
    <w:rsid w:val="00DC0594"/>
    <w:rsid w:val="00DD45C0"/>
    <w:rsid w:val="00DD7FC9"/>
    <w:rsid w:val="00DE2AB7"/>
    <w:rsid w:val="00DE5A5E"/>
    <w:rsid w:val="00DF192C"/>
    <w:rsid w:val="00DF19E4"/>
    <w:rsid w:val="00E24ABE"/>
    <w:rsid w:val="00E26571"/>
    <w:rsid w:val="00E302C0"/>
    <w:rsid w:val="00E45524"/>
    <w:rsid w:val="00E61F3B"/>
    <w:rsid w:val="00E651F6"/>
    <w:rsid w:val="00E65547"/>
    <w:rsid w:val="00E71D1D"/>
    <w:rsid w:val="00E85AEC"/>
    <w:rsid w:val="00E866B6"/>
    <w:rsid w:val="00E870B9"/>
    <w:rsid w:val="00EA12CF"/>
    <w:rsid w:val="00EB3859"/>
    <w:rsid w:val="00EB5171"/>
    <w:rsid w:val="00EB634B"/>
    <w:rsid w:val="00EC251B"/>
    <w:rsid w:val="00EC7FDB"/>
    <w:rsid w:val="00ED33C0"/>
    <w:rsid w:val="00EE06B5"/>
    <w:rsid w:val="00EE3F0A"/>
    <w:rsid w:val="00F17815"/>
    <w:rsid w:val="00F50EED"/>
    <w:rsid w:val="00F51843"/>
    <w:rsid w:val="00F53CDA"/>
    <w:rsid w:val="00F67B1C"/>
    <w:rsid w:val="00F700D7"/>
    <w:rsid w:val="00F75584"/>
    <w:rsid w:val="00F80958"/>
    <w:rsid w:val="00F90AE1"/>
    <w:rsid w:val="00F933C4"/>
    <w:rsid w:val="00FA0EE9"/>
    <w:rsid w:val="00FB0C57"/>
    <w:rsid w:val="00FB1437"/>
    <w:rsid w:val="00FB3631"/>
    <w:rsid w:val="00FB6F13"/>
    <w:rsid w:val="00FC4079"/>
    <w:rsid w:val="00FD11C1"/>
    <w:rsid w:val="00FE2520"/>
    <w:rsid w:val="00FE34BD"/>
    <w:rsid w:val="00FE7489"/>
    <w:rsid w:val="00FF3F1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paragraph" w:customStyle="1" w:styleId="Default">
    <w:name w:val="Default"/>
    <w:rsid w:val="00656CD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paragraph" w:customStyle="1" w:styleId="Default">
    <w:name w:val="Default"/>
    <w:rsid w:val="00656C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5964">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 w:id="1146236341">
      <w:bodyDiv w:val="1"/>
      <w:marLeft w:val="0"/>
      <w:marRight w:val="0"/>
      <w:marTop w:val="0"/>
      <w:marBottom w:val="0"/>
      <w:divBdr>
        <w:top w:val="none" w:sz="0" w:space="0" w:color="auto"/>
        <w:left w:val="none" w:sz="0" w:space="0" w:color="auto"/>
        <w:bottom w:val="none" w:sz="0" w:space="0" w:color="auto"/>
        <w:right w:val="none" w:sz="0" w:space="0" w:color="auto"/>
      </w:divBdr>
    </w:div>
    <w:div w:id="1542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8159</Characters>
  <Application>Microsoft Office Word</Application>
  <DocSecurity>0</DocSecurity>
  <Lines>191</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2012-10-09T17:02:00Z</cp:lastPrinted>
  <dcterms:created xsi:type="dcterms:W3CDTF">2014-07-30T14:20:00Z</dcterms:created>
  <dcterms:modified xsi:type="dcterms:W3CDTF">2014-07-30T14:20:00Z</dcterms:modified>
  <cp:category> </cp:category>
  <cp:contentStatus> </cp:contentStatus>
</cp:coreProperties>
</file>