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FC77E3" w:rsidP="007115F7">
            <w:pPr>
              <w:tabs>
                <w:tab w:val="center" w:pos="4680"/>
              </w:tabs>
              <w:suppressAutoHyphens/>
              <w:rPr>
                <w:spacing w:val="-2"/>
              </w:rPr>
            </w:pPr>
            <w:r w:rsidRPr="00FC77E3">
              <w:rPr>
                <w:b/>
                <w:spacing w:val="-2"/>
              </w:rPr>
              <w:t>Iridium Constellation LLC</w:t>
            </w:r>
          </w:p>
          <w:p w:rsidR="00FC77E3" w:rsidRDefault="00FC77E3" w:rsidP="007115F7">
            <w:pPr>
              <w:tabs>
                <w:tab w:val="center" w:pos="4680"/>
              </w:tabs>
              <w:suppressAutoHyphens/>
              <w:rPr>
                <w:spacing w:val="-2"/>
              </w:rPr>
            </w:pPr>
          </w:p>
          <w:p w:rsidR="00FC77E3" w:rsidRPr="00FC77E3" w:rsidRDefault="006629C7" w:rsidP="00745D22">
            <w:pPr>
              <w:tabs>
                <w:tab w:val="center" w:pos="4680"/>
              </w:tabs>
              <w:suppressAutoHyphens/>
              <w:rPr>
                <w:spacing w:val="-2"/>
              </w:rPr>
            </w:pPr>
            <w:r>
              <w:rPr>
                <w:spacing w:val="-2"/>
              </w:rPr>
              <w:t xml:space="preserve">Application for Modification of </w:t>
            </w:r>
            <w:r w:rsidR="008A7F06">
              <w:rPr>
                <w:spacing w:val="-2"/>
              </w:rPr>
              <w:t xml:space="preserve">Big LEO </w:t>
            </w:r>
            <w:r w:rsidR="00745D22">
              <w:rPr>
                <w:spacing w:val="-2"/>
              </w:rPr>
              <w:t>License</w:t>
            </w:r>
            <w:r>
              <w:rPr>
                <w:spacing w:val="-2"/>
              </w:rPr>
              <w:t xml:space="preserve"> to </w:t>
            </w:r>
            <w:r w:rsidR="00D55F69">
              <w:rPr>
                <w:spacing w:val="-2"/>
              </w:rPr>
              <w:t xml:space="preserve">Change </w:t>
            </w:r>
            <w:r w:rsidR="008A7F06">
              <w:rPr>
                <w:spacing w:val="-2"/>
              </w:rPr>
              <w:t>the Orbital Debris Mitigation Plan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rsidP="00BB5C90">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BB5C90" w:rsidRDefault="00BB5C90" w:rsidP="00BB5C90">
            <w:pPr>
              <w:tabs>
                <w:tab w:val="left" w:pos="1062"/>
                <w:tab w:val="center" w:pos="4680"/>
              </w:tabs>
              <w:suppressAutoHyphens/>
              <w:rPr>
                <w:spacing w:val="-2"/>
              </w:rPr>
            </w:pPr>
            <w:r>
              <w:rPr>
                <w:spacing w:val="-2"/>
              </w:rPr>
              <w:t xml:space="preserve">File No.: </w:t>
            </w:r>
            <w:r>
              <w:rPr>
                <w:spacing w:val="-2"/>
              </w:rPr>
              <w:tab/>
            </w:r>
            <w:r w:rsidRPr="006629C7">
              <w:rPr>
                <w:spacing w:val="-2"/>
              </w:rPr>
              <w:t>SAT-MOD-20080701-00140</w:t>
            </w:r>
          </w:p>
          <w:p w:rsidR="00E3707D" w:rsidRDefault="00BB5C90" w:rsidP="00BB5C90">
            <w:pPr>
              <w:tabs>
                <w:tab w:val="left" w:pos="1062"/>
                <w:tab w:val="center" w:pos="4680"/>
              </w:tabs>
              <w:suppressAutoHyphens/>
              <w:rPr>
                <w:spacing w:val="-2"/>
              </w:rPr>
            </w:pPr>
            <w:r>
              <w:rPr>
                <w:spacing w:val="-2"/>
              </w:rPr>
              <w:t xml:space="preserve">Call Sign: </w:t>
            </w:r>
            <w:r>
              <w:rPr>
                <w:spacing w:val="-2"/>
              </w:rPr>
              <w:tab/>
              <w:t>S2110</w:t>
            </w:r>
          </w:p>
          <w:p w:rsidR="00E3707D" w:rsidRDefault="00E3707D" w:rsidP="006629C7">
            <w:pPr>
              <w:tabs>
                <w:tab w:val="left" w:pos="1062"/>
                <w:tab w:val="center" w:pos="4680"/>
              </w:tabs>
              <w:suppressAutoHyphens/>
              <w:rPr>
                <w:spacing w:val="-2"/>
              </w:rPr>
            </w:pPr>
          </w:p>
          <w:p w:rsidR="006629C7" w:rsidRDefault="006629C7" w:rsidP="006629C7">
            <w:pPr>
              <w:tabs>
                <w:tab w:val="left" w:pos="1062"/>
                <w:tab w:val="center" w:pos="4680"/>
              </w:tabs>
              <w:suppressAutoHyphens/>
              <w:rPr>
                <w:spacing w:val="-2"/>
              </w:rPr>
            </w:pPr>
          </w:p>
        </w:tc>
      </w:tr>
    </w:tbl>
    <w:p w:rsidR="00841AB1" w:rsidRDefault="00CE2C8B" w:rsidP="00F021FA">
      <w:pPr>
        <w:pStyle w:val="StyleBoldCentered"/>
      </w:pPr>
      <w:r>
        <w:t>order and authorization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B5C90">
        <w:rPr>
          <w:b/>
          <w:spacing w:val="-2"/>
        </w:rPr>
        <w:t>July 31,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B5C90">
        <w:rPr>
          <w:b/>
          <w:spacing w:val="-2"/>
        </w:rPr>
        <w:t>July 31, 2014</w:t>
      </w:r>
    </w:p>
    <w:p w:rsidR="00822CE0" w:rsidRDefault="00822CE0"/>
    <w:p w:rsidR="004C2EE3" w:rsidRDefault="004C2EE3">
      <w:pPr>
        <w:rPr>
          <w:spacing w:val="-2"/>
        </w:rPr>
      </w:pPr>
      <w:r>
        <w:t xml:space="preserve">By </w:t>
      </w:r>
      <w:r w:rsidR="004E4A22">
        <w:t>the</w:t>
      </w:r>
      <w:r w:rsidR="002A2D2E">
        <w:t xml:space="preserve"> </w:t>
      </w:r>
      <w:r w:rsidR="00FC77E3">
        <w:rPr>
          <w:spacing w:val="-2"/>
        </w:rPr>
        <w:t>Chief, Satellite Division, International Bureau</w:t>
      </w:r>
      <w:r>
        <w:rPr>
          <w:spacing w:val="-2"/>
        </w:rPr>
        <w:t>:</w:t>
      </w:r>
    </w:p>
    <w:p w:rsidR="00822CE0" w:rsidRDefault="00822CE0">
      <w:pPr>
        <w:rPr>
          <w:spacing w:val="-2"/>
        </w:rPr>
      </w:pPr>
    </w:p>
    <w:p w:rsidR="002C00E8" w:rsidRDefault="008A7F06" w:rsidP="002C00E8">
      <w:pPr>
        <w:pStyle w:val="Heading1"/>
      </w:pPr>
      <w:r>
        <w:t>introduction</w:t>
      </w:r>
    </w:p>
    <w:p w:rsidR="008A7F06" w:rsidRDefault="008A7F06" w:rsidP="00684EEE">
      <w:pPr>
        <w:pStyle w:val="ParaNum"/>
      </w:pPr>
      <w:r>
        <w:t xml:space="preserve">By this Order, </w:t>
      </w:r>
      <w:r w:rsidR="00C67B2D">
        <w:t xml:space="preserve">we authorize </w:t>
      </w:r>
      <w:r w:rsidR="00C67B2D" w:rsidRPr="00C67B2D">
        <w:t>Iridium Constellation LLC</w:t>
      </w:r>
      <w:r w:rsidR="00C67B2D">
        <w:t xml:space="preserve"> (Iridium) to operate up to ten of its </w:t>
      </w:r>
      <w:r w:rsidR="00CE2C8B">
        <w:t xml:space="preserve">non-geostationary orbit (NGSO) space stations </w:t>
      </w:r>
      <w:r w:rsidR="00D44B7E">
        <w:t>under a revised orbital debris mitigation plan</w:t>
      </w:r>
      <w:r w:rsidR="00467421">
        <w:t>, which extends the</w:t>
      </w:r>
      <w:r w:rsidR="004B4B79">
        <w:t xml:space="preserve"> post-mission atmospheric re-entry period from within a few months to within 25 years.</w:t>
      </w:r>
      <w:r w:rsidR="00AA72B8">
        <w:t xml:space="preserve">  </w:t>
      </w:r>
      <w:r w:rsidR="00D44B7E">
        <w:t>We deny</w:t>
      </w:r>
      <w:r w:rsidR="00AA72B8">
        <w:t>, at this time,</w:t>
      </w:r>
      <w:r w:rsidR="00D44B7E">
        <w:t xml:space="preserve"> Iridium’s request to operate </w:t>
      </w:r>
      <w:r w:rsidR="003175B0">
        <w:t>its</w:t>
      </w:r>
      <w:r w:rsidR="00D44B7E">
        <w:t xml:space="preserve"> remaining space stations under the revised plan.  </w:t>
      </w:r>
      <w:r w:rsidR="00891CA1">
        <w:t>T</w:t>
      </w:r>
      <w:r w:rsidR="00D44B7E">
        <w:t xml:space="preserve">his action </w:t>
      </w:r>
      <w:r w:rsidR="007552E4">
        <w:t>will</w:t>
      </w:r>
      <w:r w:rsidR="00D44B7E">
        <w:t xml:space="preserve"> </w:t>
      </w:r>
      <w:r w:rsidR="00360EDB">
        <w:t xml:space="preserve">allow Iridium to continue </w:t>
      </w:r>
      <w:r w:rsidR="00F63C04">
        <w:t xml:space="preserve">seamless operation of </w:t>
      </w:r>
      <w:r w:rsidR="00360EDB">
        <w:t xml:space="preserve">its </w:t>
      </w:r>
      <w:r w:rsidR="00AA72B8">
        <w:t xml:space="preserve">satellite </w:t>
      </w:r>
      <w:r w:rsidR="00360EDB">
        <w:t xml:space="preserve">constellation </w:t>
      </w:r>
      <w:r w:rsidR="00684EEE">
        <w:t>while mitigating</w:t>
      </w:r>
      <w:r w:rsidR="00AA72B8">
        <w:t xml:space="preserve"> the risk</w:t>
      </w:r>
      <w:r w:rsidR="00C655E7">
        <w:t xml:space="preserve">s associated with </w:t>
      </w:r>
      <w:r w:rsidR="00360EDB">
        <w:t>the post-mission disposal of its satellites.</w:t>
      </w:r>
    </w:p>
    <w:p w:rsidR="002031EE" w:rsidRDefault="002031EE" w:rsidP="002031EE">
      <w:pPr>
        <w:pStyle w:val="Heading1"/>
      </w:pPr>
      <w:r>
        <w:t>background</w:t>
      </w:r>
    </w:p>
    <w:p w:rsidR="00360EDB" w:rsidRDefault="007A2F59" w:rsidP="00A70D83">
      <w:pPr>
        <w:pStyle w:val="ParaNum"/>
      </w:pPr>
      <w:r w:rsidRPr="007A2F59">
        <w:t xml:space="preserve">On January 31, 1995, </w:t>
      </w:r>
      <w:r>
        <w:t>Iridium’s</w:t>
      </w:r>
      <w:r w:rsidR="008D2D7F">
        <w:t xml:space="preserve"> predecessor-</w:t>
      </w:r>
      <w:r w:rsidRPr="007A2F59">
        <w:t>in</w:t>
      </w:r>
      <w:r w:rsidR="008D2D7F">
        <w:t>-</w:t>
      </w:r>
      <w:r w:rsidRPr="007A2F59">
        <w:t>interest, Motorola Satellite Communications, Inc., was authorized to construct, launch</w:t>
      </w:r>
      <w:r w:rsidR="006C722B">
        <w:t>,</w:t>
      </w:r>
      <w:r w:rsidRPr="007A2F59">
        <w:t xml:space="preserve"> and operate a</w:t>
      </w:r>
      <w:r w:rsidR="00A70D83">
        <w:t xml:space="preserve"> </w:t>
      </w:r>
      <w:r w:rsidR="00E87FE7">
        <w:t>“Big LEO”</w:t>
      </w:r>
      <w:r w:rsidR="00DF7162">
        <w:rPr>
          <w:rStyle w:val="FootnoteReference"/>
        </w:rPr>
        <w:footnoteReference w:id="2"/>
      </w:r>
      <w:r w:rsidRPr="007A2F59">
        <w:t xml:space="preserve"> </w:t>
      </w:r>
      <w:r w:rsidR="000E08BA">
        <w:t xml:space="preserve">NGSO </w:t>
      </w:r>
      <w:r w:rsidR="006D24EE">
        <w:t>Mob</w:t>
      </w:r>
      <w:r w:rsidRPr="007A2F59">
        <w:t>ile</w:t>
      </w:r>
      <w:r w:rsidR="006D24EE">
        <w:t>-Satellite Service</w:t>
      </w:r>
      <w:r w:rsidRPr="007A2F59">
        <w:t xml:space="preserve"> (MSS) </w:t>
      </w:r>
      <w:r w:rsidR="006D24EE">
        <w:t xml:space="preserve">system </w:t>
      </w:r>
      <w:r w:rsidRPr="007A2F59">
        <w:t>consisting of 66 satellites an</w:t>
      </w:r>
      <w:r w:rsidR="006D24EE">
        <w:t>d up to 12 in-orbit spare</w:t>
      </w:r>
      <w:r w:rsidR="00001791">
        <w:t>s</w:t>
      </w:r>
      <w:r w:rsidR="006D24EE">
        <w:t>.</w:t>
      </w:r>
      <w:r w:rsidR="006D24EE">
        <w:rPr>
          <w:rStyle w:val="FootnoteReference"/>
        </w:rPr>
        <w:footnoteReference w:id="3"/>
      </w:r>
      <w:r w:rsidR="006C722B">
        <w:t xml:space="preserve">  </w:t>
      </w:r>
      <w:r w:rsidR="003738BA">
        <w:t xml:space="preserve">This original authorization for the Iridium system </w:t>
      </w:r>
      <w:r w:rsidR="00D26DBF">
        <w:t>did not include an orbital debris mitigation plan.</w:t>
      </w:r>
    </w:p>
    <w:p w:rsidR="00511C86" w:rsidRDefault="002A7389" w:rsidP="006D7D0F">
      <w:pPr>
        <w:pStyle w:val="ParaNum"/>
      </w:pPr>
      <w:r>
        <w:t xml:space="preserve">On </w:t>
      </w:r>
      <w:r w:rsidRPr="002A7389">
        <w:t>February 8, 2002</w:t>
      </w:r>
      <w:r>
        <w:t xml:space="preserve">, </w:t>
      </w:r>
      <w:r w:rsidR="006D0339">
        <w:t xml:space="preserve">the </w:t>
      </w:r>
      <w:r w:rsidR="00303CFE">
        <w:t>International Bureau</w:t>
      </w:r>
      <w:r w:rsidR="00154A83">
        <w:t xml:space="preserve"> approved</w:t>
      </w:r>
      <w:r w:rsidR="006D0339">
        <w:t xml:space="preserve"> the assignment </w:t>
      </w:r>
      <w:r w:rsidR="009E7C94">
        <w:t xml:space="preserve">of </w:t>
      </w:r>
      <w:r w:rsidR="00982957">
        <w:t>the</w:t>
      </w:r>
      <w:r w:rsidR="009E7C94">
        <w:t xml:space="preserve"> Big LEO authorization </w:t>
      </w:r>
      <w:r w:rsidR="006D0339">
        <w:t>to Iridium</w:t>
      </w:r>
      <w:r w:rsidR="008F5066">
        <w:t>.</w:t>
      </w:r>
      <w:r w:rsidR="008F5066">
        <w:rPr>
          <w:rStyle w:val="FootnoteReference"/>
        </w:rPr>
        <w:footnoteReference w:id="4"/>
      </w:r>
      <w:r w:rsidR="008F5066">
        <w:t xml:space="preserve">  </w:t>
      </w:r>
      <w:r w:rsidR="00A70D83">
        <w:t xml:space="preserve">The </w:t>
      </w:r>
      <w:r w:rsidR="00154A83">
        <w:t>approval</w:t>
      </w:r>
      <w:r w:rsidR="00A70D83">
        <w:t xml:space="preserve"> was based, in part, on </w:t>
      </w:r>
      <w:r w:rsidR="00303E37">
        <w:t>an</w:t>
      </w:r>
      <w:r w:rsidR="009E7C94">
        <w:t xml:space="preserve"> orbital debris mitigation </w:t>
      </w:r>
      <w:r w:rsidR="0061498F">
        <w:t>plan</w:t>
      </w:r>
      <w:r w:rsidR="009E7C94">
        <w:t xml:space="preserve"> submitted in connection with the assignment application.</w:t>
      </w:r>
      <w:r w:rsidR="00226C8E">
        <w:rPr>
          <w:rStyle w:val="FootnoteReference"/>
        </w:rPr>
        <w:footnoteReference w:id="5"/>
      </w:r>
      <w:r w:rsidR="00CA7AC5">
        <w:t xml:space="preserve">  Under the </w:t>
      </w:r>
      <w:r w:rsidR="00763200">
        <w:t>orbital debris</w:t>
      </w:r>
      <w:r w:rsidR="00CA7AC5">
        <w:t xml:space="preserve"> plan, </w:t>
      </w:r>
      <w:r w:rsidR="00303E37">
        <w:t xml:space="preserve">at the end of its useful life </w:t>
      </w:r>
      <w:r w:rsidR="009A5EAD">
        <w:t xml:space="preserve">each </w:t>
      </w:r>
      <w:r w:rsidR="00E61B4D">
        <w:t>Iridium satellite would be lowered</w:t>
      </w:r>
      <w:r w:rsidR="008F5066">
        <w:t xml:space="preserve"> </w:t>
      </w:r>
      <w:r w:rsidR="00F91E04">
        <w:t xml:space="preserve">through a series of maneuvers </w:t>
      </w:r>
      <w:r w:rsidR="00C076A0">
        <w:t xml:space="preserve">from its </w:t>
      </w:r>
      <w:r w:rsidR="008E5E04">
        <w:t>778</w:t>
      </w:r>
      <w:r w:rsidR="008001B7">
        <w:t>-</w:t>
      </w:r>
      <w:r w:rsidR="008E5E04">
        <w:t xml:space="preserve">kilometer </w:t>
      </w:r>
      <w:r w:rsidR="00C076A0">
        <w:t xml:space="preserve">near-circular mission orbit </w:t>
      </w:r>
      <w:r w:rsidR="00E61B4D">
        <w:t xml:space="preserve">to an orbit with a perigee </w:t>
      </w:r>
      <w:r w:rsidR="0079474F">
        <w:t xml:space="preserve">altitude </w:t>
      </w:r>
      <w:r w:rsidR="00E61B4D">
        <w:t>of 250 k</w:t>
      </w:r>
      <w:r w:rsidR="00C076A0">
        <w:t>m</w:t>
      </w:r>
      <w:r w:rsidR="00971A63">
        <w:t>.</w:t>
      </w:r>
      <w:r w:rsidR="00216E30">
        <w:rPr>
          <w:rStyle w:val="FootnoteReference"/>
        </w:rPr>
        <w:footnoteReference w:id="6"/>
      </w:r>
      <w:r w:rsidR="0059566B">
        <w:t xml:space="preserve">  Due to the natural decay of this disposal orbit, Iridium satellites would re-enter the Earth’s a</w:t>
      </w:r>
      <w:r w:rsidR="007519FC">
        <w:t>tmosphere within a few months.</w:t>
      </w:r>
      <w:r w:rsidR="00216E30">
        <w:rPr>
          <w:rStyle w:val="FootnoteReference"/>
        </w:rPr>
        <w:footnoteReference w:id="7"/>
      </w:r>
      <w:r w:rsidR="007519FC">
        <w:t xml:space="preserve">  </w:t>
      </w:r>
      <w:r w:rsidR="00F020F8">
        <w:t xml:space="preserve">A study by </w:t>
      </w:r>
      <w:r w:rsidR="00F020F8">
        <w:lastRenderedPageBreak/>
        <w:t>t</w:t>
      </w:r>
      <w:r w:rsidR="007B11C0">
        <w:t>he National Aeronautics and Space Administration</w:t>
      </w:r>
      <w:r w:rsidR="00F020F8">
        <w:t xml:space="preserve"> </w:t>
      </w:r>
      <w:r w:rsidR="001E393D">
        <w:t xml:space="preserve">(NASA) </w:t>
      </w:r>
      <w:r w:rsidR="00F020F8">
        <w:t xml:space="preserve">estimated </w:t>
      </w:r>
      <w:r w:rsidR="007B11C0">
        <w:t xml:space="preserve">the risk of human casualty resulting from re-entry of an Iridium satellite </w:t>
      </w:r>
      <w:r w:rsidR="004C382E">
        <w:t xml:space="preserve">by this method </w:t>
      </w:r>
      <w:r w:rsidR="007B11C0">
        <w:t>to be 1 in 18</w:t>
      </w:r>
      <w:r w:rsidR="0088772F">
        <w:t>,</w:t>
      </w:r>
      <w:r w:rsidR="007B11C0">
        <w:t>406.</w:t>
      </w:r>
      <w:r w:rsidR="00216E30">
        <w:rPr>
          <w:rStyle w:val="FootnoteReference"/>
        </w:rPr>
        <w:footnoteReference w:id="8"/>
      </w:r>
      <w:r w:rsidR="007B11C0">
        <w:t xml:space="preserve">  </w:t>
      </w:r>
      <w:r w:rsidR="0041472E">
        <w:t xml:space="preserve">In connection with </w:t>
      </w:r>
      <w:r w:rsidR="0033231D">
        <w:t>its orbital debris plan</w:t>
      </w:r>
      <w:r w:rsidR="0041472E">
        <w:t xml:space="preserve">, Iridium secured an insurance policy </w:t>
      </w:r>
      <w:r w:rsidR="006D7D0F" w:rsidRPr="006D7D0F">
        <w:t xml:space="preserve">that provides two forms of coverage: one </w:t>
      </w:r>
      <w:r w:rsidR="00AB3D7A">
        <w:t xml:space="preserve">with </w:t>
      </w:r>
      <w:r w:rsidR="006B3C01">
        <w:t xml:space="preserve">a </w:t>
      </w:r>
      <w:r w:rsidR="00813F2E">
        <w:t xml:space="preserve">three-year term covering the planned de-orbiting of up to eight </w:t>
      </w:r>
      <w:r w:rsidR="00333840">
        <w:t>satellites</w:t>
      </w:r>
      <w:r w:rsidR="00813F2E">
        <w:t xml:space="preserve"> per year, and </w:t>
      </w:r>
      <w:r w:rsidR="006D7D0F" w:rsidRPr="006D7D0F">
        <w:t xml:space="preserve">a second one with </w:t>
      </w:r>
      <w:r w:rsidR="006B3C01">
        <w:t xml:space="preserve">an </w:t>
      </w:r>
      <w:r w:rsidR="00813F2E">
        <w:t>18-month term, once triggered, covering activities related to any planned de-orbiting of the entire constellation.</w:t>
      </w:r>
      <w:r w:rsidR="003115D9">
        <w:rPr>
          <w:rStyle w:val="FootnoteReference"/>
        </w:rPr>
        <w:footnoteReference w:id="9"/>
      </w:r>
    </w:p>
    <w:p w:rsidR="00964124" w:rsidRDefault="003B7BD8" w:rsidP="000330A9">
      <w:pPr>
        <w:pStyle w:val="ParaNum"/>
      </w:pPr>
      <w:r w:rsidRPr="003B7BD8">
        <w:t xml:space="preserve">On June </w:t>
      </w:r>
      <w:r w:rsidR="00DE1378">
        <w:t>9</w:t>
      </w:r>
      <w:r w:rsidRPr="003B7BD8">
        <w:t>, 2004, the Commission adopt</w:t>
      </w:r>
      <w:r w:rsidR="009A368B">
        <w:t>ed</w:t>
      </w:r>
      <w:r w:rsidRPr="003B7BD8">
        <w:t xml:space="preserve"> </w:t>
      </w:r>
      <w:r w:rsidR="00E27DCA">
        <w:t xml:space="preserve">policies </w:t>
      </w:r>
      <w:r w:rsidR="00047489">
        <w:t>concerning</w:t>
      </w:r>
      <w:r w:rsidRPr="003B7BD8">
        <w:t xml:space="preserve"> </w:t>
      </w:r>
      <w:r w:rsidR="00BF1BC2">
        <w:t xml:space="preserve">the </w:t>
      </w:r>
      <w:r w:rsidRPr="003B7BD8">
        <w:t>mitigation of orbital debris.</w:t>
      </w:r>
      <w:r w:rsidR="006E7D5B">
        <w:rPr>
          <w:rStyle w:val="FootnoteReference"/>
        </w:rPr>
        <w:footnoteReference w:id="10"/>
      </w:r>
      <w:r>
        <w:t xml:space="preserve">  </w:t>
      </w:r>
      <w:r w:rsidR="00674F12">
        <w:t xml:space="preserve">In doing so, </w:t>
      </w:r>
      <w:r w:rsidR="005156C7">
        <w:t xml:space="preserve">the Commission </w:t>
      </w:r>
      <w:r w:rsidR="00674F12">
        <w:t xml:space="preserve">aimed to </w:t>
      </w:r>
      <w:r w:rsidR="00356933">
        <w:t>“</w:t>
      </w:r>
      <w:r w:rsidR="00674F12" w:rsidRPr="00674F12">
        <w:t>further the domestic policy objective of</w:t>
      </w:r>
      <w:r w:rsidR="00674F12">
        <w:t xml:space="preserve"> the United States to minimize</w:t>
      </w:r>
      <w:r w:rsidR="00BC13D3">
        <w:t xml:space="preserve"> the creation of orbital debris[.]</w:t>
      </w:r>
      <w:r w:rsidR="00674F12">
        <w:t>”</w:t>
      </w:r>
      <w:r w:rsidR="00A34CA9">
        <w:rPr>
          <w:rStyle w:val="FootnoteReference"/>
        </w:rPr>
        <w:footnoteReference w:id="11"/>
      </w:r>
      <w:r w:rsidR="009F7F7D">
        <w:t xml:space="preserve">  </w:t>
      </w:r>
      <w:r w:rsidR="004F321E">
        <w:t>F</w:t>
      </w:r>
      <w:r w:rsidR="006C74A4">
        <w:t xml:space="preserve">or </w:t>
      </w:r>
      <w:r w:rsidR="009A368B">
        <w:t xml:space="preserve">NGSO </w:t>
      </w:r>
      <w:r w:rsidR="00BB4DC0">
        <w:t>space stations</w:t>
      </w:r>
      <w:r w:rsidR="009A368B">
        <w:t xml:space="preserve">, </w:t>
      </w:r>
      <w:r w:rsidR="004B7944">
        <w:t xml:space="preserve">the Commission </w:t>
      </w:r>
      <w:r w:rsidR="00426299">
        <w:t xml:space="preserve">stated </w:t>
      </w:r>
      <w:r w:rsidR="00716626">
        <w:t xml:space="preserve">that it would </w:t>
      </w:r>
      <w:r w:rsidR="00426299">
        <w:t xml:space="preserve">continue </w:t>
      </w:r>
      <w:r w:rsidR="004F321E">
        <w:t xml:space="preserve">reviewing </w:t>
      </w:r>
      <w:r w:rsidR="00426299">
        <w:t>post-mission disposal plans</w:t>
      </w:r>
      <w:r w:rsidR="007A28F6">
        <w:t>,</w:t>
      </w:r>
      <w:r w:rsidR="00426299">
        <w:t xml:space="preserve"> on a case-by-case basis</w:t>
      </w:r>
      <w:r w:rsidR="007A28F6">
        <w:t>,</w:t>
      </w:r>
      <w:r w:rsidR="000E73BB">
        <w:t xml:space="preserve"> in light of </w:t>
      </w:r>
      <w:r w:rsidR="004756DF">
        <w:t xml:space="preserve">orbital debris mitigation </w:t>
      </w:r>
      <w:r w:rsidR="00AE18AD">
        <w:t>guidelines</w:t>
      </w:r>
      <w:r w:rsidR="004756DF">
        <w:t xml:space="preserve"> developed by the U.S. government and </w:t>
      </w:r>
      <w:r w:rsidR="00B23621">
        <w:t xml:space="preserve">the </w:t>
      </w:r>
      <w:r w:rsidR="009F0CDF">
        <w:t>international</w:t>
      </w:r>
      <w:r w:rsidR="00303E37">
        <w:t xml:space="preserve"> community</w:t>
      </w:r>
      <w:r w:rsidR="004756DF">
        <w:t>.</w:t>
      </w:r>
      <w:r w:rsidR="004756DF">
        <w:rPr>
          <w:rStyle w:val="FootnoteReference"/>
        </w:rPr>
        <w:footnoteReference w:id="12"/>
      </w:r>
      <w:r w:rsidR="004756DF" w:rsidRPr="004756DF">
        <w:t xml:space="preserve"> </w:t>
      </w:r>
      <w:r w:rsidR="00426299">
        <w:t xml:space="preserve"> </w:t>
      </w:r>
      <w:r w:rsidR="00684EEE">
        <w:t>I</w:t>
      </w:r>
      <w:r w:rsidR="004B7944">
        <w:t xml:space="preserve">t </w:t>
      </w:r>
      <w:r w:rsidR="00C33780">
        <w:t>noted that</w:t>
      </w:r>
      <w:r w:rsidR="000F4EBB">
        <w:t xml:space="preserve"> disposal plans</w:t>
      </w:r>
      <w:r w:rsidR="00C33780">
        <w:t xml:space="preserve"> </w:t>
      </w:r>
      <w:r w:rsidR="00AB4F1B">
        <w:t xml:space="preserve">consistent with U.S. government and international guidelines, </w:t>
      </w:r>
      <w:r w:rsidR="000F4EBB">
        <w:t>such as</w:t>
      </w:r>
      <w:r w:rsidR="00F87152">
        <w:t xml:space="preserve"> those </w:t>
      </w:r>
      <w:r w:rsidR="008D340F">
        <w:t>providing for</w:t>
      </w:r>
      <w:r w:rsidR="000F4EBB">
        <w:t xml:space="preserve"> </w:t>
      </w:r>
      <w:r w:rsidR="00AB4F1B">
        <w:t xml:space="preserve">the placement of satellites </w:t>
      </w:r>
      <w:r w:rsidR="00AB4F1B" w:rsidRPr="00144D9A">
        <w:t xml:space="preserve">into an orbit from which </w:t>
      </w:r>
      <w:r w:rsidR="000F4EBB">
        <w:t>they</w:t>
      </w:r>
      <w:r w:rsidR="00AB4F1B" w:rsidRPr="00144D9A">
        <w:t xml:space="preserve"> will re-enter the Earth's atmosphere within 25 years</w:t>
      </w:r>
      <w:r w:rsidR="000F4EBB">
        <w:t>,</w:t>
      </w:r>
      <w:r w:rsidR="00AB4F1B">
        <w:t xml:space="preserve"> would</w:t>
      </w:r>
      <w:r w:rsidR="000F4EBB">
        <w:t xml:space="preserve"> “</w:t>
      </w:r>
      <w:r w:rsidR="00067C1B">
        <w:t>[</w:t>
      </w:r>
      <w:r w:rsidR="00AB4F1B">
        <w:t>a</w:t>
      </w:r>
      <w:r w:rsidR="00067C1B">
        <w:t>]</w:t>
      </w:r>
      <w:r w:rsidR="00AB4F1B">
        <w:t>s a general matter</w:t>
      </w:r>
      <w:r w:rsidR="000F4EBB">
        <w:t xml:space="preserve"> . . . </w:t>
      </w:r>
      <w:r w:rsidR="00AB4F1B" w:rsidRPr="00144D9A">
        <w:t>suggest that the space station</w:t>
      </w:r>
      <w:r w:rsidR="000F4EBB">
        <w:t>[s]</w:t>
      </w:r>
      <w:r w:rsidR="00AB4F1B" w:rsidRPr="00144D9A">
        <w:t xml:space="preserve"> will operate consistent with the public interest</w:t>
      </w:r>
      <w:r w:rsidR="00AB4F1B">
        <w:t>.”</w:t>
      </w:r>
      <w:r w:rsidR="0050416D">
        <w:rPr>
          <w:rStyle w:val="FootnoteReference"/>
        </w:rPr>
        <w:footnoteReference w:id="13"/>
      </w:r>
      <w:r w:rsidR="00B914CF">
        <w:t xml:space="preserve"> </w:t>
      </w:r>
      <w:r w:rsidR="00E772AD">
        <w:t xml:space="preserve"> </w:t>
      </w:r>
      <w:r w:rsidR="004B7944">
        <w:t xml:space="preserve">The Commission </w:t>
      </w:r>
      <w:r w:rsidR="00D10871">
        <w:t>also</w:t>
      </w:r>
      <w:r w:rsidR="003E7BA4">
        <w:t xml:space="preserve"> noted </w:t>
      </w:r>
      <w:r w:rsidR="006213F3">
        <w:t>that the U.S. government guidelines</w:t>
      </w:r>
      <w:r w:rsidR="004974E3">
        <w:t xml:space="preserve"> </w:t>
      </w:r>
      <w:r w:rsidR="006213F3">
        <w:t xml:space="preserve">provide </w:t>
      </w:r>
      <w:r w:rsidR="007533CC">
        <w:t xml:space="preserve">that </w:t>
      </w:r>
      <w:r w:rsidR="00236C54">
        <w:t xml:space="preserve">disposal of a spacecraft </w:t>
      </w:r>
      <w:r w:rsidR="003F7BB6">
        <w:t xml:space="preserve">by atmospheric re-entry </w:t>
      </w:r>
      <w:r w:rsidR="00236C54">
        <w:t xml:space="preserve">should present a risk of human casualty of </w:t>
      </w:r>
      <w:r w:rsidR="006160A7">
        <w:t>less</w:t>
      </w:r>
      <w:r w:rsidR="00236C54">
        <w:t xml:space="preserve"> than 1 in 10,000.</w:t>
      </w:r>
      <w:r w:rsidR="00F4622D">
        <w:rPr>
          <w:rStyle w:val="FootnoteReference"/>
        </w:rPr>
        <w:footnoteReference w:id="14"/>
      </w:r>
      <w:r w:rsidR="00B76389">
        <w:t xml:space="preserve">  </w:t>
      </w:r>
      <w:r w:rsidR="000330A9">
        <w:t xml:space="preserve">Finally, </w:t>
      </w:r>
      <w:r w:rsidR="00716626">
        <w:t>the Commission</w:t>
      </w:r>
      <w:r w:rsidR="004B7944">
        <w:t xml:space="preserve"> </w:t>
      </w:r>
      <w:r w:rsidR="000330A9">
        <w:t>a</w:t>
      </w:r>
      <w:r w:rsidR="000330A9" w:rsidRPr="000330A9">
        <w:t>nticipate</w:t>
      </w:r>
      <w:r w:rsidR="000330A9">
        <w:t>d</w:t>
      </w:r>
      <w:r w:rsidR="000330A9" w:rsidRPr="000330A9">
        <w:t xml:space="preserve"> that insurance issues</w:t>
      </w:r>
      <w:r w:rsidR="000330A9">
        <w:t xml:space="preserve"> </w:t>
      </w:r>
      <w:r w:rsidR="00C267CB">
        <w:t>would</w:t>
      </w:r>
      <w:r w:rsidR="000330A9">
        <w:t xml:space="preserve"> continue to play a role in our evaluation of orbital debris plans, particularly whe</w:t>
      </w:r>
      <w:r w:rsidR="004E11F2">
        <w:t>n</w:t>
      </w:r>
      <w:r w:rsidR="000330A9">
        <w:t xml:space="preserve"> they involve atmospheric re-entry.</w:t>
      </w:r>
      <w:r w:rsidR="00EA0DD9">
        <w:rPr>
          <w:rStyle w:val="FootnoteReference"/>
        </w:rPr>
        <w:footnoteReference w:id="15"/>
      </w:r>
    </w:p>
    <w:p w:rsidR="00D26DBF" w:rsidRDefault="00511C86" w:rsidP="00301981">
      <w:pPr>
        <w:pStyle w:val="ParaNum"/>
      </w:pPr>
      <w:r>
        <w:t xml:space="preserve">On July 1, 2008, Iridium filed an application to modify </w:t>
      </w:r>
      <w:r w:rsidR="000E08BA">
        <w:t>its</w:t>
      </w:r>
      <w:r>
        <w:t xml:space="preserve"> </w:t>
      </w:r>
      <w:r w:rsidR="00841591">
        <w:t xml:space="preserve">Big LEO license to change the </w:t>
      </w:r>
      <w:r>
        <w:t>orbital debris mitigation plan.</w:t>
      </w:r>
      <w:r w:rsidR="006B23BF">
        <w:rPr>
          <w:rStyle w:val="FootnoteReference"/>
        </w:rPr>
        <w:footnoteReference w:id="16"/>
      </w:r>
      <w:r w:rsidR="000E08BA">
        <w:t xml:space="preserve">  </w:t>
      </w:r>
      <w:r w:rsidR="006B23BF">
        <w:t xml:space="preserve">Under the </w:t>
      </w:r>
      <w:r w:rsidR="00D544E3">
        <w:t>proposed</w:t>
      </w:r>
      <w:r w:rsidR="00F107ED">
        <w:t xml:space="preserve"> plan, </w:t>
      </w:r>
      <w:r w:rsidR="00A6199E">
        <w:t xml:space="preserve">at end of life </w:t>
      </w:r>
      <w:r w:rsidR="00F91E04">
        <w:t xml:space="preserve">each Iridium satellite </w:t>
      </w:r>
      <w:r w:rsidR="00781645">
        <w:t>would be</w:t>
      </w:r>
      <w:r w:rsidR="00F91E04">
        <w:t xml:space="preserve"> lowered</w:t>
      </w:r>
      <w:r w:rsidR="00AC77D4">
        <w:t>, in two phases, until it reaches a disposal orbit with a perigee altitude of 600 km.</w:t>
      </w:r>
      <w:r w:rsidR="00B42DA0">
        <w:rPr>
          <w:rStyle w:val="FootnoteReference"/>
        </w:rPr>
        <w:footnoteReference w:id="17"/>
      </w:r>
      <w:r w:rsidR="00AC77D4">
        <w:t xml:space="preserve">  Iridium estimates that </w:t>
      </w:r>
      <w:r w:rsidR="00793473">
        <w:t xml:space="preserve">the natural decay of </w:t>
      </w:r>
      <w:r w:rsidR="00AC77D4">
        <w:t xml:space="preserve">this </w:t>
      </w:r>
      <w:r w:rsidR="005B1A96">
        <w:t xml:space="preserve">disposal orbit </w:t>
      </w:r>
      <w:r w:rsidR="00C63D11">
        <w:t xml:space="preserve">would </w:t>
      </w:r>
      <w:r w:rsidR="005B1A96">
        <w:t xml:space="preserve">result in an </w:t>
      </w:r>
      <w:r w:rsidR="00AC77D4">
        <w:t>orbital lifetime of less than 25 years</w:t>
      </w:r>
      <w:r w:rsidR="00A342AC">
        <w:t>.</w:t>
      </w:r>
      <w:r w:rsidR="00C93DB1">
        <w:rPr>
          <w:rStyle w:val="FootnoteReference"/>
        </w:rPr>
        <w:footnoteReference w:id="18"/>
      </w:r>
      <w:r w:rsidR="00793473">
        <w:t xml:space="preserve">  </w:t>
      </w:r>
      <w:r w:rsidR="00301981">
        <w:t xml:space="preserve">Based on the methodology used by NASA in its study of the original Iridium orbital debris plan, Iridium </w:t>
      </w:r>
      <w:r w:rsidR="00A3569F">
        <w:t>calculates</w:t>
      </w:r>
      <w:r w:rsidR="00301981">
        <w:t xml:space="preserve"> the risk of human casualty resulting f</w:t>
      </w:r>
      <w:r w:rsidR="00A3569F">
        <w:t>rom the revised plan to be</w:t>
      </w:r>
      <w:r w:rsidR="00301981">
        <w:t xml:space="preserve"> approximately l in 13,000</w:t>
      </w:r>
      <w:r w:rsidR="00C85C1E">
        <w:t>.</w:t>
      </w:r>
      <w:r w:rsidR="004F1B97">
        <w:rPr>
          <w:rStyle w:val="FootnoteReference"/>
        </w:rPr>
        <w:footnoteReference w:id="19"/>
      </w:r>
      <w:r w:rsidR="00C85C1E">
        <w:t xml:space="preserve"> </w:t>
      </w:r>
      <w:r w:rsidR="004A02F5">
        <w:t xml:space="preserve"> In response to inquiries by the Satellite Division,</w:t>
      </w:r>
      <w:r w:rsidR="000002E3">
        <w:rPr>
          <w:rStyle w:val="FootnoteReference"/>
        </w:rPr>
        <w:footnoteReference w:id="20"/>
      </w:r>
      <w:r w:rsidR="004A02F5">
        <w:t xml:space="preserve"> Iridium provided supplementary information </w:t>
      </w:r>
      <w:r w:rsidR="0094660D">
        <w:lastRenderedPageBreak/>
        <w:t>about</w:t>
      </w:r>
      <w:r w:rsidR="004A02F5">
        <w:t xml:space="preserve"> its proposed </w:t>
      </w:r>
      <w:r w:rsidR="00B50081">
        <w:t>orbital debris</w:t>
      </w:r>
      <w:r w:rsidR="004A02F5">
        <w:t xml:space="preserve"> pla</w:t>
      </w:r>
      <w:r w:rsidR="0094396F">
        <w:t xml:space="preserve">n and the health of its satellite </w:t>
      </w:r>
      <w:r w:rsidR="004A02F5">
        <w:t>constellation.</w:t>
      </w:r>
      <w:r w:rsidR="004A02F5">
        <w:rPr>
          <w:rStyle w:val="FootnoteReference"/>
        </w:rPr>
        <w:footnoteReference w:id="21"/>
      </w:r>
    </w:p>
    <w:p w:rsidR="008E1F75" w:rsidRDefault="008E1F75" w:rsidP="00AC77D4">
      <w:pPr>
        <w:pStyle w:val="ParaNum"/>
      </w:pPr>
      <w:r>
        <w:t>On December 27, 2013, Iridium filed an application to modify its Big LEO license to launch and operate a second</w:t>
      </w:r>
      <w:r w:rsidR="002A54F0">
        <w:t>-</w:t>
      </w:r>
      <w:r>
        <w:t>generation satellite constellation.</w:t>
      </w:r>
      <w:r w:rsidR="00F915FF">
        <w:rPr>
          <w:rStyle w:val="FootnoteReference"/>
        </w:rPr>
        <w:footnoteReference w:id="22"/>
      </w:r>
      <w:r w:rsidR="00F915FF">
        <w:t xml:space="preserve">  The application</w:t>
      </w:r>
      <w:r w:rsidR="00255875">
        <w:t xml:space="preserve"> </w:t>
      </w:r>
      <w:r w:rsidR="00E558F9">
        <w:t xml:space="preserve">proposes to </w:t>
      </w:r>
      <w:r w:rsidR="00255875">
        <w:t xml:space="preserve">wholly </w:t>
      </w:r>
      <w:r w:rsidR="00516C65">
        <w:t xml:space="preserve">replace the current </w:t>
      </w:r>
      <w:r w:rsidR="00255875">
        <w:t xml:space="preserve">operating </w:t>
      </w:r>
      <w:r w:rsidR="00516C65">
        <w:t>constellation shortly after the last planned launch of new satellites in May</w:t>
      </w:r>
      <w:r w:rsidR="008A62CE">
        <w:t xml:space="preserve"> of</w:t>
      </w:r>
      <w:r w:rsidR="00516C65">
        <w:t xml:space="preserve"> 2017.</w:t>
      </w:r>
      <w:r w:rsidR="00280E0D">
        <w:rPr>
          <w:rStyle w:val="FootnoteReference"/>
        </w:rPr>
        <w:footnoteReference w:id="23"/>
      </w:r>
      <w:r w:rsidR="00516C65">
        <w:t xml:space="preserve">  </w:t>
      </w:r>
      <w:r w:rsidR="00255875">
        <w:t xml:space="preserve">Thereafter, Iridium </w:t>
      </w:r>
      <w:r w:rsidR="00FD7FCB">
        <w:t>asks</w:t>
      </w:r>
      <w:r w:rsidR="00255875">
        <w:t xml:space="preserve"> to </w:t>
      </w:r>
      <w:r w:rsidR="00BF1760">
        <w:t xml:space="preserve">reserve the option to retain </w:t>
      </w:r>
      <w:r w:rsidR="00255875">
        <w:t xml:space="preserve">some </w:t>
      </w:r>
      <w:r w:rsidR="00E45012">
        <w:t xml:space="preserve">of the current </w:t>
      </w:r>
      <w:r w:rsidR="00255875">
        <w:t xml:space="preserve">satellites as </w:t>
      </w:r>
      <w:r w:rsidR="00AF253D">
        <w:t xml:space="preserve">potential </w:t>
      </w:r>
      <w:r w:rsidR="00255875">
        <w:t>in-orbit spares for the new constellation</w:t>
      </w:r>
      <w:r w:rsidR="00D106C8">
        <w:t>.</w:t>
      </w:r>
      <w:r w:rsidR="00B321D7">
        <w:rPr>
          <w:rStyle w:val="FootnoteReference"/>
        </w:rPr>
        <w:footnoteReference w:id="24"/>
      </w:r>
    </w:p>
    <w:p w:rsidR="00C8007E" w:rsidRDefault="004621EB" w:rsidP="00AC77D4">
      <w:pPr>
        <w:pStyle w:val="ParaNum"/>
      </w:pPr>
      <w:r>
        <w:t>On May 22, 2014, the</w:t>
      </w:r>
      <w:r w:rsidR="002A2C93">
        <w:t xml:space="preserve"> Satellite Division granted</w:t>
      </w:r>
      <w:r w:rsidR="00B4432A">
        <w:t>,</w:t>
      </w:r>
      <w:r w:rsidR="002A2C93">
        <w:t xml:space="preserve"> in part</w:t>
      </w:r>
      <w:r w:rsidR="00B4432A">
        <w:t>,</w:t>
      </w:r>
      <w:r w:rsidR="002A2C93">
        <w:t xml:space="preserve"> </w:t>
      </w:r>
      <w:r w:rsidR="00DC0805">
        <w:t xml:space="preserve">a request by </w:t>
      </w:r>
      <w:r w:rsidR="002A2C93">
        <w:t>Iridium to extend the license term</w:t>
      </w:r>
      <w:r w:rsidR="00BE6DE2">
        <w:t xml:space="preserve"> for its </w:t>
      </w:r>
      <w:r w:rsidR="00DF62EB">
        <w:t xml:space="preserve">existing </w:t>
      </w:r>
      <w:r w:rsidR="00BE6DE2">
        <w:t>satellite constellation.</w:t>
      </w:r>
      <w:r w:rsidR="001B1517">
        <w:rPr>
          <w:rStyle w:val="FootnoteReference"/>
        </w:rPr>
        <w:footnoteReference w:id="25"/>
      </w:r>
      <w:r w:rsidR="001B1517">
        <w:t xml:space="preserve"> </w:t>
      </w:r>
      <w:r w:rsidR="00BE6DE2">
        <w:t xml:space="preserve"> </w:t>
      </w:r>
      <w:r w:rsidR="00965583">
        <w:t>T</w:t>
      </w:r>
      <w:r w:rsidR="00321F57">
        <w:t>he</w:t>
      </w:r>
      <w:r w:rsidR="007A28F6">
        <w:t xml:space="preserve"> license</w:t>
      </w:r>
      <w:r w:rsidR="00321F57">
        <w:t xml:space="preserve"> term </w:t>
      </w:r>
      <w:r w:rsidR="006F0B98">
        <w:t xml:space="preserve">ends </w:t>
      </w:r>
      <w:r>
        <w:t>January 31, 2018.</w:t>
      </w:r>
    </w:p>
    <w:p w:rsidR="00ED7F50" w:rsidRDefault="00684EEE" w:rsidP="00AC77D4">
      <w:pPr>
        <w:pStyle w:val="ParaNum"/>
      </w:pPr>
      <w:r>
        <w:t>S</w:t>
      </w:r>
      <w:r w:rsidR="00E229C5">
        <w:t>ince first proposing its revised o</w:t>
      </w:r>
      <w:r w:rsidR="00DC0805">
        <w:t>rbital debris plan</w:t>
      </w:r>
      <w:r w:rsidR="00A37690">
        <w:t>,</w:t>
      </w:r>
      <w:r w:rsidR="00E229C5">
        <w:t xml:space="preserve"> Iridium has continued </w:t>
      </w:r>
      <w:r w:rsidR="0004160F">
        <w:t>to operate</w:t>
      </w:r>
      <w:r w:rsidR="00E229C5">
        <w:t xml:space="preserve"> several satellite</w:t>
      </w:r>
      <w:r w:rsidR="00DC0805">
        <w:t xml:space="preserve">s </w:t>
      </w:r>
      <w:r w:rsidR="0004160F">
        <w:t xml:space="preserve">beyond </w:t>
      </w:r>
      <w:r w:rsidR="003D3D14">
        <w:t xml:space="preserve">the </w:t>
      </w:r>
      <w:r w:rsidR="0004160F">
        <w:t>fuel reserve</w:t>
      </w:r>
      <w:r w:rsidR="00B5298E">
        <w:t xml:space="preserve"> </w:t>
      </w:r>
      <w:r w:rsidR="003D3D14">
        <w:t xml:space="preserve">necessary </w:t>
      </w:r>
      <w:r w:rsidR="00B960FA">
        <w:t>for</w:t>
      </w:r>
      <w:r w:rsidR="003D3D14">
        <w:t xml:space="preserve"> d</w:t>
      </w:r>
      <w:r w:rsidR="00B5298E">
        <w:t xml:space="preserve">e-orbit </w:t>
      </w:r>
      <w:r w:rsidR="003D3D14">
        <w:t xml:space="preserve">under the original </w:t>
      </w:r>
      <w:r w:rsidR="00B5298E">
        <w:t>plan</w:t>
      </w:r>
      <w:r w:rsidR="0004160F">
        <w:t xml:space="preserve">.  </w:t>
      </w:r>
      <w:r w:rsidR="007E44DE">
        <w:t xml:space="preserve">Currently, seven satellites lack sufficient fuel to </w:t>
      </w:r>
      <w:r w:rsidR="00B5298E">
        <w:t>comply</w:t>
      </w:r>
      <w:r w:rsidR="007E44DE">
        <w:t xml:space="preserve"> with the </w:t>
      </w:r>
      <w:r w:rsidR="00F16FD9">
        <w:t xml:space="preserve">original </w:t>
      </w:r>
      <w:r w:rsidR="00181491">
        <w:t xml:space="preserve">orbital debris </w:t>
      </w:r>
      <w:r w:rsidR="007E44DE">
        <w:t>plan</w:t>
      </w:r>
      <w:r w:rsidR="00260B5F">
        <w:t>.</w:t>
      </w:r>
      <w:r w:rsidR="006A02C2">
        <w:rPr>
          <w:rStyle w:val="FootnoteReference"/>
        </w:rPr>
        <w:footnoteReference w:id="26"/>
      </w:r>
      <w:r w:rsidR="00260B5F">
        <w:t xml:space="preserve">  A</w:t>
      </w:r>
      <w:r w:rsidR="00B5298E">
        <w:t>ll</w:t>
      </w:r>
      <w:r w:rsidR="00B14E68">
        <w:t xml:space="preserve"> have enough fuel to de-orbit consistent with the revised plan</w:t>
      </w:r>
      <w:r w:rsidR="007E44DE">
        <w:t>.</w:t>
      </w:r>
    </w:p>
    <w:p w:rsidR="00BE6DE2" w:rsidRDefault="00BE6DE2" w:rsidP="00BE6DE2">
      <w:pPr>
        <w:pStyle w:val="Heading1"/>
      </w:pPr>
      <w:r>
        <w:t>discussion</w:t>
      </w:r>
    </w:p>
    <w:p w:rsidR="00370D6F" w:rsidRDefault="00953F4F" w:rsidP="00AB0718">
      <w:pPr>
        <w:pStyle w:val="ParaNum"/>
      </w:pPr>
      <w:r>
        <w:t>W</w:t>
      </w:r>
      <w:r w:rsidR="00BB403F">
        <w:t xml:space="preserve">e find it is in the public interest to </w:t>
      </w:r>
      <w:r w:rsidR="00950447">
        <w:t>grant</w:t>
      </w:r>
      <w:r>
        <w:t>, in part,</w:t>
      </w:r>
      <w:r w:rsidR="00950447">
        <w:t xml:space="preserve"> Iridium’s request to modify its orbital debris mitigation plan.  </w:t>
      </w:r>
      <w:r w:rsidR="002F4EAB">
        <w:t xml:space="preserve">Iridium’s </w:t>
      </w:r>
      <w:r w:rsidR="00142521">
        <w:t>revised post-mission</w:t>
      </w:r>
      <w:r w:rsidR="002F4EAB">
        <w:t xml:space="preserve"> </w:t>
      </w:r>
      <w:r w:rsidR="00DB161D">
        <w:t>disposal</w:t>
      </w:r>
      <w:r w:rsidR="002F4EAB">
        <w:t xml:space="preserve"> plan contemplates atmospheric re-entry within 25 years, consistent with both the U.S. government and international guidelines.</w:t>
      </w:r>
      <w:r w:rsidR="00A164E4">
        <w:rPr>
          <w:rStyle w:val="FootnoteReference"/>
        </w:rPr>
        <w:footnoteReference w:id="27"/>
      </w:r>
      <w:r w:rsidR="002F4EAB">
        <w:t xml:space="preserve">  </w:t>
      </w:r>
      <w:r w:rsidR="00DB161D">
        <w:t>U</w:t>
      </w:r>
      <w:r w:rsidR="002F4EAB">
        <w:t xml:space="preserve">sing NASA methodology, Iridium estimates that the casualty risk from its </w:t>
      </w:r>
      <w:r w:rsidR="006160A7">
        <w:t xml:space="preserve">revised </w:t>
      </w:r>
      <w:r w:rsidR="002F4EAB">
        <w:t xml:space="preserve">disposal method is 1 in 13,000, </w:t>
      </w:r>
      <w:r w:rsidR="006160A7">
        <w:t>within</w:t>
      </w:r>
      <w:r w:rsidR="002F4EAB">
        <w:t xml:space="preserve"> the U.S. government </w:t>
      </w:r>
      <w:r w:rsidR="00C379B1">
        <w:t xml:space="preserve">guideline </w:t>
      </w:r>
      <w:r w:rsidR="002F4EAB">
        <w:t xml:space="preserve">of </w:t>
      </w:r>
      <w:r w:rsidR="001B5A99">
        <w:t>less</w:t>
      </w:r>
      <w:r w:rsidR="006160A7">
        <w:t xml:space="preserve"> than </w:t>
      </w:r>
      <w:r w:rsidR="002F4EAB">
        <w:t>1 in 10,000.</w:t>
      </w:r>
      <w:r w:rsidR="00A164E4">
        <w:rPr>
          <w:rStyle w:val="FootnoteReference"/>
        </w:rPr>
        <w:footnoteReference w:id="28"/>
      </w:r>
      <w:r w:rsidR="002F4EAB">
        <w:t xml:space="preserve">  </w:t>
      </w:r>
      <w:r w:rsidR="00D16E5A">
        <w:t xml:space="preserve">Additionally, </w:t>
      </w:r>
      <w:r w:rsidR="00DB161D">
        <w:t>p</w:t>
      </w:r>
      <w:r w:rsidR="00612999" w:rsidRPr="00612999">
        <w:t xml:space="preserve">ursuant to an agreement with the U.S. government, </w:t>
      </w:r>
      <w:r w:rsidR="00612999">
        <w:t>Iridium is</w:t>
      </w:r>
      <w:r w:rsidR="00612999" w:rsidRPr="00612999">
        <w:t xml:space="preserve"> required to maintain an insurance policy </w:t>
      </w:r>
      <w:r w:rsidR="007A3D0F">
        <w:t>covering</w:t>
      </w:r>
      <w:r w:rsidR="00612999" w:rsidRPr="00612999">
        <w:t xml:space="preserve"> the de-orbiting of </w:t>
      </w:r>
      <w:r w:rsidR="00612999">
        <w:t>its</w:t>
      </w:r>
      <w:r w:rsidR="00612999" w:rsidRPr="00612999">
        <w:t xml:space="preserve"> satellite constellation.</w:t>
      </w:r>
      <w:r w:rsidR="00612999">
        <w:rPr>
          <w:rStyle w:val="FootnoteReference"/>
        </w:rPr>
        <w:footnoteReference w:id="29"/>
      </w:r>
      <w:r w:rsidR="00612999" w:rsidRPr="00612999">
        <w:t xml:space="preserve"> </w:t>
      </w:r>
      <w:r w:rsidR="00612999">
        <w:t xml:space="preserve"> </w:t>
      </w:r>
      <w:r w:rsidR="00AB0718" w:rsidRPr="00AB0718">
        <w:t>Iridium’s policy covers risks associated with de-orbiting the constellation for up to 12 months once requested by Iridium.</w:t>
      </w:r>
      <w:r w:rsidR="00AB0718">
        <w:rPr>
          <w:rStyle w:val="FootnoteReference"/>
        </w:rPr>
        <w:footnoteReference w:id="30"/>
      </w:r>
      <w:r w:rsidR="00AB0718" w:rsidRPr="00AB0718">
        <w:t xml:space="preserve">  Th</w:t>
      </w:r>
      <w:r w:rsidR="00AB0718">
        <w:t>e</w:t>
      </w:r>
      <w:r w:rsidR="00AB0718" w:rsidRPr="00AB0718">
        <w:t xml:space="preserve"> policy has been renewed annually since the expiration of the original policy’s three-year term in 2003.</w:t>
      </w:r>
      <w:r w:rsidR="00AB0718">
        <w:rPr>
          <w:rStyle w:val="FootnoteReference"/>
        </w:rPr>
        <w:footnoteReference w:id="31"/>
      </w:r>
      <w:r w:rsidR="00AB0718" w:rsidRPr="00AB0718">
        <w:t xml:space="preserve">  </w:t>
      </w:r>
      <w:r w:rsidR="00612999">
        <w:t xml:space="preserve">The </w:t>
      </w:r>
      <w:r w:rsidR="007A3D0F">
        <w:t>U.S. government is a named beneficiary of the policy.</w:t>
      </w:r>
    </w:p>
    <w:p w:rsidR="00AF3000" w:rsidRDefault="00AF3000" w:rsidP="00916A0A">
      <w:pPr>
        <w:pStyle w:val="ParaNum"/>
      </w:pPr>
      <w:r>
        <w:t xml:space="preserve">Grant of the revised orbital debris plan for up to ten </w:t>
      </w:r>
      <w:r w:rsidR="00953F4F">
        <w:t xml:space="preserve">first-generation </w:t>
      </w:r>
      <w:r>
        <w:t xml:space="preserve">satellites will allow Iridium to continue </w:t>
      </w:r>
      <w:r w:rsidR="005A6BCD">
        <w:t xml:space="preserve">to operate, consistent with U.S. government guidelines, </w:t>
      </w:r>
      <w:r w:rsidR="00674C9E">
        <w:t xml:space="preserve">the seven satellites which currently lack </w:t>
      </w:r>
      <w:r w:rsidR="00D641A6">
        <w:t>enough</w:t>
      </w:r>
      <w:r w:rsidR="00674C9E">
        <w:t xml:space="preserve"> fuel to comply with the original plan</w:t>
      </w:r>
      <w:r w:rsidR="005A6BCD">
        <w:t>.  It</w:t>
      </w:r>
      <w:r w:rsidR="00674C9E">
        <w:t xml:space="preserve"> </w:t>
      </w:r>
      <w:r w:rsidR="007135C4">
        <w:t xml:space="preserve">also </w:t>
      </w:r>
      <w:r w:rsidR="00674C9E">
        <w:t xml:space="preserve">will allow Iridium </w:t>
      </w:r>
      <w:r w:rsidR="00E97447">
        <w:t xml:space="preserve">between now and January 31, 2018, </w:t>
      </w:r>
      <w:r w:rsidR="00674C9E">
        <w:t xml:space="preserve">to continue operating </w:t>
      </w:r>
      <w:r w:rsidR="006C580B">
        <w:t xml:space="preserve">up to three </w:t>
      </w:r>
      <w:r w:rsidR="00674C9E">
        <w:t xml:space="preserve">satellites </w:t>
      </w:r>
      <w:r w:rsidR="00FB0317">
        <w:t xml:space="preserve">beyond the point at which </w:t>
      </w:r>
      <w:r w:rsidR="00E97447">
        <w:t>Iridium</w:t>
      </w:r>
      <w:r w:rsidR="00FB0317">
        <w:t xml:space="preserve"> would </w:t>
      </w:r>
      <w:r w:rsidR="00E97447">
        <w:t xml:space="preserve">have been </w:t>
      </w:r>
      <w:r w:rsidR="00FB0317">
        <w:t>require</w:t>
      </w:r>
      <w:r w:rsidR="00E97447">
        <w:t>d</w:t>
      </w:r>
      <w:r w:rsidR="00FB0317">
        <w:t xml:space="preserve"> </w:t>
      </w:r>
      <w:r w:rsidR="00E97447">
        <w:t xml:space="preserve">to </w:t>
      </w:r>
      <w:r w:rsidR="00FB0317">
        <w:t>dispos</w:t>
      </w:r>
      <w:r w:rsidR="00E97447">
        <w:t xml:space="preserve">e of them </w:t>
      </w:r>
      <w:r w:rsidR="00F70F43">
        <w:t>under the original plan</w:t>
      </w:r>
      <w:r w:rsidR="00E97447">
        <w:t>.</w:t>
      </w:r>
    </w:p>
    <w:p w:rsidR="003238AF" w:rsidRDefault="004B7944" w:rsidP="00684EEE">
      <w:pPr>
        <w:pStyle w:val="ParaNum"/>
      </w:pPr>
      <w:r>
        <w:t>W</w:t>
      </w:r>
      <w:r w:rsidR="003238AF">
        <w:t xml:space="preserve">e </w:t>
      </w:r>
      <w:r w:rsidR="00684EEE">
        <w:t>deny</w:t>
      </w:r>
      <w:r w:rsidR="00E72764">
        <w:t>,</w:t>
      </w:r>
      <w:r w:rsidR="003238AF">
        <w:t xml:space="preserve"> at this time</w:t>
      </w:r>
      <w:r w:rsidR="00E72764">
        <w:t>,</w:t>
      </w:r>
      <w:r w:rsidR="003238AF">
        <w:t xml:space="preserve"> </w:t>
      </w:r>
      <w:r w:rsidR="00684EEE" w:rsidRPr="00684EEE">
        <w:t>Irid</w:t>
      </w:r>
      <w:r w:rsidR="007355D1">
        <w:t>i</w:t>
      </w:r>
      <w:r w:rsidR="00684EEE" w:rsidRPr="00684EEE">
        <w:t xml:space="preserve">um’s request </w:t>
      </w:r>
      <w:r w:rsidR="003238AF">
        <w:t xml:space="preserve">to authorize </w:t>
      </w:r>
      <w:r w:rsidR="005701BA">
        <w:t xml:space="preserve">the </w:t>
      </w:r>
      <w:r w:rsidR="00DD4533">
        <w:t xml:space="preserve">modified </w:t>
      </w:r>
      <w:r w:rsidR="005701BA">
        <w:t xml:space="preserve">disposal </w:t>
      </w:r>
      <w:r w:rsidR="00E40BAA">
        <w:t xml:space="preserve">plan </w:t>
      </w:r>
      <w:r w:rsidR="005701BA">
        <w:t xml:space="preserve">for Iridium’s remaining </w:t>
      </w:r>
      <w:r w:rsidR="00953F4F">
        <w:t xml:space="preserve">first-generation </w:t>
      </w:r>
      <w:r w:rsidR="005701BA">
        <w:t xml:space="preserve">satellites.  </w:t>
      </w:r>
      <w:r w:rsidR="00E36F88">
        <w:t>Iridium’s license term ends on January 31, 2018,</w:t>
      </w:r>
      <w:r w:rsidR="008E6B1D">
        <w:rPr>
          <w:rStyle w:val="FootnoteReference"/>
        </w:rPr>
        <w:footnoteReference w:id="32"/>
      </w:r>
      <w:r w:rsidR="00E36F88">
        <w:t xml:space="preserve"> more than six months after it </w:t>
      </w:r>
      <w:r w:rsidR="00975D34">
        <w:t xml:space="preserve">separately </w:t>
      </w:r>
      <w:r w:rsidR="00E36F88">
        <w:t xml:space="preserve">proposes to have completely replaced its current </w:t>
      </w:r>
      <w:r w:rsidR="00C95DB0">
        <w:t xml:space="preserve">operating </w:t>
      </w:r>
      <w:r w:rsidR="00E36F88">
        <w:t>constellation.</w:t>
      </w:r>
      <w:r w:rsidR="008E6B1D">
        <w:rPr>
          <w:rStyle w:val="FootnoteReference"/>
        </w:rPr>
        <w:footnoteReference w:id="33"/>
      </w:r>
      <w:r w:rsidR="00E36F88">
        <w:t xml:space="preserve">  </w:t>
      </w:r>
      <w:r w:rsidR="0094462F">
        <w:t>Moreover, b</w:t>
      </w:r>
      <w:r w:rsidR="008E6B1D">
        <w:t xml:space="preserve">ased on the </w:t>
      </w:r>
      <w:r w:rsidR="002E1603">
        <w:t>record developed</w:t>
      </w:r>
      <w:r w:rsidR="00DE6375">
        <w:t xml:space="preserve"> in this proceeding</w:t>
      </w:r>
      <w:r w:rsidR="008E6B1D">
        <w:t xml:space="preserve">, these remaining satellites </w:t>
      </w:r>
      <w:r w:rsidR="00D94267">
        <w:t xml:space="preserve">will </w:t>
      </w:r>
      <w:r w:rsidR="002E1603">
        <w:t>have enough fuel to</w:t>
      </w:r>
      <w:r w:rsidR="008E6B1D">
        <w:t xml:space="preserve"> operate well beyond the end of their license term</w:t>
      </w:r>
      <w:r w:rsidR="00953B2A">
        <w:t xml:space="preserve"> under their current disposal plan</w:t>
      </w:r>
      <w:r w:rsidR="008E6B1D">
        <w:t xml:space="preserve">.  Because of this, authorizing </w:t>
      </w:r>
      <w:r w:rsidR="0094462F" w:rsidRPr="0094462F">
        <w:t xml:space="preserve">a disposal plan that involves </w:t>
      </w:r>
      <w:r w:rsidR="008E6B1D">
        <w:t>the</w:t>
      </w:r>
      <w:r w:rsidR="00C07DF4">
        <w:t>ir</w:t>
      </w:r>
      <w:r w:rsidR="008E6B1D">
        <w:t xml:space="preserve"> </w:t>
      </w:r>
      <w:r w:rsidR="0094462F" w:rsidRPr="0094462F">
        <w:t>continued presence on</w:t>
      </w:r>
      <w:r w:rsidR="00B50DB2">
        <w:t xml:space="preserve"> </w:t>
      </w:r>
      <w:r w:rsidR="0094462F" w:rsidRPr="0094462F">
        <w:t xml:space="preserve">orbit as uncontrolled objects </w:t>
      </w:r>
      <w:r w:rsidR="00C07DF4">
        <w:t>over</w:t>
      </w:r>
      <w:r w:rsidR="002E1603">
        <w:t xml:space="preserve"> </w:t>
      </w:r>
      <w:r w:rsidR="00C07DF4">
        <w:t xml:space="preserve">up to </w:t>
      </w:r>
      <w:r w:rsidR="008E6B1D">
        <w:t>25</w:t>
      </w:r>
      <w:r w:rsidR="002E1603">
        <w:t xml:space="preserve"> </w:t>
      </w:r>
      <w:r w:rsidR="008E6B1D">
        <w:t>year</w:t>
      </w:r>
      <w:r w:rsidR="002E1603">
        <w:t>s</w:t>
      </w:r>
      <w:r w:rsidR="008E6B1D">
        <w:t xml:space="preserve">, instead of </w:t>
      </w:r>
      <w:r w:rsidR="00C07DF4">
        <w:t xml:space="preserve">over </w:t>
      </w:r>
      <w:r w:rsidR="008E6B1D">
        <w:t xml:space="preserve">a few months, would increase the </w:t>
      </w:r>
      <w:r w:rsidR="0094462F" w:rsidRPr="0094462F">
        <w:t xml:space="preserve">on-orbit collision </w:t>
      </w:r>
      <w:r w:rsidR="008E6B1D">
        <w:t xml:space="preserve">risks associated with disposal without </w:t>
      </w:r>
      <w:r w:rsidR="00E80D30">
        <w:t>a</w:t>
      </w:r>
      <w:r w:rsidR="008E6B1D">
        <w:t xml:space="preserve"> </w:t>
      </w:r>
      <w:r w:rsidR="00E80D30">
        <w:t>counterbalancing</w:t>
      </w:r>
      <w:r w:rsidR="008E6B1D">
        <w:t xml:space="preserve"> </w:t>
      </w:r>
      <w:r w:rsidR="00DC394D">
        <w:t>public benefit</w:t>
      </w:r>
      <w:r w:rsidR="002E1603">
        <w:t xml:space="preserve"> </w:t>
      </w:r>
      <w:r w:rsidR="000239E8">
        <w:t xml:space="preserve">in </w:t>
      </w:r>
      <w:r w:rsidR="00184D13">
        <w:t>extended</w:t>
      </w:r>
      <w:r w:rsidR="000239E8">
        <w:t xml:space="preserve"> service</w:t>
      </w:r>
      <w:r w:rsidR="008E6B1D">
        <w:t>.</w:t>
      </w:r>
    </w:p>
    <w:p w:rsidR="00F10BED" w:rsidRDefault="00662631" w:rsidP="00F10BED">
      <w:pPr>
        <w:pStyle w:val="Heading1"/>
      </w:pPr>
      <w:r>
        <w:t xml:space="preserve">conclusion and </w:t>
      </w:r>
      <w:r w:rsidR="00F10BED">
        <w:t>ordering clauses</w:t>
      </w:r>
    </w:p>
    <w:p w:rsidR="001D782A" w:rsidRDefault="001D782A" w:rsidP="00C67451">
      <w:pPr>
        <w:pStyle w:val="ParaNum"/>
      </w:pPr>
      <w:r>
        <w:t xml:space="preserve">We conclude that </w:t>
      </w:r>
      <w:r w:rsidR="00D47290">
        <w:t xml:space="preserve">grant of the revised orbital debris </w:t>
      </w:r>
      <w:r w:rsidR="00BB503B">
        <w:t xml:space="preserve">mitigation </w:t>
      </w:r>
      <w:r w:rsidR="00D47290">
        <w:t>plan for up to ten</w:t>
      </w:r>
      <w:r w:rsidR="00FE71B8">
        <w:t>,</w:t>
      </w:r>
      <w:r w:rsidR="00D47290">
        <w:t xml:space="preserve"> </w:t>
      </w:r>
      <w:r w:rsidR="00953F4F">
        <w:t xml:space="preserve">first-generation Iridium </w:t>
      </w:r>
      <w:r w:rsidR="00D47290">
        <w:t xml:space="preserve">satellites will serve the public interest by allowing Iridium to continue seamless operation of its satellite constellation consistent with U.S. government guidelines.  </w:t>
      </w:r>
      <w:r w:rsidR="00730C17">
        <w:t xml:space="preserve">We deny Iridium’s request to </w:t>
      </w:r>
      <w:r w:rsidR="0070515B">
        <w:t xml:space="preserve">operate </w:t>
      </w:r>
      <w:r w:rsidR="00730C17">
        <w:t xml:space="preserve">its remaining </w:t>
      </w:r>
      <w:r w:rsidR="00953F4F">
        <w:t xml:space="preserve">first-generation </w:t>
      </w:r>
      <w:r w:rsidR="00730C17">
        <w:t xml:space="preserve">satellites under the revised plan because the increased risks associated with the </w:t>
      </w:r>
      <w:r w:rsidR="00BB503B">
        <w:t>longer</w:t>
      </w:r>
      <w:r w:rsidR="00730C17">
        <w:t xml:space="preserve"> disposal period are not </w:t>
      </w:r>
      <w:r w:rsidR="005E2D1C">
        <w:t>outweighed</w:t>
      </w:r>
      <w:r w:rsidR="00730C17">
        <w:t xml:space="preserve"> by </w:t>
      </w:r>
      <w:r w:rsidR="005E2D1C">
        <w:t xml:space="preserve">a competing public </w:t>
      </w:r>
      <w:r w:rsidR="00EA0490">
        <w:t xml:space="preserve">benefit in </w:t>
      </w:r>
      <w:r w:rsidR="00184D13">
        <w:t>extended</w:t>
      </w:r>
      <w:r w:rsidR="00EA0490">
        <w:t xml:space="preserve"> service</w:t>
      </w:r>
      <w:r w:rsidR="005E2D1C">
        <w:t>.</w:t>
      </w:r>
    </w:p>
    <w:p w:rsidR="00F10BED" w:rsidRDefault="00F10BED" w:rsidP="003C6B1E">
      <w:pPr>
        <w:pStyle w:val="ParaNum"/>
      </w:pPr>
      <w:r>
        <w:t xml:space="preserve">Accordingly, IT IS ORDERED that the application of </w:t>
      </w:r>
      <w:r w:rsidRPr="00C67B2D">
        <w:t>Iridium Constellation LLC</w:t>
      </w:r>
      <w:r>
        <w:t xml:space="preserve"> to modify its authorization for a </w:t>
      </w:r>
      <w:r w:rsidR="007E7B58">
        <w:t>non-geostationary orbit Mobile-Satellite Service constellation</w:t>
      </w:r>
      <w:r w:rsidR="00C240AC">
        <w:t xml:space="preserve">, File No. </w:t>
      </w:r>
      <w:r w:rsidR="00C240AC" w:rsidRPr="006629C7">
        <w:rPr>
          <w:spacing w:val="-2"/>
        </w:rPr>
        <w:t>SAT-MOD-20080701-00140</w:t>
      </w:r>
      <w:r w:rsidR="00C240AC">
        <w:rPr>
          <w:spacing w:val="-2"/>
        </w:rPr>
        <w:t>,</w:t>
      </w:r>
      <w:r w:rsidR="007E7B58">
        <w:t xml:space="preserve"> IS GRANTED IN PART and DENIED IN PART.  </w:t>
      </w:r>
      <w:r w:rsidR="000168CC">
        <w:t xml:space="preserve">Iridium is authorized to operate up to ten </w:t>
      </w:r>
      <w:r w:rsidR="00953F4F">
        <w:t xml:space="preserve">first-generation </w:t>
      </w:r>
      <w:r w:rsidR="000168CC">
        <w:t xml:space="preserve">space stations </w:t>
      </w:r>
      <w:r w:rsidR="00226383">
        <w:t xml:space="preserve">under the revised orbital debris mitigation plan.  Iridium’s remaining </w:t>
      </w:r>
      <w:r w:rsidR="00953F4F">
        <w:t xml:space="preserve">first-generation </w:t>
      </w:r>
      <w:r w:rsidR="00226383">
        <w:t xml:space="preserve">space stations must continue to operate under the orbital debris plan approved in </w:t>
      </w:r>
      <w:r w:rsidR="00C67451" w:rsidRPr="00C67451">
        <w:t xml:space="preserve">Space Station System Licensee, Inc., Assignor, and Iridium Constellation LLC, </w:t>
      </w:r>
      <w:r w:rsidR="00C67451" w:rsidRPr="002E5E81">
        <w:t xml:space="preserve">Assignee, et al., </w:t>
      </w:r>
      <w:r w:rsidR="00C67451" w:rsidRPr="003C6B1E">
        <w:rPr>
          <w:i/>
        </w:rPr>
        <w:t>Memorandum Opinion, Order and Authorization</w:t>
      </w:r>
      <w:r w:rsidR="00C67451" w:rsidRPr="002E5E81">
        <w:t>, 17 FCC Rcd 2271 (Int’l Bur. 2002).</w:t>
      </w:r>
    </w:p>
    <w:p w:rsidR="003C6B1E" w:rsidRDefault="003C6B1E">
      <w:pPr>
        <w:widowControl/>
      </w:pPr>
      <w:r>
        <w:br w:type="page"/>
      </w:r>
    </w:p>
    <w:p w:rsidR="00BB5C90" w:rsidRDefault="00BB5C90" w:rsidP="00BB5C90">
      <w:pPr>
        <w:widowControl/>
      </w:pPr>
    </w:p>
    <w:p w:rsidR="00F10BED" w:rsidRDefault="00F10BED" w:rsidP="00145634">
      <w:pPr>
        <w:pStyle w:val="ParaNum"/>
        <w:spacing w:after="0"/>
      </w:pPr>
      <w:r>
        <w:t>This Order is issued pursuant to Section 0.261 of the Commission’s rules on delegations of authority, 47 C.F.R. § 0.261, and is effective on release.</w:t>
      </w:r>
    </w:p>
    <w:p w:rsidR="00145634" w:rsidRDefault="00145634" w:rsidP="00145634">
      <w:pPr>
        <w:pStyle w:val="ParaNum"/>
        <w:numPr>
          <w:ilvl w:val="0"/>
          <w:numId w:val="0"/>
        </w:numPr>
        <w:spacing w:after="0"/>
        <w:ind w:left="720"/>
      </w:pPr>
    </w:p>
    <w:p w:rsidR="00B22909" w:rsidRDefault="00B22909" w:rsidP="00145634">
      <w:pPr>
        <w:pStyle w:val="ParaNum"/>
        <w:numPr>
          <w:ilvl w:val="0"/>
          <w:numId w:val="0"/>
        </w:numPr>
        <w:spacing w:after="0"/>
        <w:ind w:left="3600" w:firstLine="720"/>
      </w:pPr>
      <w:r>
        <w:t>FEDERAL COMMUNICATIONS COMMISSION</w:t>
      </w:r>
    </w:p>
    <w:p w:rsidR="00B22909" w:rsidRDefault="00B22909" w:rsidP="00145634">
      <w:pPr>
        <w:pStyle w:val="ParaNum"/>
        <w:numPr>
          <w:ilvl w:val="0"/>
          <w:numId w:val="0"/>
        </w:numPr>
        <w:spacing w:after="0"/>
        <w:ind w:left="3600" w:firstLine="720"/>
      </w:pPr>
    </w:p>
    <w:p w:rsidR="00B22909" w:rsidRDefault="00B22909" w:rsidP="00145634">
      <w:pPr>
        <w:pStyle w:val="ParaNum"/>
        <w:numPr>
          <w:ilvl w:val="0"/>
          <w:numId w:val="0"/>
        </w:numPr>
        <w:spacing w:after="0"/>
        <w:ind w:left="3600" w:firstLine="720"/>
      </w:pPr>
    </w:p>
    <w:p w:rsidR="00145634" w:rsidRDefault="00145634" w:rsidP="00145634">
      <w:pPr>
        <w:pStyle w:val="ParaNum"/>
        <w:numPr>
          <w:ilvl w:val="0"/>
          <w:numId w:val="0"/>
        </w:numPr>
        <w:spacing w:after="0"/>
        <w:ind w:left="3600" w:firstLine="720"/>
      </w:pPr>
    </w:p>
    <w:p w:rsidR="00145634" w:rsidRDefault="00145634" w:rsidP="00145634">
      <w:pPr>
        <w:pStyle w:val="ParaNum"/>
        <w:numPr>
          <w:ilvl w:val="0"/>
          <w:numId w:val="0"/>
        </w:numPr>
        <w:spacing w:after="0"/>
        <w:ind w:left="3600" w:firstLine="720"/>
      </w:pPr>
    </w:p>
    <w:p w:rsidR="00B22909" w:rsidRDefault="00B22909" w:rsidP="00145634">
      <w:pPr>
        <w:pStyle w:val="ParaNum"/>
        <w:numPr>
          <w:ilvl w:val="0"/>
          <w:numId w:val="0"/>
        </w:numPr>
        <w:spacing w:after="0"/>
        <w:ind w:left="3600" w:firstLine="720"/>
      </w:pPr>
      <w:r>
        <w:t>Jose Alb</w:t>
      </w:r>
      <w:r w:rsidR="007135C4">
        <w:t>u</w:t>
      </w:r>
      <w:r>
        <w:t>querque</w:t>
      </w:r>
    </w:p>
    <w:p w:rsidR="00B22909" w:rsidRDefault="00B22909" w:rsidP="00145634">
      <w:pPr>
        <w:pStyle w:val="ParaNum"/>
        <w:numPr>
          <w:ilvl w:val="0"/>
          <w:numId w:val="0"/>
        </w:numPr>
        <w:spacing w:after="0"/>
        <w:ind w:left="3600" w:firstLine="720"/>
      </w:pPr>
      <w:r>
        <w:t>Chief, Satellite Division</w:t>
      </w:r>
    </w:p>
    <w:p w:rsidR="00B22909" w:rsidRPr="00F10BED" w:rsidRDefault="00B22909" w:rsidP="00145634">
      <w:pPr>
        <w:pStyle w:val="ParaNum"/>
        <w:numPr>
          <w:ilvl w:val="0"/>
          <w:numId w:val="0"/>
        </w:numPr>
        <w:spacing w:after="0"/>
        <w:ind w:left="3600" w:firstLine="720"/>
      </w:pPr>
      <w:r>
        <w:t>International Bureau</w:t>
      </w:r>
    </w:p>
    <w:sectPr w:rsidR="00B22909" w:rsidRPr="00F10BE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03" w:rsidRDefault="00B63303">
      <w:pPr>
        <w:spacing w:line="20" w:lineRule="exact"/>
      </w:pPr>
    </w:p>
  </w:endnote>
  <w:endnote w:type="continuationSeparator" w:id="0">
    <w:p w:rsidR="00B63303" w:rsidRDefault="00B63303">
      <w:r>
        <w:t xml:space="preserve"> </w:t>
      </w:r>
    </w:p>
  </w:endnote>
  <w:endnote w:type="continuationNotice" w:id="1">
    <w:p w:rsidR="00B63303" w:rsidRDefault="00B633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E" w:rsidRDefault="00601B4E" w:rsidP="0055614C">
    <w:pPr>
      <w:pStyle w:val="Footer"/>
      <w:framePr w:wrap="around" w:vAnchor="text" w:hAnchor="margin" w:xAlign="center" w:y="1"/>
    </w:pPr>
    <w:r>
      <w:fldChar w:fldCharType="begin"/>
    </w:r>
    <w:r>
      <w:instrText xml:space="preserve">PAGE  </w:instrText>
    </w:r>
    <w:r>
      <w:fldChar w:fldCharType="end"/>
    </w:r>
  </w:p>
  <w:p w:rsidR="00601B4E" w:rsidRDefault="00601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E" w:rsidRDefault="00601B4E" w:rsidP="0055614C">
    <w:pPr>
      <w:pStyle w:val="Footer"/>
      <w:framePr w:wrap="around" w:vAnchor="text" w:hAnchor="margin" w:xAlign="center" w:y="1"/>
    </w:pPr>
    <w:r>
      <w:fldChar w:fldCharType="begin"/>
    </w:r>
    <w:r>
      <w:instrText xml:space="preserve">PAGE  </w:instrText>
    </w:r>
    <w:r>
      <w:fldChar w:fldCharType="separate"/>
    </w:r>
    <w:r w:rsidR="00332686">
      <w:rPr>
        <w:noProof/>
      </w:rPr>
      <w:t>2</w:t>
    </w:r>
    <w:r>
      <w:fldChar w:fldCharType="end"/>
    </w:r>
  </w:p>
  <w:p w:rsidR="00601B4E" w:rsidRDefault="00601B4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E" w:rsidRDefault="00601B4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03" w:rsidRDefault="00B63303">
      <w:r>
        <w:separator/>
      </w:r>
    </w:p>
  </w:footnote>
  <w:footnote w:type="continuationSeparator" w:id="0">
    <w:p w:rsidR="00B63303" w:rsidRDefault="00B63303" w:rsidP="00C721AC">
      <w:pPr>
        <w:spacing w:before="120"/>
        <w:rPr>
          <w:sz w:val="20"/>
        </w:rPr>
      </w:pPr>
      <w:r>
        <w:rPr>
          <w:sz w:val="20"/>
        </w:rPr>
        <w:t xml:space="preserve">(Continued from previous page)  </w:t>
      </w:r>
      <w:r>
        <w:rPr>
          <w:sz w:val="20"/>
        </w:rPr>
        <w:separator/>
      </w:r>
    </w:p>
  </w:footnote>
  <w:footnote w:type="continuationNotice" w:id="1">
    <w:p w:rsidR="00B63303" w:rsidRDefault="00B63303" w:rsidP="00C721AC">
      <w:pPr>
        <w:jc w:val="right"/>
        <w:rPr>
          <w:sz w:val="20"/>
        </w:rPr>
      </w:pPr>
      <w:r>
        <w:rPr>
          <w:sz w:val="20"/>
        </w:rPr>
        <w:t>(continued….)</w:t>
      </w:r>
    </w:p>
  </w:footnote>
  <w:footnote w:id="2">
    <w:p w:rsidR="00601B4E" w:rsidRDefault="00601B4E">
      <w:pPr>
        <w:pStyle w:val="FootnoteText"/>
      </w:pPr>
      <w:r>
        <w:rPr>
          <w:rStyle w:val="FootnoteReference"/>
        </w:rPr>
        <w:footnoteRef/>
      </w:r>
      <w:r>
        <w:t xml:space="preserve"> </w:t>
      </w:r>
      <w:r w:rsidRPr="0099618E">
        <w:t>“Big LEO”</w:t>
      </w:r>
      <w:r>
        <w:t xml:space="preserve"> refers to low-Earth orbit</w:t>
      </w:r>
      <w:r w:rsidRPr="0099618E">
        <w:t xml:space="preserve"> </w:t>
      </w:r>
      <w:r>
        <w:t xml:space="preserve">(LEO) </w:t>
      </w:r>
      <w:r w:rsidRPr="0099618E">
        <w:t>mobile satellite services above 1 GHz.</w:t>
      </w:r>
      <w:r>
        <w:t xml:space="preserve">  LEO </w:t>
      </w:r>
      <w:r w:rsidRPr="00F42329">
        <w:t xml:space="preserve">generally refers to orbits at altitudes of less than 2000 </w:t>
      </w:r>
      <w:r>
        <w:t>km.</w:t>
      </w:r>
    </w:p>
  </w:footnote>
  <w:footnote w:id="3">
    <w:p w:rsidR="00601B4E" w:rsidRDefault="00601B4E">
      <w:pPr>
        <w:pStyle w:val="FootnoteText"/>
      </w:pPr>
      <w:r>
        <w:rPr>
          <w:rStyle w:val="FootnoteReference"/>
        </w:rPr>
        <w:footnoteRef/>
      </w:r>
      <w:r>
        <w:t xml:space="preserve"> </w:t>
      </w:r>
      <w:r w:rsidRPr="006D24EE">
        <w:t xml:space="preserve">Motorola Satellite Communications, Inc., </w:t>
      </w:r>
      <w:r w:rsidRPr="006D24EE">
        <w:rPr>
          <w:i/>
        </w:rPr>
        <w:t>Order and Authorization</w:t>
      </w:r>
      <w:r w:rsidRPr="006D24EE">
        <w:t>, 10 FCC Rcd 2268 (</w:t>
      </w:r>
      <w:r>
        <w:t xml:space="preserve">Int’l Bur. </w:t>
      </w:r>
      <w:r w:rsidRPr="006D24EE">
        <w:t>1995)</w:t>
      </w:r>
      <w:r>
        <w:t>,</w:t>
      </w:r>
      <w:r w:rsidRPr="006D24EE">
        <w:t xml:space="preserve"> </w:t>
      </w:r>
      <w:r w:rsidRPr="00A70D83">
        <w:t>corrected</w:t>
      </w:r>
      <w:r>
        <w:t>,</w:t>
      </w:r>
      <w:r w:rsidRPr="00A70D83">
        <w:t xml:space="preserve"> 10 FCC Rcd 3925 (</w:t>
      </w:r>
      <w:r>
        <w:t xml:space="preserve">Int’l Bur. </w:t>
      </w:r>
      <w:r w:rsidRPr="00A70D83">
        <w:t>1995)</w:t>
      </w:r>
      <w:r>
        <w:t>,</w:t>
      </w:r>
      <w:r w:rsidRPr="00A70D83">
        <w:t xml:space="preserve"> affirmed in part and modified, 11 FCC Rcd 18502 (1996). </w:t>
      </w:r>
      <w:r>
        <w:t xml:space="preserve"> The Iridium system was later authorized for up to 14 in-orbit spare satellites.  S</w:t>
      </w:r>
      <w:r w:rsidRPr="006D0339">
        <w:t xml:space="preserve">pace </w:t>
      </w:r>
      <w:r>
        <w:t>S</w:t>
      </w:r>
      <w:r w:rsidRPr="006D0339">
        <w:t xml:space="preserve">ystem </w:t>
      </w:r>
      <w:r>
        <w:t>L</w:t>
      </w:r>
      <w:r w:rsidRPr="006D0339">
        <w:t xml:space="preserve">icense, </w:t>
      </w:r>
      <w:r>
        <w:t>I</w:t>
      </w:r>
      <w:r w:rsidRPr="006D0339">
        <w:t>nc.</w:t>
      </w:r>
      <w:r>
        <w:t xml:space="preserve">, </w:t>
      </w:r>
      <w:r w:rsidRPr="00496CBF">
        <w:rPr>
          <w:i/>
        </w:rPr>
        <w:t>Order and Authorization</w:t>
      </w:r>
      <w:r>
        <w:t xml:space="preserve">, </w:t>
      </w:r>
      <w:r w:rsidRPr="006D0339">
        <w:t>14 FCC Rcd 9829</w:t>
      </w:r>
      <w:r>
        <w:t xml:space="preserve"> (Int’l Bur., Sat. Div. 1999).</w:t>
      </w:r>
    </w:p>
  </w:footnote>
  <w:footnote w:id="4">
    <w:p w:rsidR="00601B4E" w:rsidRDefault="00601B4E">
      <w:pPr>
        <w:pStyle w:val="FootnoteText"/>
      </w:pPr>
      <w:r>
        <w:rPr>
          <w:rStyle w:val="FootnoteReference"/>
        </w:rPr>
        <w:footnoteRef/>
      </w:r>
      <w:r>
        <w:t xml:space="preserve"> </w:t>
      </w:r>
      <w:r w:rsidRPr="003D4C2E">
        <w:t xml:space="preserve">Space Station System Licensee, Inc., Assignor, and Iridium Constellation LLC, Assignee, et al., </w:t>
      </w:r>
      <w:r w:rsidRPr="003D4C2E">
        <w:rPr>
          <w:i/>
        </w:rPr>
        <w:t>Memorandum Opinion, Order and Authorization</w:t>
      </w:r>
      <w:r>
        <w:t xml:space="preserve">, 17 FCC Rcd 2271 (Int’l Bur. </w:t>
      </w:r>
      <w:r w:rsidRPr="003D4C2E">
        <w:t>2002).</w:t>
      </w:r>
    </w:p>
  </w:footnote>
  <w:footnote w:id="5">
    <w:p w:rsidR="00601B4E" w:rsidRPr="00226C8E" w:rsidRDefault="00601B4E">
      <w:pPr>
        <w:pStyle w:val="FootnoteText"/>
      </w:pPr>
      <w:r>
        <w:rPr>
          <w:rStyle w:val="FootnoteReference"/>
        </w:rPr>
        <w:footnoteRef/>
      </w:r>
      <w:r>
        <w:t xml:space="preserve"> </w:t>
      </w:r>
      <w:r>
        <w:rPr>
          <w:i/>
        </w:rPr>
        <w:t>Id.</w:t>
      </w:r>
      <w:r>
        <w:t xml:space="preserve"> at 2290-92.</w:t>
      </w:r>
    </w:p>
  </w:footnote>
  <w:footnote w:id="6">
    <w:p w:rsidR="00601B4E" w:rsidRDefault="00601B4E">
      <w:pPr>
        <w:pStyle w:val="FootnoteText"/>
      </w:pPr>
      <w:r>
        <w:rPr>
          <w:rStyle w:val="FootnoteReference"/>
        </w:rPr>
        <w:footnoteRef/>
      </w:r>
      <w:r>
        <w:t xml:space="preserve"> </w:t>
      </w:r>
      <w:r w:rsidRPr="00B80843">
        <w:rPr>
          <w:i/>
        </w:rPr>
        <w:t>See i</w:t>
      </w:r>
      <w:r>
        <w:rPr>
          <w:i/>
        </w:rPr>
        <w:t>d.</w:t>
      </w:r>
      <w:r>
        <w:t xml:space="preserve"> at 2290.</w:t>
      </w:r>
    </w:p>
  </w:footnote>
  <w:footnote w:id="7">
    <w:p w:rsidR="00601B4E" w:rsidRDefault="00601B4E">
      <w:pPr>
        <w:pStyle w:val="FootnoteText"/>
      </w:pPr>
      <w:r>
        <w:rPr>
          <w:rStyle w:val="FootnoteReference"/>
        </w:rPr>
        <w:footnoteRef/>
      </w:r>
      <w:r>
        <w:t xml:space="preserve"> </w:t>
      </w:r>
      <w:r w:rsidRPr="00B80843">
        <w:rPr>
          <w:i/>
        </w:rPr>
        <w:t>Id.</w:t>
      </w:r>
    </w:p>
  </w:footnote>
  <w:footnote w:id="8">
    <w:p w:rsidR="00601B4E" w:rsidRDefault="00601B4E">
      <w:pPr>
        <w:pStyle w:val="FootnoteText"/>
      </w:pPr>
      <w:r>
        <w:rPr>
          <w:rStyle w:val="FootnoteReference"/>
        </w:rPr>
        <w:footnoteRef/>
      </w:r>
      <w:r>
        <w:t xml:space="preserve"> </w:t>
      </w:r>
      <w:r w:rsidRPr="00B80843">
        <w:rPr>
          <w:i/>
        </w:rPr>
        <w:t>Id.</w:t>
      </w:r>
    </w:p>
  </w:footnote>
  <w:footnote w:id="9">
    <w:p w:rsidR="00601B4E" w:rsidRDefault="00601B4E">
      <w:pPr>
        <w:pStyle w:val="FootnoteText"/>
      </w:pPr>
      <w:r>
        <w:rPr>
          <w:rStyle w:val="FootnoteReference"/>
        </w:rPr>
        <w:footnoteRef/>
      </w:r>
      <w:r>
        <w:t xml:space="preserve"> </w:t>
      </w:r>
      <w:r w:rsidRPr="00B80843">
        <w:rPr>
          <w:i/>
        </w:rPr>
        <w:t>Id.</w:t>
      </w:r>
      <w:r>
        <w:t xml:space="preserve">  The United States was listed as an additional insured party on the policy.  </w:t>
      </w:r>
      <w:r w:rsidRPr="00B80843">
        <w:rPr>
          <w:i/>
        </w:rPr>
        <w:t>Id.</w:t>
      </w:r>
    </w:p>
  </w:footnote>
  <w:footnote w:id="10">
    <w:p w:rsidR="00601B4E" w:rsidRDefault="00601B4E">
      <w:pPr>
        <w:pStyle w:val="FootnoteText"/>
      </w:pPr>
      <w:r>
        <w:rPr>
          <w:rStyle w:val="FootnoteReference"/>
        </w:rPr>
        <w:footnoteRef/>
      </w:r>
      <w:r>
        <w:t xml:space="preserve"> </w:t>
      </w:r>
      <w:r w:rsidRPr="006E7D5B">
        <w:t xml:space="preserve">Mitigation of Orbital Debris, </w:t>
      </w:r>
      <w:r w:rsidRPr="006E7D5B">
        <w:rPr>
          <w:i/>
        </w:rPr>
        <w:t>Second Report and Order</w:t>
      </w:r>
      <w:r w:rsidRPr="006E7D5B">
        <w:t>, 19 FCC Rcd 11567 (2004)</w:t>
      </w:r>
      <w:r>
        <w:t xml:space="preserve"> (</w:t>
      </w:r>
      <w:r w:rsidRPr="00CA4EEA">
        <w:rPr>
          <w:i/>
        </w:rPr>
        <w:t>Orbital Debris Order</w:t>
      </w:r>
      <w:r>
        <w:t>).</w:t>
      </w:r>
    </w:p>
  </w:footnote>
  <w:footnote w:id="11">
    <w:p w:rsidR="00601B4E" w:rsidRPr="00A34CA9" w:rsidRDefault="00601B4E" w:rsidP="00CA4EEA">
      <w:pPr>
        <w:pStyle w:val="FootnoteText"/>
        <w:tabs>
          <w:tab w:val="left" w:pos="8595"/>
        </w:tabs>
      </w:pPr>
      <w:r>
        <w:rPr>
          <w:rStyle w:val="FootnoteReference"/>
        </w:rPr>
        <w:footnoteRef/>
      </w:r>
      <w:r>
        <w:t xml:space="preserve"> </w:t>
      </w:r>
      <w:r>
        <w:rPr>
          <w:i/>
        </w:rPr>
        <w:t>Id.</w:t>
      </w:r>
      <w:r>
        <w:t xml:space="preserve"> at 11568-69.</w:t>
      </w:r>
    </w:p>
  </w:footnote>
  <w:footnote w:id="12">
    <w:p w:rsidR="00601B4E" w:rsidRPr="00426299" w:rsidRDefault="00601B4E" w:rsidP="00D02D74">
      <w:pPr>
        <w:pStyle w:val="FootnoteText"/>
      </w:pPr>
      <w:r>
        <w:rPr>
          <w:rStyle w:val="FootnoteReference"/>
        </w:rPr>
        <w:footnoteRef/>
      </w:r>
      <w:r>
        <w:t xml:space="preserve"> </w:t>
      </w:r>
      <w:r>
        <w:rPr>
          <w:i/>
        </w:rPr>
        <w:t>Id.</w:t>
      </w:r>
      <w:r>
        <w:t xml:space="preserve"> at 11601-02.  </w:t>
      </w:r>
      <w:r w:rsidRPr="00D02D74">
        <w:rPr>
          <w:i/>
        </w:rPr>
        <w:t>See also</w:t>
      </w:r>
      <w:r>
        <w:t xml:space="preserve"> </w:t>
      </w:r>
      <w:r w:rsidRPr="004D739B">
        <w:rPr>
          <w:i/>
        </w:rPr>
        <w:t>id.</w:t>
      </w:r>
      <w:r>
        <w:t xml:space="preserve"> at</w:t>
      </w:r>
      <w:r w:rsidRPr="00121D3D">
        <w:t xml:space="preserve"> 11572</w:t>
      </w:r>
      <w:r>
        <w:t xml:space="preserve">- 74 (discussing U.S. government and </w:t>
      </w:r>
      <w:r w:rsidRPr="00FE409F">
        <w:t>Inter-Agency Space Debris Coordination Committee</w:t>
      </w:r>
      <w:r>
        <w:t xml:space="preserve"> guidelines); U.S. Government Orbital Debris Mitigation Standard Practices, </w:t>
      </w:r>
      <w:r w:rsidRPr="00D02D74">
        <w:rPr>
          <w:i/>
        </w:rPr>
        <w:t>available at</w:t>
      </w:r>
      <w:r>
        <w:t xml:space="preserve"> </w:t>
      </w:r>
      <w:hyperlink r:id="rId1" w:history="1">
        <w:r w:rsidRPr="00B07EFD">
          <w:rPr>
            <w:rStyle w:val="Hyperlink"/>
          </w:rPr>
          <w:t>http://orbitaldebris.jsc.nasa.gov/library/USG_OD_Standard_Practices.pdf</w:t>
        </w:r>
      </w:hyperlink>
      <w:r>
        <w:t>.</w:t>
      </w:r>
    </w:p>
  </w:footnote>
  <w:footnote w:id="13">
    <w:p w:rsidR="00601B4E" w:rsidRPr="00A760EA" w:rsidRDefault="00601B4E">
      <w:pPr>
        <w:pStyle w:val="FootnoteText"/>
      </w:pPr>
      <w:r>
        <w:rPr>
          <w:rStyle w:val="FootnoteReference"/>
        </w:rPr>
        <w:footnoteRef/>
      </w:r>
      <w:r>
        <w:t xml:space="preserve"> </w:t>
      </w:r>
      <w:r w:rsidRPr="0050416D">
        <w:rPr>
          <w:i/>
        </w:rPr>
        <w:t>Id.</w:t>
      </w:r>
      <w:r>
        <w:t xml:space="preserve"> at </w:t>
      </w:r>
      <w:r w:rsidRPr="00A760EA">
        <w:t>11602</w:t>
      </w:r>
      <w:r>
        <w:t>.</w:t>
      </w:r>
    </w:p>
  </w:footnote>
  <w:footnote w:id="14">
    <w:p w:rsidR="00601B4E" w:rsidRDefault="00601B4E">
      <w:pPr>
        <w:pStyle w:val="FootnoteText"/>
      </w:pPr>
      <w:r>
        <w:rPr>
          <w:rStyle w:val="FootnoteReference"/>
        </w:rPr>
        <w:footnoteRef/>
      </w:r>
      <w:r>
        <w:t xml:space="preserve"> </w:t>
      </w:r>
      <w:r w:rsidRPr="00F4622D">
        <w:rPr>
          <w:i/>
        </w:rPr>
        <w:t>Id.</w:t>
      </w:r>
      <w:r>
        <w:t xml:space="preserve"> at 11603.</w:t>
      </w:r>
      <w:r w:rsidRPr="004974E3">
        <w:t xml:space="preserve"> </w:t>
      </w:r>
      <w:r>
        <w:t xml:space="preserve"> This guideline was incorporated from a NASA Safety Standard, NSS 1740.14.  </w:t>
      </w:r>
      <w:r w:rsidRPr="0096745C">
        <w:rPr>
          <w:i/>
        </w:rPr>
        <w:t>Id.</w:t>
      </w:r>
    </w:p>
  </w:footnote>
  <w:footnote w:id="15">
    <w:p w:rsidR="00601B4E" w:rsidRDefault="00601B4E">
      <w:pPr>
        <w:pStyle w:val="FootnoteText"/>
      </w:pPr>
      <w:r>
        <w:rPr>
          <w:rStyle w:val="FootnoteReference"/>
        </w:rPr>
        <w:footnoteRef/>
      </w:r>
      <w:r>
        <w:t xml:space="preserve"> </w:t>
      </w:r>
      <w:r w:rsidRPr="00EA0DD9">
        <w:rPr>
          <w:i/>
        </w:rPr>
        <w:t>Id.</w:t>
      </w:r>
      <w:r>
        <w:t xml:space="preserve"> at </w:t>
      </w:r>
      <w:r w:rsidRPr="00EA0DD9">
        <w:t>1161</w:t>
      </w:r>
      <w:r>
        <w:t>3-1</w:t>
      </w:r>
      <w:r w:rsidRPr="00EA0DD9">
        <w:t>4</w:t>
      </w:r>
      <w:r>
        <w:t xml:space="preserve">.  Under international law, the U.S. government </w:t>
      </w:r>
      <w:r w:rsidRPr="00EA0DD9">
        <w:t xml:space="preserve">could potentially be </w:t>
      </w:r>
      <w:r>
        <w:t>held liable</w:t>
      </w:r>
      <w:r w:rsidRPr="00EA0DD9">
        <w:t xml:space="preserve"> for certain damage that may result from p</w:t>
      </w:r>
      <w:r>
        <w:t>rivate space station operations,</w:t>
      </w:r>
      <w:r w:rsidRPr="00EA0DD9">
        <w:t xml:space="preserve"> including disposal, maneuvering, and the generation of orbital debris.</w:t>
      </w:r>
      <w:r>
        <w:t xml:space="preserve">  </w:t>
      </w:r>
      <w:r>
        <w:rPr>
          <w:i/>
        </w:rPr>
        <w:t>I</w:t>
      </w:r>
      <w:r w:rsidRPr="00EA0DD9">
        <w:rPr>
          <w:i/>
        </w:rPr>
        <w:t>d.</w:t>
      </w:r>
      <w:r>
        <w:t xml:space="preserve"> at 11612-13.</w:t>
      </w:r>
    </w:p>
  </w:footnote>
  <w:footnote w:id="16">
    <w:p w:rsidR="00601B4E" w:rsidRPr="009609AC" w:rsidRDefault="00601B4E">
      <w:pPr>
        <w:pStyle w:val="FootnoteText"/>
      </w:pPr>
      <w:r>
        <w:rPr>
          <w:rStyle w:val="FootnoteReference"/>
        </w:rPr>
        <w:footnoteRef/>
      </w:r>
      <w:r>
        <w:t xml:space="preserve"> Iridium Constellation LLC, </w:t>
      </w:r>
      <w:r w:rsidRPr="00F107ED">
        <w:t>Ap</w:t>
      </w:r>
      <w:r>
        <w:t>plication f</w:t>
      </w:r>
      <w:r w:rsidRPr="00F107ED">
        <w:t>or Minor Modification</w:t>
      </w:r>
      <w:r>
        <w:t xml:space="preserve">, File No. </w:t>
      </w:r>
      <w:r w:rsidRPr="00F107ED">
        <w:t>SAT-MOD-20080701-00140</w:t>
      </w:r>
      <w:r>
        <w:t xml:space="preserve"> (July 1, 2008) (</w:t>
      </w:r>
      <w:r w:rsidRPr="00AD1CB0">
        <w:t>Application</w:t>
      </w:r>
      <w:r>
        <w:t>).  We placed the Application on public notice on</w:t>
      </w:r>
      <w:r w:rsidRPr="00604081">
        <w:t xml:space="preserve"> February 28, 2014</w:t>
      </w:r>
      <w:r>
        <w:t xml:space="preserve">.  </w:t>
      </w:r>
      <w:r w:rsidRPr="00604081">
        <w:t>Policy Branch Information</w:t>
      </w:r>
      <w:r>
        <w:t>,</w:t>
      </w:r>
      <w:r w:rsidRPr="00604081">
        <w:t xml:space="preserve"> Satellite Space Applications Accepted </w:t>
      </w:r>
      <w:r>
        <w:t>f</w:t>
      </w:r>
      <w:r w:rsidRPr="00604081">
        <w:t>or Filing</w:t>
      </w:r>
      <w:r>
        <w:t xml:space="preserve">, </w:t>
      </w:r>
      <w:r w:rsidRPr="00604081">
        <w:rPr>
          <w:i/>
        </w:rPr>
        <w:t>Public Notice</w:t>
      </w:r>
      <w:r>
        <w:t xml:space="preserve">, </w:t>
      </w:r>
      <w:r w:rsidRPr="00604081">
        <w:t>Report No. SAT-00999</w:t>
      </w:r>
      <w:r>
        <w:t xml:space="preserve"> (</w:t>
      </w:r>
      <w:r w:rsidRPr="00604081">
        <w:t>Feb</w:t>
      </w:r>
      <w:r>
        <w:t>.</w:t>
      </w:r>
      <w:r w:rsidRPr="00604081">
        <w:t xml:space="preserve"> 28, 2014</w:t>
      </w:r>
      <w:r>
        <w:t>).  No comments were filed.</w:t>
      </w:r>
    </w:p>
  </w:footnote>
  <w:footnote w:id="17">
    <w:p w:rsidR="00601B4E" w:rsidRDefault="00601B4E">
      <w:pPr>
        <w:pStyle w:val="FootnoteText"/>
      </w:pPr>
      <w:r>
        <w:rPr>
          <w:rStyle w:val="FootnoteReference"/>
        </w:rPr>
        <w:footnoteRef/>
      </w:r>
      <w:r>
        <w:t xml:space="preserve"> Application, Appendix A at A-3.</w:t>
      </w:r>
    </w:p>
  </w:footnote>
  <w:footnote w:id="18">
    <w:p w:rsidR="00601B4E" w:rsidRDefault="00601B4E">
      <w:pPr>
        <w:pStyle w:val="FootnoteText"/>
      </w:pPr>
      <w:r>
        <w:rPr>
          <w:rStyle w:val="FootnoteReference"/>
        </w:rPr>
        <w:footnoteRef/>
      </w:r>
      <w:r>
        <w:t xml:space="preserve"> </w:t>
      </w:r>
      <w:r w:rsidRPr="00B80843">
        <w:rPr>
          <w:i/>
        </w:rPr>
        <w:t>Id.</w:t>
      </w:r>
    </w:p>
  </w:footnote>
  <w:footnote w:id="19">
    <w:p w:rsidR="00601B4E" w:rsidRDefault="00601B4E" w:rsidP="004461A6">
      <w:pPr>
        <w:pStyle w:val="FootnoteText"/>
      </w:pPr>
      <w:r>
        <w:rPr>
          <w:rStyle w:val="FootnoteReference"/>
        </w:rPr>
        <w:footnoteRef/>
      </w:r>
      <w:r>
        <w:t xml:space="preserve"> Letter to Robert G. Nelson, Chief, Satellite Division, from Donna Bethea-Murphy, Vice President, Regulatory Engineering, Iridium Constellation LLC, at 3 (Oct. 3, 2011) (October 2011 Supplement).  In calculating this figure, Iridium assumes that its last existing first-generation satellite will begin de-orbit by 2020.  </w:t>
      </w:r>
      <w:r w:rsidRPr="00B80843">
        <w:rPr>
          <w:i/>
        </w:rPr>
        <w:t>Id.</w:t>
      </w:r>
    </w:p>
  </w:footnote>
  <w:footnote w:id="20">
    <w:p w:rsidR="00601B4E" w:rsidRDefault="00601B4E">
      <w:pPr>
        <w:pStyle w:val="FootnoteText"/>
      </w:pPr>
      <w:r>
        <w:rPr>
          <w:rStyle w:val="FootnoteReference"/>
        </w:rPr>
        <w:footnoteRef/>
      </w:r>
      <w:r>
        <w:t xml:space="preserve"> Letter to Donna Bethea-Murphy, Vice President, Regulatory Engineering, Iridium Constellation LLC, from Robert G. Nelson, Chief, Satellite Division (May 9, 2011); Letter to Donna Bethea-Murphy, Vice President, Regulatory Engineering, Iridium Constellation LLC, from Jose P. Albuquerque, Chief, Satellite Division (Apr. 15, 2014).</w:t>
      </w:r>
    </w:p>
  </w:footnote>
  <w:footnote w:id="21">
    <w:p w:rsidR="00601B4E" w:rsidRPr="004C25C0" w:rsidRDefault="00601B4E" w:rsidP="004A02F5">
      <w:pPr>
        <w:pStyle w:val="FootnoteText"/>
      </w:pPr>
      <w:r>
        <w:rPr>
          <w:rStyle w:val="FootnoteReference"/>
        </w:rPr>
        <w:footnoteRef/>
      </w:r>
      <w:r>
        <w:t xml:space="preserve"> Letter to Robert G. Nelson, Chief, Satellite Division, from Donna Bethea-Murphy, Vice President, Regulatory Engineering, Iridium Constellation LLC (</w:t>
      </w:r>
      <w:r w:rsidRPr="00152BEA">
        <w:t>June 30, 2011</w:t>
      </w:r>
      <w:r>
        <w:t>); Aerospace Corporation, De-Orbit Collision Risk Assessment and Casualty Risk Assessment Report (</w:t>
      </w:r>
      <w:r w:rsidRPr="00152BEA">
        <w:t>June 30, 2011</w:t>
      </w:r>
      <w:r>
        <w:t xml:space="preserve">) (Aerospace Report); October 2011 Supplement; Letter to </w:t>
      </w:r>
      <w:r w:rsidRPr="002657EA">
        <w:t xml:space="preserve">Marlene H. Dortch, Secretary, </w:t>
      </w:r>
      <w:r>
        <w:t>FCC,</w:t>
      </w:r>
      <w:r w:rsidRPr="002657EA">
        <w:t xml:space="preserve"> </w:t>
      </w:r>
      <w:r>
        <w:t xml:space="preserve">from Jennifer D. Hindin, Counsel for Iridium Constellation LLC (May 15, 2014).  Iridium requested that complete versions of the June 30, 2011 letter and Aerospace Report and May 15, 2014 letter be accorded confidential treatment.  Letter to </w:t>
      </w:r>
      <w:r w:rsidRPr="002657EA">
        <w:t xml:space="preserve">Marlene H. Dortch, Secretary, </w:t>
      </w:r>
      <w:r>
        <w:t>FCC,</w:t>
      </w:r>
      <w:r w:rsidRPr="002657EA">
        <w:t xml:space="preserve"> </w:t>
      </w:r>
      <w:r>
        <w:t xml:space="preserve">from Jennifer D. Hindin, Counsel for Iridium Constellation LLC (June 30, 2011); Letter to </w:t>
      </w:r>
      <w:r w:rsidRPr="002657EA">
        <w:t xml:space="preserve">Marlene H. Dortch, Secretary, </w:t>
      </w:r>
      <w:r>
        <w:t>FCC,</w:t>
      </w:r>
      <w:r w:rsidRPr="002657EA">
        <w:t xml:space="preserve"> </w:t>
      </w:r>
      <w:r>
        <w:t>from Jennifer D. Hindin, Counsel for Iridium Constellation LLC (May 15, 2014).  It submitted redacted versions of the</w:t>
      </w:r>
      <w:r w:rsidRPr="00CB4CE4">
        <w:t xml:space="preserve"> </w:t>
      </w:r>
      <w:r>
        <w:t>June 30, 2011 letter and May 15, 2014 letter for public viewing.</w:t>
      </w:r>
    </w:p>
  </w:footnote>
  <w:footnote w:id="22">
    <w:p w:rsidR="00601B4E" w:rsidRDefault="00601B4E" w:rsidP="00E558F9">
      <w:pPr>
        <w:pStyle w:val="FootnoteText"/>
      </w:pPr>
      <w:r>
        <w:rPr>
          <w:rStyle w:val="FootnoteReference"/>
        </w:rPr>
        <w:footnoteRef/>
      </w:r>
      <w:r>
        <w:t xml:space="preserve"> </w:t>
      </w:r>
      <w:r w:rsidRPr="00E558F9">
        <w:t>Iridium Constellation LLC</w:t>
      </w:r>
      <w:r>
        <w:t xml:space="preserve">, Application for Modification of NGSO Authorization to Launch and Operate Replacement Satellites, File No. </w:t>
      </w:r>
      <w:r w:rsidRPr="00E558F9">
        <w:t>SAT-MOD-20131227-00148</w:t>
      </w:r>
      <w:r>
        <w:t xml:space="preserve"> (Dec. 27, 2013) (Second Generation Application).</w:t>
      </w:r>
    </w:p>
  </w:footnote>
  <w:footnote w:id="23">
    <w:p w:rsidR="00601B4E" w:rsidRDefault="00601B4E">
      <w:pPr>
        <w:pStyle w:val="FootnoteText"/>
      </w:pPr>
      <w:r>
        <w:rPr>
          <w:rStyle w:val="FootnoteReference"/>
        </w:rPr>
        <w:footnoteRef/>
      </w:r>
      <w:r>
        <w:t xml:space="preserve"> </w:t>
      </w:r>
      <w:r w:rsidRPr="007F6756">
        <w:rPr>
          <w:i/>
        </w:rPr>
        <w:t>Id.</w:t>
      </w:r>
      <w:r w:rsidRPr="00D81536">
        <w:t>,</w:t>
      </w:r>
      <w:r>
        <w:t xml:space="preserve"> Engineering Statement at 9.</w:t>
      </w:r>
    </w:p>
  </w:footnote>
  <w:footnote w:id="24">
    <w:p w:rsidR="00601B4E" w:rsidRDefault="00601B4E">
      <w:pPr>
        <w:pStyle w:val="FootnoteText"/>
      </w:pPr>
      <w:r>
        <w:rPr>
          <w:rStyle w:val="FootnoteReference"/>
        </w:rPr>
        <w:footnoteRef/>
      </w:r>
      <w:r>
        <w:t xml:space="preserve"> </w:t>
      </w:r>
      <w:r w:rsidRPr="00B80843">
        <w:rPr>
          <w:i/>
        </w:rPr>
        <w:t>Id.</w:t>
      </w:r>
    </w:p>
  </w:footnote>
  <w:footnote w:id="25">
    <w:p w:rsidR="00601B4E" w:rsidRDefault="00601B4E" w:rsidP="001B1517">
      <w:pPr>
        <w:pStyle w:val="FootnoteText"/>
      </w:pPr>
      <w:r>
        <w:rPr>
          <w:rStyle w:val="FootnoteReference"/>
        </w:rPr>
        <w:footnoteRef/>
      </w:r>
      <w:r>
        <w:t xml:space="preserve"> Iridium Constellation LLC, </w:t>
      </w:r>
      <w:r w:rsidRPr="00B80843">
        <w:rPr>
          <w:i/>
        </w:rPr>
        <w:t>Stamp Grant</w:t>
      </w:r>
      <w:r>
        <w:t xml:space="preserve">, File No. </w:t>
      </w:r>
      <w:r w:rsidRPr="004621EB">
        <w:t>SAT-MOD-20101001-00207</w:t>
      </w:r>
      <w:r>
        <w:t xml:space="preserve"> (granted in part and deferred in part</w:t>
      </w:r>
      <w:r w:rsidRPr="00F342C9">
        <w:t xml:space="preserve"> </w:t>
      </w:r>
      <w:r>
        <w:t>May 22, 2014) (License Extension Grant).</w:t>
      </w:r>
    </w:p>
  </w:footnote>
  <w:footnote w:id="26">
    <w:p w:rsidR="00601B4E" w:rsidRDefault="00601B4E" w:rsidP="006A02C2">
      <w:pPr>
        <w:pStyle w:val="FootnoteText"/>
      </w:pPr>
      <w:r>
        <w:rPr>
          <w:rStyle w:val="FootnoteReference"/>
        </w:rPr>
        <w:footnoteRef/>
      </w:r>
      <w:r>
        <w:t xml:space="preserve"> </w:t>
      </w:r>
      <w:r w:rsidRPr="003D0ABE">
        <w:rPr>
          <w:i/>
        </w:rPr>
        <w:t>See</w:t>
      </w:r>
      <w:r>
        <w:t xml:space="preserve"> Iridium Constellation LLC, </w:t>
      </w:r>
      <w:r w:rsidRPr="000861F7">
        <w:t xml:space="preserve">Application </w:t>
      </w:r>
      <w:r>
        <w:t>f</w:t>
      </w:r>
      <w:r w:rsidRPr="000861F7">
        <w:t>or Special Temporary Authority</w:t>
      </w:r>
      <w:r>
        <w:t>,</w:t>
      </w:r>
      <w:r w:rsidRPr="000861F7">
        <w:t xml:space="preserve"> </w:t>
      </w:r>
      <w:r w:rsidRPr="007E5ED5">
        <w:t>File No. SAT-STA-20140612-00062</w:t>
      </w:r>
      <w:r>
        <w:t xml:space="preserve"> (granted July 29, 2014); Iridium Constellation LLC, </w:t>
      </w:r>
      <w:r w:rsidRPr="000861F7">
        <w:t xml:space="preserve">Application </w:t>
      </w:r>
      <w:r>
        <w:t>f</w:t>
      </w:r>
      <w:r w:rsidRPr="000861F7">
        <w:t>or Special Temporary Authority</w:t>
      </w:r>
      <w:r>
        <w:t>,</w:t>
      </w:r>
      <w:r w:rsidRPr="007E5ED5">
        <w:t xml:space="preserve"> File No. SAT-STA-20140612-00063</w:t>
      </w:r>
      <w:r>
        <w:t xml:space="preserve"> (granted July 29, 2014).  The Satellite Division has granted </w:t>
      </w:r>
      <w:r w:rsidRPr="006F7AA6">
        <w:t>and periodically extended</w:t>
      </w:r>
      <w:r>
        <w:t xml:space="preserve"> special temporary authority (STA) </w:t>
      </w:r>
      <w:r w:rsidR="00B7710B">
        <w:t xml:space="preserve">for Iridium </w:t>
      </w:r>
      <w:r>
        <w:t xml:space="preserve">to operate satellites consistent with the revised plan.  </w:t>
      </w:r>
      <w:r w:rsidRPr="00CA5337">
        <w:rPr>
          <w:i/>
        </w:rPr>
        <w:t>See, e.g.</w:t>
      </w:r>
      <w:r>
        <w:t xml:space="preserve">, Iridium Constellation LLC, </w:t>
      </w:r>
      <w:r w:rsidRPr="00B80843">
        <w:rPr>
          <w:i/>
        </w:rPr>
        <w:t>Stamp Grant</w:t>
      </w:r>
      <w:r>
        <w:t>,</w:t>
      </w:r>
      <w:r w:rsidRPr="000861F7">
        <w:t xml:space="preserve"> </w:t>
      </w:r>
      <w:r>
        <w:t xml:space="preserve">File No. </w:t>
      </w:r>
      <w:r w:rsidR="00C70165" w:rsidRPr="007E5ED5">
        <w:t>SAT-STA-20140612-00062</w:t>
      </w:r>
      <w:r w:rsidR="00C70165">
        <w:t xml:space="preserve"> </w:t>
      </w:r>
      <w:r>
        <w:t>(</w:t>
      </w:r>
      <w:r w:rsidR="00C70165">
        <w:t>granted July 29, 2014</w:t>
      </w:r>
      <w:r>
        <w:t>) (</w:t>
      </w:r>
      <w:r w:rsidR="00C70165">
        <w:t>18</w:t>
      </w:r>
      <w:r>
        <w:t xml:space="preserve">0-day STA for </w:t>
      </w:r>
      <w:r w:rsidR="00C70165">
        <w:t xml:space="preserve">six </w:t>
      </w:r>
      <w:r>
        <w:t>satellite</w:t>
      </w:r>
      <w:r w:rsidR="00C70165">
        <w:t>s</w:t>
      </w:r>
      <w:r>
        <w:t xml:space="preserve">); Iridium Constellation LLC, </w:t>
      </w:r>
      <w:r w:rsidRPr="00B80843">
        <w:rPr>
          <w:i/>
        </w:rPr>
        <w:t>Stamp Grant</w:t>
      </w:r>
      <w:r>
        <w:t>,</w:t>
      </w:r>
      <w:r w:rsidRPr="000861F7">
        <w:t xml:space="preserve"> </w:t>
      </w:r>
      <w:r>
        <w:t xml:space="preserve">File No. </w:t>
      </w:r>
      <w:r w:rsidR="00C70165" w:rsidRPr="007E5ED5">
        <w:t>SAT-STA-20140612-00063</w:t>
      </w:r>
      <w:r w:rsidR="00C70165">
        <w:t xml:space="preserve"> </w:t>
      </w:r>
      <w:r>
        <w:t>(</w:t>
      </w:r>
      <w:r w:rsidR="00C70165">
        <w:t>granted July 29, 2014</w:t>
      </w:r>
      <w:r>
        <w:t xml:space="preserve">) (180-day STA for </w:t>
      </w:r>
      <w:r w:rsidR="00C70165">
        <w:t xml:space="preserve">one </w:t>
      </w:r>
      <w:r>
        <w:t>satellite).</w:t>
      </w:r>
    </w:p>
  </w:footnote>
  <w:footnote w:id="27">
    <w:p w:rsidR="00601B4E" w:rsidRDefault="00601B4E">
      <w:pPr>
        <w:pStyle w:val="FootnoteText"/>
      </w:pPr>
      <w:r>
        <w:rPr>
          <w:rStyle w:val="FootnoteReference"/>
        </w:rPr>
        <w:footnoteRef/>
      </w:r>
      <w:r>
        <w:t xml:space="preserve"> Application, Appendix A at A-3; </w:t>
      </w:r>
      <w:r w:rsidRPr="00CA4EEA">
        <w:rPr>
          <w:i/>
        </w:rPr>
        <w:t>Orbital Debris Order</w:t>
      </w:r>
      <w:r>
        <w:t xml:space="preserve">, </w:t>
      </w:r>
      <w:r w:rsidRPr="006E7D5B">
        <w:t>19 FCC Rcd</w:t>
      </w:r>
      <w:r>
        <w:t xml:space="preserve"> at 11601-02.</w:t>
      </w:r>
    </w:p>
  </w:footnote>
  <w:footnote w:id="28">
    <w:p w:rsidR="00601B4E" w:rsidRDefault="00601B4E">
      <w:pPr>
        <w:pStyle w:val="FootnoteText"/>
      </w:pPr>
      <w:r>
        <w:rPr>
          <w:rStyle w:val="FootnoteReference"/>
        </w:rPr>
        <w:footnoteRef/>
      </w:r>
      <w:r>
        <w:t xml:space="preserve"> October 2011 Supplement at 3; </w:t>
      </w:r>
      <w:r w:rsidRPr="00CA4EEA">
        <w:rPr>
          <w:i/>
        </w:rPr>
        <w:t>Orbital Debris Order</w:t>
      </w:r>
      <w:r>
        <w:t xml:space="preserve">, </w:t>
      </w:r>
      <w:r w:rsidRPr="006E7D5B">
        <w:t>19 FCC Rcd</w:t>
      </w:r>
      <w:r>
        <w:t xml:space="preserve"> at 11603.</w:t>
      </w:r>
    </w:p>
  </w:footnote>
  <w:footnote w:id="29">
    <w:p w:rsidR="00601B4E" w:rsidRDefault="00601B4E">
      <w:pPr>
        <w:pStyle w:val="FootnoteText"/>
      </w:pPr>
      <w:r>
        <w:rPr>
          <w:rStyle w:val="FootnoteReference"/>
        </w:rPr>
        <w:footnoteRef/>
      </w:r>
      <w:r>
        <w:t xml:space="preserve"> </w:t>
      </w:r>
      <w:r w:rsidRPr="00612999">
        <w:t>Iridium Communications Inc.</w:t>
      </w:r>
      <w:r>
        <w:t xml:space="preserve">, SEC Form 10-K at 16 (Mar. </w:t>
      </w:r>
      <w:r w:rsidRPr="00612999">
        <w:t>4</w:t>
      </w:r>
      <w:r>
        <w:t xml:space="preserve">, 2014) </w:t>
      </w:r>
      <w:r w:rsidRPr="00AB0718">
        <w:t>(Iridium 2014 10-K)</w:t>
      </w:r>
      <w:r>
        <w:t xml:space="preserve">.  </w:t>
      </w:r>
      <w:r w:rsidRPr="00D57AD5">
        <w:rPr>
          <w:i/>
        </w:rPr>
        <w:t>See also</w:t>
      </w:r>
      <w:r w:rsidRPr="00D57AD5">
        <w:t xml:space="preserve"> Iridium Communications Inc., SEC Form 8-K, Exhibit 10.1 (Sept. 29, 2009) (</w:t>
      </w:r>
      <w:r>
        <w:t xml:space="preserve">copy of </w:t>
      </w:r>
      <w:r w:rsidRPr="00D57AD5">
        <w:t>2000 Iridium contract with the U.S. government); Iridium Communications Inc., SEC Form 10-Q, Exhibit 10.7 (Nov. 9, 2010) (</w:t>
      </w:r>
      <w:r>
        <w:t xml:space="preserve">copy of </w:t>
      </w:r>
      <w:r w:rsidRPr="00D57AD5">
        <w:t>2010 contract modification).</w:t>
      </w:r>
    </w:p>
  </w:footnote>
  <w:footnote w:id="30">
    <w:p w:rsidR="00601B4E" w:rsidRDefault="00601B4E">
      <w:pPr>
        <w:pStyle w:val="FootnoteText"/>
      </w:pPr>
      <w:r>
        <w:rPr>
          <w:rStyle w:val="FootnoteReference"/>
        </w:rPr>
        <w:footnoteRef/>
      </w:r>
      <w:r>
        <w:t xml:space="preserve"> </w:t>
      </w:r>
      <w:r w:rsidRPr="00AB0718">
        <w:t>Iridium 2014 10-K at 31, 79.</w:t>
      </w:r>
    </w:p>
  </w:footnote>
  <w:footnote w:id="31">
    <w:p w:rsidR="00601B4E" w:rsidRDefault="00601B4E">
      <w:pPr>
        <w:pStyle w:val="FootnoteText"/>
      </w:pPr>
      <w:r>
        <w:rPr>
          <w:rStyle w:val="FootnoteReference"/>
        </w:rPr>
        <w:footnoteRef/>
      </w:r>
      <w:r>
        <w:t xml:space="preserve"> </w:t>
      </w:r>
      <w:r w:rsidRPr="00AB0718">
        <w:t>Iridium 2014 10-K at 16.</w:t>
      </w:r>
    </w:p>
  </w:footnote>
  <w:footnote w:id="32">
    <w:p w:rsidR="00601B4E" w:rsidRDefault="00601B4E">
      <w:pPr>
        <w:pStyle w:val="FootnoteText"/>
      </w:pPr>
      <w:r>
        <w:rPr>
          <w:rStyle w:val="FootnoteReference"/>
        </w:rPr>
        <w:footnoteRef/>
      </w:r>
      <w:r>
        <w:t xml:space="preserve"> License Extension Grant.</w:t>
      </w:r>
    </w:p>
  </w:footnote>
  <w:footnote w:id="33">
    <w:p w:rsidR="00601B4E" w:rsidRDefault="00601B4E">
      <w:pPr>
        <w:pStyle w:val="FootnoteText"/>
      </w:pPr>
      <w:r>
        <w:rPr>
          <w:rStyle w:val="FootnoteReference"/>
        </w:rPr>
        <w:footnoteRef/>
      </w:r>
      <w:r>
        <w:t xml:space="preserve"> Second Generation Application, Engineering Statement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1E" w:rsidRDefault="00A60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E" w:rsidRDefault="00601B4E" w:rsidP="00810B6F">
    <w:pPr>
      <w:pStyle w:val="Header"/>
      <w:rPr>
        <w:b w:val="0"/>
      </w:rPr>
    </w:pPr>
    <w:r>
      <w:tab/>
      <w:t>Federal Communications Commission</w:t>
    </w:r>
    <w:r>
      <w:tab/>
      <w:t>DA 14-</w:t>
    </w:r>
    <w:r w:rsidR="005F66D5">
      <w:t>1118</w:t>
    </w:r>
  </w:p>
  <w:p w:rsidR="00601B4E" w:rsidRDefault="00601B4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2232691" wp14:editId="698B425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01B4E" w:rsidRDefault="00601B4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E" w:rsidRDefault="00601B4E"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5F66D5">
      <w:rPr>
        <w:spacing w:val="-2"/>
      </w:rPr>
      <w:t>1118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15"/>
    <w:rsid w:val="000002E3"/>
    <w:rsid w:val="00001791"/>
    <w:rsid w:val="000041BE"/>
    <w:rsid w:val="000168CC"/>
    <w:rsid w:val="0001742B"/>
    <w:rsid w:val="000239E8"/>
    <w:rsid w:val="00027D01"/>
    <w:rsid w:val="000330A5"/>
    <w:rsid w:val="000330A9"/>
    <w:rsid w:val="00033400"/>
    <w:rsid w:val="00036039"/>
    <w:rsid w:val="00037F90"/>
    <w:rsid w:val="000404FF"/>
    <w:rsid w:val="0004160F"/>
    <w:rsid w:val="0004255A"/>
    <w:rsid w:val="00047489"/>
    <w:rsid w:val="00053758"/>
    <w:rsid w:val="00055368"/>
    <w:rsid w:val="000557A1"/>
    <w:rsid w:val="0005644A"/>
    <w:rsid w:val="000574D2"/>
    <w:rsid w:val="00061A1F"/>
    <w:rsid w:val="00062173"/>
    <w:rsid w:val="00064112"/>
    <w:rsid w:val="00067C1B"/>
    <w:rsid w:val="00076C27"/>
    <w:rsid w:val="00077E7C"/>
    <w:rsid w:val="000832F6"/>
    <w:rsid w:val="00084E4E"/>
    <w:rsid w:val="00085187"/>
    <w:rsid w:val="000861F7"/>
    <w:rsid w:val="000862DF"/>
    <w:rsid w:val="000875BF"/>
    <w:rsid w:val="00091DF8"/>
    <w:rsid w:val="0009375A"/>
    <w:rsid w:val="00096D0C"/>
    <w:rsid w:val="00096D8C"/>
    <w:rsid w:val="00096F73"/>
    <w:rsid w:val="00097E3A"/>
    <w:rsid w:val="000A4136"/>
    <w:rsid w:val="000A56A1"/>
    <w:rsid w:val="000A65A0"/>
    <w:rsid w:val="000A6F4F"/>
    <w:rsid w:val="000A7B41"/>
    <w:rsid w:val="000B383F"/>
    <w:rsid w:val="000B6B6C"/>
    <w:rsid w:val="000C0B65"/>
    <w:rsid w:val="000C4529"/>
    <w:rsid w:val="000C627A"/>
    <w:rsid w:val="000D659A"/>
    <w:rsid w:val="000E05FE"/>
    <w:rsid w:val="000E08BA"/>
    <w:rsid w:val="000E22FF"/>
    <w:rsid w:val="000E3D42"/>
    <w:rsid w:val="000E49A1"/>
    <w:rsid w:val="000E73BB"/>
    <w:rsid w:val="000F28CC"/>
    <w:rsid w:val="000F3FF1"/>
    <w:rsid w:val="000F483C"/>
    <w:rsid w:val="000F4EBB"/>
    <w:rsid w:val="000F7EAE"/>
    <w:rsid w:val="00102106"/>
    <w:rsid w:val="00104B02"/>
    <w:rsid w:val="0010512C"/>
    <w:rsid w:val="00121C30"/>
    <w:rsid w:val="00121D3D"/>
    <w:rsid w:val="00122A5F"/>
    <w:rsid w:val="00122BD5"/>
    <w:rsid w:val="00124694"/>
    <w:rsid w:val="00127077"/>
    <w:rsid w:val="0012726F"/>
    <w:rsid w:val="0013100E"/>
    <w:rsid w:val="00133F79"/>
    <w:rsid w:val="00142521"/>
    <w:rsid w:val="00144D9A"/>
    <w:rsid w:val="00145634"/>
    <w:rsid w:val="00147E38"/>
    <w:rsid w:val="00152BEA"/>
    <w:rsid w:val="00154A83"/>
    <w:rsid w:val="001614D8"/>
    <w:rsid w:val="001636CE"/>
    <w:rsid w:val="00170351"/>
    <w:rsid w:val="00172F2E"/>
    <w:rsid w:val="00173520"/>
    <w:rsid w:val="001743A1"/>
    <w:rsid w:val="0017447E"/>
    <w:rsid w:val="00181491"/>
    <w:rsid w:val="00182688"/>
    <w:rsid w:val="00184D13"/>
    <w:rsid w:val="00186B93"/>
    <w:rsid w:val="00194393"/>
    <w:rsid w:val="00194A66"/>
    <w:rsid w:val="001950BA"/>
    <w:rsid w:val="00195A1D"/>
    <w:rsid w:val="001970CC"/>
    <w:rsid w:val="0019781D"/>
    <w:rsid w:val="001A1842"/>
    <w:rsid w:val="001A1C2A"/>
    <w:rsid w:val="001A5156"/>
    <w:rsid w:val="001B1517"/>
    <w:rsid w:val="001B5A99"/>
    <w:rsid w:val="001B6D3C"/>
    <w:rsid w:val="001B721F"/>
    <w:rsid w:val="001C2533"/>
    <w:rsid w:val="001D146A"/>
    <w:rsid w:val="001D1EC3"/>
    <w:rsid w:val="001D6BCF"/>
    <w:rsid w:val="001D782A"/>
    <w:rsid w:val="001E01CA"/>
    <w:rsid w:val="001E393D"/>
    <w:rsid w:val="001E6920"/>
    <w:rsid w:val="001F28A4"/>
    <w:rsid w:val="002031EE"/>
    <w:rsid w:val="00206F4A"/>
    <w:rsid w:val="00211D2B"/>
    <w:rsid w:val="002124CC"/>
    <w:rsid w:val="00216E30"/>
    <w:rsid w:val="0022024A"/>
    <w:rsid w:val="00221488"/>
    <w:rsid w:val="00222C62"/>
    <w:rsid w:val="00224AF8"/>
    <w:rsid w:val="00226383"/>
    <w:rsid w:val="00226C8E"/>
    <w:rsid w:val="00233CD7"/>
    <w:rsid w:val="00236C54"/>
    <w:rsid w:val="00240496"/>
    <w:rsid w:val="00246CFA"/>
    <w:rsid w:val="00247E57"/>
    <w:rsid w:val="00255875"/>
    <w:rsid w:val="00260B5F"/>
    <w:rsid w:val="0026202D"/>
    <w:rsid w:val="002626A6"/>
    <w:rsid w:val="002649BF"/>
    <w:rsid w:val="002657EA"/>
    <w:rsid w:val="00265987"/>
    <w:rsid w:val="002665CA"/>
    <w:rsid w:val="00266CE3"/>
    <w:rsid w:val="00275CF5"/>
    <w:rsid w:val="002762AD"/>
    <w:rsid w:val="00276EE8"/>
    <w:rsid w:val="00280E0D"/>
    <w:rsid w:val="00282B8F"/>
    <w:rsid w:val="0028301F"/>
    <w:rsid w:val="00285017"/>
    <w:rsid w:val="002920B5"/>
    <w:rsid w:val="002A11DF"/>
    <w:rsid w:val="002A2C93"/>
    <w:rsid w:val="002A2D2E"/>
    <w:rsid w:val="002A54F0"/>
    <w:rsid w:val="002A7389"/>
    <w:rsid w:val="002C00E8"/>
    <w:rsid w:val="002C3BFA"/>
    <w:rsid w:val="002D54FA"/>
    <w:rsid w:val="002E0EF5"/>
    <w:rsid w:val="002E1603"/>
    <w:rsid w:val="002E3DC0"/>
    <w:rsid w:val="002E51C6"/>
    <w:rsid w:val="002E524D"/>
    <w:rsid w:val="002E5583"/>
    <w:rsid w:val="002E5E81"/>
    <w:rsid w:val="002F1924"/>
    <w:rsid w:val="002F43E9"/>
    <w:rsid w:val="002F4EAB"/>
    <w:rsid w:val="00300B0F"/>
    <w:rsid w:val="00301981"/>
    <w:rsid w:val="00303CFE"/>
    <w:rsid w:val="00303E37"/>
    <w:rsid w:val="003115D9"/>
    <w:rsid w:val="003163C8"/>
    <w:rsid w:val="003175B0"/>
    <w:rsid w:val="00321F57"/>
    <w:rsid w:val="003229A2"/>
    <w:rsid w:val="003238AF"/>
    <w:rsid w:val="003262C9"/>
    <w:rsid w:val="00326E2B"/>
    <w:rsid w:val="003278AC"/>
    <w:rsid w:val="0033231D"/>
    <w:rsid w:val="00332686"/>
    <w:rsid w:val="00333840"/>
    <w:rsid w:val="00340DD8"/>
    <w:rsid w:val="00343749"/>
    <w:rsid w:val="00343FF9"/>
    <w:rsid w:val="00354136"/>
    <w:rsid w:val="0035480E"/>
    <w:rsid w:val="003552B4"/>
    <w:rsid w:val="00356933"/>
    <w:rsid w:val="00360621"/>
    <w:rsid w:val="00360EDB"/>
    <w:rsid w:val="00363390"/>
    <w:rsid w:val="00365C32"/>
    <w:rsid w:val="003660ED"/>
    <w:rsid w:val="00367196"/>
    <w:rsid w:val="00370D6F"/>
    <w:rsid w:val="003720E9"/>
    <w:rsid w:val="003738BA"/>
    <w:rsid w:val="00373C1A"/>
    <w:rsid w:val="00385BAC"/>
    <w:rsid w:val="00386596"/>
    <w:rsid w:val="003A27A4"/>
    <w:rsid w:val="003A5A74"/>
    <w:rsid w:val="003B0550"/>
    <w:rsid w:val="003B694F"/>
    <w:rsid w:val="003B7BD8"/>
    <w:rsid w:val="003C4F0F"/>
    <w:rsid w:val="003C6B1E"/>
    <w:rsid w:val="003D0ABE"/>
    <w:rsid w:val="003D3D14"/>
    <w:rsid w:val="003D3ED3"/>
    <w:rsid w:val="003D44BC"/>
    <w:rsid w:val="003D4C2E"/>
    <w:rsid w:val="003D67C5"/>
    <w:rsid w:val="003E04A8"/>
    <w:rsid w:val="003E7BA4"/>
    <w:rsid w:val="003F171C"/>
    <w:rsid w:val="003F1ADA"/>
    <w:rsid w:val="003F7BB6"/>
    <w:rsid w:val="004023CC"/>
    <w:rsid w:val="00404D2D"/>
    <w:rsid w:val="00405169"/>
    <w:rsid w:val="004061BC"/>
    <w:rsid w:val="0041299F"/>
    <w:rsid w:val="00412C64"/>
    <w:rsid w:val="00412FC5"/>
    <w:rsid w:val="00413D0B"/>
    <w:rsid w:val="0041472E"/>
    <w:rsid w:val="00417D1A"/>
    <w:rsid w:val="00422276"/>
    <w:rsid w:val="00422B17"/>
    <w:rsid w:val="004232F9"/>
    <w:rsid w:val="004242F1"/>
    <w:rsid w:val="00426299"/>
    <w:rsid w:val="00426CF1"/>
    <w:rsid w:val="0043082A"/>
    <w:rsid w:val="00432D83"/>
    <w:rsid w:val="004351BE"/>
    <w:rsid w:val="00437FC3"/>
    <w:rsid w:val="00440050"/>
    <w:rsid w:val="00445A00"/>
    <w:rsid w:val="004461A6"/>
    <w:rsid w:val="0045187E"/>
    <w:rsid w:val="00451B0F"/>
    <w:rsid w:val="00460828"/>
    <w:rsid w:val="004621EB"/>
    <w:rsid w:val="00463062"/>
    <w:rsid w:val="004667E1"/>
    <w:rsid w:val="00467421"/>
    <w:rsid w:val="004714A4"/>
    <w:rsid w:val="00473DF9"/>
    <w:rsid w:val="004756DF"/>
    <w:rsid w:val="004852E9"/>
    <w:rsid w:val="004911EC"/>
    <w:rsid w:val="00494365"/>
    <w:rsid w:val="00494607"/>
    <w:rsid w:val="00496CBF"/>
    <w:rsid w:val="004972E0"/>
    <w:rsid w:val="004974E3"/>
    <w:rsid w:val="004978BB"/>
    <w:rsid w:val="004A02F5"/>
    <w:rsid w:val="004A374E"/>
    <w:rsid w:val="004B03FE"/>
    <w:rsid w:val="004B0B28"/>
    <w:rsid w:val="004B4B79"/>
    <w:rsid w:val="004B7944"/>
    <w:rsid w:val="004C25C0"/>
    <w:rsid w:val="004C2EE3"/>
    <w:rsid w:val="004C382E"/>
    <w:rsid w:val="004D71DB"/>
    <w:rsid w:val="004D739B"/>
    <w:rsid w:val="004E11F2"/>
    <w:rsid w:val="004E4A22"/>
    <w:rsid w:val="004E5EE2"/>
    <w:rsid w:val="004E7F32"/>
    <w:rsid w:val="004F1B97"/>
    <w:rsid w:val="004F321E"/>
    <w:rsid w:val="004F3B6F"/>
    <w:rsid w:val="004F3C92"/>
    <w:rsid w:val="00501148"/>
    <w:rsid w:val="00501687"/>
    <w:rsid w:val="00503F41"/>
    <w:rsid w:val="0050416D"/>
    <w:rsid w:val="00511968"/>
    <w:rsid w:val="00511C86"/>
    <w:rsid w:val="005134DE"/>
    <w:rsid w:val="005156C7"/>
    <w:rsid w:val="00516C65"/>
    <w:rsid w:val="00517CE9"/>
    <w:rsid w:val="0052158E"/>
    <w:rsid w:val="00542585"/>
    <w:rsid w:val="005435CC"/>
    <w:rsid w:val="0054461F"/>
    <w:rsid w:val="005463B3"/>
    <w:rsid w:val="00547701"/>
    <w:rsid w:val="005559F8"/>
    <w:rsid w:val="0055614C"/>
    <w:rsid w:val="00557AD9"/>
    <w:rsid w:val="00567FC6"/>
    <w:rsid w:val="005701BA"/>
    <w:rsid w:val="0057101C"/>
    <w:rsid w:val="005717E9"/>
    <w:rsid w:val="005761DA"/>
    <w:rsid w:val="0059566B"/>
    <w:rsid w:val="00595AD2"/>
    <w:rsid w:val="00597E86"/>
    <w:rsid w:val="005A6BCD"/>
    <w:rsid w:val="005B1A96"/>
    <w:rsid w:val="005C4646"/>
    <w:rsid w:val="005D5AB1"/>
    <w:rsid w:val="005D634E"/>
    <w:rsid w:val="005E0563"/>
    <w:rsid w:val="005E14C2"/>
    <w:rsid w:val="005E2D1C"/>
    <w:rsid w:val="005E3406"/>
    <w:rsid w:val="005E4152"/>
    <w:rsid w:val="005F08A6"/>
    <w:rsid w:val="005F66D5"/>
    <w:rsid w:val="005F6CDF"/>
    <w:rsid w:val="00600204"/>
    <w:rsid w:val="00600A7E"/>
    <w:rsid w:val="00601B4E"/>
    <w:rsid w:val="00603C0A"/>
    <w:rsid w:val="00604081"/>
    <w:rsid w:val="00606A1B"/>
    <w:rsid w:val="0060712F"/>
    <w:rsid w:val="00607BA5"/>
    <w:rsid w:val="006105CE"/>
    <w:rsid w:val="00610EA1"/>
    <w:rsid w:val="0061180A"/>
    <w:rsid w:val="0061219B"/>
    <w:rsid w:val="00612999"/>
    <w:rsid w:val="006139CE"/>
    <w:rsid w:val="0061498F"/>
    <w:rsid w:val="00614B5A"/>
    <w:rsid w:val="006160A7"/>
    <w:rsid w:val="006213F3"/>
    <w:rsid w:val="00623B37"/>
    <w:rsid w:val="00626EB6"/>
    <w:rsid w:val="00635ECC"/>
    <w:rsid w:val="006414C7"/>
    <w:rsid w:val="00642B93"/>
    <w:rsid w:val="00643B9A"/>
    <w:rsid w:val="00643E84"/>
    <w:rsid w:val="0064692A"/>
    <w:rsid w:val="00647810"/>
    <w:rsid w:val="006547B6"/>
    <w:rsid w:val="00655D03"/>
    <w:rsid w:val="00656E98"/>
    <w:rsid w:val="00662631"/>
    <w:rsid w:val="006629C7"/>
    <w:rsid w:val="006651E1"/>
    <w:rsid w:val="0066794D"/>
    <w:rsid w:val="00671EFF"/>
    <w:rsid w:val="00674C9E"/>
    <w:rsid w:val="00674F12"/>
    <w:rsid w:val="00683388"/>
    <w:rsid w:val="00683F84"/>
    <w:rsid w:val="00684EEE"/>
    <w:rsid w:val="006911E0"/>
    <w:rsid w:val="006970A0"/>
    <w:rsid w:val="00697C88"/>
    <w:rsid w:val="00697F15"/>
    <w:rsid w:val="006A02C2"/>
    <w:rsid w:val="006A23C9"/>
    <w:rsid w:val="006A2A52"/>
    <w:rsid w:val="006A2F8A"/>
    <w:rsid w:val="006A367E"/>
    <w:rsid w:val="006A3EB9"/>
    <w:rsid w:val="006A6A0D"/>
    <w:rsid w:val="006A6A81"/>
    <w:rsid w:val="006A6B6F"/>
    <w:rsid w:val="006B23BF"/>
    <w:rsid w:val="006B3C01"/>
    <w:rsid w:val="006B5A6B"/>
    <w:rsid w:val="006C2089"/>
    <w:rsid w:val="006C2498"/>
    <w:rsid w:val="006C580B"/>
    <w:rsid w:val="006C654B"/>
    <w:rsid w:val="006C722B"/>
    <w:rsid w:val="006C74A4"/>
    <w:rsid w:val="006D0339"/>
    <w:rsid w:val="006D11F4"/>
    <w:rsid w:val="006D24EE"/>
    <w:rsid w:val="006D5C41"/>
    <w:rsid w:val="006D6626"/>
    <w:rsid w:val="006D7D0F"/>
    <w:rsid w:val="006E7D5B"/>
    <w:rsid w:val="006F0B98"/>
    <w:rsid w:val="006F0C29"/>
    <w:rsid w:val="006F7393"/>
    <w:rsid w:val="006F7AA6"/>
    <w:rsid w:val="0070224F"/>
    <w:rsid w:val="0070279E"/>
    <w:rsid w:val="00702EFE"/>
    <w:rsid w:val="00704036"/>
    <w:rsid w:val="0070515B"/>
    <w:rsid w:val="00705661"/>
    <w:rsid w:val="007115F7"/>
    <w:rsid w:val="007135C4"/>
    <w:rsid w:val="00716626"/>
    <w:rsid w:val="00716C49"/>
    <w:rsid w:val="007220BF"/>
    <w:rsid w:val="00725E26"/>
    <w:rsid w:val="00730C17"/>
    <w:rsid w:val="00730CF1"/>
    <w:rsid w:val="00733810"/>
    <w:rsid w:val="007355D1"/>
    <w:rsid w:val="00745D22"/>
    <w:rsid w:val="00750195"/>
    <w:rsid w:val="00750684"/>
    <w:rsid w:val="007519FC"/>
    <w:rsid w:val="007533CC"/>
    <w:rsid w:val="0075361F"/>
    <w:rsid w:val="00754522"/>
    <w:rsid w:val="00754C90"/>
    <w:rsid w:val="007552E4"/>
    <w:rsid w:val="00756530"/>
    <w:rsid w:val="00756F73"/>
    <w:rsid w:val="007630C3"/>
    <w:rsid w:val="00763200"/>
    <w:rsid w:val="007703DB"/>
    <w:rsid w:val="00771D64"/>
    <w:rsid w:val="00781645"/>
    <w:rsid w:val="00785689"/>
    <w:rsid w:val="00793390"/>
    <w:rsid w:val="00793473"/>
    <w:rsid w:val="0079474F"/>
    <w:rsid w:val="0079754B"/>
    <w:rsid w:val="007A1E6D"/>
    <w:rsid w:val="007A28F6"/>
    <w:rsid w:val="007A2F59"/>
    <w:rsid w:val="007A3D0F"/>
    <w:rsid w:val="007B0EB2"/>
    <w:rsid w:val="007B11C0"/>
    <w:rsid w:val="007B2909"/>
    <w:rsid w:val="007C061C"/>
    <w:rsid w:val="007C45F0"/>
    <w:rsid w:val="007D30BD"/>
    <w:rsid w:val="007D5657"/>
    <w:rsid w:val="007D6C27"/>
    <w:rsid w:val="007E368B"/>
    <w:rsid w:val="007E44DE"/>
    <w:rsid w:val="007E5ED5"/>
    <w:rsid w:val="007E7B58"/>
    <w:rsid w:val="007F5A82"/>
    <w:rsid w:val="007F6756"/>
    <w:rsid w:val="007F69EB"/>
    <w:rsid w:val="007F7D02"/>
    <w:rsid w:val="008001B7"/>
    <w:rsid w:val="008040B8"/>
    <w:rsid w:val="00810B6F"/>
    <w:rsid w:val="00813F2E"/>
    <w:rsid w:val="00822CE0"/>
    <w:rsid w:val="00832608"/>
    <w:rsid w:val="008366F3"/>
    <w:rsid w:val="00836CBE"/>
    <w:rsid w:val="008405A7"/>
    <w:rsid w:val="00841591"/>
    <w:rsid w:val="00841AB1"/>
    <w:rsid w:val="008438C8"/>
    <w:rsid w:val="0085171A"/>
    <w:rsid w:val="00860BD4"/>
    <w:rsid w:val="00863839"/>
    <w:rsid w:val="00877E35"/>
    <w:rsid w:val="00885415"/>
    <w:rsid w:val="0088772F"/>
    <w:rsid w:val="00887896"/>
    <w:rsid w:val="00891CA1"/>
    <w:rsid w:val="008922D6"/>
    <w:rsid w:val="0089438E"/>
    <w:rsid w:val="008A47C1"/>
    <w:rsid w:val="008A62CE"/>
    <w:rsid w:val="008A77D8"/>
    <w:rsid w:val="008A7F06"/>
    <w:rsid w:val="008B5A66"/>
    <w:rsid w:val="008B65D1"/>
    <w:rsid w:val="008C50D6"/>
    <w:rsid w:val="008C68F1"/>
    <w:rsid w:val="008D2D7F"/>
    <w:rsid w:val="008D340F"/>
    <w:rsid w:val="008D3A02"/>
    <w:rsid w:val="008D5458"/>
    <w:rsid w:val="008E1C89"/>
    <w:rsid w:val="008E1F75"/>
    <w:rsid w:val="008E5E04"/>
    <w:rsid w:val="008E6B1D"/>
    <w:rsid w:val="008F05E4"/>
    <w:rsid w:val="008F10A4"/>
    <w:rsid w:val="008F1383"/>
    <w:rsid w:val="008F2016"/>
    <w:rsid w:val="008F2BD4"/>
    <w:rsid w:val="008F5066"/>
    <w:rsid w:val="00900593"/>
    <w:rsid w:val="00900CF2"/>
    <w:rsid w:val="00903D42"/>
    <w:rsid w:val="00916A0A"/>
    <w:rsid w:val="00921803"/>
    <w:rsid w:val="00923A32"/>
    <w:rsid w:val="00926503"/>
    <w:rsid w:val="0092798F"/>
    <w:rsid w:val="0094396F"/>
    <w:rsid w:val="0094462F"/>
    <w:rsid w:val="0094660D"/>
    <w:rsid w:val="00950447"/>
    <w:rsid w:val="0095081B"/>
    <w:rsid w:val="009510BC"/>
    <w:rsid w:val="00952482"/>
    <w:rsid w:val="00953B2A"/>
    <w:rsid w:val="00953C1C"/>
    <w:rsid w:val="00953F4F"/>
    <w:rsid w:val="009609AC"/>
    <w:rsid w:val="00961E8A"/>
    <w:rsid w:val="009635B7"/>
    <w:rsid w:val="00964124"/>
    <w:rsid w:val="00965583"/>
    <w:rsid w:val="0096745C"/>
    <w:rsid w:val="00971A63"/>
    <w:rsid w:val="009726D8"/>
    <w:rsid w:val="00975D34"/>
    <w:rsid w:val="00977FD3"/>
    <w:rsid w:val="00982957"/>
    <w:rsid w:val="00991427"/>
    <w:rsid w:val="00993948"/>
    <w:rsid w:val="009960FB"/>
    <w:rsid w:val="0099618E"/>
    <w:rsid w:val="009A0088"/>
    <w:rsid w:val="009A368B"/>
    <w:rsid w:val="009A5EAD"/>
    <w:rsid w:val="009B5BC0"/>
    <w:rsid w:val="009B7B00"/>
    <w:rsid w:val="009C149B"/>
    <w:rsid w:val="009E076C"/>
    <w:rsid w:val="009E1739"/>
    <w:rsid w:val="009E1E01"/>
    <w:rsid w:val="009E36F1"/>
    <w:rsid w:val="009E712F"/>
    <w:rsid w:val="009E7C94"/>
    <w:rsid w:val="009F0788"/>
    <w:rsid w:val="009F0CDF"/>
    <w:rsid w:val="009F4BDF"/>
    <w:rsid w:val="009F76DB"/>
    <w:rsid w:val="009F7F7D"/>
    <w:rsid w:val="00A001F6"/>
    <w:rsid w:val="00A01EA5"/>
    <w:rsid w:val="00A1076D"/>
    <w:rsid w:val="00A164E4"/>
    <w:rsid w:val="00A22BC2"/>
    <w:rsid w:val="00A31D75"/>
    <w:rsid w:val="00A32C3B"/>
    <w:rsid w:val="00A342AC"/>
    <w:rsid w:val="00A34CA9"/>
    <w:rsid w:val="00A3569F"/>
    <w:rsid w:val="00A37690"/>
    <w:rsid w:val="00A459F7"/>
    <w:rsid w:val="00A45F4F"/>
    <w:rsid w:val="00A57806"/>
    <w:rsid w:val="00A600A9"/>
    <w:rsid w:val="00A60D1E"/>
    <w:rsid w:val="00A6199E"/>
    <w:rsid w:val="00A70D83"/>
    <w:rsid w:val="00A760EA"/>
    <w:rsid w:val="00A7738C"/>
    <w:rsid w:val="00A779BB"/>
    <w:rsid w:val="00A86616"/>
    <w:rsid w:val="00A90DFE"/>
    <w:rsid w:val="00A94FF0"/>
    <w:rsid w:val="00AA4C96"/>
    <w:rsid w:val="00AA55B7"/>
    <w:rsid w:val="00AA5B9E"/>
    <w:rsid w:val="00AA72B8"/>
    <w:rsid w:val="00AB0718"/>
    <w:rsid w:val="00AB2407"/>
    <w:rsid w:val="00AB3D7A"/>
    <w:rsid w:val="00AB4F1B"/>
    <w:rsid w:val="00AB53DF"/>
    <w:rsid w:val="00AC02D2"/>
    <w:rsid w:val="00AC1A89"/>
    <w:rsid w:val="00AC23B7"/>
    <w:rsid w:val="00AC34A1"/>
    <w:rsid w:val="00AC5318"/>
    <w:rsid w:val="00AC77D4"/>
    <w:rsid w:val="00AD00A9"/>
    <w:rsid w:val="00AD1CB0"/>
    <w:rsid w:val="00AD3937"/>
    <w:rsid w:val="00AD5A17"/>
    <w:rsid w:val="00AD71C8"/>
    <w:rsid w:val="00AE18AD"/>
    <w:rsid w:val="00AE5B93"/>
    <w:rsid w:val="00AF253D"/>
    <w:rsid w:val="00AF3000"/>
    <w:rsid w:val="00AF475C"/>
    <w:rsid w:val="00B05F15"/>
    <w:rsid w:val="00B07E5C"/>
    <w:rsid w:val="00B14E68"/>
    <w:rsid w:val="00B17CCB"/>
    <w:rsid w:val="00B22909"/>
    <w:rsid w:val="00B23621"/>
    <w:rsid w:val="00B26F67"/>
    <w:rsid w:val="00B27696"/>
    <w:rsid w:val="00B321D7"/>
    <w:rsid w:val="00B41EA5"/>
    <w:rsid w:val="00B42DA0"/>
    <w:rsid w:val="00B4432A"/>
    <w:rsid w:val="00B47186"/>
    <w:rsid w:val="00B50081"/>
    <w:rsid w:val="00B50DB2"/>
    <w:rsid w:val="00B512B6"/>
    <w:rsid w:val="00B51424"/>
    <w:rsid w:val="00B5298E"/>
    <w:rsid w:val="00B63303"/>
    <w:rsid w:val="00B66851"/>
    <w:rsid w:val="00B76389"/>
    <w:rsid w:val="00B7710B"/>
    <w:rsid w:val="00B80843"/>
    <w:rsid w:val="00B811F7"/>
    <w:rsid w:val="00B81734"/>
    <w:rsid w:val="00B84309"/>
    <w:rsid w:val="00B84EB8"/>
    <w:rsid w:val="00B8682D"/>
    <w:rsid w:val="00B914CF"/>
    <w:rsid w:val="00B9483C"/>
    <w:rsid w:val="00B9493D"/>
    <w:rsid w:val="00B960FA"/>
    <w:rsid w:val="00B97A86"/>
    <w:rsid w:val="00BA2B76"/>
    <w:rsid w:val="00BA4D4B"/>
    <w:rsid w:val="00BA5DC6"/>
    <w:rsid w:val="00BA6196"/>
    <w:rsid w:val="00BB403F"/>
    <w:rsid w:val="00BB4DC0"/>
    <w:rsid w:val="00BB503B"/>
    <w:rsid w:val="00BB5C90"/>
    <w:rsid w:val="00BB6CFF"/>
    <w:rsid w:val="00BB7C13"/>
    <w:rsid w:val="00BC13D3"/>
    <w:rsid w:val="00BC2EF6"/>
    <w:rsid w:val="00BC2F1E"/>
    <w:rsid w:val="00BC5863"/>
    <w:rsid w:val="00BC6D8C"/>
    <w:rsid w:val="00BD1353"/>
    <w:rsid w:val="00BD1FC2"/>
    <w:rsid w:val="00BD34DD"/>
    <w:rsid w:val="00BD56F6"/>
    <w:rsid w:val="00BE6DE2"/>
    <w:rsid w:val="00BF1760"/>
    <w:rsid w:val="00BF1BC2"/>
    <w:rsid w:val="00C054BB"/>
    <w:rsid w:val="00C0732C"/>
    <w:rsid w:val="00C076A0"/>
    <w:rsid w:val="00C07DF4"/>
    <w:rsid w:val="00C1245E"/>
    <w:rsid w:val="00C161F3"/>
    <w:rsid w:val="00C16943"/>
    <w:rsid w:val="00C240AC"/>
    <w:rsid w:val="00C267CB"/>
    <w:rsid w:val="00C33780"/>
    <w:rsid w:val="00C33B9D"/>
    <w:rsid w:val="00C34006"/>
    <w:rsid w:val="00C35380"/>
    <w:rsid w:val="00C36241"/>
    <w:rsid w:val="00C379B1"/>
    <w:rsid w:val="00C40C29"/>
    <w:rsid w:val="00C426B1"/>
    <w:rsid w:val="00C50CC6"/>
    <w:rsid w:val="00C55C3C"/>
    <w:rsid w:val="00C63D11"/>
    <w:rsid w:val="00C655E7"/>
    <w:rsid w:val="00C66160"/>
    <w:rsid w:val="00C66581"/>
    <w:rsid w:val="00C67451"/>
    <w:rsid w:val="00C67B2D"/>
    <w:rsid w:val="00C70165"/>
    <w:rsid w:val="00C721AC"/>
    <w:rsid w:val="00C7648C"/>
    <w:rsid w:val="00C771BF"/>
    <w:rsid w:val="00C773EB"/>
    <w:rsid w:val="00C8007E"/>
    <w:rsid w:val="00C80A2E"/>
    <w:rsid w:val="00C85C1E"/>
    <w:rsid w:val="00C90D6A"/>
    <w:rsid w:val="00C93DB1"/>
    <w:rsid w:val="00C95DB0"/>
    <w:rsid w:val="00CA061E"/>
    <w:rsid w:val="00CA0AB3"/>
    <w:rsid w:val="00CA1F41"/>
    <w:rsid w:val="00CA247E"/>
    <w:rsid w:val="00CA4EEA"/>
    <w:rsid w:val="00CA5337"/>
    <w:rsid w:val="00CA59DD"/>
    <w:rsid w:val="00CA765C"/>
    <w:rsid w:val="00CA7AC5"/>
    <w:rsid w:val="00CB0422"/>
    <w:rsid w:val="00CB4CE4"/>
    <w:rsid w:val="00CC06F0"/>
    <w:rsid w:val="00CC2860"/>
    <w:rsid w:val="00CC347A"/>
    <w:rsid w:val="00CC3EF7"/>
    <w:rsid w:val="00CC5B91"/>
    <w:rsid w:val="00CC72B6"/>
    <w:rsid w:val="00CD0D2A"/>
    <w:rsid w:val="00CD4651"/>
    <w:rsid w:val="00CE2C8B"/>
    <w:rsid w:val="00D0218D"/>
    <w:rsid w:val="00D02D74"/>
    <w:rsid w:val="00D07A86"/>
    <w:rsid w:val="00D106C8"/>
    <w:rsid w:val="00D10871"/>
    <w:rsid w:val="00D12757"/>
    <w:rsid w:val="00D16E5A"/>
    <w:rsid w:val="00D20B88"/>
    <w:rsid w:val="00D20CED"/>
    <w:rsid w:val="00D25FB5"/>
    <w:rsid w:val="00D26DBF"/>
    <w:rsid w:val="00D30759"/>
    <w:rsid w:val="00D403B7"/>
    <w:rsid w:val="00D42F0F"/>
    <w:rsid w:val="00D4396A"/>
    <w:rsid w:val="00D44223"/>
    <w:rsid w:val="00D44B7E"/>
    <w:rsid w:val="00D47290"/>
    <w:rsid w:val="00D479CC"/>
    <w:rsid w:val="00D5327F"/>
    <w:rsid w:val="00D544E3"/>
    <w:rsid w:val="00D55F69"/>
    <w:rsid w:val="00D571C9"/>
    <w:rsid w:val="00D57AD5"/>
    <w:rsid w:val="00D57BF7"/>
    <w:rsid w:val="00D61977"/>
    <w:rsid w:val="00D641A6"/>
    <w:rsid w:val="00D81536"/>
    <w:rsid w:val="00D8659D"/>
    <w:rsid w:val="00D93CBA"/>
    <w:rsid w:val="00D9424A"/>
    <w:rsid w:val="00D94267"/>
    <w:rsid w:val="00D95BC6"/>
    <w:rsid w:val="00D972D7"/>
    <w:rsid w:val="00DA2529"/>
    <w:rsid w:val="00DB130A"/>
    <w:rsid w:val="00DB161D"/>
    <w:rsid w:val="00DB1BB8"/>
    <w:rsid w:val="00DB2EBB"/>
    <w:rsid w:val="00DB38D2"/>
    <w:rsid w:val="00DB3E74"/>
    <w:rsid w:val="00DC0805"/>
    <w:rsid w:val="00DC0EAE"/>
    <w:rsid w:val="00DC10A1"/>
    <w:rsid w:val="00DC394D"/>
    <w:rsid w:val="00DC655F"/>
    <w:rsid w:val="00DC7A6C"/>
    <w:rsid w:val="00DD0B59"/>
    <w:rsid w:val="00DD1014"/>
    <w:rsid w:val="00DD4533"/>
    <w:rsid w:val="00DD7EBD"/>
    <w:rsid w:val="00DE1378"/>
    <w:rsid w:val="00DE1A62"/>
    <w:rsid w:val="00DE6375"/>
    <w:rsid w:val="00DE7008"/>
    <w:rsid w:val="00DF62B6"/>
    <w:rsid w:val="00DF62EB"/>
    <w:rsid w:val="00DF7162"/>
    <w:rsid w:val="00E0075F"/>
    <w:rsid w:val="00E02D72"/>
    <w:rsid w:val="00E07225"/>
    <w:rsid w:val="00E14ED9"/>
    <w:rsid w:val="00E16DCB"/>
    <w:rsid w:val="00E20A79"/>
    <w:rsid w:val="00E229C5"/>
    <w:rsid w:val="00E2575A"/>
    <w:rsid w:val="00E26FA6"/>
    <w:rsid w:val="00E27DCA"/>
    <w:rsid w:val="00E3056A"/>
    <w:rsid w:val="00E30C6F"/>
    <w:rsid w:val="00E319D4"/>
    <w:rsid w:val="00E36F88"/>
    <w:rsid w:val="00E3707D"/>
    <w:rsid w:val="00E37F15"/>
    <w:rsid w:val="00E40BAA"/>
    <w:rsid w:val="00E45012"/>
    <w:rsid w:val="00E507AE"/>
    <w:rsid w:val="00E517DA"/>
    <w:rsid w:val="00E5183A"/>
    <w:rsid w:val="00E51BA5"/>
    <w:rsid w:val="00E533D0"/>
    <w:rsid w:val="00E5409F"/>
    <w:rsid w:val="00E558F9"/>
    <w:rsid w:val="00E57B41"/>
    <w:rsid w:val="00E611D3"/>
    <w:rsid w:val="00E61B4D"/>
    <w:rsid w:val="00E72764"/>
    <w:rsid w:val="00E7299B"/>
    <w:rsid w:val="00E772AD"/>
    <w:rsid w:val="00E80D30"/>
    <w:rsid w:val="00E84FB5"/>
    <w:rsid w:val="00E87FE7"/>
    <w:rsid w:val="00E906B2"/>
    <w:rsid w:val="00E94325"/>
    <w:rsid w:val="00E94A7B"/>
    <w:rsid w:val="00E96D5A"/>
    <w:rsid w:val="00E97447"/>
    <w:rsid w:val="00EA0490"/>
    <w:rsid w:val="00EA0DD9"/>
    <w:rsid w:val="00EA1A99"/>
    <w:rsid w:val="00EA4A0D"/>
    <w:rsid w:val="00EB05F1"/>
    <w:rsid w:val="00EB1A72"/>
    <w:rsid w:val="00EB1AFB"/>
    <w:rsid w:val="00EB2FED"/>
    <w:rsid w:val="00EB7BFC"/>
    <w:rsid w:val="00EC6412"/>
    <w:rsid w:val="00ED074C"/>
    <w:rsid w:val="00ED7F50"/>
    <w:rsid w:val="00EE391D"/>
    <w:rsid w:val="00EE6488"/>
    <w:rsid w:val="00EF52F1"/>
    <w:rsid w:val="00EF69C4"/>
    <w:rsid w:val="00F020F8"/>
    <w:rsid w:val="00F021FA"/>
    <w:rsid w:val="00F027DC"/>
    <w:rsid w:val="00F06310"/>
    <w:rsid w:val="00F107ED"/>
    <w:rsid w:val="00F10BED"/>
    <w:rsid w:val="00F116F3"/>
    <w:rsid w:val="00F11F64"/>
    <w:rsid w:val="00F16FD9"/>
    <w:rsid w:val="00F32BA9"/>
    <w:rsid w:val="00F32DC3"/>
    <w:rsid w:val="00F342C9"/>
    <w:rsid w:val="00F41A5E"/>
    <w:rsid w:val="00F42329"/>
    <w:rsid w:val="00F4622D"/>
    <w:rsid w:val="00F47363"/>
    <w:rsid w:val="00F47A2B"/>
    <w:rsid w:val="00F50C8F"/>
    <w:rsid w:val="00F5194E"/>
    <w:rsid w:val="00F52512"/>
    <w:rsid w:val="00F562DE"/>
    <w:rsid w:val="00F62BBA"/>
    <w:rsid w:val="00F62E97"/>
    <w:rsid w:val="00F63C04"/>
    <w:rsid w:val="00F64209"/>
    <w:rsid w:val="00F6665A"/>
    <w:rsid w:val="00F70F43"/>
    <w:rsid w:val="00F87152"/>
    <w:rsid w:val="00F912C5"/>
    <w:rsid w:val="00F915FF"/>
    <w:rsid w:val="00F91E04"/>
    <w:rsid w:val="00F92EDA"/>
    <w:rsid w:val="00F930F3"/>
    <w:rsid w:val="00F93BF5"/>
    <w:rsid w:val="00F9714B"/>
    <w:rsid w:val="00F97218"/>
    <w:rsid w:val="00FA168E"/>
    <w:rsid w:val="00FB0317"/>
    <w:rsid w:val="00FB12E7"/>
    <w:rsid w:val="00FB771A"/>
    <w:rsid w:val="00FC2F88"/>
    <w:rsid w:val="00FC77E3"/>
    <w:rsid w:val="00FD7EE2"/>
    <w:rsid w:val="00FD7FCB"/>
    <w:rsid w:val="00FE409F"/>
    <w:rsid w:val="00FE71B8"/>
    <w:rsid w:val="00FF0B75"/>
    <w:rsid w:val="00FF727C"/>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686"/>
    <w:pPr>
      <w:widowControl w:val="0"/>
    </w:pPr>
    <w:rPr>
      <w:snapToGrid w:val="0"/>
      <w:kern w:val="28"/>
      <w:sz w:val="22"/>
    </w:rPr>
  </w:style>
  <w:style w:type="paragraph" w:styleId="Heading1">
    <w:name w:val="heading 1"/>
    <w:basedOn w:val="Normal"/>
    <w:next w:val="ParaNum"/>
    <w:qFormat/>
    <w:rsid w:val="0033268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32686"/>
    <w:pPr>
      <w:keepNext/>
      <w:numPr>
        <w:ilvl w:val="1"/>
        <w:numId w:val="3"/>
      </w:numPr>
      <w:spacing w:after="120"/>
      <w:outlineLvl w:val="1"/>
    </w:pPr>
    <w:rPr>
      <w:b/>
    </w:rPr>
  </w:style>
  <w:style w:type="paragraph" w:styleId="Heading3">
    <w:name w:val="heading 3"/>
    <w:basedOn w:val="Normal"/>
    <w:next w:val="ParaNum"/>
    <w:qFormat/>
    <w:rsid w:val="00332686"/>
    <w:pPr>
      <w:keepNext/>
      <w:numPr>
        <w:ilvl w:val="2"/>
        <w:numId w:val="3"/>
      </w:numPr>
      <w:tabs>
        <w:tab w:val="left" w:pos="2160"/>
      </w:tabs>
      <w:spacing w:after="120"/>
      <w:outlineLvl w:val="2"/>
    </w:pPr>
    <w:rPr>
      <w:b/>
    </w:rPr>
  </w:style>
  <w:style w:type="paragraph" w:styleId="Heading4">
    <w:name w:val="heading 4"/>
    <w:basedOn w:val="Normal"/>
    <w:next w:val="ParaNum"/>
    <w:qFormat/>
    <w:rsid w:val="00332686"/>
    <w:pPr>
      <w:keepNext/>
      <w:numPr>
        <w:ilvl w:val="3"/>
        <w:numId w:val="3"/>
      </w:numPr>
      <w:tabs>
        <w:tab w:val="left" w:pos="2880"/>
      </w:tabs>
      <w:spacing w:after="120"/>
      <w:outlineLvl w:val="3"/>
    </w:pPr>
    <w:rPr>
      <w:b/>
    </w:rPr>
  </w:style>
  <w:style w:type="paragraph" w:styleId="Heading5">
    <w:name w:val="heading 5"/>
    <w:basedOn w:val="Normal"/>
    <w:next w:val="ParaNum"/>
    <w:qFormat/>
    <w:rsid w:val="0033268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32686"/>
    <w:pPr>
      <w:numPr>
        <w:ilvl w:val="5"/>
        <w:numId w:val="3"/>
      </w:numPr>
      <w:tabs>
        <w:tab w:val="left" w:pos="4320"/>
      </w:tabs>
      <w:spacing w:after="120"/>
      <w:outlineLvl w:val="5"/>
    </w:pPr>
    <w:rPr>
      <w:b/>
    </w:rPr>
  </w:style>
  <w:style w:type="paragraph" w:styleId="Heading7">
    <w:name w:val="heading 7"/>
    <w:basedOn w:val="Normal"/>
    <w:next w:val="ParaNum"/>
    <w:qFormat/>
    <w:rsid w:val="0033268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3268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3268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26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2686"/>
  </w:style>
  <w:style w:type="paragraph" w:customStyle="1" w:styleId="ParaNum">
    <w:name w:val="ParaNum"/>
    <w:basedOn w:val="Normal"/>
    <w:rsid w:val="00332686"/>
    <w:pPr>
      <w:numPr>
        <w:numId w:val="2"/>
      </w:numPr>
      <w:tabs>
        <w:tab w:val="clear" w:pos="1080"/>
        <w:tab w:val="num" w:pos="1440"/>
      </w:tabs>
      <w:spacing w:after="120"/>
    </w:pPr>
  </w:style>
  <w:style w:type="paragraph" w:styleId="EndnoteText">
    <w:name w:val="endnote text"/>
    <w:basedOn w:val="Normal"/>
    <w:semiHidden/>
    <w:rsid w:val="00332686"/>
    <w:rPr>
      <w:sz w:val="20"/>
    </w:rPr>
  </w:style>
  <w:style w:type="character" w:styleId="EndnoteReference">
    <w:name w:val="endnote reference"/>
    <w:semiHidden/>
    <w:rsid w:val="00332686"/>
    <w:rPr>
      <w:vertAlign w:val="superscript"/>
    </w:rPr>
  </w:style>
  <w:style w:type="paragraph" w:styleId="FootnoteText">
    <w:name w:val="footnote text"/>
    <w:rsid w:val="00332686"/>
    <w:pPr>
      <w:spacing w:after="120"/>
    </w:pPr>
  </w:style>
  <w:style w:type="character" w:styleId="FootnoteReference">
    <w:name w:val="footnote reference"/>
    <w:rsid w:val="00332686"/>
    <w:rPr>
      <w:rFonts w:ascii="Times New Roman" w:hAnsi="Times New Roman"/>
      <w:dstrike w:val="0"/>
      <w:color w:val="auto"/>
      <w:sz w:val="20"/>
      <w:vertAlign w:val="superscript"/>
    </w:rPr>
  </w:style>
  <w:style w:type="paragraph" w:styleId="TOC1">
    <w:name w:val="toc 1"/>
    <w:basedOn w:val="Normal"/>
    <w:next w:val="Normal"/>
    <w:semiHidden/>
    <w:rsid w:val="0033268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32686"/>
    <w:pPr>
      <w:tabs>
        <w:tab w:val="left" w:pos="720"/>
        <w:tab w:val="right" w:leader="dot" w:pos="9360"/>
      </w:tabs>
      <w:suppressAutoHyphens/>
      <w:ind w:left="720" w:right="720" w:hanging="360"/>
    </w:pPr>
    <w:rPr>
      <w:noProof/>
    </w:rPr>
  </w:style>
  <w:style w:type="paragraph" w:styleId="TOC3">
    <w:name w:val="toc 3"/>
    <w:basedOn w:val="Normal"/>
    <w:next w:val="Normal"/>
    <w:semiHidden/>
    <w:rsid w:val="0033268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268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268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268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268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268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268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2686"/>
    <w:pPr>
      <w:tabs>
        <w:tab w:val="right" w:pos="9360"/>
      </w:tabs>
      <w:suppressAutoHyphens/>
    </w:pPr>
  </w:style>
  <w:style w:type="character" w:customStyle="1" w:styleId="EquationCaption">
    <w:name w:val="_Equation Caption"/>
    <w:rsid w:val="00332686"/>
  </w:style>
  <w:style w:type="paragraph" w:styleId="Header">
    <w:name w:val="header"/>
    <w:basedOn w:val="Normal"/>
    <w:autoRedefine/>
    <w:rsid w:val="00332686"/>
    <w:pPr>
      <w:tabs>
        <w:tab w:val="center" w:pos="4680"/>
        <w:tab w:val="right" w:pos="9360"/>
      </w:tabs>
    </w:pPr>
    <w:rPr>
      <w:b/>
    </w:rPr>
  </w:style>
  <w:style w:type="paragraph" w:styleId="Footer">
    <w:name w:val="footer"/>
    <w:basedOn w:val="Normal"/>
    <w:rsid w:val="00332686"/>
    <w:pPr>
      <w:tabs>
        <w:tab w:val="center" w:pos="4320"/>
        <w:tab w:val="right" w:pos="8640"/>
      </w:tabs>
    </w:pPr>
  </w:style>
  <w:style w:type="character" w:styleId="PageNumber">
    <w:name w:val="page number"/>
    <w:basedOn w:val="DefaultParagraphFont"/>
    <w:rsid w:val="00332686"/>
  </w:style>
  <w:style w:type="paragraph" w:styleId="BlockText">
    <w:name w:val="Block Text"/>
    <w:basedOn w:val="Normal"/>
    <w:rsid w:val="00332686"/>
    <w:pPr>
      <w:spacing w:after="240"/>
      <w:ind w:left="1440" w:right="1440"/>
    </w:pPr>
  </w:style>
  <w:style w:type="paragraph" w:customStyle="1" w:styleId="Paratitle">
    <w:name w:val="Para title"/>
    <w:basedOn w:val="Normal"/>
    <w:rsid w:val="00332686"/>
    <w:pPr>
      <w:tabs>
        <w:tab w:val="center" w:pos="9270"/>
      </w:tabs>
      <w:spacing w:after="240"/>
    </w:pPr>
    <w:rPr>
      <w:spacing w:val="-2"/>
    </w:rPr>
  </w:style>
  <w:style w:type="paragraph" w:customStyle="1" w:styleId="Bullet">
    <w:name w:val="Bullet"/>
    <w:basedOn w:val="Normal"/>
    <w:rsid w:val="00332686"/>
    <w:pPr>
      <w:tabs>
        <w:tab w:val="left" w:pos="2160"/>
      </w:tabs>
      <w:spacing w:after="220"/>
      <w:ind w:left="2160" w:hanging="720"/>
    </w:pPr>
  </w:style>
  <w:style w:type="paragraph" w:customStyle="1" w:styleId="TableFormat">
    <w:name w:val="TableFormat"/>
    <w:basedOn w:val="Bullet"/>
    <w:rsid w:val="00332686"/>
    <w:pPr>
      <w:tabs>
        <w:tab w:val="clear" w:pos="2160"/>
        <w:tab w:val="left" w:pos="5040"/>
      </w:tabs>
      <w:ind w:left="5040" w:hanging="3600"/>
    </w:pPr>
  </w:style>
  <w:style w:type="paragraph" w:customStyle="1" w:styleId="TOCTitle">
    <w:name w:val="TOC Title"/>
    <w:basedOn w:val="Normal"/>
    <w:rsid w:val="0033268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2686"/>
    <w:pPr>
      <w:jc w:val="center"/>
    </w:pPr>
    <w:rPr>
      <w:rFonts w:ascii="Times New Roman Bold" w:hAnsi="Times New Roman Bold"/>
      <w:b/>
      <w:bCs/>
      <w:caps/>
      <w:szCs w:val="22"/>
    </w:rPr>
  </w:style>
  <w:style w:type="character" w:styleId="Hyperlink">
    <w:name w:val="Hyperlink"/>
    <w:rsid w:val="00332686"/>
    <w:rPr>
      <w:color w:val="0000FF"/>
      <w:u w:val="single"/>
    </w:rPr>
  </w:style>
  <w:style w:type="character" w:styleId="FollowedHyperlink">
    <w:name w:val="FollowedHyperlink"/>
    <w:basedOn w:val="DefaultParagraphFont"/>
    <w:rsid w:val="004974E3"/>
    <w:rPr>
      <w:color w:val="800080" w:themeColor="followedHyperlink"/>
      <w:u w:val="single"/>
    </w:rPr>
  </w:style>
  <w:style w:type="paragraph" w:styleId="BalloonText">
    <w:name w:val="Balloon Text"/>
    <w:basedOn w:val="Normal"/>
    <w:link w:val="BalloonTextChar"/>
    <w:rsid w:val="00A760EA"/>
    <w:rPr>
      <w:rFonts w:ascii="Tahoma" w:hAnsi="Tahoma" w:cs="Tahoma"/>
      <w:sz w:val="16"/>
      <w:szCs w:val="16"/>
    </w:rPr>
  </w:style>
  <w:style w:type="character" w:customStyle="1" w:styleId="BalloonTextChar">
    <w:name w:val="Balloon Text Char"/>
    <w:basedOn w:val="DefaultParagraphFont"/>
    <w:link w:val="BalloonText"/>
    <w:rsid w:val="00A760EA"/>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686"/>
    <w:pPr>
      <w:widowControl w:val="0"/>
    </w:pPr>
    <w:rPr>
      <w:snapToGrid w:val="0"/>
      <w:kern w:val="28"/>
      <w:sz w:val="22"/>
    </w:rPr>
  </w:style>
  <w:style w:type="paragraph" w:styleId="Heading1">
    <w:name w:val="heading 1"/>
    <w:basedOn w:val="Normal"/>
    <w:next w:val="ParaNum"/>
    <w:qFormat/>
    <w:rsid w:val="0033268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32686"/>
    <w:pPr>
      <w:keepNext/>
      <w:numPr>
        <w:ilvl w:val="1"/>
        <w:numId w:val="3"/>
      </w:numPr>
      <w:spacing w:after="120"/>
      <w:outlineLvl w:val="1"/>
    </w:pPr>
    <w:rPr>
      <w:b/>
    </w:rPr>
  </w:style>
  <w:style w:type="paragraph" w:styleId="Heading3">
    <w:name w:val="heading 3"/>
    <w:basedOn w:val="Normal"/>
    <w:next w:val="ParaNum"/>
    <w:qFormat/>
    <w:rsid w:val="00332686"/>
    <w:pPr>
      <w:keepNext/>
      <w:numPr>
        <w:ilvl w:val="2"/>
        <w:numId w:val="3"/>
      </w:numPr>
      <w:tabs>
        <w:tab w:val="left" w:pos="2160"/>
      </w:tabs>
      <w:spacing w:after="120"/>
      <w:outlineLvl w:val="2"/>
    </w:pPr>
    <w:rPr>
      <w:b/>
    </w:rPr>
  </w:style>
  <w:style w:type="paragraph" w:styleId="Heading4">
    <w:name w:val="heading 4"/>
    <w:basedOn w:val="Normal"/>
    <w:next w:val="ParaNum"/>
    <w:qFormat/>
    <w:rsid w:val="00332686"/>
    <w:pPr>
      <w:keepNext/>
      <w:numPr>
        <w:ilvl w:val="3"/>
        <w:numId w:val="3"/>
      </w:numPr>
      <w:tabs>
        <w:tab w:val="left" w:pos="2880"/>
      </w:tabs>
      <w:spacing w:after="120"/>
      <w:outlineLvl w:val="3"/>
    </w:pPr>
    <w:rPr>
      <w:b/>
    </w:rPr>
  </w:style>
  <w:style w:type="paragraph" w:styleId="Heading5">
    <w:name w:val="heading 5"/>
    <w:basedOn w:val="Normal"/>
    <w:next w:val="ParaNum"/>
    <w:qFormat/>
    <w:rsid w:val="0033268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32686"/>
    <w:pPr>
      <w:numPr>
        <w:ilvl w:val="5"/>
        <w:numId w:val="3"/>
      </w:numPr>
      <w:tabs>
        <w:tab w:val="left" w:pos="4320"/>
      </w:tabs>
      <w:spacing w:after="120"/>
      <w:outlineLvl w:val="5"/>
    </w:pPr>
    <w:rPr>
      <w:b/>
    </w:rPr>
  </w:style>
  <w:style w:type="paragraph" w:styleId="Heading7">
    <w:name w:val="heading 7"/>
    <w:basedOn w:val="Normal"/>
    <w:next w:val="ParaNum"/>
    <w:qFormat/>
    <w:rsid w:val="0033268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3268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3268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26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2686"/>
  </w:style>
  <w:style w:type="paragraph" w:customStyle="1" w:styleId="ParaNum">
    <w:name w:val="ParaNum"/>
    <w:basedOn w:val="Normal"/>
    <w:rsid w:val="00332686"/>
    <w:pPr>
      <w:numPr>
        <w:numId w:val="2"/>
      </w:numPr>
      <w:tabs>
        <w:tab w:val="clear" w:pos="1080"/>
        <w:tab w:val="num" w:pos="1440"/>
      </w:tabs>
      <w:spacing w:after="120"/>
    </w:pPr>
  </w:style>
  <w:style w:type="paragraph" w:styleId="EndnoteText">
    <w:name w:val="endnote text"/>
    <w:basedOn w:val="Normal"/>
    <w:semiHidden/>
    <w:rsid w:val="00332686"/>
    <w:rPr>
      <w:sz w:val="20"/>
    </w:rPr>
  </w:style>
  <w:style w:type="character" w:styleId="EndnoteReference">
    <w:name w:val="endnote reference"/>
    <w:semiHidden/>
    <w:rsid w:val="00332686"/>
    <w:rPr>
      <w:vertAlign w:val="superscript"/>
    </w:rPr>
  </w:style>
  <w:style w:type="paragraph" w:styleId="FootnoteText">
    <w:name w:val="footnote text"/>
    <w:rsid w:val="00332686"/>
    <w:pPr>
      <w:spacing w:after="120"/>
    </w:pPr>
  </w:style>
  <w:style w:type="character" w:styleId="FootnoteReference">
    <w:name w:val="footnote reference"/>
    <w:rsid w:val="00332686"/>
    <w:rPr>
      <w:rFonts w:ascii="Times New Roman" w:hAnsi="Times New Roman"/>
      <w:dstrike w:val="0"/>
      <w:color w:val="auto"/>
      <w:sz w:val="20"/>
      <w:vertAlign w:val="superscript"/>
    </w:rPr>
  </w:style>
  <w:style w:type="paragraph" w:styleId="TOC1">
    <w:name w:val="toc 1"/>
    <w:basedOn w:val="Normal"/>
    <w:next w:val="Normal"/>
    <w:semiHidden/>
    <w:rsid w:val="0033268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32686"/>
    <w:pPr>
      <w:tabs>
        <w:tab w:val="left" w:pos="720"/>
        <w:tab w:val="right" w:leader="dot" w:pos="9360"/>
      </w:tabs>
      <w:suppressAutoHyphens/>
      <w:ind w:left="720" w:right="720" w:hanging="360"/>
    </w:pPr>
    <w:rPr>
      <w:noProof/>
    </w:rPr>
  </w:style>
  <w:style w:type="paragraph" w:styleId="TOC3">
    <w:name w:val="toc 3"/>
    <w:basedOn w:val="Normal"/>
    <w:next w:val="Normal"/>
    <w:semiHidden/>
    <w:rsid w:val="0033268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268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268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268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268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268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268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2686"/>
    <w:pPr>
      <w:tabs>
        <w:tab w:val="right" w:pos="9360"/>
      </w:tabs>
      <w:suppressAutoHyphens/>
    </w:pPr>
  </w:style>
  <w:style w:type="character" w:customStyle="1" w:styleId="EquationCaption">
    <w:name w:val="_Equation Caption"/>
    <w:rsid w:val="00332686"/>
  </w:style>
  <w:style w:type="paragraph" w:styleId="Header">
    <w:name w:val="header"/>
    <w:basedOn w:val="Normal"/>
    <w:autoRedefine/>
    <w:rsid w:val="00332686"/>
    <w:pPr>
      <w:tabs>
        <w:tab w:val="center" w:pos="4680"/>
        <w:tab w:val="right" w:pos="9360"/>
      </w:tabs>
    </w:pPr>
    <w:rPr>
      <w:b/>
    </w:rPr>
  </w:style>
  <w:style w:type="paragraph" w:styleId="Footer">
    <w:name w:val="footer"/>
    <w:basedOn w:val="Normal"/>
    <w:rsid w:val="00332686"/>
    <w:pPr>
      <w:tabs>
        <w:tab w:val="center" w:pos="4320"/>
        <w:tab w:val="right" w:pos="8640"/>
      </w:tabs>
    </w:pPr>
  </w:style>
  <w:style w:type="character" w:styleId="PageNumber">
    <w:name w:val="page number"/>
    <w:basedOn w:val="DefaultParagraphFont"/>
    <w:rsid w:val="00332686"/>
  </w:style>
  <w:style w:type="paragraph" w:styleId="BlockText">
    <w:name w:val="Block Text"/>
    <w:basedOn w:val="Normal"/>
    <w:rsid w:val="00332686"/>
    <w:pPr>
      <w:spacing w:after="240"/>
      <w:ind w:left="1440" w:right="1440"/>
    </w:pPr>
  </w:style>
  <w:style w:type="paragraph" w:customStyle="1" w:styleId="Paratitle">
    <w:name w:val="Para title"/>
    <w:basedOn w:val="Normal"/>
    <w:rsid w:val="00332686"/>
    <w:pPr>
      <w:tabs>
        <w:tab w:val="center" w:pos="9270"/>
      </w:tabs>
      <w:spacing w:after="240"/>
    </w:pPr>
    <w:rPr>
      <w:spacing w:val="-2"/>
    </w:rPr>
  </w:style>
  <w:style w:type="paragraph" w:customStyle="1" w:styleId="Bullet">
    <w:name w:val="Bullet"/>
    <w:basedOn w:val="Normal"/>
    <w:rsid w:val="00332686"/>
    <w:pPr>
      <w:tabs>
        <w:tab w:val="left" w:pos="2160"/>
      </w:tabs>
      <w:spacing w:after="220"/>
      <w:ind w:left="2160" w:hanging="720"/>
    </w:pPr>
  </w:style>
  <w:style w:type="paragraph" w:customStyle="1" w:styleId="TableFormat">
    <w:name w:val="TableFormat"/>
    <w:basedOn w:val="Bullet"/>
    <w:rsid w:val="00332686"/>
    <w:pPr>
      <w:tabs>
        <w:tab w:val="clear" w:pos="2160"/>
        <w:tab w:val="left" w:pos="5040"/>
      </w:tabs>
      <w:ind w:left="5040" w:hanging="3600"/>
    </w:pPr>
  </w:style>
  <w:style w:type="paragraph" w:customStyle="1" w:styleId="TOCTitle">
    <w:name w:val="TOC Title"/>
    <w:basedOn w:val="Normal"/>
    <w:rsid w:val="0033268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2686"/>
    <w:pPr>
      <w:jc w:val="center"/>
    </w:pPr>
    <w:rPr>
      <w:rFonts w:ascii="Times New Roman Bold" w:hAnsi="Times New Roman Bold"/>
      <w:b/>
      <w:bCs/>
      <w:caps/>
      <w:szCs w:val="22"/>
    </w:rPr>
  </w:style>
  <w:style w:type="character" w:styleId="Hyperlink">
    <w:name w:val="Hyperlink"/>
    <w:rsid w:val="00332686"/>
    <w:rPr>
      <w:color w:val="0000FF"/>
      <w:u w:val="single"/>
    </w:rPr>
  </w:style>
  <w:style w:type="character" w:styleId="FollowedHyperlink">
    <w:name w:val="FollowedHyperlink"/>
    <w:basedOn w:val="DefaultParagraphFont"/>
    <w:rsid w:val="004974E3"/>
    <w:rPr>
      <w:color w:val="800080" w:themeColor="followedHyperlink"/>
      <w:u w:val="single"/>
    </w:rPr>
  </w:style>
  <w:style w:type="paragraph" w:styleId="BalloonText">
    <w:name w:val="Balloon Text"/>
    <w:basedOn w:val="Normal"/>
    <w:link w:val="BalloonTextChar"/>
    <w:rsid w:val="00A760EA"/>
    <w:rPr>
      <w:rFonts w:ascii="Tahoma" w:hAnsi="Tahoma" w:cs="Tahoma"/>
      <w:sz w:val="16"/>
      <w:szCs w:val="16"/>
    </w:rPr>
  </w:style>
  <w:style w:type="character" w:customStyle="1" w:styleId="BalloonTextChar">
    <w:name w:val="Balloon Text Char"/>
    <w:basedOn w:val="DefaultParagraphFont"/>
    <w:link w:val="BalloonText"/>
    <w:rsid w:val="00A760EA"/>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rbitaldebris.jsc.nasa.gov/library/USG_OD_Standard_Practic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1399</Words>
  <Characters>7836</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2014-07-31T19:01:00Z</cp:lastPrinted>
  <dcterms:created xsi:type="dcterms:W3CDTF">2014-07-31T20:22:00Z</dcterms:created>
  <dcterms:modified xsi:type="dcterms:W3CDTF">2014-07-31T20:22:00Z</dcterms:modified>
  <cp:category> </cp:category>
  <cp:contentStatus> </cp:contentStatus>
</cp:coreProperties>
</file>