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2EE" w:rsidRPr="00714A76" w:rsidRDefault="00DB02EE" w:rsidP="000E1F18">
      <w:pPr>
        <w:suppressAutoHyphens/>
        <w:jc w:val="right"/>
        <w:outlineLvl w:val="0"/>
        <w:rPr>
          <w:b/>
          <w:szCs w:val="22"/>
        </w:rPr>
      </w:pPr>
      <w:bookmarkStart w:id="0" w:name="_GoBack"/>
      <w:bookmarkEnd w:id="0"/>
      <w:r w:rsidRPr="00714A76">
        <w:rPr>
          <w:b/>
          <w:szCs w:val="22"/>
        </w:rPr>
        <w:t>DA 14-</w:t>
      </w:r>
      <w:r w:rsidR="006D3904">
        <w:rPr>
          <w:b/>
          <w:szCs w:val="22"/>
        </w:rPr>
        <w:t>1128</w:t>
      </w:r>
    </w:p>
    <w:p w:rsidR="00DB02EE" w:rsidRPr="00714A76" w:rsidRDefault="00DB02EE" w:rsidP="000E1F18">
      <w:pPr>
        <w:suppressAutoHyphens/>
        <w:jc w:val="right"/>
        <w:rPr>
          <w:b/>
          <w:szCs w:val="22"/>
        </w:rPr>
      </w:pPr>
      <w:r w:rsidRPr="00714A76">
        <w:rPr>
          <w:b/>
          <w:szCs w:val="22"/>
        </w:rPr>
        <w:t xml:space="preserve"> Released:  </w:t>
      </w:r>
      <w:r w:rsidR="00464004">
        <w:rPr>
          <w:b/>
          <w:szCs w:val="22"/>
        </w:rPr>
        <w:t>August 1</w:t>
      </w:r>
      <w:r w:rsidRPr="00714A76">
        <w:rPr>
          <w:b/>
          <w:szCs w:val="22"/>
        </w:rPr>
        <w:t>, 2014</w:t>
      </w:r>
    </w:p>
    <w:p w:rsidR="00DB02EE" w:rsidRPr="00714A76" w:rsidRDefault="00DB02EE" w:rsidP="000E1F18">
      <w:pPr>
        <w:suppressAutoHyphens/>
        <w:jc w:val="right"/>
        <w:rPr>
          <w:b/>
          <w:szCs w:val="22"/>
        </w:rPr>
      </w:pPr>
    </w:p>
    <w:p w:rsidR="00DB02EE" w:rsidRPr="00714A76" w:rsidRDefault="00DB02EE" w:rsidP="000E1F18">
      <w:pPr>
        <w:suppressAutoHyphens/>
        <w:jc w:val="center"/>
        <w:rPr>
          <w:b/>
          <w:szCs w:val="22"/>
        </w:rPr>
      </w:pPr>
      <w:r w:rsidRPr="00714A76">
        <w:rPr>
          <w:b/>
          <w:szCs w:val="22"/>
        </w:rPr>
        <w:t>CONSUMER AND GOVERNMENTAL AFFAIRS BUREAU SEEKS COMMENT ON THE NATIONAL DEAF-BLIND EQUIPMENT DISTRIBUTION PROGRAM</w:t>
      </w:r>
    </w:p>
    <w:p w:rsidR="00DB02EE" w:rsidRPr="00714A76" w:rsidRDefault="00DB02EE" w:rsidP="000E1F18">
      <w:pPr>
        <w:suppressAutoHyphens/>
        <w:jc w:val="center"/>
        <w:rPr>
          <w:b/>
          <w:szCs w:val="22"/>
        </w:rPr>
      </w:pPr>
    </w:p>
    <w:p w:rsidR="00DB02EE" w:rsidRPr="00714A76" w:rsidRDefault="00DB02EE" w:rsidP="000E1F18">
      <w:pPr>
        <w:suppressAutoHyphens/>
        <w:jc w:val="center"/>
        <w:outlineLvl w:val="0"/>
        <w:rPr>
          <w:b/>
          <w:szCs w:val="22"/>
        </w:rPr>
      </w:pPr>
      <w:r w:rsidRPr="00714A76">
        <w:rPr>
          <w:b/>
          <w:szCs w:val="22"/>
        </w:rPr>
        <w:t>Pleading Cycle Established</w:t>
      </w:r>
    </w:p>
    <w:p w:rsidR="00DB02EE" w:rsidRPr="00714A76" w:rsidRDefault="00DB02EE" w:rsidP="000E1F18">
      <w:pPr>
        <w:suppressAutoHyphens/>
        <w:jc w:val="center"/>
        <w:outlineLvl w:val="0"/>
        <w:rPr>
          <w:b/>
          <w:szCs w:val="22"/>
        </w:rPr>
      </w:pPr>
      <w:r w:rsidRPr="00714A76">
        <w:rPr>
          <w:b/>
          <w:szCs w:val="22"/>
        </w:rPr>
        <w:t>CG Docket No. 10-210</w:t>
      </w:r>
    </w:p>
    <w:p w:rsidR="00DB02EE" w:rsidRPr="00714A76" w:rsidRDefault="00DB02EE" w:rsidP="000E1F18">
      <w:pPr>
        <w:suppressAutoHyphens/>
        <w:rPr>
          <w:b/>
          <w:szCs w:val="22"/>
        </w:rPr>
      </w:pPr>
    </w:p>
    <w:p w:rsidR="00DB02EE" w:rsidRPr="00714A76" w:rsidRDefault="00DB02EE" w:rsidP="00714A76">
      <w:pPr>
        <w:suppressAutoHyphens/>
        <w:outlineLvl w:val="0"/>
        <w:rPr>
          <w:b/>
          <w:szCs w:val="22"/>
        </w:rPr>
      </w:pPr>
      <w:r w:rsidRPr="00714A76">
        <w:rPr>
          <w:b/>
          <w:szCs w:val="22"/>
        </w:rPr>
        <w:t xml:space="preserve">Comment Date:  </w:t>
      </w:r>
      <w:r w:rsidR="006D3904">
        <w:rPr>
          <w:b/>
          <w:szCs w:val="22"/>
        </w:rPr>
        <w:t>August 22, 2014</w:t>
      </w:r>
    </w:p>
    <w:p w:rsidR="00DB02EE" w:rsidRPr="00714A76" w:rsidRDefault="00DB02EE" w:rsidP="00714A76">
      <w:pPr>
        <w:suppressAutoHyphens/>
        <w:outlineLvl w:val="0"/>
        <w:rPr>
          <w:b/>
          <w:szCs w:val="22"/>
        </w:rPr>
      </w:pPr>
      <w:r w:rsidRPr="00714A76">
        <w:rPr>
          <w:b/>
          <w:szCs w:val="22"/>
        </w:rPr>
        <w:t xml:space="preserve">Reply Comment Date:  </w:t>
      </w:r>
      <w:r w:rsidR="006D3904">
        <w:rPr>
          <w:b/>
          <w:szCs w:val="22"/>
        </w:rPr>
        <w:t>September 5, 2014</w:t>
      </w:r>
      <w:r w:rsidRPr="00714A76">
        <w:rPr>
          <w:b/>
          <w:szCs w:val="22"/>
        </w:rPr>
        <w:t xml:space="preserve"> </w:t>
      </w:r>
    </w:p>
    <w:p w:rsidR="00DB02EE" w:rsidRPr="00714A76" w:rsidRDefault="00DB02EE" w:rsidP="00714A76">
      <w:pPr>
        <w:rPr>
          <w:b/>
          <w:szCs w:val="22"/>
        </w:rPr>
      </w:pPr>
    </w:p>
    <w:p w:rsidR="00DB02EE" w:rsidRPr="00714A76" w:rsidRDefault="00DB02EE" w:rsidP="00714A76">
      <w:pPr>
        <w:suppressAutoHyphens/>
        <w:outlineLvl w:val="0"/>
        <w:rPr>
          <w:b/>
          <w:szCs w:val="22"/>
        </w:rPr>
      </w:pPr>
      <w:r w:rsidRPr="00714A76">
        <w:rPr>
          <w:b/>
          <w:szCs w:val="22"/>
        </w:rPr>
        <w:t>I.</w:t>
      </w:r>
      <w:r w:rsidRPr="00714A76">
        <w:rPr>
          <w:b/>
          <w:szCs w:val="22"/>
        </w:rPr>
        <w:tab/>
        <w:t>Introduction</w:t>
      </w:r>
    </w:p>
    <w:p w:rsidR="00DB02EE" w:rsidRPr="00714A76" w:rsidRDefault="00DB02EE" w:rsidP="00714A76">
      <w:pPr>
        <w:suppressAutoHyphens/>
        <w:ind w:firstLine="720"/>
        <w:outlineLvl w:val="0"/>
        <w:rPr>
          <w:b/>
          <w:szCs w:val="22"/>
        </w:rPr>
      </w:pPr>
    </w:p>
    <w:p w:rsidR="00DB02EE" w:rsidRPr="00714A76" w:rsidRDefault="00DB02EE" w:rsidP="00714A76">
      <w:pPr>
        <w:numPr>
          <w:ilvl w:val="0"/>
          <w:numId w:val="37"/>
        </w:numPr>
        <w:ind w:left="0" w:firstLine="720"/>
        <w:rPr>
          <w:szCs w:val="22"/>
        </w:rPr>
      </w:pPr>
      <w:r w:rsidRPr="00714A76">
        <w:rPr>
          <w:szCs w:val="22"/>
        </w:rPr>
        <w:t xml:space="preserve">In this Public Notice, we seek comment on a range of issues related to the establishment of a permanent National Deaf-Blind Equipment Distribution Program (NDBEDP).  The NDBEDP is a program of the Federal Communications Commission (FCC or Commission) that supports the distribution of communications devices to low-income individuals who are deaf-blind.  </w:t>
      </w:r>
    </w:p>
    <w:p w:rsidR="00DB02EE" w:rsidRPr="00714A76" w:rsidRDefault="00DB02EE" w:rsidP="00714A76">
      <w:pPr>
        <w:rPr>
          <w:szCs w:val="22"/>
        </w:rPr>
      </w:pPr>
    </w:p>
    <w:p w:rsidR="00DB02EE" w:rsidRPr="00714A76" w:rsidRDefault="00DB02EE" w:rsidP="00714A76">
      <w:pPr>
        <w:numPr>
          <w:ilvl w:val="0"/>
          <w:numId w:val="37"/>
        </w:numPr>
        <w:ind w:left="0" w:firstLine="720"/>
        <w:rPr>
          <w:szCs w:val="22"/>
        </w:rPr>
      </w:pPr>
      <w:r w:rsidRPr="00714A76">
        <w:rPr>
          <w:szCs w:val="22"/>
        </w:rPr>
        <w:t>The Twenty-First Century Communications and Video Accessibility Act of 2010 (CVAA) directed the Commission to establish rules to provide up to $10 million annually from the interstate telecommunications relay service fund (TRS Fund) to support programs that distribute communications equipment to low-income individuals who are deaf-blind.</w:t>
      </w:r>
      <w:r w:rsidRPr="00714A76">
        <w:rPr>
          <w:rStyle w:val="FootnoteReference"/>
          <w:szCs w:val="22"/>
        </w:rPr>
        <w:footnoteReference w:id="1"/>
      </w:r>
      <w:r w:rsidRPr="00714A76">
        <w:rPr>
          <w:szCs w:val="22"/>
        </w:rPr>
        <w:t xml:space="preserve">  In accordance with this directive, the Commission established the NDBEDP,</w:t>
      </w:r>
      <w:r w:rsidRPr="00714A76">
        <w:rPr>
          <w:rStyle w:val="FootnoteReference"/>
          <w:szCs w:val="22"/>
        </w:rPr>
        <w:footnoteReference w:id="2"/>
      </w:r>
      <w:r w:rsidRPr="00714A76">
        <w:rPr>
          <w:szCs w:val="22"/>
        </w:rPr>
        <w:t xml:space="preserve"> which has been operating as a pilot program since July 1, 2012.</w:t>
      </w:r>
      <w:r w:rsidRPr="00714A76">
        <w:rPr>
          <w:rStyle w:val="FootnoteReference"/>
          <w:szCs w:val="22"/>
        </w:rPr>
        <w:footnoteReference w:id="3"/>
      </w:r>
      <w:r w:rsidRPr="00714A76">
        <w:rPr>
          <w:szCs w:val="22"/>
        </w:rPr>
        <w:t xml:space="preserve">  The rules governing this pilot program will expire on June 30, 2015.</w:t>
      </w:r>
      <w:r w:rsidRPr="00714A76">
        <w:rPr>
          <w:rStyle w:val="FootnoteReference"/>
          <w:szCs w:val="22"/>
        </w:rPr>
        <w:footnoteReference w:id="4"/>
      </w:r>
      <w:r w:rsidRPr="00714A76">
        <w:rPr>
          <w:szCs w:val="22"/>
        </w:rPr>
        <w:t xml:space="preserve">  In this Public Notice, we invite the public to tell us which rules governing the NDBEDP pilot program have been effective and should remain in place and which should be modified to make the permanent NDBEDP more effective and more efficient.</w:t>
      </w:r>
      <w:r w:rsidRPr="00714A76">
        <w:rPr>
          <w:rStyle w:val="FootnoteReference"/>
          <w:szCs w:val="22"/>
        </w:rPr>
        <w:footnoteReference w:id="5"/>
      </w:r>
      <w:r w:rsidRPr="00714A76">
        <w:rPr>
          <w:szCs w:val="22"/>
        </w:rPr>
        <w:t xml:space="preserve">  Comments filed in response to this Public Notice will help inform the </w:t>
      </w:r>
      <w:r w:rsidRPr="00714A76">
        <w:rPr>
          <w:szCs w:val="22"/>
        </w:rPr>
        <w:lastRenderedPageBreak/>
        <w:t xml:space="preserve">preparation of a </w:t>
      </w:r>
      <w:r w:rsidR="00494736" w:rsidRPr="00714A76">
        <w:rPr>
          <w:szCs w:val="22"/>
        </w:rPr>
        <w:t xml:space="preserve">Commission </w:t>
      </w:r>
      <w:r w:rsidRPr="00714A76">
        <w:rPr>
          <w:szCs w:val="22"/>
        </w:rPr>
        <w:t>Notice of Proposed Rulemaking for the development of rules to continue the NDBEDP after the pilot program ends.</w:t>
      </w:r>
      <w:r w:rsidR="007C456A" w:rsidRPr="00714A76">
        <w:rPr>
          <w:rStyle w:val="FootnoteReference"/>
          <w:szCs w:val="22"/>
        </w:rPr>
        <w:footnoteReference w:id="6"/>
      </w:r>
    </w:p>
    <w:p w:rsidR="00DB02EE" w:rsidRPr="00714A76" w:rsidRDefault="00DB02EE" w:rsidP="00714A76">
      <w:pPr>
        <w:rPr>
          <w:szCs w:val="22"/>
        </w:rPr>
      </w:pPr>
    </w:p>
    <w:p w:rsidR="00DB02EE" w:rsidRPr="00714A76" w:rsidRDefault="00DB02EE" w:rsidP="00714A76">
      <w:pPr>
        <w:pStyle w:val="ColorfulList-Accent11"/>
        <w:ind w:left="0"/>
        <w:outlineLvl w:val="0"/>
        <w:rPr>
          <w:rFonts w:ascii="Times New Roman" w:hAnsi="Times New Roman"/>
          <w:b/>
        </w:rPr>
      </w:pPr>
      <w:r w:rsidRPr="00714A76">
        <w:rPr>
          <w:rFonts w:ascii="Times New Roman" w:hAnsi="Times New Roman"/>
          <w:b/>
        </w:rPr>
        <w:t>II.</w:t>
      </w:r>
      <w:r w:rsidRPr="00714A76">
        <w:rPr>
          <w:rFonts w:ascii="Times New Roman" w:hAnsi="Times New Roman"/>
          <w:b/>
        </w:rPr>
        <w:tab/>
        <w:t>Program Structure</w:t>
      </w:r>
    </w:p>
    <w:p w:rsidR="00DB02EE" w:rsidRPr="00714A76" w:rsidRDefault="00DB02EE" w:rsidP="00714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outlineLvl w:val="0"/>
        <w:rPr>
          <w:rFonts w:ascii="Times New Roman" w:hAnsi="Times New Roman"/>
          <w:b/>
          <w:sz w:val="22"/>
          <w:szCs w:val="22"/>
        </w:rPr>
      </w:pPr>
    </w:p>
    <w:p w:rsidR="00DB02EE" w:rsidRPr="00714A76" w:rsidRDefault="00DB02EE" w:rsidP="00714A76">
      <w:pPr>
        <w:pStyle w:val="HTMLPreformatted"/>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outlineLvl w:val="0"/>
        <w:rPr>
          <w:rFonts w:ascii="Times New Roman" w:hAnsi="Times New Roman"/>
          <w:sz w:val="22"/>
          <w:szCs w:val="22"/>
        </w:rPr>
      </w:pPr>
      <w:r w:rsidRPr="00714A76">
        <w:rPr>
          <w:rFonts w:ascii="Times New Roman" w:hAnsi="Times New Roman"/>
          <w:sz w:val="22"/>
          <w:szCs w:val="22"/>
        </w:rPr>
        <w:t>Currently, there are 53 entities – one entity per state, plus the District of Columbia, Puerto Rico, and the U.S. Virgin Islands – certified by the Consumer and Governmental Affairs Bureau (CGB or Bureau) to receive support for the distribution of equipment to low-income individuals who are deaf-blind.</w:t>
      </w:r>
      <w:r w:rsidRPr="00714A76">
        <w:rPr>
          <w:rStyle w:val="FootnoteReference"/>
          <w:rFonts w:ascii="Times New Roman" w:hAnsi="Times New Roman"/>
          <w:sz w:val="22"/>
          <w:szCs w:val="22"/>
        </w:rPr>
        <w:footnoteReference w:id="7"/>
      </w:r>
      <w:r w:rsidRPr="00714A76">
        <w:rPr>
          <w:rFonts w:ascii="Times New Roman" w:hAnsi="Times New Roman"/>
          <w:sz w:val="22"/>
          <w:szCs w:val="22"/>
        </w:rPr>
        <w:t xml:space="preserve">  </w:t>
      </w:r>
      <w:r w:rsidRPr="00714A76">
        <w:rPr>
          <w:rFonts w:ascii="Times New Roman" w:hAnsi="Times New Roman"/>
          <w:color w:val="010101"/>
          <w:sz w:val="22"/>
          <w:szCs w:val="22"/>
        </w:rPr>
        <w:t>Each certified program has primary oversight and responsibility for compliance with program requirements, but may fulfill its responsibilities directly or through collaboration, partnership, or contract with other individuals or entities within or outside of their states or territories.</w:t>
      </w:r>
      <w:r w:rsidRPr="00714A76">
        <w:rPr>
          <w:rStyle w:val="FootnoteReference"/>
          <w:rFonts w:ascii="Times New Roman" w:hAnsi="Times New Roman"/>
          <w:color w:val="010101"/>
          <w:sz w:val="22"/>
          <w:szCs w:val="22"/>
        </w:rPr>
        <w:footnoteReference w:id="8"/>
      </w:r>
      <w:r w:rsidRPr="00714A76">
        <w:rPr>
          <w:rFonts w:ascii="Times New Roman" w:hAnsi="Times New Roman"/>
          <w:color w:val="010101"/>
          <w:sz w:val="22"/>
          <w:szCs w:val="22"/>
        </w:rPr>
        <w:t xml:space="preserve">  We seek comment on whether this program structure should be retained for the permanent NDBEDP.  Specifically, what are the advantages or disadvantages of having separately certified programs across the United States and its territories?  Would it be more efficient or effective to have a single entity operate the NDBEDP nationwide, or fewer entities operate multistate regional programs across the country?  Which would be preferable for consumers who are deaf-blind:  localizing oversight of individual NDBEDP programs or centralizing the responsibilities currently handled by these programs?  </w:t>
      </w:r>
    </w:p>
    <w:p w:rsidR="00DB02EE" w:rsidRPr="00714A76" w:rsidRDefault="00DB02EE" w:rsidP="00714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outlineLvl w:val="0"/>
        <w:rPr>
          <w:rFonts w:ascii="Times New Roman" w:hAnsi="Times New Roman"/>
          <w:sz w:val="22"/>
          <w:szCs w:val="22"/>
        </w:rPr>
      </w:pPr>
    </w:p>
    <w:p w:rsidR="00DB02EE" w:rsidRPr="00714A76" w:rsidRDefault="00DB02EE" w:rsidP="00714A76">
      <w:pPr>
        <w:pStyle w:val="HTMLPreformatted"/>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outlineLvl w:val="0"/>
        <w:rPr>
          <w:rFonts w:ascii="Times New Roman" w:hAnsi="Times New Roman"/>
          <w:sz w:val="22"/>
          <w:szCs w:val="22"/>
        </w:rPr>
      </w:pPr>
      <w:r w:rsidRPr="00714A76">
        <w:rPr>
          <w:rFonts w:ascii="Times New Roman" w:hAnsi="Times New Roman"/>
          <w:color w:val="010101"/>
          <w:sz w:val="22"/>
          <w:szCs w:val="22"/>
        </w:rPr>
        <w:t>At present, each certified program is responsible for both the distribution of equipment and various administrative functions associated with the NDBEDP.  Tasks associated with the distribution of equipment include outreach, assessment, installation of devices, and training.</w:t>
      </w:r>
      <w:r w:rsidR="00640576" w:rsidRPr="00714A76">
        <w:rPr>
          <w:rStyle w:val="FootnoteReference"/>
          <w:rFonts w:ascii="Times New Roman" w:hAnsi="Times New Roman"/>
          <w:color w:val="010101"/>
          <w:sz w:val="22"/>
          <w:szCs w:val="22"/>
        </w:rPr>
        <w:footnoteReference w:id="9"/>
      </w:r>
      <w:r w:rsidRPr="00714A76">
        <w:rPr>
          <w:rFonts w:ascii="Times New Roman" w:hAnsi="Times New Roman"/>
          <w:color w:val="010101"/>
          <w:sz w:val="22"/>
          <w:szCs w:val="22"/>
        </w:rPr>
        <w:t xml:space="preserve">  Administrative functions include the submission of reimbursement claims, the fulfillment of reporting obligations, and conducting annual audits.</w:t>
      </w:r>
      <w:r w:rsidR="00640576" w:rsidRPr="00714A76">
        <w:rPr>
          <w:rStyle w:val="FootnoteReference"/>
          <w:rFonts w:ascii="Times New Roman" w:hAnsi="Times New Roman"/>
          <w:color w:val="010101"/>
          <w:sz w:val="22"/>
          <w:szCs w:val="22"/>
        </w:rPr>
        <w:footnoteReference w:id="10"/>
      </w:r>
      <w:r w:rsidRPr="00714A76">
        <w:rPr>
          <w:rFonts w:ascii="Times New Roman" w:hAnsi="Times New Roman"/>
          <w:color w:val="010101"/>
          <w:sz w:val="22"/>
          <w:szCs w:val="22"/>
        </w:rPr>
        <w:t xml:space="preserve">  What would be the advantages or disadvantages of transferring some of the responsibilities in either or both of these categories (distribution of equipment and/or administrative functions) to a single administrator?  Which tasks would be appropriate for assignment to a central administrator?  Would it be preferable to maintain individual certified programs for certain tasks – for example,</w:t>
      </w:r>
      <w:r w:rsidRPr="00714A76" w:rsidDel="00DC51FD">
        <w:rPr>
          <w:rFonts w:ascii="Times New Roman" w:hAnsi="Times New Roman"/>
          <w:i/>
          <w:color w:val="010101"/>
          <w:sz w:val="22"/>
          <w:szCs w:val="22"/>
        </w:rPr>
        <w:t xml:space="preserve"> </w:t>
      </w:r>
      <w:r w:rsidRPr="00714A76">
        <w:rPr>
          <w:rFonts w:ascii="Times New Roman" w:hAnsi="Times New Roman"/>
          <w:color w:val="010101"/>
          <w:sz w:val="22"/>
          <w:szCs w:val="22"/>
        </w:rPr>
        <w:t xml:space="preserve">those related to the distribution of equipment – while centralizing some or all of the administrative functions in a single entity?  To what extent would there be advantages to </w:t>
      </w:r>
      <w:r w:rsidRPr="00714A76">
        <w:rPr>
          <w:rFonts w:ascii="Times New Roman" w:hAnsi="Times New Roman"/>
          <w:sz w:val="22"/>
          <w:szCs w:val="22"/>
        </w:rPr>
        <w:t xml:space="preserve">adopting centralized web-based systems for processing reimbursement claims or </w:t>
      </w:r>
      <w:r w:rsidRPr="00714A76">
        <w:rPr>
          <w:rFonts w:ascii="Times New Roman" w:hAnsi="Times New Roman"/>
          <w:color w:val="010101"/>
          <w:sz w:val="22"/>
          <w:szCs w:val="22"/>
        </w:rPr>
        <w:t>reporting?  We note that during the NDBEDP pilot program, some state programs relinquished their certification, requiring the Commission to seek replacements in those states.</w:t>
      </w:r>
      <w:r w:rsidRPr="00714A76">
        <w:rPr>
          <w:rStyle w:val="FootnoteReference"/>
          <w:rFonts w:ascii="Times New Roman" w:hAnsi="Times New Roman"/>
          <w:color w:val="010101"/>
          <w:sz w:val="22"/>
          <w:szCs w:val="22"/>
        </w:rPr>
        <w:footnoteReference w:id="11"/>
      </w:r>
      <w:r w:rsidRPr="00714A76">
        <w:rPr>
          <w:rFonts w:ascii="Times New Roman" w:hAnsi="Times New Roman"/>
          <w:color w:val="010101"/>
          <w:sz w:val="22"/>
          <w:szCs w:val="22"/>
        </w:rPr>
        <w:t xml:space="preserve">  We ask interested stakeholders to comment on </w:t>
      </w:r>
      <w:r w:rsidRPr="00714A76">
        <w:rPr>
          <w:rFonts w:ascii="Times New Roman" w:hAnsi="Times New Roman"/>
          <w:color w:val="010101"/>
          <w:sz w:val="22"/>
          <w:szCs w:val="22"/>
        </w:rPr>
        <w:lastRenderedPageBreak/>
        <w:t xml:space="preserve">whether centralizing certain distribution and/or administrative functions would increase the likelihood that programs will fulfill the terms of their certification by creating greater efficiencies.  What other measures can the Commission take to improve the structure of the NDBEDP and </w:t>
      </w:r>
      <w:r w:rsidRPr="00714A76">
        <w:rPr>
          <w:rFonts w:ascii="Times New Roman" w:hAnsi="Times New Roman"/>
          <w:sz w:val="22"/>
          <w:szCs w:val="22"/>
        </w:rPr>
        <w:t>support certified programs in their efforts to distribute equipment to people who are deaf-blind?</w:t>
      </w:r>
    </w:p>
    <w:p w:rsidR="00DB02EE" w:rsidRPr="00714A76" w:rsidRDefault="00DB02EE" w:rsidP="00714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outlineLvl w:val="0"/>
        <w:rPr>
          <w:rFonts w:ascii="Times New Roman" w:hAnsi="Times New Roman"/>
          <w:sz w:val="22"/>
          <w:szCs w:val="22"/>
        </w:rPr>
      </w:pPr>
    </w:p>
    <w:p w:rsidR="00DB02EE" w:rsidRPr="00714A76" w:rsidRDefault="00DB02EE" w:rsidP="00714A76">
      <w:pPr>
        <w:pStyle w:val="HTMLPreformatted"/>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outlineLvl w:val="0"/>
        <w:rPr>
          <w:rFonts w:ascii="Times New Roman" w:hAnsi="Times New Roman"/>
          <w:sz w:val="22"/>
          <w:szCs w:val="22"/>
        </w:rPr>
      </w:pPr>
      <w:r w:rsidRPr="00714A76">
        <w:rPr>
          <w:rFonts w:ascii="Times New Roman" w:hAnsi="Times New Roman"/>
          <w:color w:val="010101"/>
          <w:sz w:val="22"/>
          <w:szCs w:val="22"/>
        </w:rPr>
        <w:t xml:space="preserve">The </w:t>
      </w:r>
      <w:r w:rsidRPr="00714A76">
        <w:rPr>
          <w:rFonts w:ascii="Times New Roman" w:hAnsi="Times New Roman"/>
          <w:i/>
          <w:sz w:val="22"/>
          <w:szCs w:val="22"/>
        </w:rPr>
        <w:t>NDBEDP</w:t>
      </w:r>
      <w:r w:rsidRPr="00714A76">
        <w:rPr>
          <w:rFonts w:ascii="Times New Roman" w:hAnsi="Times New Roman"/>
          <w:sz w:val="22"/>
          <w:szCs w:val="22"/>
        </w:rPr>
        <w:t xml:space="preserve"> </w:t>
      </w:r>
      <w:r w:rsidRPr="00714A76">
        <w:rPr>
          <w:rFonts w:ascii="Times New Roman" w:hAnsi="Times New Roman"/>
          <w:i/>
          <w:sz w:val="22"/>
          <w:szCs w:val="22"/>
        </w:rPr>
        <w:t>Report and Order</w:t>
      </w:r>
      <w:r w:rsidRPr="00714A76">
        <w:rPr>
          <w:rFonts w:ascii="Times New Roman" w:hAnsi="Times New Roman"/>
          <w:color w:val="010101"/>
          <w:sz w:val="22"/>
          <w:szCs w:val="22"/>
        </w:rPr>
        <w:t xml:space="preserve"> set forth a series of criteria that has been used by the Bureau to evaluate an entity’s qualifications to obtain certification, including expertise and experience in the field of deaf-blindness and communications services, sufficient staffing and facilities, and the ability to communicate effectively with and provide equipment training for people who are deaf-blind.</w:t>
      </w:r>
      <w:r w:rsidRPr="00714A76">
        <w:rPr>
          <w:rStyle w:val="FootnoteReference"/>
          <w:rFonts w:ascii="Times New Roman" w:hAnsi="Times New Roman"/>
          <w:color w:val="010101"/>
          <w:sz w:val="22"/>
          <w:szCs w:val="22"/>
        </w:rPr>
        <w:footnoteReference w:id="12"/>
      </w:r>
      <w:r w:rsidRPr="00714A76">
        <w:rPr>
          <w:rFonts w:ascii="Times New Roman" w:hAnsi="Times New Roman"/>
          <w:color w:val="010101"/>
          <w:sz w:val="22"/>
          <w:szCs w:val="22"/>
        </w:rPr>
        <w:t xml:space="preserve">  Should the Commission change any of these criteria and, if so, how?  If the Commission chooses to centralize some of the functions associated with the distribution or administrative functions of the NDBEDP, what qualifications should the entity chosen to manage these functions have?  How should such entity be selected?  For example, should the Bureau invite entities to apply and then make a selection from among qualified applicants?</w:t>
      </w:r>
      <w:r w:rsidRPr="00714A76">
        <w:rPr>
          <w:rStyle w:val="FootnoteReference"/>
          <w:rFonts w:ascii="Times New Roman" w:hAnsi="Times New Roman"/>
          <w:color w:val="010101"/>
          <w:sz w:val="22"/>
          <w:szCs w:val="22"/>
        </w:rPr>
        <w:footnoteReference w:id="13"/>
      </w:r>
      <w:r w:rsidRPr="00714A76">
        <w:rPr>
          <w:rFonts w:ascii="Times New Roman" w:hAnsi="Times New Roman"/>
          <w:color w:val="010101"/>
          <w:sz w:val="22"/>
          <w:szCs w:val="22"/>
        </w:rPr>
        <w:t xml:space="preserve">  </w:t>
      </w:r>
    </w:p>
    <w:p w:rsidR="00DB02EE" w:rsidRPr="00714A76" w:rsidRDefault="00DB02EE" w:rsidP="00714A76">
      <w:pPr>
        <w:pStyle w:val="ColorfulList-Accent11"/>
        <w:rPr>
          <w:rFonts w:ascii="Times New Roman" w:hAnsi="Times New Roman"/>
          <w:color w:val="010101"/>
        </w:rPr>
      </w:pPr>
    </w:p>
    <w:p w:rsidR="00DB02EE" w:rsidRPr="00714A76" w:rsidRDefault="00DB02EE" w:rsidP="00714A76">
      <w:pPr>
        <w:pStyle w:val="HTMLPreformatted"/>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outlineLvl w:val="0"/>
        <w:rPr>
          <w:rFonts w:ascii="Times New Roman" w:hAnsi="Times New Roman"/>
          <w:sz w:val="22"/>
          <w:szCs w:val="22"/>
        </w:rPr>
      </w:pPr>
      <w:r w:rsidRPr="00714A76">
        <w:rPr>
          <w:rFonts w:ascii="Times New Roman" w:hAnsi="Times New Roman"/>
          <w:color w:val="010101"/>
          <w:sz w:val="22"/>
          <w:szCs w:val="22"/>
        </w:rPr>
        <w:t>At present, all NDBEDP programs are certified for the duration of the pilot program.</w:t>
      </w:r>
      <w:r w:rsidRPr="00714A76">
        <w:rPr>
          <w:rStyle w:val="FootnoteReference"/>
          <w:rFonts w:ascii="Times New Roman" w:hAnsi="Times New Roman"/>
          <w:color w:val="010101"/>
          <w:sz w:val="22"/>
          <w:szCs w:val="22"/>
        </w:rPr>
        <w:footnoteReference w:id="14"/>
      </w:r>
      <w:r w:rsidRPr="00714A76">
        <w:rPr>
          <w:rFonts w:ascii="Times New Roman" w:hAnsi="Times New Roman"/>
          <w:color w:val="010101"/>
          <w:sz w:val="22"/>
          <w:szCs w:val="22"/>
        </w:rPr>
        <w:t xml:space="preserve">  Should the Commission’s rules for a permanent NDBEDP limit the duration of each program’s certification?  We note that under the Commission’s telecommunications relay service (TRS) rules, states are certified by the Commission to operate their own TRS programs for a period of five years, after which they must seek renewal of their certification.</w:t>
      </w:r>
      <w:r w:rsidRPr="00714A76">
        <w:rPr>
          <w:rStyle w:val="FootnoteReference"/>
          <w:rFonts w:ascii="Times New Roman" w:hAnsi="Times New Roman"/>
          <w:color w:val="010101"/>
          <w:sz w:val="22"/>
          <w:szCs w:val="22"/>
        </w:rPr>
        <w:footnoteReference w:id="15"/>
      </w:r>
      <w:r w:rsidRPr="00714A76">
        <w:rPr>
          <w:rFonts w:ascii="Times New Roman" w:hAnsi="Times New Roman"/>
          <w:color w:val="010101"/>
          <w:sz w:val="22"/>
          <w:szCs w:val="22"/>
        </w:rPr>
        <w:t xml:space="preserve">  Is this certification period similarly appropriate for NDBEDP certified programs?  If not, what would be an appropriate period, and why?  Should entities that currently have certification to distribute equipment be permitted to carry over their certification into the permanent program, or should they be required to reapply for certification?</w:t>
      </w:r>
    </w:p>
    <w:p w:rsidR="00DB02EE" w:rsidRPr="00714A76" w:rsidRDefault="00DB02EE" w:rsidP="00714A76">
      <w:pPr>
        <w:pStyle w:val="ColorfulList-Accent11"/>
        <w:rPr>
          <w:rFonts w:ascii="Times New Roman" w:hAnsi="Times New Roman"/>
          <w:color w:val="010101"/>
        </w:rPr>
      </w:pPr>
    </w:p>
    <w:p w:rsidR="00DB02EE" w:rsidRPr="00714A76" w:rsidRDefault="00DB02EE" w:rsidP="00714A76">
      <w:pPr>
        <w:pStyle w:val="HTMLPreformatted"/>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outlineLvl w:val="0"/>
        <w:rPr>
          <w:rFonts w:ascii="Times New Roman" w:hAnsi="Times New Roman"/>
          <w:sz w:val="22"/>
          <w:szCs w:val="22"/>
        </w:rPr>
      </w:pPr>
      <w:r w:rsidRPr="00714A76">
        <w:rPr>
          <w:rFonts w:ascii="Times New Roman" w:hAnsi="Times New Roman"/>
          <w:sz w:val="22"/>
          <w:szCs w:val="22"/>
        </w:rPr>
        <w:t>During the NDBEDP pilot program, the Bureau designated an NDBEDP Administrator who has been responsible for, among other things, reviewing applications from entities for certification to receive NDBEDP funding, allocating NDBEDP funding, reviewing reimbursement claims, maintaining the NDBEDP website, resolving stakeholder issues, and serving as the Commission point of contact for the NDBEDP.</w:t>
      </w:r>
      <w:r w:rsidRPr="00714A76">
        <w:rPr>
          <w:rStyle w:val="FootnoteReference"/>
          <w:rFonts w:ascii="Times New Roman" w:hAnsi="Times New Roman"/>
          <w:sz w:val="22"/>
          <w:szCs w:val="22"/>
        </w:rPr>
        <w:footnoteReference w:id="16"/>
      </w:r>
      <w:r w:rsidRPr="00714A76">
        <w:rPr>
          <w:rFonts w:ascii="Times New Roman" w:hAnsi="Times New Roman"/>
          <w:sz w:val="22"/>
          <w:szCs w:val="22"/>
        </w:rPr>
        <w:t xml:space="preserve">  The NDBEDP Administrator has worked in collaboration with the </w:t>
      </w:r>
      <w:r w:rsidR="00494736" w:rsidRPr="00714A76">
        <w:rPr>
          <w:rFonts w:ascii="Times New Roman" w:hAnsi="Times New Roman"/>
          <w:sz w:val="22"/>
          <w:szCs w:val="22"/>
          <w:lang w:val="en-US"/>
        </w:rPr>
        <w:t xml:space="preserve">current </w:t>
      </w:r>
      <w:r w:rsidRPr="00714A76">
        <w:rPr>
          <w:rFonts w:ascii="Times New Roman" w:hAnsi="Times New Roman"/>
          <w:sz w:val="22"/>
          <w:szCs w:val="22"/>
        </w:rPr>
        <w:t>TRS Fund Administrator, Rolka Loube Saltzer Associates, LLC, which is responsible for, among other things, reviewing cost submissions and releasing funds under the NDBEDP for distributed equipment and related services, including outreach efforts.</w:t>
      </w:r>
      <w:r w:rsidRPr="00714A76">
        <w:rPr>
          <w:rStyle w:val="FootnoteReference"/>
          <w:rFonts w:ascii="Times New Roman" w:hAnsi="Times New Roman"/>
          <w:sz w:val="22"/>
          <w:szCs w:val="22"/>
        </w:rPr>
        <w:footnoteReference w:id="17"/>
      </w:r>
      <w:r w:rsidRPr="00714A76">
        <w:rPr>
          <w:rFonts w:ascii="Times New Roman" w:hAnsi="Times New Roman"/>
          <w:sz w:val="22"/>
          <w:szCs w:val="22"/>
        </w:rPr>
        <w:t xml:space="preserve">  We seek comment on the extent to which any of these administrative responsibilities should be modified, and if so, how and for what purposes. </w:t>
      </w:r>
    </w:p>
    <w:p w:rsidR="00DB02EE" w:rsidRPr="00714A76" w:rsidRDefault="00DB02EE" w:rsidP="00714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outlineLvl w:val="0"/>
        <w:rPr>
          <w:rFonts w:ascii="Times New Roman" w:hAnsi="Times New Roman"/>
          <w:sz w:val="22"/>
          <w:szCs w:val="22"/>
        </w:rPr>
      </w:pPr>
    </w:p>
    <w:p w:rsidR="00DB02EE" w:rsidRPr="00714A76" w:rsidRDefault="00DB02EE" w:rsidP="00714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outlineLvl w:val="0"/>
        <w:rPr>
          <w:rFonts w:ascii="Times New Roman" w:hAnsi="Times New Roman"/>
          <w:b/>
          <w:sz w:val="22"/>
          <w:szCs w:val="22"/>
        </w:rPr>
      </w:pPr>
      <w:r w:rsidRPr="00714A76">
        <w:rPr>
          <w:rFonts w:ascii="Times New Roman" w:hAnsi="Times New Roman"/>
          <w:b/>
          <w:sz w:val="22"/>
          <w:szCs w:val="22"/>
        </w:rPr>
        <w:t>III.</w:t>
      </w:r>
      <w:r w:rsidRPr="00714A76">
        <w:rPr>
          <w:rFonts w:ascii="Times New Roman" w:hAnsi="Times New Roman"/>
          <w:b/>
          <w:sz w:val="22"/>
          <w:szCs w:val="22"/>
        </w:rPr>
        <w:tab/>
        <w:t>Funding</w:t>
      </w:r>
    </w:p>
    <w:p w:rsidR="00DB02EE" w:rsidRPr="00714A76" w:rsidRDefault="00DB02EE" w:rsidP="00714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outlineLvl w:val="0"/>
        <w:rPr>
          <w:rFonts w:ascii="Times New Roman" w:hAnsi="Times New Roman"/>
          <w:b/>
          <w:sz w:val="22"/>
          <w:szCs w:val="22"/>
        </w:rPr>
      </w:pPr>
    </w:p>
    <w:p w:rsidR="00DB02EE" w:rsidRPr="00714A76" w:rsidRDefault="00DB02EE" w:rsidP="00714A76">
      <w:pPr>
        <w:numPr>
          <w:ilvl w:val="0"/>
          <w:numId w:val="37"/>
        </w:numPr>
        <w:autoSpaceDE w:val="0"/>
        <w:autoSpaceDN w:val="0"/>
        <w:adjustRightInd w:val="0"/>
        <w:ind w:left="0" w:firstLine="720"/>
        <w:rPr>
          <w:color w:val="010101"/>
          <w:szCs w:val="22"/>
        </w:rPr>
      </w:pPr>
      <w:r w:rsidRPr="00714A76">
        <w:rPr>
          <w:szCs w:val="22"/>
        </w:rPr>
        <w:t xml:space="preserve">In the </w:t>
      </w:r>
      <w:r w:rsidRPr="00714A76">
        <w:rPr>
          <w:i/>
          <w:szCs w:val="22"/>
        </w:rPr>
        <w:t>NDBEDP</w:t>
      </w:r>
      <w:r w:rsidRPr="00714A76">
        <w:rPr>
          <w:szCs w:val="22"/>
        </w:rPr>
        <w:t xml:space="preserve"> </w:t>
      </w:r>
      <w:r w:rsidRPr="00714A76">
        <w:rPr>
          <w:i/>
          <w:szCs w:val="22"/>
        </w:rPr>
        <w:t xml:space="preserve">Report and Order, </w:t>
      </w:r>
      <w:r w:rsidRPr="00714A76">
        <w:rPr>
          <w:szCs w:val="22"/>
        </w:rPr>
        <w:t>the Commission set aside $500,000 of the $10 million available annually for the NDBEDP for national outreach efforts during each year of the pilot program.</w:t>
      </w:r>
      <w:r w:rsidRPr="00714A76">
        <w:rPr>
          <w:rStyle w:val="FootnoteReference"/>
          <w:szCs w:val="22"/>
        </w:rPr>
        <w:footnoteReference w:id="18"/>
      </w:r>
      <w:r w:rsidRPr="00714A76">
        <w:rPr>
          <w:szCs w:val="22"/>
        </w:rPr>
        <w:t xml:space="preserve">  The remaining $9.5 million of the $10 million is allocated to each of the NDBEDP certified programs, to be distributed as reimbursement for the reasonable costs of operating these programs in compliance with the Commission’s rules.</w:t>
      </w:r>
      <w:r w:rsidRPr="00714A76">
        <w:rPr>
          <w:rStyle w:val="FootnoteReference"/>
          <w:szCs w:val="22"/>
        </w:rPr>
        <w:footnoteReference w:id="19"/>
      </w:r>
      <w:r w:rsidRPr="00714A76">
        <w:rPr>
          <w:szCs w:val="22"/>
        </w:rPr>
        <w:t xml:space="preserve">  Funding allocations for each of the 53 programs that are currently certified has been calculated by allocating a </w:t>
      </w:r>
      <w:r w:rsidRPr="00714A76">
        <w:rPr>
          <w:color w:val="010101"/>
          <w:szCs w:val="22"/>
        </w:rPr>
        <w:t>minimum base amount of $50,000 for each jurisdiction plus an amount in proportion to each jurisdiction’s population.</w:t>
      </w:r>
      <w:r w:rsidRPr="00714A76">
        <w:rPr>
          <w:rStyle w:val="FootnoteReference"/>
          <w:color w:val="010101"/>
          <w:szCs w:val="22"/>
        </w:rPr>
        <w:footnoteReference w:id="20"/>
      </w:r>
      <w:r w:rsidRPr="00714A76">
        <w:rPr>
          <w:color w:val="010101"/>
          <w:szCs w:val="22"/>
        </w:rPr>
        <w:t xml:space="preserve">  </w:t>
      </w:r>
      <w:r w:rsidRPr="00714A76">
        <w:rPr>
          <w:szCs w:val="22"/>
        </w:rPr>
        <w:t xml:space="preserve">If the Commission continues to operate the NDBEDP through certified programs, is this current funding allocation system reasonable and fair?  </w:t>
      </w:r>
      <w:r w:rsidR="00E573F8" w:rsidRPr="00714A76">
        <w:rPr>
          <w:szCs w:val="22"/>
        </w:rPr>
        <w:t>We ask that c</w:t>
      </w:r>
      <w:r w:rsidRPr="00714A76">
        <w:rPr>
          <w:szCs w:val="22"/>
        </w:rPr>
        <w:t>ommenters who believe that this approach to funding allocations should be changed be specific in describing what changes should be made and what purpose these changes will serve.</w:t>
      </w:r>
    </w:p>
    <w:p w:rsidR="00DB02EE" w:rsidRPr="00714A76" w:rsidRDefault="00DB02EE" w:rsidP="00714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outlineLvl w:val="0"/>
        <w:rPr>
          <w:rFonts w:ascii="Times New Roman" w:hAnsi="Times New Roman"/>
          <w:sz w:val="22"/>
          <w:szCs w:val="22"/>
        </w:rPr>
      </w:pPr>
    </w:p>
    <w:p w:rsidR="00DB02EE" w:rsidRPr="00714A76" w:rsidRDefault="00732970" w:rsidP="00714A76">
      <w:pPr>
        <w:pStyle w:val="HTMLPreformatted"/>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outlineLvl w:val="0"/>
        <w:rPr>
          <w:rFonts w:ascii="Times New Roman" w:hAnsi="Times New Roman"/>
          <w:sz w:val="22"/>
          <w:szCs w:val="22"/>
        </w:rPr>
      </w:pPr>
      <w:r w:rsidRPr="00714A76">
        <w:rPr>
          <w:rFonts w:ascii="Times New Roman" w:hAnsi="Times New Roman"/>
          <w:color w:val="020202"/>
          <w:sz w:val="22"/>
          <w:szCs w:val="22"/>
        </w:rPr>
        <w:t xml:space="preserve">During the first year of the pilot program, NDBEDP certified programs submitted  </w:t>
      </w:r>
      <w:r w:rsidRPr="00714A76">
        <w:rPr>
          <w:rFonts w:ascii="Times New Roman" w:hAnsi="Times New Roman"/>
          <w:color w:val="010101"/>
          <w:sz w:val="22"/>
          <w:szCs w:val="22"/>
        </w:rPr>
        <w:t>reimbursement claims to the TRS Fund Administrator for approximately 70 percent of the $10 million available to support the NDBEDP</w:t>
      </w:r>
      <w:r w:rsidRPr="00714A76">
        <w:rPr>
          <w:rFonts w:ascii="Times New Roman" w:hAnsi="Times New Roman"/>
          <w:color w:val="020202"/>
          <w:sz w:val="22"/>
          <w:szCs w:val="22"/>
        </w:rPr>
        <w:t>.</w:t>
      </w:r>
      <w:r w:rsidRPr="00714A76">
        <w:rPr>
          <w:rStyle w:val="FootnoteReference"/>
          <w:rFonts w:ascii="Times New Roman" w:hAnsi="Times New Roman"/>
          <w:color w:val="020202"/>
          <w:sz w:val="22"/>
          <w:szCs w:val="22"/>
        </w:rPr>
        <w:footnoteReference w:id="21"/>
      </w:r>
      <w:r w:rsidRPr="00714A76">
        <w:rPr>
          <w:rFonts w:ascii="Times New Roman" w:hAnsi="Times New Roman"/>
          <w:color w:val="020202"/>
          <w:sz w:val="22"/>
          <w:szCs w:val="22"/>
        </w:rPr>
        <w:t xml:space="preserve">  Although data for the second year of the pilot program, which ends June 30, 2015, are not yet fully available, requests for reimbursement to date suggest that these claims are likely to reach 100 percent of the $10 million annual allocation.</w:t>
      </w:r>
      <w:r w:rsidRPr="00714A76">
        <w:rPr>
          <w:rStyle w:val="FootnoteReference"/>
          <w:rFonts w:ascii="Times New Roman" w:hAnsi="Times New Roman"/>
          <w:color w:val="020202"/>
          <w:sz w:val="22"/>
          <w:szCs w:val="22"/>
        </w:rPr>
        <w:footnoteReference w:id="22"/>
      </w:r>
      <w:r w:rsidRPr="00714A76">
        <w:rPr>
          <w:rFonts w:ascii="Times New Roman" w:hAnsi="Times New Roman"/>
          <w:color w:val="020202"/>
          <w:sz w:val="22"/>
          <w:szCs w:val="22"/>
        </w:rPr>
        <w:t xml:space="preserve">  </w:t>
      </w:r>
      <w:r w:rsidR="00DB02EE" w:rsidRPr="00714A76">
        <w:rPr>
          <w:rFonts w:ascii="Times New Roman" w:hAnsi="Times New Roman"/>
          <w:color w:val="010101"/>
          <w:sz w:val="22"/>
          <w:szCs w:val="22"/>
        </w:rPr>
        <w:t xml:space="preserve">During each of the pilot program years, the </w:t>
      </w:r>
      <w:r w:rsidR="00DB02EE" w:rsidRPr="00714A76">
        <w:rPr>
          <w:rFonts w:ascii="Times New Roman" w:hAnsi="Times New Roman"/>
          <w:color w:val="020202"/>
          <w:sz w:val="22"/>
          <w:szCs w:val="22"/>
        </w:rPr>
        <w:t xml:space="preserve">NDBEDP Administrator </w:t>
      </w:r>
      <w:r w:rsidR="00DB02EE" w:rsidRPr="00714A76">
        <w:rPr>
          <w:rFonts w:ascii="Times New Roman" w:hAnsi="Times New Roman"/>
          <w:color w:val="010101"/>
          <w:sz w:val="22"/>
          <w:szCs w:val="22"/>
        </w:rPr>
        <w:t xml:space="preserve">has reviewed funding data as it has become available and </w:t>
      </w:r>
      <w:r w:rsidR="00DB02EE" w:rsidRPr="00714A76">
        <w:rPr>
          <w:rFonts w:ascii="Times New Roman" w:hAnsi="Times New Roman"/>
          <w:color w:val="020202"/>
          <w:sz w:val="22"/>
          <w:szCs w:val="22"/>
        </w:rPr>
        <w:t xml:space="preserve">has worked with certified programs </w:t>
      </w:r>
      <w:r w:rsidR="0003427F" w:rsidRPr="00714A76">
        <w:rPr>
          <w:rFonts w:ascii="Times New Roman" w:hAnsi="Times New Roman"/>
          <w:color w:val="020202"/>
          <w:sz w:val="22"/>
          <w:szCs w:val="22"/>
          <w:lang w:val="en-US"/>
        </w:rPr>
        <w:t xml:space="preserve">and the Bureau </w:t>
      </w:r>
      <w:r w:rsidR="00DB02EE" w:rsidRPr="00714A76">
        <w:rPr>
          <w:rFonts w:ascii="Times New Roman" w:hAnsi="Times New Roman"/>
          <w:color w:val="020202"/>
          <w:sz w:val="22"/>
          <w:szCs w:val="22"/>
        </w:rPr>
        <w:t>to</w:t>
      </w:r>
      <w:r w:rsidR="0003427F" w:rsidRPr="00714A76">
        <w:rPr>
          <w:rFonts w:ascii="Times New Roman" w:hAnsi="Times New Roman"/>
          <w:color w:val="020202"/>
          <w:sz w:val="22"/>
          <w:szCs w:val="22"/>
          <w:lang w:val="en-US"/>
        </w:rPr>
        <w:t xml:space="preserve"> </w:t>
      </w:r>
      <w:r w:rsidR="00640576" w:rsidRPr="00714A76">
        <w:rPr>
          <w:rFonts w:ascii="Times New Roman" w:hAnsi="Times New Roman"/>
          <w:color w:val="020202"/>
          <w:sz w:val="22"/>
          <w:szCs w:val="22"/>
          <w:lang w:val="en-US"/>
        </w:rPr>
        <w:t>have</w:t>
      </w:r>
      <w:r w:rsidR="0003427F" w:rsidRPr="00714A76">
        <w:rPr>
          <w:rFonts w:ascii="Times New Roman" w:hAnsi="Times New Roman"/>
          <w:color w:val="020202"/>
          <w:sz w:val="22"/>
          <w:szCs w:val="22"/>
          <w:lang w:val="en-US"/>
        </w:rPr>
        <w:t xml:space="preserve"> funding</w:t>
      </w:r>
      <w:r w:rsidR="00DB02EE" w:rsidRPr="00714A76">
        <w:rPr>
          <w:rFonts w:ascii="Times New Roman" w:hAnsi="Times New Roman"/>
          <w:color w:val="020202"/>
          <w:sz w:val="22"/>
          <w:szCs w:val="22"/>
        </w:rPr>
        <w:t xml:space="preserve"> reallocate</w:t>
      </w:r>
      <w:r w:rsidR="0003427F" w:rsidRPr="00714A76">
        <w:rPr>
          <w:rFonts w:ascii="Times New Roman" w:hAnsi="Times New Roman"/>
          <w:color w:val="020202"/>
          <w:sz w:val="22"/>
          <w:szCs w:val="22"/>
          <w:lang w:val="en-US"/>
        </w:rPr>
        <w:t>d</w:t>
      </w:r>
      <w:r w:rsidR="00DB02EE" w:rsidRPr="00714A76">
        <w:rPr>
          <w:rFonts w:ascii="Times New Roman" w:hAnsi="Times New Roman"/>
          <w:color w:val="020202"/>
          <w:sz w:val="22"/>
          <w:szCs w:val="22"/>
        </w:rPr>
        <w:t xml:space="preserve"> between state programs when necessary </w:t>
      </w:r>
      <w:r w:rsidR="00DB02EE" w:rsidRPr="00714A76">
        <w:rPr>
          <w:rFonts w:ascii="Times New Roman" w:hAnsi="Times New Roman"/>
          <w:color w:val="010101"/>
          <w:sz w:val="22"/>
          <w:szCs w:val="22"/>
        </w:rPr>
        <w:t>to maximize the use of available funding.</w:t>
      </w:r>
      <w:r w:rsidR="00DB02EE" w:rsidRPr="00714A76">
        <w:rPr>
          <w:rStyle w:val="FootnoteReference"/>
          <w:rFonts w:ascii="Times New Roman" w:hAnsi="Times New Roman"/>
          <w:color w:val="010101"/>
          <w:sz w:val="22"/>
          <w:szCs w:val="22"/>
        </w:rPr>
        <w:footnoteReference w:id="23"/>
      </w:r>
      <w:r w:rsidR="00DB02EE" w:rsidRPr="00714A76">
        <w:rPr>
          <w:rFonts w:ascii="Times New Roman" w:hAnsi="Times New Roman"/>
          <w:color w:val="010101"/>
          <w:sz w:val="22"/>
          <w:szCs w:val="22"/>
        </w:rPr>
        <w:t xml:space="preserve">  To what extent h</w:t>
      </w:r>
      <w:r w:rsidR="00DB02EE" w:rsidRPr="00714A76">
        <w:rPr>
          <w:rFonts w:ascii="Times New Roman" w:hAnsi="Times New Roman"/>
          <w:color w:val="020202"/>
          <w:sz w:val="22"/>
          <w:szCs w:val="22"/>
        </w:rPr>
        <w:t>ave these reallocations helped to meet the needs of certified programs in receipt of such funds?  Have they in any way hindered the distribution of equipment by programs that have not fully utilized their allocations?  Should the permanent NDBEDP rules continue to authorize the reallocation of funds from one program to another, as deemed necessary and appropriate?</w:t>
      </w:r>
    </w:p>
    <w:p w:rsidR="00DB02EE" w:rsidRPr="00714A76" w:rsidRDefault="00DB02EE" w:rsidP="00714A76">
      <w:pPr>
        <w:pStyle w:val="ColorfulList-Accent11"/>
        <w:rPr>
          <w:rFonts w:ascii="Times New Roman" w:hAnsi="Times New Roman"/>
          <w:color w:val="010101"/>
        </w:rPr>
      </w:pPr>
    </w:p>
    <w:p w:rsidR="00DB02EE" w:rsidRPr="00714A76" w:rsidRDefault="00DB02EE" w:rsidP="00714A76">
      <w:pPr>
        <w:pStyle w:val="HTMLPreformatted"/>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outlineLvl w:val="0"/>
        <w:rPr>
          <w:rFonts w:ascii="Times New Roman" w:hAnsi="Times New Roman"/>
          <w:sz w:val="22"/>
          <w:szCs w:val="22"/>
        </w:rPr>
      </w:pPr>
      <w:r w:rsidRPr="00714A76">
        <w:rPr>
          <w:rFonts w:ascii="Times New Roman" w:hAnsi="Times New Roman"/>
          <w:sz w:val="22"/>
          <w:szCs w:val="22"/>
        </w:rPr>
        <w:t>Under the NDBEDP pilot program, the Commission has reimbursed certified programs for the authorized costs of equipment and related services after these costs have been incurred, up to each program’s initial or adjusted allocation.</w:t>
      </w:r>
      <w:r w:rsidRPr="00714A76">
        <w:rPr>
          <w:rStyle w:val="FootnoteReference"/>
          <w:rFonts w:ascii="Times New Roman" w:hAnsi="Times New Roman"/>
          <w:sz w:val="22"/>
          <w:szCs w:val="22"/>
        </w:rPr>
        <w:footnoteReference w:id="24"/>
      </w:r>
      <w:r w:rsidRPr="00714A76">
        <w:rPr>
          <w:rFonts w:ascii="Times New Roman" w:hAnsi="Times New Roman"/>
          <w:sz w:val="22"/>
          <w:szCs w:val="22"/>
        </w:rPr>
        <w:t xml:space="preserve">  The Commission adopted this approach to provide incentives to actively locate eligible participants and to provide greater accountability and protection against fraud, waste, and abuse.</w:t>
      </w:r>
      <w:r w:rsidRPr="00714A76">
        <w:rPr>
          <w:rStyle w:val="FootnoteReference"/>
          <w:rFonts w:ascii="Times New Roman" w:hAnsi="Times New Roman"/>
          <w:sz w:val="22"/>
          <w:szCs w:val="22"/>
        </w:rPr>
        <w:footnoteReference w:id="25"/>
      </w:r>
      <w:r w:rsidRPr="00714A76">
        <w:rPr>
          <w:rFonts w:ascii="Times New Roman" w:hAnsi="Times New Roman"/>
          <w:sz w:val="22"/>
          <w:szCs w:val="22"/>
        </w:rPr>
        <w:t xml:space="preserve">  Certified programs may elect to seek such reimbursement monthly, quarterly, or semi-annually.</w:t>
      </w:r>
      <w:r w:rsidRPr="00714A76">
        <w:rPr>
          <w:rStyle w:val="FootnoteReference"/>
          <w:rFonts w:ascii="Times New Roman" w:hAnsi="Times New Roman"/>
          <w:sz w:val="22"/>
          <w:szCs w:val="22"/>
        </w:rPr>
        <w:footnoteReference w:id="26"/>
      </w:r>
      <w:r w:rsidRPr="00714A76">
        <w:rPr>
          <w:rFonts w:ascii="Times New Roman" w:hAnsi="Times New Roman"/>
          <w:sz w:val="22"/>
          <w:szCs w:val="22"/>
        </w:rPr>
        <w:t xml:space="preserve">  We seek comment on how this reimbursement mechanism has worked in practice and whether the Commission should retain this reimbursement mechanism or adopt another mechanism to support certified programs.  If the Commission should consider changes to the reimbursement mechanism, what alternative mechanism could be adopted that would provide incentives to locate eligible participants, achieve accountability, and protect against fraud, waste, and abuse and how would it function?  As noted above, over the past two years, on occasion, the </w:t>
      </w:r>
      <w:r w:rsidRPr="00714A76">
        <w:rPr>
          <w:rFonts w:ascii="Times New Roman" w:hAnsi="Times New Roman"/>
          <w:color w:val="020202"/>
          <w:sz w:val="22"/>
          <w:szCs w:val="22"/>
        </w:rPr>
        <w:t xml:space="preserve">NDBEDP Administrator </w:t>
      </w:r>
      <w:r w:rsidRPr="00714A76">
        <w:rPr>
          <w:rFonts w:ascii="Times New Roman" w:hAnsi="Times New Roman"/>
          <w:sz w:val="22"/>
          <w:szCs w:val="22"/>
        </w:rPr>
        <w:t>has adjusted allocations among the NDBEDP certified programs.  If funds were advanced to certified programs, but then not fully used during the Fund year, how would the program return those funds to the Commission’s TRS Fund Administrator for reallocation</w:t>
      </w:r>
      <w:r w:rsidR="00285223" w:rsidRPr="00714A76">
        <w:rPr>
          <w:rFonts w:ascii="Times New Roman" w:hAnsi="Times New Roman"/>
          <w:sz w:val="22"/>
          <w:szCs w:val="22"/>
          <w:lang w:val="en-US"/>
        </w:rPr>
        <w:t xml:space="preserve"> to other certified programs</w:t>
      </w:r>
      <w:r w:rsidRPr="00714A76">
        <w:rPr>
          <w:rFonts w:ascii="Times New Roman" w:hAnsi="Times New Roman"/>
          <w:sz w:val="22"/>
          <w:szCs w:val="22"/>
        </w:rPr>
        <w:t xml:space="preserve">?  Would reallocation </w:t>
      </w:r>
      <w:r w:rsidR="002505DE" w:rsidRPr="00714A76">
        <w:rPr>
          <w:rFonts w:ascii="Times New Roman" w:hAnsi="Times New Roman"/>
          <w:sz w:val="22"/>
          <w:szCs w:val="22"/>
          <w:lang w:val="en-US"/>
        </w:rPr>
        <w:t xml:space="preserve">during each Fund year </w:t>
      </w:r>
      <w:r w:rsidR="002505DE" w:rsidRPr="00714A76">
        <w:rPr>
          <w:rFonts w:ascii="Times New Roman" w:hAnsi="Times New Roman"/>
          <w:sz w:val="22"/>
          <w:szCs w:val="22"/>
        </w:rPr>
        <w:t xml:space="preserve">be possible with </w:t>
      </w:r>
      <w:r w:rsidR="002505DE" w:rsidRPr="00714A76">
        <w:rPr>
          <w:rFonts w:ascii="Times New Roman" w:hAnsi="Times New Roman"/>
          <w:sz w:val="22"/>
          <w:szCs w:val="22"/>
          <w:lang w:val="en-US"/>
        </w:rPr>
        <w:t xml:space="preserve">a </w:t>
      </w:r>
      <w:r w:rsidR="002505DE" w:rsidRPr="00714A76">
        <w:rPr>
          <w:rFonts w:ascii="Times New Roman" w:hAnsi="Times New Roman"/>
          <w:sz w:val="22"/>
          <w:szCs w:val="22"/>
        </w:rPr>
        <w:t>funding mechanism</w:t>
      </w:r>
      <w:r w:rsidR="002505DE" w:rsidRPr="00714A76">
        <w:rPr>
          <w:rFonts w:ascii="Times New Roman" w:hAnsi="Times New Roman"/>
          <w:sz w:val="22"/>
          <w:szCs w:val="22"/>
          <w:lang w:val="en-US"/>
        </w:rPr>
        <w:t xml:space="preserve"> other than</w:t>
      </w:r>
      <w:r w:rsidR="002505DE" w:rsidRPr="00714A76">
        <w:rPr>
          <w:rFonts w:ascii="Times New Roman" w:hAnsi="Times New Roman"/>
          <w:sz w:val="22"/>
          <w:szCs w:val="22"/>
        </w:rPr>
        <w:t xml:space="preserve"> </w:t>
      </w:r>
      <w:r w:rsidR="002505DE" w:rsidRPr="00714A76">
        <w:rPr>
          <w:rFonts w:ascii="Times New Roman" w:hAnsi="Times New Roman"/>
          <w:sz w:val="22"/>
          <w:szCs w:val="22"/>
          <w:lang w:val="en-US"/>
        </w:rPr>
        <w:t>the reimbursement mechanism now used?  For example, would it be feasible to reallocate funds if each certified program receives its allotted portion of the funding prior to these funds being spent for covered equipment and services</w:t>
      </w:r>
      <w:r w:rsidRPr="00714A76">
        <w:rPr>
          <w:rFonts w:ascii="Times New Roman" w:hAnsi="Times New Roman"/>
          <w:sz w:val="22"/>
          <w:szCs w:val="22"/>
        </w:rPr>
        <w:t>?</w:t>
      </w:r>
      <w:r w:rsidR="00F22B19" w:rsidRPr="00714A76">
        <w:rPr>
          <w:rStyle w:val="FootnoteReference"/>
          <w:rFonts w:ascii="Times New Roman" w:hAnsi="Times New Roman"/>
          <w:sz w:val="22"/>
          <w:szCs w:val="22"/>
        </w:rPr>
        <w:footnoteReference w:id="27"/>
      </w:r>
      <w:r w:rsidRPr="00714A76">
        <w:rPr>
          <w:rFonts w:ascii="Times New Roman" w:hAnsi="Times New Roman"/>
          <w:sz w:val="22"/>
          <w:szCs w:val="22"/>
        </w:rPr>
        <w:t xml:space="preserve">  If the present reimbursement mechanism is retained, how can the Commission make it more efficient?  For example, would programs benefit from using a centralized web-based system to input cost-related information and documentation, from which standardized reimbursement claims and reports could be generated to expedite processing, payment, and reporting?</w:t>
      </w:r>
      <w:r w:rsidR="00814F5D" w:rsidRPr="00714A76">
        <w:rPr>
          <w:rStyle w:val="FootnoteReference"/>
          <w:rFonts w:ascii="Times New Roman" w:hAnsi="Times New Roman"/>
          <w:sz w:val="22"/>
          <w:szCs w:val="22"/>
        </w:rPr>
        <w:footnoteReference w:id="28"/>
      </w:r>
      <w:r w:rsidRPr="00714A76">
        <w:rPr>
          <w:rFonts w:ascii="Times New Roman" w:hAnsi="Times New Roman"/>
          <w:sz w:val="22"/>
          <w:szCs w:val="22"/>
        </w:rPr>
        <w:t xml:space="preserve">  Would such a centralized web-based system facilitate more rapid payment of claims?  Should the Commission require that such claims be paid within a certain time frame and, if so, what time frame would be appropriate?</w:t>
      </w:r>
    </w:p>
    <w:p w:rsidR="00DB02EE" w:rsidRPr="00714A76" w:rsidRDefault="00DB02EE" w:rsidP="00714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outlineLvl w:val="0"/>
        <w:rPr>
          <w:rFonts w:ascii="Times New Roman" w:hAnsi="Times New Roman"/>
          <w:sz w:val="22"/>
          <w:szCs w:val="22"/>
        </w:rPr>
      </w:pPr>
    </w:p>
    <w:p w:rsidR="00DB02EE" w:rsidRPr="00714A76" w:rsidRDefault="00DB02EE" w:rsidP="00714A76">
      <w:pPr>
        <w:pStyle w:val="HTMLPreformatted"/>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outlineLvl w:val="0"/>
        <w:rPr>
          <w:rFonts w:ascii="Times New Roman" w:hAnsi="Times New Roman"/>
          <w:sz w:val="22"/>
          <w:szCs w:val="22"/>
        </w:rPr>
      </w:pPr>
      <w:r w:rsidRPr="00714A76">
        <w:rPr>
          <w:rFonts w:ascii="Times New Roman" w:hAnsi="Times New Roman"/>
          <w:sz w:val="22"/>
          <w:szCs w:val="22"/>
        </w:rPr>
        <w:t>NDBEDP certified programs may be reimbursed for administrative costs up to 15 percent of their total reimbursable costs for equipment and related services, but have no caps on costs associated with outreach, assessments, equipment, installation, or training.</w:t>
      </w:r>
      <w:r w:rsidRPr="00714A76">
        <w:rPr>
          <w:rStyle w:val="FootnoteReference"/>
          <w:rFonts w:ascii="Times New Roman" w:hAnsi="Times New Roman"/>
          <w:sz w:val="22"/>
          <w:szCs w:val="22"/>
        </w:rPr>
        <w:footnoteReference w:id="29"/>
      </w:r>
      <w:r w:rsidRPr="00714A76">
        <w:rPr>
          <w:rFonts w:ascii="Times New Roman" w:hAnsi="Times New Roman"/>
          <w:sz w:val="22"/>
          <w:szCs w:val="22"/>
        </w:rPr>
        <w:t xml:space="preserve">  We seek comment on whether this 15 percent cap on administrative costs should be retained.  Is 15 percent sufficient to cover administrative costs </w:t>
      </w:r>
      <w:r w:rsidRPr="00714A76">
        <w:rPr>
          <w:rFonts w:ascii="Times New Roman" w:hAnsi="Times New Roman"/>
          <w:color w:val="010101"/>
          <w:sz w:val="22"/>
          <w:szCs w:val="22"/>
        </w:rPr>
        <w:t>typically incurred through participation in the NDBEDP, such as reporting requirements, accounting, regular audits, oversight, and general administration?</w:t>
      </w:r>
      <w:r w:rsidRPr="00714A76">
        <w:rPr>
          <w:rStyle w:val="FootnoteReference"/>
          <w:rFonts w:ascii="Times New Roman" w:hAnsi="Times New Roman"/>
          <w:color w:val="010101"/>
          <w:sz w:val="22"/>
          <w:szCs w:val="22"/>
        </w:rPr>
        <w:footnoteReference w:id="30"/>
      </w:r>
      <w:r w:rsidRPr="00714A76">
        <w:rPr>
          <w:rFonts w:ascii="Times New Roman" w:hAnsi="Times New Roman"/>
          <w:color w:val="010101"/>
          <w:sz w:val="22"/>
          <w:szCs w:val="22"/>
        </w:rPr>
        <w:t xml:space="preserve">  Are there other types of administrative costs typically incurred by NDBEDP certified programs that are not listed here?  Should the cap on administrative costs be based on the program’s annual funding allocation rather than reimbursable costs for equipment and related services?  Would a cap on administrative costs based on the program’s annual funding allocation act as a disincentive to locate or provide equipment and related services to eligible participants, since a certified entity would be entitled to such reimbursement without having delivered any equipment or related services?  </w:t>
      </w:r>
    </w:p>
    <w:p w:rsidR="00DB02EE" w:rsidRPr="00714A76" w:rsidRDefault="00DB02EE" w:rsidP="00714A76">
      <w:pPr>
        <w:pStyle w:val="ColorfulList-Accent11"/>
        <w:rPr>
          <w:rFonts w:ascii="Times New Roman" w:hAnsi="Times New Roman"/>
          <w:color w:val="010101"/>
        </w:rPr>
      </w:pPr>
    </w:p>
    <w:p w:rsidR="00DB02EE" w:rsidRPr="00714A76" w:rsidRDefault="00DB02EE" w:rsidP="00714A76">
      <w:pPr>
        <w:pStyle w:val="HTMLPreformatted"/>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outlineLvl w:val="0"/>
        <w:rPr>
          <w:rFonts w:ascii="Times New Roman" w:hAnsi="Times New Roman"/>
          <w:sz w:val="22"/>
          <w:szCs w:val="22"/>
        </w:rPr>
      </w:pPr>
      <w:r w:rsidRPr="00714A76">
        <w:rPr>
          <w:rFonts w:ascii="Times New Roman" w:hAnsi="Times New Roman"/>
          <w:color w:val="010101"/>
          <w:sz w:val="22"/>
          <w:szCs w:val="22"/>
        </w:rPr>
        <w:t xml:space="preserve">If the Commission decides to adopt a centralized web-based system for accounting and reporting, what amount of the annual $10 million allocation should be set aside for these purposes?  </w:t>
      </w:r>
      <w:r w:rsidRPr="00714A76">
        <w:rPr>
          <w:rFonts w:ascii="Times New Roman" w:hAnsi="Times New Roman"/>
          <w:sz w:val="22"/>
          <w:szCs w:val="22"/>
        </w:rPr>
        <w:t xml:space="preserve">Similarly, what annual costs would individual programs have to incur to participate in such a centralized system?  </w:t>
      </w:r>
      <w:r w:rsidRPr="00714A76">
        <w:rPr>
          <w:rFonts w:ascii="Times New Roman" w:hAnsi="Times New Roman"/>
          <w:color w:val="010101"/>
          <w:sz w:val="22"/>
          <w:szCs w:val="22"/>
        </w:rPr>
        <w:t>Should a certified program’s costs to participate in a centralized web-based accounting and reporting system be considered program costs, rather than administrative costs?  If so, should the 15 percent cap on administrative costs be retained or changed?  If they are considered administrative costs, should they be subject to the 15 percent cap?</w:t>
      </w:r>
    </w:p>
    <w:p w:rsidR="00DB02EE" w:rsidRPr="00714A76" w:rsidRDefault="00DB02EE" w:rsidP="00714A76">
      <w:pPr>
        <w:pStyle w:val="ColorfulList-Accent11"/>
        <w:rPr>
          <w:rFonts w:ascii="Times New Roman" w:hAnsi="Times New Roman"/>
        </w:rPr>
      </w:pPr>
    </w:p>
    <w:p w:rsidR="00DB02EE" w:rsidRPr="00714A76" w:rsidRDefault="00DB02EE" w:rsidP="00714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outlineLvl w:val="0"/>
        <w:rPr>
          <w:rFonts w:ascii="Times New Roman" w:hAnsi="Times New Roman"/>
          <w:b/>
          <w:sz w:val="22"/>
          <w:szCs w:val="22"/>
        </w:rPr>
      </w:pPr>
      <w:r w:rsidRPr="00714A76">
        <w:rPr>
          <w:rFonts w:ascii="Times New Roman" w:hAnsi="Times New Roman"/>
          <w:b/>
          <w:sz w:val="22"/>
          <w:szCs w:val="22"/>
        </w:rPr>
        <w:t>IV.</w:t>
      </w:r>
      <w:r w:rsidRPr="00714A76">
        <w:rPr>
          <w:rFonts w:ascii="Times New Roman" w:hAnsi="Times New Roman"/>
          <w:b/>
          <w:sz w:val="22"/>
          <w:szCs w:val="22"/>
        </w:rPr>
        <w:tab/>
        <w:t>Consumer Eligibility</w:t>
      </w:r>
    </w:p>
    <w:p w:rsidR="00DB02EE" w:rsidRPr="00714A76" w:rsidRDefault="00DB02EE" w:rsidP="00714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2"/>
          <w:szCs w:val="22"/>
        </w:rPr>
      </w:pPr>
    </w:p>
    <w:p w:rsidR="00DB02EE" w:rsidRPr="00714A76" w:rsidRDefault="00DB02EE" w:rsidP="00714A76">
      <w:pPr>
        <w:pStyle w:val="HTMLPreformatted"/>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New Roman" w:hAnsi="Times New Roman"/>
          <w:sz w:val="22"/>
          <w:szCs w:val="22"/>
        </w:rPr>
      </w:pPr>
      <w:r w:rsidRPr="00714A76">
        <w:rPr>
          <w:rFonts w:ascii="Times New Roman" w:hAnsi="Times New Roman"/>
          <w:i/>
          <w:sz w:val="22"/>
          <w:szCs w:val="22"/>
        </w:rPr>
        <w:t>Individuals who are Deaf-Blind</w:t>
      </w:r>
      <w:r w:rsidRPr="00714A76">
        <w:rPr>
          <w:rFonts w:ascii="Times New Roman" w:hAnsi="Times New Roman"/>
          <w:sz w:val="22"/>
          <w:szCs w:val="22"/>
        </w:rPr>
        <w:t>.  To participate in the NDBEDP, the CVAA requires that individuals must be “deaf-blind,” as that term is defined in the Helen Keller National Center Act (HKNC Act).</w:t>
      </w:r>
      <w:r w:rsidRPr="00714A76">
        <w:rPr>
          <w:rStyle w:val="FootnoteReference"/>
          <w:rFonts w:ascii="Times New Roman" w:hAnsi="Times New Roman"/>
          <w:sz w:val="22"/>
          <w:szCs w:val="22"/>
        </w:rPr>
        <w:footnoteReference w:id="31"/>
      </w:r>
      <w:r w:rsidRPr="00714A76">
        <w:rPr>
          <w:rFonts w:ascii="Times New Roman" w:hAnsi="Times New Roman"/>
          <w:sz w:val="22"/>
          <w:szCs w:val="22"/>
        </w:rPr>
        <w:t xml:space="preserve">  The Commission’s NDBEDP pilot program rules</w:t>
      </w:r>
      <w:r w:rsidRPr="00714A76" w:rsidDel="00491333">
        <w:rPr>
          <w:rFonts w:ascii="Times New Roman" w:hAnsi="Times New Roman"/>
          <w:sz w:val="22"/>
          <w:szCs w:val="22"/>
        </w:rPr>
        <w:t xml:space="preserve"> </w:t>
      </w:r>
      <w:r w:rsidRPr="00714A76">
        <w:rPr>
          <w:rFonts w:ascii="Times New Roman" w:hAnsi="Times New Roman"/>
          <w:sz w:val="22"/>
          <w:szCs w:val="22"/>
        </w:rPr>
        <w:t>also direct NDBEDP certified programs to consider an individual’s functional abilities with respect to using telecommunications, advanced communications, and Internet access services in various environments when determining whether an individual is “deaf-blind.”</w:t>
      </w:r>
      <w:r w:rsidRPr="00714A76">
        <w:rPr>
          <w:rStyle w:val="FootnoteReference"/>
          <w:rFonts w:ascii="Times New Roman" w:hAnsi="Times New Roman"/>
          <w:sz w:val="22"/>
          <w:szCs w:val="22"/>
        </w:rPr>
        <w:footnoteReference w:id="32"/>
      </w:r>
      <w:r w:rsidRPr="00714A76">
        <w:rPr>
          <w:rFonts w:ascii="Times New Roman" w:hAnsi="Times New Roman"/>
          <w:sz w:val="22"/>
          <w:szCs w:val="22"/>
        </w:rPr>
        <w:t xml:space="preserve">  The NDBEDP pilot program rules further require that individuals seeking equipment under the NDBEDP must provide disability verification from a professional (</w:t>
      </w:r>
      <w:r w:rsidRPr="00714A76">
        <w:rPr>
          <w:rFonts w:ascii="Times New Roman" w:hAnsi="Times New Roman"/>
          <w:i/>
          <w:sz w:val="22"/>
          <w:szCs w:val="22"/>
        </w:rPr>
        <w:t>e.g.</w:t>
      </w:r>
      <w:r w:rsidRPr="00714A76">
        <w:rPr>
          <w:rFonts w:ascii="Times New Roman" w:hAnsi="Times New Roman"/>
          <w:sz w:val="22"/>
          <w:szCs w:val="22"/>
        </w:rPr>
        <w:t>, community-based service provider, vision or hearing related professional, vocational rehabilitation counselor, educator, and medical or health professional) who has direct knowledge of and can attest to the individual’s disability.</w:t>
      </w:r>
      <w:r w:rsidRPr="00714A76">
        <w:rPr>
          <w:rStyle w:val="FootnoteReference"/>
          <w:rFonts w:ascii="Times New Roman" w:hAnsi="Times New Roman"/>
          <w:sz w:val="22"/>
          <w:szCs w:val="22"/>
        </w:rPr>
        <w:footnoteReference w:id="33"/>
      </w:r>
      <w:r w:rsidRPr="00714A76">
        <w:rPr>
          <w:rFonts w:ascii="Times New Roman" w:hAnsi="Times New Roman"/>
          <w:sz w:val="22"/>
          <w:szCs w:val="22"/>
        </w:rPr>
        <w:t xml:space="preserve">  Under the permanent rules, should the NDBEDP continue to accept as disability verification documentation</w:t>
      </w:r>
      <w:r w:rsidR="00F60AA8" w:rsidRPr="00714A76">
        <w:rPr>
          <w:rFonts w:ascii="Times New Roman" w:hAnsi="Times New Roman"/>
          <w:sz w:val="22"/>
          <w:szCs w:val="22"/>
          <w:lang w:val="en-US"/>
        </w:rPr>
        <w:t xml:space="preserve"> already in the applicant’s possession</w:t>
      </w:r>
      <w:r w:rsidRPr="00714A76">
        <w:rPr>
          <w:rFonts w:ascii="Times New Roman" w:hAnsi="Times New Roman"/>
          <w:sz w:val="22"/>
          <w:szCs w:val="22"/>
        </w:rPr>
        <w:t>, such as</w:t>
      </w:r>
      <w:r w:rsidR="002505DE" w:rsidRPr="00714A76">
        <w:rPr>
          <w:rFonts w:ascii="Times New Roman" w:hAnsi="Times New Roman"/>
          <w:sz w:val="22"/>
          <w:szCs w:val="22"/>
          <w:lang w:val="en-US"/>
        </w:rPr>
        <w:t xml:space="preserve"> </w:t>
      </w:r>
      <w:r w:rsidRPr="00714A76">
        <w:rPr>
          <w:rFonts w:ascii="Times New Roman" w:hAnsi="Times New Roman"/>
          <w:sz w:val="22"/>
          <w:szCs w:val="22"/>
        </w:rPr>
        <w:t>individualized education programs and Social Security determination letters?</w:t>
      </w:r>
      <w:r w:rsidRPr="00714A76">
        <w:rPr>
          <w:rStyle w:val="FootnoteReference"/>
          <w:rFonts w:ascii="Times New Roman" w:hAnsi="Times New Roman"/>
          <w:sz w:val="22"/>
          <w:szCs w:val="22"/>
        </w:rPr>
        <w:footnoteReference w:id="34"/>
      </w:r>
      <w:r w:rsidRPr="00714A76">
        <w:rPr>
          <w:rFonts w:ascii="Times New Roman" w:hAnsi="Times New Roman"/>
          <w:sz w:val="22"/>
          <w:szCs w:val="22"/>
        </w:rPr>
        <w:t xml:space="preserve">  </w:t>
      </w:r>
      <w:r w:rsidR="00AC3F7D" w:rsidRPr="00714A76">
        <w:rPr>
          <w:rFonts w:ascii="Times New Roman" w:hAnsi="Times New Roman"/>
          <w:sz w:val="22"/>
          <w:szCs w:val="22"/>
          <w:lang w:val="en-US"/>
        </w:rPr>
        <w:t>We seek comment on the extent to which these rules have provided certified programs with the flexibility they need to identify the full range of individuals who are deaf-blind for whom the NDBEDP was intended to serve</w:t>
      </w:r>
      <w:r w:rsidR="00F60AA8" w:rsidRPr="00714A76">
        <w:rPr>
          <w:rFonts w:ascii="Times New Roman" w:hAnsi="Times New Roman"/>
          <w:sz w:val="22"/>
          <w:szCs w:val="22"/>
          <w:lang w:val="en-US"/>
        </w:rPr>
        <w:t xml:space="preserve">.  To the extent that commenters request modifications to these rules, we seek input on the Commission’s authority to adopt those modifications, given the CVAA’s definition of </w:t>
      </w:r>
      <w:r w:rsidR="00E3761A" w:rsidRPr="00714A76">
        <w:rPr>
          <w:rFonts w:ascii="Times New Roman" w:hAnsi="Times New Roman"/>
          <w:sz w:val="22"/>
          <w:szCs w:val="22"/>
          <w:lang w:val="en-US"/>
        </w:rPr>
        <w:t>individuals who are “</w:t>
      </w:r>
      <w:r w:rsidR="00F60AA8" w:rsidRPr="00714A76">
        <w:rPr>
          <w:rFonts w:ascii="Times New Roman" w:hAnsi="Times New Roman"/>
          <w:sz w:val="22"/>
          <w:szCs w:val="22"/>
          <w:lang w:val="en-US"/>
        </w:rPr>
        <w:t>deaf-blind</w:t>
      </w:r>
      <w:r w:rsidR="00E3761A" w:rsidRPr="00714A76">
        <w:rPr>
          <w:rFonts w:ascii="Times New Roman" w:hAnsi="Times New Roman"/>
          <w:sz w:val="22"/>
          <w:szCs w:val="22"/>
          <w:lang w:val="en-US"/>
        </w:rPr>
        <w:t>”</w:t>
      </w:r>
      <w:r w:rsidR="00F60AA8" w:rsidRPr="00714A76">
        <w:rPr>
          <w:rFonts w:ascii="Times New Roman" w:hAnsi="Times New Roman"/>
          <w:sz w:val="22"/>
          <w:szCs w:val="22"/>
          <w:lang w:val="en-US"/>
        </w:rPr>
        <w:t xml:space="preserve"> who are eligible under the NDBEDP.</w:t>
      </w:r>
      <w:r w:rsidR="00F60AA8" w:rsidRPr="00714A76" w:rsidDel="00F60AA8">
        <w:rPr>
          <w:rFonts w:ascii="Times New Roman" w:hAnsi="Times New Roman"/>
          <w:sz w:val="22"/>
          <w:szCs w:val="22"/>
          <w:lang w:val="en-US"/>
        </w:rPr>
        <w:t xml:space="preserve"> </w:t>
      </w:r>
      <w:r w:rsidR="00F60AA8" w:rsidRPr="00714A76">
        <w:rPr>
          <w:rFonts w:ascii="Times New Roman" w:hAnsi="Times New Roman"/>
          <w:sz w:val="22"/>
          <w:szCs w:val="22"/>
          <w:lang w:val="en-US"/>
        </w:rPr>
        <w:t xml:space="preserve"> </w:t>
      </w:r>
    </w:p>
    <w:p w:rsidR="00DB02EE" w:rsidRPr="00714A76" w:rsidRDefault="00DB02EE" w:rsidP="00714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sidRPr="00714A76">
        <w:rPr>
          <w:rFonts w:ascii="Times New Roman" w:hAnsi="Times New Roman"/>
          <w:sz w:val="22"/>
          <w:szCs w:val="22"/>
        </w:rPr>
        <w:tab/>
      </w:r>
    </w:p>
    <w:p w:rsidR="00DB02EE" w:rsidRPr="00714A76" w:rsidRDefault="00DB02EE" w:rsidP="00714A76">
      <w:pPr>
        <w:pStyle w:val="HTMLPreformatted"/>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New Roman" w:hAnsi="Times New Roman"/>
          <w:iCs/>
          <w:sz w:val="22"/>
          <w:szCs w:val="22"/>
        </w:rPr>
      </w:pPr>
      <w:r w:rsidRPr="00714A76">
        <w:rPr>
          <w:rFonts w:ascii="Times New Roman" w:hAnsi="Times New Roman"/>
          <w:i/>
          <w:sz w:val="22"/>
          <w:szCs w:val="22"/>
        </w:rPr>
        <w:t>Low Income Limitation</w:t>
      </w:r>
      <w:r w:rsidRPr="00714A76">
        <w:rPr>
          <w:rFonts w:ascii="Times New Roman" w:hAnsi="Times New Roman"/>
          <w:sz w:val="22"/>
          <w:szCs w:val="22"/>
        </w:rPr>
        <w:t>.  To participate in the NDBEDP, individuals must be low-income.</w:t>
      </w:r>
      <w:r w:rsidRPr="00714A76">
        <w:rPr>
          <w:rStyle w:val="FootnoteReference"/>
          <w:rFonts w:ascii="Times New Roman" w:hAnsi="Times New Roman"/>
          <w:sz w:val="22"/>
          <w:szCs w:val="22"/>
        </w:rPr>
        <w:footnoteReference w:id="35"/>
      </w:r>
      <w:r w:rsidRPr="00714A76">
        <w:rPr>
          <w:rFonts w:ascii="Times New Roman" w:hAnsi="Times New Roman"/>
          <w:sz w:val="22"/>
          <w:szCs w:val="22"/>
        </w:rPr>
        <w:t xml:space="preserve">  The NDBEDP pilot program rules define low-income as 400% of the Federal Poverty Guidelines (FPG) and allow automatic income eligibility for individuals enrolled in federal subsidy programs with income thresholds lower than 400% of the FPG.</w:t>
      </w:r>
      <w:r w:rsidRPr="00714A76">
        <w:rPr>
          <w:rStyle w:val="FootnoteReference"/>
          <w:rFonts w:ascii="Times New Roman" w:hAnsi="Times New Roman"/>
          <w:sz w:val="22"/>
          <w:szCs w:val="22"/>
        </w:rPr>
        <w:footnoteReference w:id="36"/>
      </w:r>
      <w:r w:rsidRPr="00714A76">
        <w:rPr>
          <w:rFonts w:ascii="Times New Roman" w:hAnsi="Times New Roman"/>
          <w:sz w:val="22"/>
          <w:szCs w:val="22"/>
        </w:rPr>
        <w:t xml:space="preserve">  Should the NDBEDP continue to use the 400% of FPG rule for income eligibility?  If not, what measure of income would be appropriate for the permanent program?  How should “income” be calculated (</w:t>
      </w:r>
      <w:r w:rsidRPr="00714A76">
        <w:rPr>
          <w:rFonts w:ascii="Times New Roman" w:hAnsi="Times New Roman"/>
          <w:i/>
          <w:sz w:val="22"/>
          <w:szCs w:val="22"/>
        </w:rPr>
        <w:t>e.g.</w:t>
      </w:r>
      <w:r w:rsidRPr="00714A76">
        <w:rPr>
          <w:rFonts w:ascii="Times New Roman" w:hAnsi="Times New Roman"/>
          <w:sz w:val="22"/>
          <w:szCs w:val="22"/>
        </w:rPr>
        <w:t>, salary before any deductions, plus any public assistance benefits, social security payments, pensions, unemployment compensation, veteran’s benefits, inheritances, alimony, child support payments, worker’s compensation benefits, gifts, lottery winnings, or other forms of income)?</w:t>
      </w:r>
      <w:r w:rsidRPr="00714A76">
        <w:rPr>
          <w:rStyle w:val="FootnoteReference"/>
          <w:rFonts w:ascii="Times New Roman" w:hAnsi="Times New Roman"/>
          <w:sz w:val="22"/>
          <w:szCs w:val="22"/>
        </w:rPr>
        <w:footnoteReference w:id="37"/>
      </w:r>
      <w:r w:rsidRPr="00714A76">
        <w:rPr>
          <w:rFonts w:ascii="Times New Roman" w:hAnsi="Times New Roman"/>
          <w:sz w:val="22"/>
          <w:szCs w:val="22"/>
        </w:rPr>
        <w:t xml:space="preserve">  Should income be determined only with respect to the individual (regardless of his or her status as a child, adult, student, dependent, or financially independent person) or with respect to the household (</w:t>
      </w:r>
      <w:r w:rsidRPr="00714A76">
        <w:rPr>
          <w:rFonts w:ascii="Times New Roman" w:hAnsi="Times New Roman"/>
          <w:i/>
          <w:sz w:val="22"/>
          <w:szCs w:val="22"/>
        </w:rPr>
        <w:t>e.g.</w:t>
      </w:r>
      <w:r w:rsidRPr="00714A76">
        <w:rPr>
          <w:rFonts w:ascii="Times New Roman" w:hAnsi="Times New Roman"/>
          <w:sz w:val="22"/>
          <w:szCs w:val="22"/>
        </w:rPr>
        <w:t>, an individual or group of individuals who are living together at the same address as one economic unit)?</w:t>
      </w:r>
      <w:r w:rsidRPr="00714A76">
        <w:rPr>
          <w:rStyle w:val="FootnoteReference"/>
          <w:rFonts w:ascii="Times New Roman" w:hAnsi="Times New Roman"/>
          <w:sz w:val="22"/>
          <w:szCs w:val="22"/>
        </w:rPr>
        <w:footnoteReference w:id="38"/>
      </w:r>
      <w:r w:rsidRPr="00714A76">
        <w:rPr>
          <w:rFonts w:ascii="Times New Roman" w:hAnsi="Times New Roman"/>
          <w:sz w:val="22"/>
          <w:szCs w:val="22"/>
        </w:rPr>
        <w:t xml:space="preserve">  We ask that commenters explain how their proposals would be consistent with the “low-income” eligibility criteria mandated for this program, as well as other federal programs.</w:t>
      </w:r>
    </w:p>
    <w:p w:rsidR="00DB02EE" w:rsidRPr="00714A76" w:rsidRDefault="00DB02EE" w:rsidP="00714A76">
      <w:pPr>
        <w:pStyle w:val="ColorfulList-Accent11"/>
        <w:rPr>
          <w:rFonts w:ascii="Times New Roman" w:hAnsi="Times New Roman"/>
          <w:iCs/>
        </w:rPr>
      </w:pPr>
    </w:p>
    <w:p w:rsidR="00DB02EE" w:rsidRPr="00714A76" w:rsidRDefault="00DB02EE" w:rsidP="00714A76">
      <w:pPr>
        <w:pStyle w:val="HTMLPreformatted"/>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New Roman" w:hAnsi="Times New Roman"/>
          <w:iCs/>
          <w:sz w:val="22"/>
          <w:szCs w:val="22"/>
        </w:rPr>
      </w:pPr>
      <w:r w:rsidRPr="00714A76">
        <w:rPr>
          <w:rFonts w:ascii="Times New Roman" w:hAnsi="Times New Roman"/>
          <w:i/>
          <w:iCs/>
          <w:sz w:val="22"/>
          <w:szCs w:val="22"/>
        </w:rPr>
        <w:t>Other Eligibility Criteria</w:t>
      </w:r>
      <w:r w:rsidRPr="00714A76">
        <w:rPr>
          <w:rFonts w:ascii="Times New Roman" w:hAnsi="Times New Roman"/>
          <w:iCs/>
          <w:sz w:val="22"/>
          <w:szCs w:val="22"/>
        </w:rPr>
        <w:t>.  During the NDBEDP pilot program, the Commission’s rules have permitted certified programs to require that NDBEDP equipment recipients demonstrate that they have access to the telecommunications, advanced communications, or Internet access services that the equipment is designed to use and make accessible.</w:t>
      </w:r>
      <w:r w:rsidRPr="00714A76">
        <w:rPr>
          <w:rStyle w:val="FootnoteReference"/>
          <w:rFonts w:ascii="Times New Roman" w:hAnsi="Times New Roman"/>
          <w:iCs/>
          <w:sz w:val="22"/>
          <w:szCs w:val="22"/>
        </w:rPr>
        <w:footnoteReference w:id="39"/>
      </w:r>
      <w:r w:rsidRPr="00714A76">
        <w:rPr>
          <w:rFonts w:ascii="Times New Roman" w:hAnsi="Times New Roman"/>
          <w:iCs/>
          <w:sz w:val="22"/>
          <w:szCs w:val="22"/>
        </w:rPr>
        <w:t xml:space="preserve">  In contrast, certified programs may not impose employment-related eligibility requirements for individuals to participate in the program.</w:t>
      </w:r>
      <w:r w:rsidRPr="00714A76">
        <w:rPr>
          <w:rStyle w:val="FootnoteReference"/>
          <w:rFonts w:ascii="Times New Roman" w:hAnsi="Times New Roman"/>
          <w:iCs/>
          <w:sz w:val="22"/>
          <w:szCs w:val="22"/>
        </w:rPr>
        <w:footnoteReference w:id="40"/>
      </w:r>
      <w:r w:rsidRPr="00714A76">
        <w:rPr>
          <w:rFonts w:ascii="Times New Roman" w:hAnsi="Times New Roman"/>
          <w:iCs/>
          <w:sz w:val="22"/>
          <w:szCs w:val="22"/>
        </w:rPr>
        <w:t xml:space="preserve">  We seek comment on whether these eligibility criteria should be maintained for the permanent NDBEDP and whether there are other eligibility requirements that should be considered.</w:t>
      </w:r>
      <w:r w:rsidR="000E1F18" w:rsidRPr="00714A76">
        <w:rPr>
          <w:rFonts w:ascii="Times New Roman" w:hAnsi="Times New Roman"/>
          <w:iCs/>
          <w:sz w:val="22"/>
          <w:szCs w:val="22"/>
          <w:lang w:val="en-US"/>
        </w:rPr>
        <w:t xml:space="preserve">  </w:t>
      </w:r>
      <w:r w:rsidRPr="00714A76">
        <w:rPr>
          <w:rFonts w:ascii="Times New Roman" w:hAnsi="Times New Roman"/>
          <w:iCs/>
          <w:sz w:val="22"/>
          <w:szCs w:val="22"/>
        </w:rPr>
        <w:t>Should certified programs be permitted to consider the demographics of their jurisdictions, the amount of NDBEDP funds allocated for their jurisdiction, the availability of equipment and services through other programs, or other factors to prioritize the distribution of equipment or provision of related services to qualified applicants?</w:t>
      </w:r>
      <w:r w:rsidRPr="00714A76">
        <w:rPr>
          <w:rStyle w:val="FootnoteReference"/>
          <w:rFonts w:ascii="Times New Roman" w:hAnsi="Times New Roman"/>
          <w:iCs/>
          <w:sz w:val="22"/>
          <w:szCs w:val="22"/>
        </w:rPr>
        <w:footnoteReference w:id="41"/>
      </w:r>
    </w:p>
    <w:p w:rsidR="00DB02EE" w:rsidRPr="00714A76" w:rsidRDefault="00DB02EE" w:rsidP="00714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p>
    <w:p w:rsidR="00DB02EE" w:rsidRPr="00714A76" w:rsidRDefault="00DB02EE" w:rsidP="00714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outlineLvl w:val="0"/>
        <w:rPr>
          <w:rFonts w:ascii="Times New Roman" w:hAnsi="Times New Roman"/>
          <w:b/>
          <w:sz w:val="22"/>
          <w:szCs w:val="22"/>
        </w:rPr>
      </w:pPr>
      <w:r w:rsidRPr="00714A76">
        <w:rPr>
          <w:rFonts w:ascii="Times New Roman" w:hAnsi="Times New Roman"/>
          <w:b/>
          <w:sz w:val="22"/>
          <w:szCs w:val="22"/>
        </w:rPr>
        <w:t>V.</w:t>
      </w:r>
      <w:r w:rsidRPr="00714A76">
        <w:rPr>
          <w:rFonts w:ascii="Times New Roman" w:hAnsi="Times New Roman"/>
          <w:b/>
          <w:sz w:val="22"/>
          <w:szCs w:val="22"/>
        </w:rPr>
        <w:tab/>
        <w:t xml:space="preserve">Equipment </w:t>
      </w:r>
    </w:p>
    <w:p w:rsidR="00DB02EE" w:rsidRPr="00714A76" w:rsidRDefault="00DB02EE" w:rsidP="00714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p>
    <w:p w:rsidR="00DB02EE" w:rsidRPr="00714A76" w:rsidRDefault="00DB02EE" w:rsidP="00714A76">
      <w:pPr>
        <w:pStyle w:val="HTMLPreformatted"/>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outlineLvl w:val="0"/>
        <w:rPr>
          <w:rFonts w:ascii="Times New Roman" w:hAnsi="Times New Roman"/>
          <w:sz w:val="22"/>
          <w:szCs w:val="22"/>
        </w:rPr>
      </w:pPr>
      <w:r w:rsidRPr="00714A76">
        <w:rPr>
          <w:rFonts w:ascii="Times New Roman" w:hAnsi="Times New Roman"/>
          <w:sz w:val="22"/>
          <w:szCs w:val="22"/>
        </w:rPr>
        <w:t>The NDBEDP provides support for the distribution of specialized customer premises equipment</w:t>
      </w:r>
      <w:r w:rsidRPr="00714A76">
        <w:rPr>
          <w:rStyle w:val="FootnoteReference"/>
          <w:rFonts w:ascii="Times New Roman" w:hAnsi="Times New Roman"/>
          <w:sz w:val="22"/>
          <w:szCs w:val="22"/>
        </w:rPr>
        <w:footnoteReference w:id="42"/>
      </w:r>
      <w:r w:rsidRPr="00714A76">
        <w:rPr>
          <w:rFonts w:ascii="Times New Roman" w:hAnsi="Times New Roman"/>
          <w:sz w:val="22"/>
          <w:szCs w:val="22"/>
        </w:rPr>
        <w:t xml:space="preserve"> needed to make telecommunications services,</w:t>
      </w:r>
      <w:r w:rsidRPr="00714A76">
        <w:rPr>
          <w:rStyle w:val="FootnoteReference"/>
          <w:rFonts w:ascii="Times New Roman" w:hAnsi="Times New Roman"/>
          <w:sz w:val="22"/>
          <w:szCs w:val="22"/>
        </w:rPr>
        <w:footnoteReference w:id="43"/>
      </w:r>
      <w:r w:rsidRPr="00714A76">
        <w:rPr>
          <w:rFonts w:ascii="Times New Roman" w:hAnsi="Times New Roman"/>
          <w:sz w:val="22"/>
          <w:szCs w:val="22"/>
        </w:rPr>
        <w:t xml:space="preserve"> Internet access service,</w:t>
      </w:r>
      <w:r w:rsidRPr="00714A76">
        <w:rPr>
          <w:rStyle w:val="FootnoteReference"/>
          <w:rFonts w:ascii="Times New Roman" w:hAnsi="Times New Roman"/>
          <w:sz w:val="22"/>
          <w:szCs w:val="22"/>
        </w:rPr>
        <w:footnoteReference w:id="44"/>
      </w:r>
      <w:r w:rsidRPr="00714A76">
        <w:rPr>
          <w:rFonts w:ascii="Times New Roman" w:hAnsi="Times New Roman"/>
          <w:sz w:val="22"/>
          <w:szCs w:val="22"/>
        </w:rPr>
        <w:t xml:space="preserve"> and advanced </w:t>
      </w:r>
      <w:r w:rsidRPr="00714A76">
        <w:rPr>
          <w:rFonts w:ascii="Times New Roman" w:hAnsi="Times New Roman"/>
          <w:color w:val="010101"/>
          <w:sz w:val="22"/>
          <w:szCs w:val="22"/>
        </w:rPr>
        <w:t>communications</w:t>
      </w:r>
      <w:r w:rsidRPr="00714A76">
        <w:rPr>
          <w:rFonts w:ascii="Times New Roman" w:hAnsi="Times New Roman"/>
          <w:sz w:val="22"/>
          <w:szCs w:val="22"/>
        </w:rPr>
        <w:t>,</w:t>
      </w:r>
      <w:r w:rsidRPr="00714A76">
        <w:rPr>
          <w:rStyle w:val="FootnoteReference"/>
          <w:rFonts w:ascii="Times New Roman" w:hAnsi="Times New Roman"/>
          <w:sz w:val="22"/>
          <w:szCs w:val="22"/>
        </w:rPr>
        <w:footnoteReference w:id="45"/>
      </w:r>
      <w:r w:rsidRPr="00714A76">
        <w:rPr>
          <w:rFonts w:ascii="Times New Roman" w:hAnsi="Times New Roman"/>
          <w:sz w:val="22"/>
          <w:szCs w:val="22"/>
        </w:rPr>
        <w:t xml:space="preserve"> including interexchange services</w:t>
      </w:r>
      <w:r w:rsidRPr="00714A76">
        <w:rPr>
          <w:rStyle w:val="FootnoteReference"/>
          <w:rFonts w:ascii="Times New Roman" w:hAnsi="Times New Roman"/>
          <w:sz w:val="22"/>
          <w:szCs w:val="22"/>
        </w:rPr>
        <w:footnoteReference w:id="46"/>
      </w:r>
      <w:r w:rsidRPr="00714A76">
        <w:rPr>
          <w:rFonts w:ascii="Times New Roman" w:hAnsi="Times New Roman"/>
          <w:sz w:val="22"/>
          <w:szCs w:val="22"/>
        </w:rPr>
        <w:t xml:space="preserve"> and advanced telecommunications and information services</w:t>
      </w:r>
      <w:r w:rsidRPr="00714A76">
        <w:rPr>
          <w:rStyle w:val="FootnoteReference"/>
          <w:rFonts w:ascii="Times New Roman" w:hAnsi="Times New Roman"/>
          <w:sz w:val="22"/>
          <w:szCs w:val="22"/>
        </w:rPr>
        <w:footnoteReference w:id="47"/>
      </w:r>
      <w:r w:rsidRPr="00714A76">
        <w:rPr>
          <w:rFonts w:ascii="Times New Roman" w:hAnsi="Times New Roman"/>
          <w:sz w:val="22"/>
          <w:szCs w:val="22"/>
        </w:rPr>
        <w:t xml:space="preserve"> accessible to people who are deaf-blind.</w:t>
      </w:r>
      <w:r w:rsidRPr="00714A76">
        <w:rPr>
          <w:rStyle w:val="FootnoteReference"/>
          <w:rFonts w:ascii="Times New Roman" w:hAnsi="Times New Roman"/>
          <w:sz w:val="22"/>
          <w:szCs w:val="22"/>
        </w:rPr>
        <w:footnoteReference w:id="48"/>
      </w:r>
      <w:r w:rsidRPr="00714A76">
        <w:rPr>
          <w:rFonts w:ascii="Times New Roman" w:hAnsi="Times New Roman"/>
          <w:sz w:val="22"/>
          <w:szCs w:val="22"/>
        </w:rPr>
        <w:t xml:space="preserve">  Under the NDBEDP pilot program, the Commission reimburses certified programs for the reasonable cost of equipment, which may be hardware, software, or applications, separate or in combination, mainstream or specialized, as long as it meets the needs of the deaf-blind individual to achieve access to NDBEDP covered services.</w:t>
      </w:r>
      <w:r w:rsidRPr="00714A76">
        <w:rPr>
          <w:rStyle w:val="FootnoteReference"/>
          <w:rFonts w:ascii="Times New Roman" w:hAnsi="Times New Roman"/>
          <w:sz w:val="22"/>
          <w:szCs w:val="22"/>
        </w:rPr>
        <w:footnoteReference w:id="49"/>
      </w:r>
      <w:r w:rsidRPr="00714A76">
        <w:rPr>
          <w:rFonts w:ascii="Times New Roman" w:hAnsi="Times New Roman"/>
          <w:sz w:val="22"/>
          <w:szCs w:val="22"/>
        </w:rPr>
        <w:t xml:space="preserve">  Certified programs are permitted to distribute multiple pieces of equipment to eligible consumers, as needed.</w:t>
      </w:r>
      <w:r w:rsidRPr="00714A76">
        <w:rPr>
          <w:rStyle w:val="FootnoteReference"/>
          <w:rFonts w:ascii="Times New Roman" w:hAnsi="Times New Roman"/>
          <w:sz w:val="22"/>
          <w:szCs w:val="22"/>
        </w:rPr>
        <w:footnoteReference w:id="50"/>
      </w:r>
      <w:r w:rsidRPr="00714A76">
        <w:rPr>
          <w:rFonts w:ascii="Times New Roman" w:hAnsi="Times New Roman"/>
          <w:sz w:val="22"/>
          <w:szCs w:val="22"/>
        </w:rPr>
        <w:t xml:space="preserve">  Equipment-related expenses, including maintenance, repairs, warranties, returns, maintaining an inventory of loaner equipment, as well as refurbishing, upgrading, and replacing equipment distributed to consumers are also reimbursable.</w:t>
      </w:r>
      <w:r w:rsidRPr="00714A76">
        <w:rPr>
          <w:rStyle w:val="FootnoteReference"/>
          <w:rFonts w:ascii="Times New Roman" w:hAnsi="Times New Roman"/>
          <w:sz w:val="22"/>
          <w:szCs w:val="22"/>
        </w:rPr>
        <w:footnoteReference w:id="51"/>
      </w:r>
      <w:r w:rsidRPr="00714A76">
        <w:rPr>
          <w:rFonts w:ascii="Times New Roman" w:hAnsi="Times New Roman"/>
          <w:sz w:val="22"/>
          <w:szCs w:val="22"/>
        </w:rPr>
        <w:t xml:space="preserve">  Under the NDBEDP pilot program, certified programs may lend or transfer ownership of the distributed equipment to qualified recipients.</w:t>
      </w:r>
      <w:r w:rsidRPr="00714A76">
        <w:rPr>
          <w:rStyle w:val="FootnoteReference"/>
          <w:rFonts w:ascii="Times New Roman" w:hAnsi="Times New Roman"/>
          <w:sz w:val="22"/>
          <w:szCs w:val="22"/>
        </w:rPr>
        <w:footnoteReference w:id="52"/>
      </w:r>
      <w:r w:rsidRPr="00714A76">
        <w:rPr>
          <w:rFonts w:ascii="Times New Roman" w:hAnsi="Times New Roman"/>
          <w:sz w:val="22"/>
          <w:szCs w:val="22"/>
        </w:rPr>
        <w:t xml:space="preserve">  When a recipient relocates to another state, certified programs must permit the transfer of the recipient’s account and any control of the distributed equipment to the new state’s certified program.</w:t>
      </w:r>
      <w:r w:rsidRPr="00714A76">
        <w:rPr>
          <w:rStyle w:val="FootnoteReference"/>
          <w:rFonts w:ascii="Times New Roman" w:hAnsi="Times New Roman"/>
          <w:sz w:val="22"/>
          <w:szCs w:val="22"/>
        </w:rPr>
        <w:footnoteReference w:id="53"/>
      </w:r>
      <w:r w:rsidRPr="00714A76">
        <w:rPr>
          <w:rFonts w:ascii="Times New Roman" w:hAnsi="Times New Roman"/>
          <w:sz w:val="22"/>
          <w:szCs w:val="22"/>
        </w:rPr>
        <w:t xml:space="preserve">  We seek comment on these provisions of the NDBEDP pilot program, and whether the distribution of equipment under the permanent NDBEDP should be treated differently.  If so, how and why would such changes be consistent with the CVAA, benefit eligible low-income individuals who are deaf-blind, and result in more efficient or effective use of NDBEDP funds?  For example, now that most programs are using up their annual fund allotment, should programs be directed to limit the number of devices that each eligible individual may receive in a specified period of time, such as one or two Fund years?  Would this practice further or impede the goals of the NDBEDP? </w:t>
      </w:r>
    </w:p>
    <w:p w:rsidR="00DB02EE" w:rsidRPr="00714A76" w:rsidRDefault="00DB02EE" w:rsidP="00714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p>
    <w:p w:rsidR="00DB02EE" w:rsidRPr="00714A76" w:rsidRDefault="00DB02EE" w:rsidP="00714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2"/>
          <w:szCs w:val="22"/>
        </w:rPr>
      </w:pPr>
      <w:r w:rsidRPr="00714A76">
        <w:rPr>
          <w:rFonts w:ascii="Times New Roman" w:hAnsi="Times New Roman"/>
          <w:b/>
          <w:sz w:val="22"/>
          <w:szCs w:val="22"/>
        </w:rPr>
        <w:t>VI.</w:t>
      </w:r>
      <w:r w:rsidRPr="00714A76">
        <w:rPr>
          <w:rFonts w:ascii="Times New Roman" w:hAnsi="Times New Roman"/>
          <w:b/>
          <w:sz w:val="22"/>
          <w:szCs w:val="22"/>
        </w:rPr>
        <w:tab/>
        <w:t>Individualized Assessment of Communications Needs</w:t>
      </w:r>
    </w:p>
    <w:p w:rsidR="00DB02EE" w:rsidRPr="00714A76" w:rsidRDefault="00DB02EE" w:rsidP="00714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2"/>
          <w:szCs w:val="22"/>
        </w:rPr>
      </w:pPr>
    </w:p>
    <w:p w:rsidR="00DB02EE" w:rsidRPr="00714A76" w:rsidRDefault="00DB02EE" w:rsidP="00714A76">
      <w:pPr>
        <w:pStyle w:val="HTMLPreformatted"/>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outlineLvl w:val="0"/>
        <w:rPr>
          <w:rFonts w:ascii="Times New Roman" w:hAnsi="Times New Roman"/>
          <w:sz w:val="22"/>
          <w:szCs w:val="22"/>
        </w:rPr>
      </w:pPr>
      <w:r w:rsidRPr="00714A76">
        <w:rPr>
          <w:rFonts w:ascii="Times New Roman" w:hAnsi="Times New Roman"/>
          <w:sz w:val="22"/>
          <w:szCs w:val="22"/>
        </w:rPr>
        <w:t>Under the NDBEDP pilot program, the Commission’s rules permit reimbursement for the reasonable costs of making individualized assessments of a deaf-blind individual’s communications needs by qualified assistive technology specialists.</w:t>
      </w:r>
      <w:r w:rsidRPr="00714A76">
        <w:rPr>
          <w:rStyle w:val="FootnoteReference"/>
          <w:rFonts w:ascii="Times New Roman" w:hAnsi="Times New Roman"/>
          <w:sz w:val="22"/>
          <w:szCs w:val="22"/>
        </w:rPr>
        <w:footnoteReference w:id="54"/>
      </w:r>
      <w:r w:rsidRPr="00714A76">
        <w:rPr>
          <w:rFonts w:ascii="Times New Roman" w:hAnsi="Times New Roman"/>
          <w:sz w:val="22"/>
          <w:szCs w:val="22"/>
        </w:rPr>
        <w:t xml:space="preserve">  The Commission also permits reimbursement for reasonable travel costs of assessors and for support services, such as qualified interpreters, to conduct individualized assessments, but does not permit reimbursement of travel costs for consumers to travel to receive assessments.</w:t>
      </w:r>
      <w:r w:rsidRPr="00714A76">
        <w:rPr>
          <w:rStyle w:val="FootnoteReference"/>
          <w:rFonts w:ascii="Times New Roman" w:hAnsi="Times New Roman"/>
          <w:sz w:val="22"/>
          <w:szCs w:val="22"/>
        </w:rPr>
        <w:footnoteReference w:id="55"/>
      </w:r>
      <w:r w:rsidRPr="00714A76">
        <w:rPr>
          <w:rFonts w:ascii="Times New Roman" w:hAnsi="Times New Roman"/>
          <w:sz w:val="22"/>
          <w:szCs w:val="22"/>
        </w:rPr>
        <w:t xml:space="preserve">  We seek comment on the appropriateness of the Commission’s rules governing reimbursement for individualized assessments, and whether reimbursement of the reasonable costs of the consumer’s travel for such assessments would make the NDBEDP more efficient and effective, as well as the extent to which such travel would benefit consumers.  For example, would it benefit potential equipment recipients to be able to try out various types of communication devices that are located on the premises of the certified programs? </w:t>
      </w:r>
    </w:p>
    <w:p w:rsidR="00DB02EE" w:rsidRPr="00714A76" w:rsidRDefault="00DB02EE" w:rsidP="00714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p>
    <w:p w:rsidR="00DB02EE" w:rsidRPr="00714A76" w:rsidRDefault="00DB02EE" w:rsidP="00714A76">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2"/>
          <w:szCs w:val="22"/>
        </w:rPr>
      </w:pPr>
      <w:r w:rsidRPr="00714A76">
        <w:rPr>
          <w:rFonts w:ascii="Times New Roman" w:hAnsi="Times New Roman"/>
          <w:b/>
          <w:sz w:val="22"/>
          <w:szCs w:val="22"/>
        </w:rPr>
        <w:t>VII.</w:t>
      </w:r>
      <w:r w:rsidRPr="00714A76">
        <w:rPr>
          <w:rFonts w:ascii="Times New Roman" w:hAnsi="Times New Roman"/>
          <w:b/>
          <w:sz w:val="22"/>
          <w:szCs w:val="22"/>
        </w:rPr>
        <w:tab/>
        <w:t>Installation and Training</w:t>
      </w:r>
    </w:p>
    <w:p w:rsidR="00DB02EE" w:rsidRPr="00714A76" w:rsidRDefault="00DB02EE" w:rsidP="00714A76">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2"/>
          <w:szCs w:val="22"/>
        </w:rPr>
      </w:pPr>
    </w:p>
    <w:p w:rsidR="00DB02EE" w:rsidRPr="00714A76" w:rsidRDefault="00DB02EE" w:rsidP="00714A76">
      <w:pPr>
        <w:pStyle w:val="HTMLPreformatted"/>
        <w:keepNext/>
        <w:keepLines/>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outlineLvl w:val="0"/>
        <w:rPr>
          <w:rFonts w:ascii="Times New Roman" w:hAnsi="Times New Roman"/>
          <w:sz w:val="22"/>
          <w:szCs w:val="22"/>
        </w:rPr>
      </w:pPr>
      <w:r w:rsidRPr="00714A76">
        <w:rPr>
          <w:rFonts w:ascii="Times New Roman" w:hAnsi="Times New Roman"/>
          <w:sz w:val="22"/>
          <w:szCs w:val="22"/>
        </w:rPr>
        <w:t>The NDBEDP pilot program permits reimbursement for the reasonable costs of installing NDBEDP distributed equipment and individualized consumer training on how to use the distributed equipment.</w:t>
      </w:r>
      <w:r w:rsidRPr="00714A76">
        <w:rPr>
          <w:rStyle w:val="FootnoteReference"/>
          <w:rFonts w:ascii="Times New Roman" w:hAnsi="Times New Roman"/>
          <w:sz w:val="22"/>
          <w:szCs w:val="22"/>
        </w:rPr>
        <w:footnoteReference w:id="56"/>
      </w:r>
      <w:r w:rsidRPr="00714A76">
        <w:rPr>
          <w:rFonts w:ascii="Times New Roman" w:hAnsi="Times New Roman"/>
          <w:sz w:val="22"/>
          <w:szCs w:val="22"/>
        </w:rPr>
        <w:t xml:space="preserve">  The Commission also permits reimbursement for reasonable travel costs of trainers and for support services, such as qualified interpreters, to conduct individualized training, but does not permit reimbursement of travel costs for consumers to travel to receive individualized training.</w:t>
      </w:r>
      <w:r w:rsidRPr="00714A76">
        <w:rPr>
          <w:rStyle w:val="FootnoteReference"/>
          <w:rFonts w:ascii="Times New Roman" w:hAnsi="Times New Roman"/>
          <w:sz w:val="22"/>
          <w:szCs w:val="22"/>
        </w:rPr>
        <w:footnoteReference w:id="57"/>
      </w:r>
      <w:r w:rsidRPr="00714A76">
        <w:rPr>
          <w:rFonts w:ascii="Times New Roman" w:hAnsi="Times New Roman"/>
          <w:sz w:val="22"/>
          <w:szCs w:val="22"/>
        </w:rPr>
        <w:t xml:space="preserve">  We seek comment on whether reimbursement of these costs should continue to be permitted, and whether permitting reimbursement for the reasonable costs of the consumer’s travel for installation and training would make the NDBEDP more efficient and effective</w:t>
      </w:r>
      <w:r w:rsidR="00177A76" w:rsidRPr="00714A76">
        <w:rPr>
          <w:rFonts w:ascii="Times New Roman" w:hAnsi="Times New Roman"/>
          <w:sz w:val="22"/>
          <w:szCs w:val="22"/>
          <w:lang w:val="en-US"/>
        </w:rPr>
        <w:t xml:space="preserve">. </w:t>
      </w:r>
      <w:r w:rsidRPr="00714A76">
        <w:rPr>
          <w:rFonts w:ascii="Times New Roman" w:hAnsi="Times New Roman"/>
          <w:sz w:val="22"/>
          <w:szCs w:val="22"/>
        </w:rPr>
        <w:t xml:space="preserve"> </w:t>
      </w:r>
      <w:r w:rsidR="00177A76" w:rsidRPr="00714A76">
        <w:rPr>
          <w:rFonts w:ascii="Times New Roman" w:hAnsi="Times New Roman"/>
          <w:sz w:val="22"/>
          <w:szCs w:val="22"/>
          <w:lang w:val="en-US"/>
        </w:rPr>
        <w:t xml:space="preserve">Are there circumstances in which </w:t>
      </w:r>
      <w:r w:rsidR="00B530B8" w:rsidRPr="00714A76">
        <w:rPr>
          <w:rFonts w:ascii="Times New Roman" w:hAnsi="Times New Roman"/>
          <w:sz w:val="22"/>
          <w:szCs w:val="22"/>
          <w:lang w:val="en-US"/>
        </w:rPr>
        <w:t xml:space="preserve">consumers would benefit if they are reimbursed for </w:t>
      </w:r>
      <w:r w:rsidR="00177A76" w:rsidRPr="00714A76">
        <w:rPr>
          <w:rFonts w:ascii="Times New Roman" w:hAnsi="Times New Roman"/>
          <w:sz w:val="22"/>
          <w:szCs w:val="22"/>
          <w:lang w:val="en-US"/>
        </w:rPr>
        <w:t>travel</w:t>
      </w:r>
      <w:r w:rsidR="00B530B8" w:rsidRPr="00714A76">
        <w:rPr>
          <w:rFonts w:ascii="Times New Roman" w:hAnsi="Times New Roman"/>
          <w:sz w:val="22"/>
          <w:szCs w:val="22"/>
          <w:lang w:val="en-US"/>
        </w:rPr>
        <w:t xml:space="preserve"> to distribution centers </w:t>
      </w:r>
      <w:r w:rsidR="00177A76" w:rsidRPr="00714A76">
        <w:rPr>
          <w:rFonts w:ascii="Times New Roman" w:hAnsi="Times New Roman"/>
          <w:sz w:val="22"/>
          <w:szCs w:val="22"/>
          <w:lang w:val="en-US"/>
        </w:rPr>
        <w:t>to obtain training?</w:t>
      </w:r>
    </w:p>
    <w:p w:rsidR="00DB02EE" w:rsidRPr="00714A76" w:rsidRDefault="00DB02EE" w:rsidP="00714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outlineLvl w:val="0"/>
        <w:rPr>
          <w:rFonts w:ascii="Times New Roman" w:hAnsi="Times New Roman"/>
          <w:sz w:val="22"/>
          <w:szCs w:val="22"/>
        </w:rPr>
      </w:pPr>
    </w:p>
    <w:p w:rsidR="00DB02EE" w:rsidRPr="00714A76" w:rsidRDefault="00DB02EE" w:rsidP="00714A76">
      <w:pPr>
        <w:pStyle w:val="HTMLPreformatted"/>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outlineLvl w:val="0"/>
        <w:rPr>
          <w:rFonts w:ascii="Times New Roman" w:hAnsi="Times New Roman"/>
          <w:sz w:val="22"/>
          <w:szCs w:val="22"/>
        </w:rPr>
      </w:pPr>
      <w:r w:rsidRPr="00714A76">
        <w:rPr>
          <w:rFonts w:ascii="Times New Roman" w:hAnsi="Times New Roman"/>
          <w:sz w:val="22"/>
          <w:szCs w:val="22"/>
        </w:rPr>
        <w:t xml:space="preserve">In the </w:t>
      </w:r>
      <w:r w:rsidRPr="00714A76">
        <w:rPr>
          <w:rFonts w:ascii="Times New Roman" w:hAnsi="Times New Roman"/>
          <w:i/>
          <w:sz w:val="22"/>
          <w:szCs w:val="22"/>
        </w:rPr>
        <w:t>NDBEDP</w:t>
      </w:r>
      <w:r w:rsidRPr="00714A76">
        <w:rPr>
          <w:rFonts w:ascii="Times New Roman" w:hAnsi="Times New Roman"/>
          <w:sz w:val="22"/>
          <w:szCs w:val="22"/>
        </w:rPr>
        <w:t xml:space="preserve"> </w:t>
      </w:r>
      <w:r w:rsidRPr="00714A76">
        <w:rPr>
          <w:rFonts w:ascii="Times New Roman" w:hAnsi="Times New Roman"/>
          <w:i/>
          <w:sz w:val="22"/>
          <w:szCs w:val="22"/>
        </w:rPr>
        <w:t>Report and Order</w:t>
      </w:r>
      <w:r w:rsidRPr="00714A76">
        <w:rPr>
          <w:rFonts w:ascii="Times New Roman" w:hAnsi="Times New Roman"/>
          <w:sz w:val="22"/>
          <w:szCs w:val="22"/>
        </w:rPr>
        <w:t xml:space="preserve">, the Commission declined to set aside NDBEDP funds in the pilot program to cover the cost of training for qualified individuals who can train NDBEDP equipment recipients – </w:t>
      </w:r>
      <w:r w:rsidRPr="00714A76">
        <w:rPr>
          <w:rFonts w:ascii="Times New Roman" w:hAnsi="Times New Roman"/>
          <w:i/>
          <w:sz w:val="22"/>
          <w:szCs w:val="22"/>
        </w:rPr>
        <w:t>i.e.,</w:t>
      </w:r>
      <w:r w:rsidRPr="00714A76">
        <w:rPr>
          <w:rFonts w:ascii="Times New Roman" w:hAnsi="Times New Roman"/>
          <w:sz w:val="22"/>
          <w:szCs w:val="22"/>
        </w:rPr>
        <w:t xml:space="preserve"> a “train the trainer” service.</w:t>
      </w:r>
      <w:r w:rsidRPr="00714A76">
        <w:rPr>
          <w:rStyle w:val="FootnoteReference"/>
          <w:rFonts w:ascii="Times New Roman" w:hAnsi="Times New Roman"/>
          <w:sz w:val="22"/>
          <w:szCs w:val="22"/>
        </w:rPr>
        <w:footnoteReference w:id="58"/>
      </w:r>
      <w:r w:rsidRPr="00714A76">
        <w:rPr>
          <w:rFonts w:ascii="Times New Roman" w:hAnsi="Times New Roman"/>
          <w:sz w:val="22"/>
          <w:szCs w:val="22"/>
        </w:rPr>
        <w:t xml:space="preserve">  At that time, it understood that there was a shortage of qualified personnel, particularly with respect to training consumers who communicate receptively and/or expressively in Braille or American Sign Language.</w:t>
      </w:r>
      <w:r w:rsidRPr="00714A76">
        <w:rPr>
          <w:rStyle w:val="FootnoteReference"/>
          <w:rFonts w:ascii="Times New Roman" w:hAnsi="Times New Roman"/>
          <w:sz w:val="22"/>
          <w:szCs w:val="22"/>
        </w:rPr>
        <w:footnoteReference w:id="59"/>
      </w:r>
      <w:r w:rsidRPr="00714A76">
        <w:rPr>
          <w:rFonts w:ascii="Times New Roman" w:hAnsi="Times New Roman"/>
          <w:sz w:val="22"/>
          <w:szCs w:val="22"/>
        </w:rPr>
        <w:t xml:space="preserve">  As a result, the Commission encouraged certified programs to maximize the use of limited resources through collaboration, partnerships, or contracts between and among certified programs and other individuals and entities.</w:t>
      </w:r>
      <w:r w:rsidRPr="00714A76">
        <w:rPr>
          <w:rStyle w:val="FootnoteReference"/>
          <w:rFonts w:ascii="Times New Roman" w:hAnsi="Times New Roman"/>
          <w:sz w:val="22"/>
          <w:szCs w:val="22"/>
        </w:rPr>
        <w:footnoteReference w:id="60"/>
      </w:r>
      <w:r w:rsidRPr="00714A76">
        <w:rPr>
          <w:rFonts w:ascii="Times New Roman" w:hAnsi="Times New Roman"/>
          <w:sz w:val="22"/>
          <w:szCs w:val="22"/>
        </w:rPr>
        <w:t xml:space="preserve">  We seek comment on the extent to which there remains a shortage of qualified personnel to provide training to NDBEDP equipment recipients.  Are certified programs already using train-the-trainer programs?  What resources currently exist for trainers to learn about new technology or consult with subject matter experts on an ongoing basis?  Should a national entity coordinate such training?  Would online training modules by skilled specialists be effective to provide training remotely?  We seek comment on whether NDBEDP funds should be allocated for train-the-trainer programs, the Commission’s authority to allocate such funds, the amount of funding that should be set aside for such training, and for what period of time such funding should be permitted.</w:t>
      </w:r>
    </w:p>
    <w:p w:rsidR="00DB02EE" w:rsidRPr="00714A76" w:rsidRDefault="00DB02EE" w:rsidP="00714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outlineLvl w:val="0"/>
        <w:rPr>
          <w:rFonts w:ascii="Times New Roman" w:hAnsi="Times New Roman"/>
          <w:sz w:val="22"/>
          <w:szCs w:val="22"/>
        </w:rPr>
      </w:pPr>
    </w:p>
    <w:p w:rsidR="00DB02EE" w:rsidRPr="00714A76" w:rsidRDefault="00DB02EE" w:rsidP="00704B11">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outlineLvl w:val="0"/>
        <w:rPr>
          <w:rFonts w:ascii="Times New Roman" w:hAnsi="Times New Roman"/>
          <w:b/>
          <w:sz w:val="22"/>
          <w:szCs w:val="22"/>
        </w:rPr>
      </w:pPr>
      <w:r w:rsidRPr="00714A76">
        <w:rPr>
          <w:rFonts w:ascii="Times New Roman" w:hAnsi="Times New Roman"/>
          <w:b/>
          <w:sz w:val="22"/>
          <w:szCs w:val="22"/>
        </w:rPr>
        <w:t>VIII.</w:t>
      </w:r>
      <w:r w:rsidRPr="00714A76">
        <w:rPr>
          <w:rFonts w:ascii="Times New Roman" w:hAnsi="Times New Roman"/>
          <w:b/>
          <w:sz w:val="22"/>
          <w:szCs w:val="22"/>
        </w:rPr>
        <w:tab/>
        <w:t>Outreach and Education</w:t>
      </w:r>
    </w:p>
    <w:p w:rsidR="00DB02EE" w:rsidRPr="00714A76" w:rsidRDefault="00DB02EE" w:rsidP="00704B11">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outlineLvl w:val="0"/>
        <w:rPr>
          <w:rFonts w:ascii="Times New Roman" w:hAnsi="Times New Roman"/>
          <w:sz w:val="22"/>
          <w:szCs w:val="22"/>
        </w:rPr>
      </w:pPr>
    </w:p>
    <w:p w:rsidR="00DB02EE" w:rsidRPr="00714A76" w:rsidRDefault="00DB02EE" w:rsidP="00704B11">
      <w:pPr>
        <w:keepNext/>
        <w:keepLines/>
        <w:numPr>
          <w:ilvl w:val="0"/>
          <w:numId w:val="37"/>
        </w:numPr>
        <w:autoSpaceDE w:val="0"/>
        <w:autoSpaceDN w:val="0"/>
        <w:adjustRightInd w:val="0"/>
        <w:ind w:left="0" w:firstLine="720"/>
        <w:rPr>
          <w:color w:val="010101"/>
          <w:szCs w:val="22"/>
        </w:rPr>
      </w:pPr>
      <w:r w:rsidRPr="00714A76">
        <w:rPr>
          <w:szCs w:val="22"/>
        </w:rPr>
        <w:t>The Commission has set aside $500,000 of the $10 million available annually for national outreach efforts to promote the NDBEDP during each year of the pilot program.</w:t>
      </w:r>
      <w:r w:rsidRPr="00714A76">
        <w:rPr>
          <w:rStyle w:val="FootnoteReference"/>
          <w:szCs w:val="22"/>
        </w:rPr>
        <w:footnoteReference w:id="61"/>
      </w:r>
      <w:r w:rsidRPr="00714A76">
        <w:rPr>
          <w:szCs w:val="22"/>
        </w:rPr>
        <w:t xml:space="preserve">  For this effort, the Perkins School for the Blind partnered with the Helen Keller National Center for Deaf-Blind Youths and Adults, FableVision, Inc., and worked with other national and local consumer groups, parent groups, agencies, and associations.</w:t>
      </w:r>
      <w:r w:rsidRPr="00714A76">
        <w:rPr>
          <w:rStyle w:val="FootnoteReference"/>
          <w:szCs w:val="22"/>
        </w:rPr>
        <w:footnoteReference w:id="62"/>
      </w:r>
      <w:r w:rsidRPr="00714A76">
        <w:rPr>
          <w:szCs w:val="22"/>
        </w:rPr>
        <w:t xml:space="preserve">  Among other things, this outreach effort has resulted in an NDBEDP website, social media presence, and public service announcements (PSAs), as well as advertisements on billboards and in magazines.</w:t>
      </w:r>
      <w:r w:rsidRPr="00714A76">
        <w:rPr>
          <w:rStyle w:val="FootnoteReference"/>
          <w:szCs w:val="22"/>
        </w:rPr>
        <w:footnoteReference w:id="63"/>
      </w:r>
      <w:r w:rsidRPr="00714A76">
        <w:rPr>
          <w:szCs w:val="22"/>
        </w:rPr>
        <w:t xml:space="preserve">  We seek comment on the efforts undertaken by the national outreach program,</w:t>
      </w:r>
      <w:r w:rsidRPr="00714A76">
        <w:rPr>
          <w:rStyle w:val="FootnoteReference"/>
          <w:szCs w:val="22"/>
        </w:rPr>
        <w:footnoteReference w:id="64"/>
      </w:r>
      <w:r w:rsidRPr="00714A76">
        <w:rPr>
          <w:szCs w:val="22"/>
        </w:rPr>
        <w:t xml:space="preserve"> and whether the Commission should continue to fund national outreach efforts to promote the NDBEDP.  If so, is $500,000 or a different amount appropriate for such outreach, and for how long should funding be continued?  </w:t>
      </w:r>
    </w:p>
    <w:p w:rsidR="00DB02EE" w:rsidRPr="00714A76" w:rsidRDefault="00DB02EE" w:rsidP="00714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outlineLvl w:val="0"/>
        <w:rPr>
          <w:rFonts w:ascii="Times New Roman" w:hAnsi="Times New Roman"/>
          <w:sz w:val="22"/>
          <w:szCs w:val="22"/>
        </w:rPr>
      </w:pPr>
    </w:p>
    <w:p w:rsidR="00DB02EE" w:rsidRPr="00714A76" w:rsidRDefault="00DB02EE" w:rsidP="00714A76">
      <w:pPr>
        <w:pStyle w:val="HTMLPreformatted"/>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outlineLvl w:val="0"/>
        <w:rPr>
          <w:rFonts w:ascii="Times New Roman" w:hAnsi="Times New Roman"/>
          <w:sz w:val="22"/>
          <w:szCs w:val="22"/>
        </w:rPr>
      </w:pPr>
      <w:r w:rsidRPr="00714A76">
        <w:rPr>
          <w:rFonts w:ascii="Times New Roman" w:hAnsi="Times New Roman"/>
          <w:sz w:val="22"/>
          <w:szCs w:val="22"/>
        </w:rPr>
        <w:t>In addition to the set aside of $500,000 per year for national outreach during the pilot program, certified programs have been reimbursed for the reasonable costs of outreach conducted within their own jurisdictions.</w:t>
      </w:r>
      <w:r w:rsidRPr="00714A76">
        <w:rPr>
          <w:rStyle w:val="FootnoteReference"/>
          <w:rFonts w:ascii="Times New Roman" w:hAnsi="Times New Roman"/>
          <w:sz w:val="22"/>
          <w:szCs w:val="22"/>
        </w:rPr>
        <w:footnoteReference w:id="65"/>
      </w:r>
      <w:r w:rsidRPr="00714A76">
        <w:rPr>
          <w:rFonts w:ascii="Times New Roman" w:hAnsi="Times New Roman"/>
          <w:sz w:val="22"/>
          <w:szCs w:val="22"/>
        </w:rPr>
        <w:t xml:space="preserve">  We seek comment on such state and local outreach efforts, their success, and whether such efforts should continue to be reimbursable under the permanent NDBEDP.</w:t>
      </w:r>
    </w:p>
    <w:p w:rsidR="00DB02EE" w:rsidRPr="00714A76" w:rsidRDefault="00DB02EE" w:rsidP="00714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outlineLvl w:val="0"/>
        <w:rPr>
          <w:rFonts w:ascii="Times New Roman" w:hAnsi="Times New Roman"/>
          <w:sz w:val="22"/>
          <w:szCs w:val="22"/>
        </w:rPr>
      </w:pPr>
    </w:p>
    <w:p w:rsidR="00DB02EE" w:rsidRPr="00714A76" w:rsidRDefault="00DB02EE" w:rsidP="00714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outlineLvl w:val="0"/>
        <w:rPr>
          <w:rFonts w:ascii="Times New Roman" w:hAnsi="Times New Roman"/>
          <w:sz w:val="22"/>
          <w:szCs w:val="22"/>
        </w:rPr>
      </w:pPr>
      <w:r w:rsidRPr="00714A76">
        <w:rPr>
          <w:rFonts w:ascii="Times New Roman" w:hAnsi="Times New Roman"/>
          <w:b/>
          <w:sz w:val="22"/>
          <w:szCs w:val="22"/>
        </w:rPr>
        <w:t>IX.</w:t>
      </w:r>
      <w:r w:rsidRPr="00714A76">
        <w:rPr>
          <w:rFonts w:ascii="Times New Roman" w:hAnsi="Times New Roman"/>
          <w:b/>
          <w:sz w:val="22"/>
          <w:szCs w:val="22"/>
        </w:rPr>
        <w:tab/>
        <w:t>Oversight and Reporting</w:t>
      </w:r>
    </w:p>
    <w:p w:rsidR="00DB02EE" w:rsidRPr="00714A76" w:rsidRDefault="00DB02EE" w:rsidP="00714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outlineLvl w:val="0"/>
        <w:rPr>
          <w:rFonts w:ascii="Times New Roman" w:hAnsi="Times New Roman"/>
          <w:sz w:val="22"/>
          <w:szCs w:val="22"/>
        </w:rPr>
      </w:pPr>
    </w:p>
    <w:p w:rsidR="00DB02EE" w:rsidRPr="00714A76" w:rsidRDefault="00DB02EE" w:rsidP="00714A76">
      <w:pPr>
        <w:pStyle w:val="HTMLPreformatted"/>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outlineLvl w:val="0"/>
        <w:rPr>
          <w:rFonts w:ascii="Times New Roman" w:hAnsi="Times New Roman"/>
          <w:sz w:val="22"/>
          <w:szCs w:val="22"/>
        </w:rPr>
      </w:pPr>
      <w:r w:rsidRPr="00714A76">
        <w:rPr>
          <w:rFonts w:ascii="Times New Roman" w:hAnsi="Times New Roman"/>
          <w:sz w:val="22"/>
          <w:szCs w:val="22"/>
        </w:rPr>
        <w:t>Commission rules require all certified programs to report certain information to the Commission in an electronic format every six months.</w:t>
      </w:r>
      <w:r w:rsidRPr="00714A76">
        <w:rPr>
          <w:rStyle w:val="FootnoteReference"/>
          <w:rFonts w:ascii="Times New Roman" w:hAnsi="Times New Roman"/>
          <w:sz w:val="22"/>
          <w:szCs w:val="22"/>
        </w:rPr>
        <w:footnoteReference w:id="66"/>
      </w:r>
      <w:r w:rsidRPr="00714A76">
        <w:rPr>
          <w:rFonts w:ascii="Times New Roman" w:hAnsi="Times New Roman"/>
          <w:sz w:val="22"/>
          <w:szCs w:val="22"/>
        </w:rPr>
        <w:t xml:space="preserve">  The report must include, among other things, information about NDBEDP equipment recipients; distributed equipment; the cost, time and other resources allocated to outreach activities, assessment, equipment installation and training, and for equipment maintenance, repair, refurbishment, and upgrades; equipment requests that have been rejected; complaints; and waiting lists.</w:t>
      </w:r>
      <w:r w:rsidRPr="00714A76">
        <w:rPr>
          <w:rStyle w:val="FootnoteReference"/>
          <w:rFonts w:ascii="Times New Roman" w:hAnsi="Times New Roman"/>
          <w:sz w:val="22"/>
          <w:szCs w:val="22"/>
        </w:rPr>
        <w:footnoteReference w:id="67"/>
      </w:r>
      <w:r w:rsidRPr="00714A76">
        <w:rPr>
          <w:rFonts w:ascii="Times New Roman" w:hAnsi="Times New Roman"/>
          <w:sz w:val="22"/>
          <w:szCs w:val="22"/>
        </w:rPr>
        <w:t xml:space="preserve">  In the </w:t>
      </w:r>
      <w:r w:rsidRPr="00714A76">
        <w:rPr>
          <w:rFonts w:ascii="Times New Roman" w:hAnsi="Times New Roman"/>
          <w:i/>
          <w:sz w:val="22"/>
          <w:szCs w:val="22"/>
        </w:rPr>
        <w:t>NDBEDP Report and Order</w:t>
      </w:r>
      <w:r w:rsidRPr="00714A76">
        <w:rPr>
          <w:rFonts w:ascii="Times New Roman" w:hAnsi="Times New Roman"/>
          <w:sz w:val="22"/>
          <w:szCs w:val="22"/>
        </w:rPr>
        <w:t>, the Commission concluded that such reporting is necessary for the effective administration of the NDBEDP pilot program, to assess the effectiveness of the program, to ensure the integrity of the TRS Fund, to ensure compliance with the NDBEDP pilot program rules, and to inform the Commission’s rulemaking for the permanent NDBEDP.</w:t>
      </w:r>
      <w:r w:rsidRPr="00714A76">
        <w:rPr>
          <w:rStyle w:val="FootnoteReference"/>
          <w:rFonts w:ascii="Times New Roman" w:hAnsi="Times New Roman"/>
          <w:sz w:val="22"/>
          <w:szCs w:val="22"/>
        </w:rPr>
        <w:footnoteReference w:id="68"/>
      </w:r>
      <w:r w:rsidRPr="00714A76">
        <w:rPr>
          <w:rFonts w:ascii="Times New Roman" w:hAnsi="Times New Roman"/>
          <w:sz w:val="22"/>
          <w:szCs w:val="22"/>
        </w:rPr>
        <w:t xml:space="preserve">  We seek comment on the extent to which such reporting obligations remain necessary, as well as ways to simplify this reporting requirement for the permanent NDBEDP.  Commenters suggesting that these obligations be modified should offer specific changes, and explain what, if any, the impact of modifying these obligations would be on certified programs, consumers, and the Commission’s ability to oversee the NDBEDP.  For example, would submission of the required information through a centralized web-based system be more efficient?  Would such a system enable more standardized reporting and more effective data analysis?  Should the reporting requirements be streamlined so they can be used to satisfy the information and documentation that certified programs must submit to support claims for reimbursement to facilitate the submission of both reports and claims?  What kinds of qualitative information do NDBEDP certified programs and equipment recipients have that would benefit the Commission’s oversight of the permanent NDBEDP?</w:t>
      </w:r>
      <w:r w:rsidRPr="00714A76">
        <w:rPr>
          <w:rStyle w:val="FootnoteReference"/>
          <w:rFonts w:ascii="Times New Roman" w:hAnsi="Times New Roman"/>
          <w:sz w:val="22"/>
          <w:szCs w:val="22"/>
        </w:rPr>
        <w:footnoteReference w:id="69"/>
      </w:r>
      <w:r w:rsidRPr="00714A76">
        <w:rPr>
          <w:rFonts w:ascii="Times New Roman" w:hAnsi="Times New Roman"/>
          <w:sz w:val="22"/>
          <w:szCs w:val="22"/>
        </w:rPr>
        <w:t xml:space="preserve">  What other changes should be made to the reporting requirements that would help inform the Commission about the program’s efficacy, yet minimize burdens on certified programs?</w:t>
      </w:r>
    </w:p>
    <w:p w:rsidR="00DB02EE" w:rsidRPr="00714A76" w:rsidRDefault="00DB02EE" w:rsidP="00714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outlineLvl w:val="0"/>
        <w:rPr>
          <w:rFonts w:ascii="Times New Roman" w:hAnsi="Times New Roman"/>
          <w:sz w:val="22"/>
          <w:szCs w:val="22"/>
        </w:rPr>
      </w:pPr>
    </w:p>
    <w:p w:rsidR="00DB02EE" w:rsidRPr="00714A76" w:rsidRDefault="00DB02EE" w:rsidP="00714A76">
      <w:pPr>
        <w:pStyle w:val="HTMLPreformatted"/>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outlineLvl w:val="0"/>
        <w:rPr>
          <w:rFonts w:ascii="Times New Roman" w:hAnsi="Times New Roman"/>
          <w:sz w:val="22"/>
          <w:szCs w:val="22"/>
        </w:rPr>
      </w:pPr>
      <w:r w:rsidRPr="00714A76">
        <w:rPr>
          <w:rFonts w:ascii="Times New Roman" w:hAnsi="Times New Roman"/>
          <w:sz w:val="22"/>
          <w:szCs w:val="22"/>
        </w:rPr>
        <w:t>In addition to reporting requirements, certified programs must engage an independent auditor to perform annual audits designed to detect and prevent fraud, waste, and abuse.</w:t>
      </w:r>
      <w:r w:rsidRPr="00714A76">
        <w:rPr>
          <w:rStyle w:val="FootnoteReference"/>
          <w:rFonts w:ascii="Times New Roman" w:hAnsi="Times New Roman"/>
          <w:sz w:val="22"/>
          <w:szCs w:val="22"/>
        </w:rPr>
        <w:footnoteReference w:id="70"/>
      </w:r>
      <w:r w:rsidRPr="00714A76">
        <w:rPr>
          <w:rFonts w:ascii="Times New Roman" w:hAnsi="Times New Roman"/>
          <w:sz w:val="22"/>
          <w:szCs w:val="22"/>
        </w:rPr>
        <w:t xml:space="preserve">  We seek comment on whether this audit requirement has been effective and whether the Commission should impose additional safeguards to protect the integrity of the TRS Fund and the NDBEDP.</w:t>
      </w:r>
    </w:p>
    <w:p w:rsidR="00DB02EE" w:rsidRPr="00714A76" w:rsidRDefault="00DB02EE" w:rsidP="00714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p>
    <w:p w:rsidR="00DB02EE" w:rsidRPr="00714A76" w:rsidRDefault="00DB02EE" w:rsidP="00714A76">
      <w:pPr>
        <w:rPr>
          <w:b/>
          <w:szCs w:val="22"/>
        </w:rPr>
      </w:pPr>
      <w:r w:rsidRPr="00714A76">
        <w:rPr>
          <w:b/>
          <w:szCs w:val="22"/>
        </w:rPr>
        <w:t>X.</w:t>
      </w:r>
      <w:r w:rsidRPr="00714A76">
        <w:rPr>
          <w:b/>
          <w:szCs w:val="22"/>
        </w:rPr>
        <w:tab/>
        <w:t>Other Considerations</w:t>
      </w:r>
    </w:p>
    <w:p w:rsidR="00DB02EE" w:rsidRPr="00714A76" w:rsidRDefault="00DB02EE" w:rsidP="00714A76">
      <w:pPr>
        <w:pStyle w:val="TOC1"/>
        <w:tabs>
          <w:tab w:val="left" w:pos="720"/>
        </w:tabs>
        <w:ind w:left="540" w:hanging="540"/>
        <w:rPr>
          <w:szCs w:val="22"/>
        </w:rPr>
      </w:pPr>
    </w:p>
    <w:p w:rsidR="00DB02EE" w:rsidRPr="00714A76" w:rsidRDefault="00DB02EE" w:rsidP="00714A76">
      <w:pPr>
        <w:pStyle w:val="HTMLPreformatted"/>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outlineLvl w:val="0"/>
        <w:rPr>
          <w:rFonts w:ascii="Times New Roman" w:hAnsi="Times New Roman"/>
          <w:iCs/>
          <w:sz w:val="22"/>
          <w:szCs w:val="22"/>
        </w:rPr>
      </w:pPr>
      <w:r w:rsidRPr="00714A76">
        <w:rPr>
          <w:rFonts w:ascii="Times New Roman" w:hAnsi="Times New Roman"/>
          <w:iCs/>
          <w:sz w:val="22"/>
          <w:szCs w:val="22"/>
        </w:rPr>
        <w:t>We invite comment on any other issues, concerns, or questions that the Commission should consider during the process of developing rules for the permanent NDBEDP.</w:t>
      </w:r>
    </w:p>
    <w:p w:rsidR="00DB02EE" w:rsidRPr="00714A76" w:rsidRDefault="00DB02EE" w:rsidP="00714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iCs/>
          <w:sz w:val="22"/>
          <w:szCs w:val="22"/>
        </w:rPr>
      </w:pPr>
    </w:p>
    <w:p w:rsidR="00DB02EE" w:rsidRPr="00714A76" w:rsidRDefault="00DB02EE" w:rsidP="00714A76">
      <w:pPr>
        <w:outlineLvl w:val="0"/>
        <w:rPr>
          <w:iCs/>
          <w:szCs w:val="22"/>
        </w:rPr>
      </w:pPr>
      <w:r w:rsidRPr="00714A76">
        <w:rPr>
          <w:b/>
          <w:szCs w:val="22"/>
        </w:rPr>
        <w:t>X</w:t>
      </w:r>
      <w:r w:rsidR="000E1F18" w:rsidRPr="00714A76">
        <w:rPr>
          <w:b/>
          <w:szCs w:val="22"/>
        </w:rPr>
        <w:t>I</w:t>
      </w:r>
      <w:r w:rsidRPr="00714A76">
        <w:rPr>
          <w:b/>
          <w:iCs/>
          <w:szCs w:val="22"/>
        </w:rPr>
        <w:t>.</w:t>
      </w:r>
      <w:r w:rsidRPr="00714A76">
        <w:rPr>
          <w:b/>
          <w:iCs/>
          <w:szCs w:val="22"/>
        </w:rPr>
        <w:tab/>
        <w:t>Procedural Matters</w:t>
      </w:r>
      <w:r w:rsidRPr="00714A76">
        <w:rPr>
          <w:iCs/>
          <w:szCs w:val="22"/>
        </w:rPr>
        <w:t xml:space="preserve"> </w:t>
      </w:r>
    </w:p>
    <w:p w:rsidR="00DB02EE" w:rsidRPr="00714A76" w:rsidRDefault="00DB02EE" w:rsidP="00714A76">
      <w:pPr>
        <w:ind w:left="720"/>
        <w:rPr>
          <w:iCs/>
          <w:szCs w:val="22"/>
        </w:rPr>
      </w:pPr>
    </w:p>
    <w:p w:rsidR="00DB02EE" w:rsidRPr="00714A76" w:rsidRDefault="00DB02EE" w:rsidP="00714A76">
      <w:pPr>
        <w:pStyle w:val="HTMLPreformatted"/>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outlineLvl w:val="0"/>
        <w:rPr>
          <w:rFonts w:ascii="Times New Roman" w:hAnsi="Times New Roman"/>
          <w:iCs/>
          <w:sz w:val="22"/>
          <w:szCs w:val="22"/>
        </w:rPr>
      </w:pPr>
      <w:r w:rsidRPr="00714A76">
        <w:rPr>
          <w:rFonts w:ascii="Times New Roman" w:hAnsi="Times New Roman"/>
          <w:iCs/>
          <w:sz w:val="22"/>
          <w:szCs w:val="22"/>
        </w:rPr>
        <w:t xml:space="preserve">All comments should refer to </w:t>
      </w:r>
      <w:r w:rsidRPr="00714A76">
        <w:rPr>
          <w:rFonts w:ascii="Times New Roman" w:hAnsi="Times New Roman"/>
          <w:b/>
          <w:iCs/>
          <w:sz w:val="22"/>
          <w:szCs w:val="22"/>
        </w:rPr>
        <w:t>CG Docket No. 10-210</w:t>
      </w:r>
      <w:r w:rsidRPr="00714A76">
        <w:rPr>
          <w:rFonts w:ascii="Times New Roman" w:hAnsi="Times New Roman"/>
          <w:iCs/>
          <w:sz w:val="22"/>
          <w:szCs w:val="22"/>
        </w:rPr>
        <w:t xml:space="preserve">.  Please title comments responsive to this Public Notice as “NDBEDP PN Comments.”  Further, we strongly </w:t>
      </w:r>
      <w:r w:rsidRPr="00714A76">
        <w:rPr>
          <w:rFonts w:ascii="Times New Roman" w:hAnsi="Times New Roman"/>
          <w:color w:val="010101"/>
          <w:sz w:val="22"/>
          <w:szCs w:val="22"/>
        </w:rPr>
        <w:t>encourage</w:t>
      </w:r>
      <w:r w:rsidRPr="00714A76">
        <w:rPr>
          <w:rFonts w:ascii="Times New Roman" w:hAnsi="Times New Roman"/>
          <w:iCs/>
          <w:sz w:val="22"/>
          <w:szCs w:val="22"/>
        </w:rPr>
        <w:t xml:space="preserve"> parties to develop </w:t>
      </w:r>
      <w:r w:rsidRPr="00714A76">
        <w:rPr>
          <w:rFonts w:ascii="Times New Roman" w:hAnsi="Times New Roman"/>
          <w:sz w:val="22"/>
          <w:szCs w:val="22"/>
        </w:rPr>
        <w:t>responses</w:t>
      </w:r>
      <w:r w:rsidRPr="00714A76">
        <w:rPr>
          <w:rFonts w:ascii="Times New Roman" w:hAnsi="Times New Roman"/>
          <w:iCs/>
          <w:sz w:val="22"/>
          <w:szCs w:val="22"/>
        </w:rPr>
        <w:t xml:space="preserve"> to this Public Notice that adhere to the organization and structure of the questions in this Public Notice.</w:t>
      </w:r>
    </w:p>
    <w:p w:rsidR="00DB02EE" w:rsidRPr="00714A76" w:rsidRDefault="00DB02EE" w:rsidP="00714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p>
    <w:p w:rsidR="00DB02EE" w:rsidRPr="00714A76" w:rsidRDefault="00DB02EE" w:rsidP="00714A76">
      <w:pPr>
        <w:pStyle w:val="HTMLPreformatted"/>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outlineLvl w:val="0"/>
        <w:rPr>
          <w:rFonts w:ascii="Times New Roman" w:hAnsi="Times New Roman"/>
          <w:sz w:val="22"/>
          <w:szCs w:val="22"/>
        </w:rPr>
      </w:pPr>
      <w:r w:rsidRPr="00714A76">
        <w:rPr>
          <w:rFonts w:ascii="Times New Roman" w:hAnsi="Times New Roman"/>
          <w:i/>
          <w:sz w:val="22"/>
          <w:szCs w:val="22"/>
        </w:rPr>
        <w:t xml:space="preserve">Comment Filing Procedures.  </w:t>
      </w:r>
      <w:r w:rsidRPr="00714A76">
        <w:rPr>
          <w:rFonts w:ascii="Times New Roman" w:hAnsi="Times New Roman"/>
          <w:sz w:val="22"/>
          <w:szCs w:val="22"/>
        </w:rPr>
        <w:t>Pursuant to sections 1.415 and 1.419 of the Commission’s rules,</w:t>
      </w:r>
      <w:r w:rsidRPr="00714A76">
        <w:rPr>
          <w:rStyle w:val="FootnoteReference"/>
          <w:rFonts w:ascii="Times New Roman" w:hAnsi="Times New Roman"/>
          <w:sz w:val="22"/>
          <w:szCs w:val="22"/>
        </w:rPr>
        <w:footnoteReference w:id="71"/>
      </w:r>
      <w:r w:rsidRPr="00714A76">
        <w:rPr>
          <w:rFonts w:ascii="Times New Roman" w:hAnsi="Times New Roman"/>
          <w:sz w:val="22"/>
          <w:szCs w:val="22"/>
        </w:rPr>
        <w:t xml:space="preserve"> interested parties may file comments and reply comments on or before the dates indicated on the first page of this document.  Comments may be filed using the Commission’s Electronic Comment Filing System (ECFS).</w:t>
      </w:r>
      <w:r w:rsidRPr="00714A76">
        <w:rPr>
          <w:rStyle w:val="FootnoteReference"/>
          <w:rFonts w:ascii="Times New Roman" w:hAnsi="Times New Roman"/>
          <w:sz w:val="22"/>
          <w:szCs w:val="22"/>
        </w:rPr>
        <w:footnoteReference w:id="72"/>
      </w:r>
      <w:r w:rsidRPr="00714A76">
        <w:rPr>
          <w:rFonts w:ascii="Times New Roman" w:hAnsi="Times New Roman"/>
          <w:sz w:val="22"/>
          <w:szCs w:val="22"/>
        </w:rPr>
        <w:t xml:space="preserve">  </w:t>
      </w:r>
    </w:p>
    <w:p w:rsidR="00DB02EE" w:rsidRPr="00714A76" w:rsidRDefault="00DB02EE" w:rsidP="00714A76">
      <w:pPr>
        <w:rPr>
          <w:szCs w:val="22"/>
        </w:rPr>
      </w:pPr>
    </w:p>
    <w:p w:rsidR="00DB02EE" w:rsidRPr="00714A76" w:rsidRDefault="00DB02EE" w:rsidP="00714A76">
      <w:pPr>
        <w:numPr>
          <w:ilvl w:val="0"/>
          <w:numId w:val="49"/>
        </w:numPr>
        <w:rPr>
          <w:szCs w:val="22"/>
        </w:rPr>
      </w:pPr>
      <w:r w:rsidRPr="00714A76">
        <w:rPr>
          <w:szCs w:val="22"/>
        </w:rPr>
        <w:t xml:space="preserve">Electronic Filers:  Comments may be filed electronically using the Internet by accessing the ECFS:  </w:t>
      </w:r>
      <w:hyperlink r:id="rId8" w:history="1">
        <w:r w:rsidRPr="00714A76">
          <w:rPr>
            <w:rStyle w:val="Hyperlink"/>
            <w:szCs w:val="22"/>
          </w:rPr>
          <w:t>http://fjallfoss.fcc.gov/ecfs2/</w:t>
        </w:r>
      </w:hyperlink>
      <w:r w:rsidRPr="00714A76">
        <w:rPr>
          <w:szCs w:val="22"/>
        </w:rPr>
        <w:t xml:space="preserve">.  </w:t>
      </w:r>
    </w:p>
    <w:p w:rsidR="00DB02EE" w:rsidRPr="00714A76" w:rsidRDefault="00DB02EE" w:rsidP="00714A76">
      <w:pPr>
        <w:rPr>
          <w:szCs w:val="22"/>
        </w:rPr>
      </w:pPr>
    </w:p>
    <w:p w:rsidR="00DB02EE" w:rsidRPr="00714A76" w:rsidRDefault="00DB02EE" w:rsidP="00714A76">
      <w:pPr>
        <w:numPr>
          <w:ilvl w:val="0"/>
          <w:numId w:val="49"/>
        </w:numPr>
        <w:rPr>
          <w:szCs w:val="22"/>
        </w:rPr>
      </w:pPr>
      <w:r w:rsidRPr="00714A76">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DB02EE" w:rsidRPr="00714A76" w:rsidRDefault="00DB02EE" w:rsidP="00714A76">
      <w:pPr>
        <w:rPr>
          <w:szCs w:val="22"/>
        </w:rPr>
      </w:pPr>
    </w:p>
    <w:p w:rsidR="00DB02EE" w:rsidRPr="00714A76" w:rsidRDefault="00DB02EE" w:rsidP="00714A76">
      <w:pPr>
        <w:ind w:left="720"/>
        <w:rPr>
          <w:szCs w:val="22"/>
        </w:rPr>
      </w:pPr>
      <w:r w:rsidRPr="00714A76">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DB02EE" w:rsidRPr="00714A76" w:rsidRDefault="00DB02EE" w:rsidP="00714A76">
      <w:pPr>
        <w:ind w:left="720"/>
        <w:rPr>
          <w:szCs w:val="22"/>
        </w:rPr>
      </w:pPr>
    </w:p>
    <w:p w:rsidR="00DB02EE" w:rsidRPr="00714A76" w:rsidRDefault="00DB02EE" w:rsidP="00714A76">
      <w:pPr>
        <w:numPr>
          <w:ilvl w:val="0"/>
          <w:numId w:val="49"/>
        </w:numPr>
        <w:ind w:left="1440"/>
        <w:rPr>
          <w:szCs w:val="22"/>
        </w:rPr>
      </w:pPr>
      <w:r w:rsidRPr="00714A76">
        <w:rPr>
          <w:szCs w:val="22"/>
        </w:rPr>
        <w:t>All hand-delivered or messenger-delivered paper filings for the Commission’s Secretary must be delivered to FCC Headquarters at 445 12</w:t>
      </w:r>
      <w:r w:rsidRPr="00714A76">
        <w:rPr>
          <w:szCs w:val="22"/>
          <w:vertAlign w:val="superscript"/>
        </w:rPr>
        <w:t>th</w:t>
      </w:r>
      <w:r w:rsidRPr="00714A76">
        <w:rPr>
          <w:szCs w:val="22"/>
        </w:rPr>
        <w:t xml:space="preserve"> Street, SW, Room TW-A325, Washington, DC  20554.  The filing hours are 8:00 a.m. to 7:00 p.m.  All hand deliveries must be held together with rubber bands or fasteners.  Any envelopes and boxes must be disposed of </w:t>
      </w:r>
      <w:r w:rsidRPr="00714A76">
        <w:rPr>
          <w:szCs w:val="22"/>
          <w:u w:val="single"/>
        </w:rPr>
        <w:t>before</w:t>
      </w:r>
      <w:r w:rsidRPr="00714A76">
        <w:rPr>
          <w:szCs w:val="22"/>
        </w:rPr>
        <w:t xml:space="preserve"> entering the building.  </w:t>
      </w:r>
    </w:p>
    <w:p w:rsidR="00DB02EE" w:rsidRPr="00714A76" w:rsidRDefault="00DB02EE" w:rsidP="00714A76">
      <w:pPr>
        <w:ind w:left="1800"/>
        <w:rPr>
          <w:szCs w:val="22"/>
        </w:rPr>
      </w:pPr>
    </w:p>
    <w:p w:rsidR="00DB02EE" w:rsidRPr="00714A76" w:rsidRDefault="00DB02EE" w:rsidP="00714A76">
      <w:pPr>
        <w:numPr>
          <w:ilvl w:val="0"/>
          <w:numId w:val="49"/>
        </w:numPr>
        <w:ind w:left="1440"/>
        <w:rPr>
          <w:szCs w:val="22"/>
        </w:rPr>
      </w:pPr>
      <w:r w:rsidRPr="00714A76">
        <w:rPr>
          <w:szCs w:val="22"/>
        </w:rPr>
        <w:t>Commercial overnight mail (other than U.S. Postal Service Express Mail and Priority Mail) must be sent to 9300 East Hampton Drive, Capitol Heights, MD  20743.</w:t>
      </w:r>
    </w:p>
    <w:p w:rsidR="00DB02EE" w:rsidRPr="00714A76" w:rsidRDefault="00DB02EE" w:rsidP="00714A76">
      <w:pPr>
        <w:ind w:left="720"/>
        <w:rPr>
          <w:szCs w:val="22"/>
        </w:rPr>
      </w:pPr>
    </w:p>
    <w:p w:rsidR="00DB02EE" w:rsidRPr="00714A76" w:rsidRDefault="00DB02EE" w:rsidP="00714A76">
      <w:pPr>
        <w:numPr>
          <w:ilvl w:val="0"/>
          <w:numId w:val="49"/>
        </w:numPr>
        <w:ind w:left="1440"/>
        <w:rPr>
          <w:szCs w:val="22"/>
        </w:rPr>
      </w:pPr>
      <w:r w:rsidRPr="00714A76">
        <w:rPr>
          <w:szCs w:val="22"/>
        </w:rPr>
        <w:t>U.S. Postal Service first-class, Express, and Priority mail must be addressed to 445 12</w:t>
      </w:r>
      <w:r w:rsidRPr="00714A76">
        <w:rPr>
          <w:szCs w:val="22"/>
          <w:vertAlign w:val="superscript"/>
        </w:rPr>
        <w:t>th</w:t>
      </w:r>
      <w:r w:rsidRPr="00714A76">
        <w:rPr>
          <w:szCs w:val="22"/>
        </w:rPr>
        <w:t xml:space="preserve"> Street, SW, Washington DC  20554.</w:t>
      </w:r>
    </w:p>
    <w:p w:rsidR="00DB02EE" w:rsidRPr="00714A76" w:rsidRDefault="00DB02EE" w:rsidP="00714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p>
    <w:p w:rsidR="00DB02EE" w:rsidRPr="00714A76" w:rsidRDefault="00DB02EE" w:rsidP="00714A76">
      <w:pPr>
        <w:pStyle w:val="HTMLPreformatted"/>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outlineLvl w:val="0"/>
        <w:rPr>
          <w:rFonts w:ascii="Times New Roman" w:hAnsi="Times New Roman"/>
          <w:iCs/>
          <w:sz w:val="22"/>
          <w:szCs w:val="22"/>
        </w:rPr>
      </w:pPr>
      <w:r w:rsidRPr="00714A76">
        <w:rPr>
          <w:rFonts w:ascii="Times New Roman" w:hAnsi="Times New Roman"/>
          <w:i/>
          <w:iCs/>
          <w:sz w:val="22"/>
          <w:szCs w:val="22"/>
        </w:rPr>
        <w:t>Ex Parte Presentations</w:t>
      </w:r>
      <w:r w:rsidRPr="00714A76">
        <w:rPr>
          <w:rFonts w:ascii="Times New Roman" w:hAnsi="Times New Roman"/>
          <w:iCs/>
          <w:sz w:val="22"/>
          <w:szCs w:val="22"/>
        </w:rPr>
        <w:t xml:space="preserve">.  The proceeding this Public Notice initiates shall be treated as a “permit-but-disclose” proceeding in accordance with the Commission’s </w:t>
      </w:r>
      <w:r w:rsidRPr="00714A76">
        <w:rPr>
          <w:rFonts w:ascii="Times New Roman" w:hAnsi="Times New Roman"/>
          <w:i/>
          <w:iCs/>
          <w:sz w:val="22"/>
          <w:szCs w:val="22"/>
        </w:rPr>
        <w:t>ex parte</w:t>
      </w:r>
      <w:r w:rsidRPr="00714A76">
        <w:rPr>
          <w:rFonts w:ascii="Times New Roman" w:hAnsi="Times New Roman"/>
          <w:iCs/>
          <w:sz w:val="22"/>
          <w:szCs w:val="22"/>
        </w:rPr>
        <w:t xml:space="preserve"> rules.</w:t>
      </w:r>
      <w:r w:rsidRPr="00714A76">
        <w:rPr>
          <w:rFonts w:ascii="Times New Roman" w:hAnsi="Times New Roman"/>
          <w:iCs/>
          <w:sz w:val="22"/>
          <w:szCs w:val="22"/>
        </w:rPr>
        <w:footnoteReference w:id="73"/>
      </w:r>
      <w:r w:rsidRPr="00714A76">
        <w:rPr>
          <w:rFonts w:ascii="Times New Roman" w:hAnsi="Times New Roman"/>
          <w:iCs/>
          <w:sz w:val="22"/>
          <w:szCs w:val="22"/>
        </w:rPr>
        <w:t xml:space="preserve">  Persons making </w:t>
      </w:r>
      <w:r w:rsidRPr="00714A76">
        <w:rPr>
          <w:rFonts w:ascii="Times New Roman" w:hAnsi="Times New Roman"/>
          <w:i/>
          <w:iCs/>
          <w:sz w:val="22"/>
          <w:szCs w:val="22"/>
        </w:rPr>
        <w:t>ex parte</w:t>
      </w:r>
      <w:r w:rsidRPr="00714A76">
        <w:rPr>
          <w:rFonts w:ascii="Times New Roman" w:hAnsi="Times New Roman"/>
          <w:iCs/>
          <w:sz w:val="22"/>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714A76">
        <w:rPr>
          <w:rFonts w:ascii="Times New Roman" w:hAnsi="Times New Roman"/>
          <w:i/>
          <w:iCs/>
          <w:sz w:val="22"/>
          <w:szCs w:val="22"/>
        </w:rPr>
        <w:t>ex parte</w:t>
      </w:r>
      <w:r w:rsidRPr="00714A76">
        <w:rPr>
          <w:rFonts w:ascii="Times New Roman" w:hAnsi="Times New Roman"/>
          <w:iCs/>
          <w:sz w:val="22"/>
          <w:szCs w:val="22"/>
        </w:rPr>
        <w:t xml:space="preserve"> presentations are reminded that memoranda summarizing the presentation must:  (1) list all persons attending or otherwise participating in the meeting at which the </w:t>
      </w:r>
      <w:r w:rsidRPr="00714A76">
        <w:rPr>
          <w:rFonts w:ascii="Times New Roman" w:hAnsi="Times New Roman"/>
          <w:i/>
          <w:iCs/>
          <w:sz w:val="22"/>
          <w:szCs w:val="22"/>
        </w:rPr>
        <w:t>ex parte</w:t>
      </w:r>
      <w:r w:rsidRPr="00714A76">
        <w:rPr>
          <w:rFonts w:ascii="Times New Roman" w:hAnsi="Times New Roman"/>
          <w:iCs/>
          <w:sz w:val="22"/>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714A76">
        <w:rPr>
          <w:rFonts w:ascii="Times New Roman" w:hAnsi="Times New Roman"/>
          <w:i/>
          <w:iCs/>
          <w:sz w:val="22"/>
          <w:szCs w:val="22"/>
        </w:rPr>
        <w:t>ex parte</w:t>
      </w:r>
      <w:r w:rsidRPr="00714A76">
        <w:rPr>
          <w:rFonts w:ascii="Times New Roman" w:hAnsi="Times New Roman"/>
          <w:iCs/>
          <w:sz w:val="22"/>
          <w:szCs w:val="22"/>
        </w:rPr>
        <w:t xml:space="preserve"> meetings are deemed to be written </w:t>
      </w:r>
      <w:r w:rsidRPr="00714A76">
        <w:rPr>
          <w:rFonts w:ascii="Times New Roman" w:hAnsi="Times New Roman"/>
          <w:i/>
          <w:iCs/>
          <w:sz w:val="22"/>
          <w:szCs w:val="22"/>
        </w:rPr>
        <w:t>ex parte</w:t>
      </w:r>
      <w:r w:rsidRPr="00714A76">
        <w:rPr>
          <w:rFonts w:ascii="Times New Roman" w:hAnsi="Times New Roman"/>
          <w:iCs/>
          <w:sz w:val="22"/>
          <w:szCs w:val="22"/>
        </w:rPr>
        <w:t xml:space="preserve"> presentations and must be filed consistent with section 1.1206(b) of the Commission’s rules.</w:t>
      </w:r>
      <w:r w:rsidRPr="00714A76">
        <w:rPr>
          <w:rFonts w:ascii="Times New Roman" w:hAnsi="Times New Roman"/>
          <w:iCs/>
          <w:sz w:val="22"/>
          <w:szCs w:val="22"/>
          <w:vertAlign w:val="superscript"/>
        </w:rPr>
        <w:footnoteReference w:id="74"/>
      </w:r>
      <w:r w:rsidRPr="00714A76">
        <w:rPr>
          <w:rFonts w:ascii="Times New Roman" w:hAnsi="Times New Roman"/>
          <w:iCs/>
          <w:sz w:val="22"/>
          <w:szCs w:val="22"/>
        </w:rPr>
        <w:t xml:space="preserve">  In proceedings governed by section 1.49(f) of the rules</w:t>
      </w:r>
      <w:r w:rsidRPr="00714A76">
        <w:rPr>
          <w:rFonts w:ascii="Times New Roman" w:hAnsi="Times New Roman"/>
          <w:iCs/>
          <w:sz w:val="22"/>
          <w:szCs w:val="22"/>
          <w:vertAlign w:val="superscript"/>
        </w:rPr>
        <w:footnoteReference w:id="75"/>
      </w:r>
      <w:r w:rsidRPr="00714A76">
        <w:rPr>
          <w:rFonts w:ascii="Times New Roman" w:hAnsi="Times New Roman"/>
          <w:iCs/>
          <w:sz w:val="22"/>
          <w:szCs w:val="22"/>
        </w:rPr>
        <w:t xml:space="preserve"> or for which the Commission has made available a method of electronic filing, written </w:t>
      </w:r>
      <w:r w:rsidRPr="00714A76">
        <w:rPr>
          <w:rFonts w:ascii="Times New Roman" w:hAnsi="Times New Roman"/>
          <w:i/>
          <w:iCs/>
          <w:sz w:val="22"/>
          <w:szCs w:val="22"/>
        </w:rPr>
        <w:t>ex parte</w:t>
      </w:r>
      <w:r w:rsidRPr="00714A76">
        <w:rPr>
          <w:rFonts w:ascii="Times New Roman" w:hAnsi="Times New Roman"/>
          <w:iCs/>
          <w:sz w:val="22"/>
          <w:szCs w:val="22"/>
        </w:rPr>
        <w:t xml:space="preserve"> presentations and memoranda summarizing oral </w:t>
      </w:r>
      <w:r w:rsidRPr="00714A76">
        <w:rPr>
          <w:rFonts w:ascii="Times New Roman" w:hAnsi="Times New Roman"/>
          <w:i/>
          <w:iCs/>
          <w:sz w:val="22"/>
          <w:szCs w:val="22"/>
        </w:rPr>
        <w:t>ex parte</w:t>
      </w:r>
      <w:r w:rsidRPr="00714A76">
        <w:rPr>
          <w:rFonts w:ascii="Times New Roman" w:hAnsi="Times New Roman"/>
          <w:iCs/>
          <w:sz w:val="22"/>
          <w:szCs w:val="22"/>
        </w:rPr>
        <w:t xml:space="preserve"> presentations, and all attachments thereto, must be filed through the electronic comment filing system available for that proceeding, and must be filed in their native format (</w:t>
      </w:r>
      <w:r w:rsidRPr="00714A76">
        <w:rPr>
          <w:rFonts w:ascii="Times New Roman" w:hAnsi="Times New Roman"/>
          <w:i/>
          <w:iCs/>
          <w:sz w:val="22"/>
          <w:szCs w:val="22"/>
        </w:rPr>
        <w:t>e.g</w:t>
      </w:r>
      <w:r w:rsidRPr="00714A76">
        <w:rPr>
          <w:rFonts w:ascii="Times New Roman" w:hAnsi="Times New Roman"/>
          <w:iCs/>
          <w:sz w:val="22"/>
          <w:szCs w:val="22"/>
        </w:rPr>
        <w:t xml:space="preserve">., .doc, .xml, .ppt, searchable .pdf).  Participants in this proceeding should familiarize themselves with the Commission’s </w:t>
      </w:r>
      <w:r w:rsidRPr="00714A76">
        <w:rPr>
          <w:rFonts w:ascii="Times New Roman" w:hAnsi="Times New Roman"/>
          <w:i/>
          <w:iCs/>
          <w:sz w:val="22"/>
          <w:szCs w:val="22"/>
        </w:rPr>
        <w:t>ex parte</w:t>
      </w:r>
      <w:r w:rsidRPr="00714A76">
        <w:rPr>
          <w:rFonts w:ascii="Times New Roman" w:hAnsi="Times New Roman"/>
          <w:iCs/>
          <w:sz w:val="22"/>
          <w:szCs w:val="22"/>
        </w:rPr>
        <w:t xml:space="preserve"> rules.</w:t>
      </w:r>
    </w:p>
    <w:p w:rsidR="00DB02EE" w:rsidRPr="00714A76" w:rsidRDefault="00DB02EE" w:rsidP="00714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outlineLvl w:val="0"/>
        <w:rPr>
          <w:rFonts w:ascii="Times New Roman" w:hAnsi="Times New Roman"/>
          <w:iCs/>
          <w:sz w:val="22"/>
          <w:szCs w:val="22"/>
        </w:rPr>
      </w:pPr>
    </w:p>
    <w:p w:rsidR="00DB02EE" w:rsidRPr="00714A76" w:rsidRDefault="00DB02EE" w:rsidP="00714A76">
      <w:pPr>
        <w:pStyle w:val="HTMLPreformatted"/>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outlineLvl w:val="0"/>
        <w:rPr>
          <w:rFonts w:ascii="Times New Roman" w:hAnsi="Times New Roman"/>
          <w:sz w:val="22"/>
          <w:szCs w:val="22"/>
        </w:rPr>
      </w:pPr>
      <w:r w:rsidRPr="00714A76">
        <w:rPr>
          <w:rFonts w:ascii="Times New Roman" w:hAnsi="Times New Roman"/>
          <w:i/>
          <w:sz w:val="22"/>
          <w:szCs w:val="22"/>
        </w:rPr>
        <w:t>People with Disabilities</w:t>
      </w:r>
      <w:r w:rsidRPr="00714A76">
        <w:rPr>
          <w:rFonts w:ascii="Times New Roman" w:hAnsi="Times New Roman"/>
          <w:sz w:val="22"/>
          <w:szCs w:val="22"/>
        </w:rPr>
        <w:t xml:space="preserve">.  To request materials in accessible formats for people with disabilities (Braille, large print, electronic files, audio format), send an e-mail to </w:t>
      </w:r>
      <w:hyperlink r:id="rId9" w:history="1">
        <w:r w:rsidRPr="00714A76">
          <w:rPr>
            <w:rStyle w:val="Hyperlink"/>
            <w:rFonts w:ascii="Times New Roman" w:hAnsi="Times New Roman"/>
            <w:sz w:val="22"/>
            <w:szCs w:val="22"/>
          </w:rPr>
          <w:t>fcc504@fcc.gov</w:t>
        </w:r>
      </w:hyperlink>
      <w:r w:rsidRPr="00714A76">
        <w:rPr>
          <w:rFonts w:ascii="Times New Roman" w:hAnsi="Times New Roman"/>
          <w:sz w:val="22"/>
          <w:szCs w:val="22"/>
        </w:rPr>
        <w:t xml:space="preserve"> or call the Consumer and Governmental Affairs Bureau at 202-418-0530 (voice) or 202-418-0432 (TTY).</w:t>
      </w:r>
    </w:p>
    <w:p w:rsidR="00DB02EE" w:rsidRPr="00714A76" w:rsidRDefault="00DB02EE" w:rsidP="00714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p>
    <w:p w:rsidR="00DB02EE" w:rsidRPr="00714A76" w:rsidRDefault="00DB02EE" w:rsidP="00714A76">
      <w:pPr>
        <w:pStyle w:val="HTMLPreformatted"/>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outlineLvl w:val="0"/>
        <w:rPr>
          <w:rFonts w:ascii="Times New Roman" w:hAnsi="Times New Roman"/>
          <w:sz w:val="22"/>
          <w:szCs w:val="22"/>
        </w:rPr>
      </w:pPr>
      <w:r w:rsidRPr="00714A76">
        <w:rPr>
          <w:rFonts w:ascii="Times New Roman" w:hAnsi="Times New Roman"/>
          <w:i/>
          <w:sz w:val="22"/>
          <w:szCs w:val="22"/>
        </w:rPr>
        <w:t>More Information</w:t>
      </w:r>
      <w:r w:rsidRPr="00714A76">
        <w:rPr>
          <w:rFonts w:ascii="Times New Roman" w:hAnsi="Times New Roman"/>
          <w:sz w:val="22"/>
          <w:szCs w:val="22"/>
        </w:rPr>
        <w:t xml:space="preserve">.  For further information about this Public Notice, please contact Jackie Ellington at 202-418-1153 or </w:t>
      </w:r>
      <w:hyperlink r:id="rId10" w:history="1">
        <w:r w:rsidRPr="00714A76">
          <w:rPr>
            <w:rStyle w:val="Hyperlink"/>
            <w:rFonts w:ascii="Times New Roman" w:hAnsi="Times New Roman"/>
            <w:sz w:val="22"/>
            <w:szCs w:val="22"/>
          </w:rPr>
          <w:t>Jackie.Ellington@fcc.gov</w:t>
        </w:r>
      </w:hyperlink>
      <w:r w:rsidRPr="00714A76">
        <w:rPr>
          <w:rFonts w:ascii="Times New Roman" w:hAnsi="Times New Roman"/>
          <w:sz w:val="22"/>
          <w:szCs w:val="22"/>
        </w:rPr>
        <w:t xml:space="preserve">, or Rosaline Crawford at 202-418-2075 or </w:t>
      </w:r>
      <w:hyperlink r:id="rId11" w:history="1">
        <w:r w:rsidRPr="00714A76">
          <w:rPr>
            <w:rStyle w:val="Hyperlink"/>
            <w:rFonts w:ascii="Times New Roman" w:hAnsi="Times New Roman"/>
            <w:sz w:val="22"/>
            <w:szCs w:val="22"/>
          </w:rPr>
          <w:t>Rosaline.Crawford@fcc.gov</w:t>
        </w:r>
      </w:hyperlink>
      <w:r w:rsidRPr="00714A76">
        <w:rPr>
          <w:rFonts w:ascii="Times New Roman" w:hAnsi="Times New Roman"/>
          <w:sz w:val="22"/>
          <w:szCs w:val="22"/>
        </w:rPr>
        <w:t>, of the Consumer and Governmental Affairs Bureau, Disability Rights Office, Federal Communications Commission.</w:t>
      </w:r>
    </w:p>
    <w:p w:rsidR="00DB02EE" w:rsidRPr="00714A76" w:rsidRDefault="00DB02EE" w:rsidP="00714A76">
      <w:pPr>
        <w:pStyle w:val="BodyTextIndent"/>
        <w:ind w:left="0" w:firstLine="0"/>
        <w:rPr>
          <w:sz w:val="22"/>
          <w:szCs w:val="22"/>
        </w:rPr>
      </w:pPr>
    </w:p>
    <w:p w:rsidR="00DB02EE" w:rsidRPr="00714A76" w:rsidRDefault="00DB02EE" w:rsidP="000E1F18">
      <w:pPr>
        <w:pStyle w:val="BodyTextIndent"/>
        <w:ind w:left="0" w:firstLine="0"/>
        <w:jc w:val="center"/>
        <w:rPr>
          <w:sz w:val="22"/>
          <w:szCs w:val="22"/>
        </w:rPr>
      </w:pPr>
      <w:r w:rsidRPr="00714A76">
        <w:rPr>
          <w:sz w:val="22"/>
          <w:szCs w:val="22"/>
        </w:rPr>
        <w:t xml:space="preserve">-  FCC - </w:t>
      </w:r>
    </w:p>
    <w:p w:rsidR="00DB02EE" w:rsidRPr="00714A76" w:rsidRDefault="00DB02EE" w:rsidP="000E1F18">
      <w:pPr>
        <w:pStyle w:val="BodyTextIndent"/>
        <w:ind w:left="0" w:firstLine="0"/>
        <w:jc w:val="center"/>
        <w:rPr>
          <w:sz w:val="22"/>
          <w:szCs w:val="22"/>
        </w:rPr>
      </w:pPr>
    </w:p>
    <w:sectPr w:rsidR="00DB02EE" w:rsidRPr="00714A76" w:rsidSect="00704B1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810" w:footer="46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5CC" w:rsidRDefault="008335CC">
      <w:r>
        <w:separator/>
      </w:r>
    </w:p>
  </w:endnote>
  <w:endnote w:type="continuationSeparator" w:id="0">
    <w:p w:rsidR="008335CC" w:rsidRDefault="00833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s Gothic M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F7D" w:rsidRDefault="00AC3F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C3F7D" w:rsidRDefault="00AC3F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F7D" w:rsidRDefault="00AC3F7D">
    <w:pPr>
      <w:pStyle w:val="Footer"/>
      <w:jc w:val="center"/>
    </w:pPr>
    <w:r>
      <w:fldChar w:fldCharType="begin"/>
    </w:r>
    <w:r>
      <w:instrText xml:space="preserve"> PAGE   \* MERGEFORMAT </w:instrText>
    </w:r>
    <w:r>
      <w:fldChar w:fldCharType="separate"/>
    </w:r>
    <w:r w:rsidR="002D06F0">
      <w:rPr>
        <w:noProof/>
      </w:rPr>
      <w:t>2</w:t>
    </w:r>
    <w:r>
      <w:rPr>
        <w:noProof/>
      </w:rPr>
      <w:fldChar w:fldCharType="end"/>
    </w:r>
  </w:p>
  <w:p w:rsidR="00AC3F7D" w:rsidRDefault="00AC3F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35" w:rsidRDefault="00E62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5CC" w:rsidRDefault="008335CC">
      <w:r>
        <w:separator/>
      </w:r>
    </w:p>
  </w:footnote>
  <w:footnote w:type="continuationSeparator" w:id="0">
    <w:p w:rsidR="008335CC" w:rsidRDefault="008335CC">
      <w:r>
        <w:continuationSeparator/>
      </w:r>
    </w:p>
  </w:footnote>
  <w:footnote w:id="1">
    <w:p w:rsidR="00AC3F7D" w:rsidRPr="00B91149" w:rsidRDefault="00AC3F7D" w:rsidP="00B91149">
      <w:pPr>
        <w:pStyle w:val="FootnoteText"/>
        <w:spacing w:after="120"/>
        <w:rPr>
          <w:sz w:val="20"/>
        </w:rPr>
      </w:pPr>
      <w:r w:rsidRPr="00B91149">
        <w:rPr>
          <w:rStyle w:val="FootnoteReference"/>
          <w:sz w:val="20"/>
        </w:rPr>
        <w:footnoteRef/>
      </w:r>
      <w:r w:rsidRPr="00B91149">
        <w:rPr>
          <w:sz w:val="20"/>
        </w:rPr>
        <w:t xml:space="preserve"> Pub. L. No. 111-260, 124 Stat. 2751, § 105 (2010);</w:t>
      </w:r>
      <w:r w:rsidRPr="00B91149">
        <w:rPr>
          <w:bCs/>
          <w:sz w:val="20"/>
        </w:rPr>
        <w:t xml:space="preserve"> </w:t>
      </w:r>
      <w:r w:rsidRPr="00B91149">
        <w:rPr>
          <w:sz w:val="20"/>
        </w:rPr>
        <w:t xml:space="preserve">Amendment of Twenty-First Century Communications and Video Accessibility Act of 2010, </w:t>
      </w:r>
      <w:r w:rsidRPr="00B91149">
        <w:rPr>
          <w:bCs/>
          <w:sz w:val="20"/>
        </w:rPr>
        <w:t xml:space="preserve">Pub. L. 111-265, </w:t>
      </w:r>
      <w:r w:rsidRPr="00B91149">
        <w:rPr>
          <w:sz w:val="20"/>
        </w:rPr>
        <w:t>124 Stat. 2795 (2010) (making technical corrections to the CVAA).  Section 105 of the CVAA adds Section 719 to the Communications Act of 1934, as amended, and is codified at 47 U.S.C. § 620.</w:t>
      </w:r>
    </w:p>
  </w:footnote>
  <w:footnote w:id="2">
    <w:p w:rsidR="00AC3F7D" w:rsidRPr="00B91149" w:rsidRDefault="00AC3F7D" w:rsidP="00B91149">
      <w:pPr>
        <w:pStyle w:val="FootnoteText"/>
        <w:spacing w:after="120"/>
        <w:rPr>
          <w:sz w:val="20"/>
          <w:lang w:val="en-US"/>
        </w:rPr>
      </w:pPr>
      <w:r w:rsidRPr="00B91149">
        <w:rPr>
          <w:rStyle w:val="FootnoteReference"/>
          <w:sz w:val="20"/>
        </w:rPr>
        <w:footnoteRef/>
      </w:r>
      <w:r w:rsidRPr="00B91149">
        <w:rPr>
          <w:sz w:val="20"/>
        </w:rPr>
        <w:t xml:space="preserve"> </w:t>
      </w:r>
      <w:r w:rsidRPr="00B91149">
        <w:rPr>
          <w:i/>
          <w:sz w:val="20"/>
        </w:rPr>
        <w:t xml:space="preserve">See Implementation of the Twenty-First Century Communications and Video Accessibility Act of 2010, Section 105, Relay Services for Deaf-Blind Individuals, </w:t>
      </w:r>
      <w:r w:rsidRPr="00B91149">
        <w:rPr>
          <w:sz w:val="20"/>
        </w:rPr>
        <w:t>Report and Order, 26 FCC Rcd 5640 (2011) (</w:t>
      </w:r>
      <w:r w:rsidRPr="00B91149">
        <w:rPr>
          <w:i/>
          <w:sz w:val="20"/>
        </w:rPr>
        <w:t>NDBEDP</w:t>
      </w:r>
      <w:r w:rsidRPr="00B91149">
        <w:rPr>
          <w:sz w:val="20"/>
        </w:rPr>
        <w:t xml:space="preserve"> </w:t>
      </w:r>
      <w:r w:rsidRPr="00B91149">
        <w:rPr>
          <w:i/>
          <w:sz w:val="20"/>
        </w:rPr>
        <w:t>Report and Order</w:t>
      </w:r>
      <w:r w:rsidRPr="00B91149">
        <w:rPr>
          <w:sz w:val="20"/>
        </w:rPr>
        <w:t>).</w:t>
      </w:r>
    </w:p>
  </w:footnote>
  <w:footnote w:id="3">
    <w:p w:rsidR="00AC3F7D" w:rsidRPr="00B91149" w:rsidRDefault="00AC3F7D" w:rsidP="00B91149">
      <w:pPr>
        <w:pStyle w:val="FootnoteText"/>
        <w:spacing w:after="120"/>
        <w:rPr>
          <w:sz w:val="20"/>
        </w:rPr>
      </w:pPr>
      <w:r w:rsidRPr="00B91149">
        <w:rPr>
          <w:rStyle w:val="FootnoteReference"/>
          <w:sz w:val="20"/>
        </w:rPr>
        <w:footnoteRef/>
      </w:r>
      <w:r w:rsidRPr="00B91149">
        <w:rPr>
          <w:sz w:val="20"/>
        </w:rPr>
        <w:t xml:space="preserve"> </w:t>
      </w:r>
      <w:r w:rsidRPr="00B91149">
        <w:rPr>
          <w:i/>
          <w:sz w:val="20"/>
        </w:rPr>
        <w:t>See Commission Announces Launch of the National Deaf-Blind Equipment Distribution Program</w:t>
      </w:r>
      <w:r w:rsidRPr="00B91149">
        <w:rPr>
          <w:sz w:val="20"/>
        </w:rPr>
        <w:t xml:space="preserve">, Public Notice, 27 FCC Rcd 7403 (CGB 2012). </w:t>
      </w:r>
    </w:p>
  </w:footnote>
  <w:footnote w:id="4">
    <w:p w:rsidR="00AC3F7D" w:rsidRPr="00B91149" w:rsidRDefault="00AC3F7D" w:rsidP="00B91149">
      <w:pPr>
        <w:pStyle w:val="FootnoteText"/>
        <w:spacing w:after="120"/>
        <w:rPr>
          <w:sz w:val="20"/>
        </w:rPr>
      </w:pPr>
      <w:r w:rsidRPr="00B91149">
        <w:rPr>
          <w:rStyle w:val="FootnoteReference"/>
          <w:sz w:val="20"/>
        </w:rPr>
        <w:footnoteRef/>
      </w:r>
      <w:r w:rsidRPr="00B91149">
        <w:rPr>
          <w:sz w:val="20"/>
        </w:rPr>
        <w:t xml:space="preserve"> </w:t>
      </w:r>
      <w:r w:rsidRPr="00B91149">
        <w:rPr>
          <w:i/>
          <w:sz w:val="20"/>
        </w:rPr>
        <w:t>See Implementation of the Twenty-First Century Communications and Video Accessibility Act of 2010, Section 105, Relay Services for Deaf-Blind Individuals,</w:t>
      </w:r>
      <w:r w:rsidRPr="00B91149">
        <w:rPr>
          <w:sz w:val="20"/>
        </w:rPr>
        <w:t xml:space="preserve"> Order, 29 FCC Rcd 1234 (CGB 2014) (</w:t>
      </w:r>
      <w:r w:rsidRPr="00B91149">
        <w:rPr>
          <w:i/>
          <w:sz w:val="20"/>
        </w:rPr>
        <w:t>NDBEDP Third Year Order</w:t>
      </w:r>
      <w:r w:rsidRPr="00B91149">
        <w:rPr>
          <w:sz w:val="20"/>
        </w:rPr>
        <w:t>).</w:t>
      </w:r>
    </w:p>
  </w:footnote>
  <w:footnote w:id="5">
    <w:p w:rsidR="00AC3F7D" w:rsidRPr="00B91149" w:rsidRDefault="00AC3F7D" w:rsidP="00B91149">
      <w:pPr>
        <w:pStyle w:val="FootnoteText"/>
        <w:spacing w:after="120"/>
        <w:rPr>
          <w:sz w:val="20"/>
        </w:rPr>
      </w:pPr>
      <w:r w:rsidRPr="00B91149">
        <w:rPr>
          <w:rStyle w:val="FootnoteReference"/>
          <w:sz w:val="20"/>
        </w:rPr>
        <w:footnoteRef/>
      </w:r>
      <w:r w:rsidRPr="00B91149">
        <w:rPr>
          <w:sz w:val="20"/>
        </w:rPr>
        <w:t xml:space="preserve"> </w:t>
      </w:r>
      <w:r w:rsidRPr="00B91149">
        <w:rPr>
          <w:i/>
          <w:sz w:val="20"/>
        </w:rPr>
        <w:t>See</w:t>
      </w:r>
      <w:r w:rsidRPr="00B91149">
        <w:rPr>
          <w:sz w:val="20"/>
        </w:rPr>
        <w:t xml:space="preserve"> 47 C.F.R. § 64.610 (NDBEDP pilot program rules).</w:t>
      </w:r>
    </w:p>
  </w:footnote>
  <w:footnote w:id="6">
    <w:p w:rsidR="007C456A" w:rsidRPr="00D60275" w:rsidRDefault="007C456A" w:rsidP="00B91149">
      <w:pPr>
        <w:pStyle w:val="FootnoteText"/>
        <w:spacing w:after="120"/>
        <w:rPr>
          <w:sz w:val="20"/>
          <w:lang w:val="en-US"/>
        </w:rPr>
      </w:pPr>
      <w:r w:rsidRPr="00D60275">
        <w:rPr>
          <w:rStyle w:val="FootnoteReference"/>
          <w:sz w:val="20"/>
        </w:rPr>
        <w:footnoteRef/>
      </w:r>
      <w:r w:rsidRPr="00D60275">
        <w:rPr>
          <w:sz w:val="20"/>
        </w:rPr>
        <w:t xml:space="preserve"> </w:t>
      </w:r>
      <w:r w:rsidR="000016A4" w:rsidRPr="00D60275">
        <w:rPr>
          <w:sz w:val="20"/>
          <w:lang w:val="en-US"/>
        </w:rPr>
        <w:t xml:space="preserve">The </w:t>
      </w:r>
      <w:r w:rsidRPr="00D60275">
        <w:rPr>
          <w:sz w:val="20"/>
        </w:rPr>
        <w:t>resulting record will be shared with the NDBEDP Administrator so that it can help the Commission “obtain, review, and analyze data to assess the effectiveness of the pilot program” and “work with Commission staff on the adoption of rules for a permanent program</w:t>
      </w:r>
      <w:r w:rsidRPr="00D60275">
        <w:rPr>
          <w:sz w:val="20"/>
          <w:lang w:val="en-US"/>
        </w:rPr>
        <w:t>.</w:t>
      </w:r>
      <w:r w:rsidRPr="00D60275">
        <w:rPr>
          <w:sz w:val="20"/>
        </w:rPr>
        <w:t xml:space="preserve">” </w:t>
      </w:r>
      <w:r w:rsidRPr="00D60275">
        <w:rPr>
          <w:sz w:val="20"/>
          <w:lang w:val="en-US"/>
        </w:rPr>
        <w:t xml:space="preserve"> </w:t>
      </w:r>
      <w:r w:rsidRPr="00D60275">
        <w:rPr>
          <w:i/>
          <w:iCs/>
          <w:sz w:val="20"/>
        </w:rPr>
        <w:t xml:space="preserve">NDBEDP </w:t>
      </w:r>
      <w:r w:rsidRPr="00D60275">
        <w:rPr>
          <w:i/>
          <w:iCs/>
          <w:sz w:val="20"/>
          <w:lang w:val="en-US"/>
        </w:rPr>
        <w:t xml:space="preserve">Report and </w:t>
      </w:r>
      <w:r w:rsidRPr="00D60275">
        <w:rPr>
          <w:i/>
          <w:iCs/>
          <w:sz w:val="20"/>
        </w:rPr>
        <w:t>Order</w:t>
      </w:r>
      <w:r w:rsidRPr="00D60275">
        <w:rPr>
          <w:iCs/>
          <w:sz w:val="20"/>
          <w:lang w:val="en-US"/>
        </w:rPr>
        <w:t>, 26 FCC Rcd at 5685-86, ¶ 105</w:t>
      </w:r>
      <w:r w:rsidRPr="00D60275">
        <w:rPr>
          <w:sz w:val="20"/>
        </w:rPr>
        <w:t>. </w:t>
      </w:r>
    </w:p>
  </w:footnote>
  <w:footnote w:id="7">
    <w:p w:rsidR="00AC3F7D" w:rsidRPr="00B91149" w:rsidRDefault="00AC3F7D" w:rsidP="00B91149">
      <w:pPr>
        <w:pStyle w:val="FootnoteText"/>
        <w:spacing w:after="120"/>
        <w:rPr>
          <w:sz w:val="20"/>
        </w:rPr>
      </w:pPr>
      <w:r w:rsidRPr="00B91149">
        <w:rPr>
          <w:rStyle w:val="FootnoteReference"/>
          <w:sz w:val="20"/>
        </w:rPr>
        <w:footnoteRef/>
      </w:r>
      <w:r w:rsidRPr="00B91149">
        <w:rPr>
          <w:sz w:val="20"/>
        </w:rPr>
        <w:t xml:space="preserve"> </w:t>
      </w:r>
      <w:r w:rsidRPr="00B91149">
        <w:rPr>
          <w:i/>
          <w:sz w:val="20"/>
        </w:rPr>
        <w:t>See NDBEDP Report and Order</w:t>
      </w:r>
      <w:r w:rsidRPr="00B91149">
        <w:rPr>
          <w:sz w:val="20"/>
        </w:rPr>
        <w:t xml:space="preserve">, 26 FCC Rcd at 5646, ¶ 12.  </w:t>
      </w:r>
      <w:r w:rsidRPr="00B91149">
        <w:rPr>
          <w:i/>
          <w:sz w:val="20"/>
        </w:rPr>
        <w:t>See also Commission Announces Entities Certified to Participate in the National Deaf-Blind Equipment Distribution Program</w:t>
      </w:r>
      <w:r w:rsidRPr="00B91149">
        <w:rPr>
          <w:sz w:val="20"/>
        </w:rPr>
        <w:t>, 27 FCC Rcd 7397 (CGB 2012).</w:t>
      </w:r>
    </w:p>
  </w:footnote>
  <w:footnote w:id="8">
    <w:p w:rsidR="00AC3F7D" w:rsidRPr="00B91149" w:rsidRDefault="00AC3F7D" w:rsidP="00B91149">
      <w:pPr>
        <w:pStyle w:val="FootnoteText"/>
        <w:spacing w:after="120"/>
        <w:rPr>
          <w:sz w:val="20"/>
        </w:rPr>
      </w:pPr>
      <w:r w:rsidRPr="00B91149">
        <w:rPr>
          <w:rStyle w:val="FootnoteReference"/>
          <w:sz w:val="20"/>
        </w:rPr>
        <w:footnoteRef/>
      </w:r>
      <w:r w:rsidRPr="00B91149">
        <w:rPr>
          <w:sz w:val="20"/>
        </w:rPr>
        <w:t xml:space="preserve"> </w:t>
      </w:r>
      <w:r w:rsidRPr="00B91149">
        <w:rPr>
          <w:i/>
          <w:sz w:val="20"/>
        </w:rPr>
        <w:t>See NDBEDP Report and Order</w:t>
      </w:r>
      <w:r w:rsidRPr="00B91149">
        <w:rPr>
          <w:sz w:val="20"/>
        </w:rPr>
        <w:t xml:space="preserve">, 26 FCC Rcd at 5647, ¶ 13.  </w:t>
      </w:r>
    </w:p>
  </w:footnote>
  <w:footnote w:id="9">
    <w:p w:rsidR="00640576" w:rsidRPr="00B91149" w:rsidRDefault="00640576" w:rsidP="00B91149">
      <w:pPr>
        <w:pStyle w:val="FootnoteText"/>
        <w:spacing w:after="120"/>
        <w:rPr>
          <w:sz w:val="20"/>
          <w:lang w:val="en-US"/>
        </w:rPr>
      </w:pPr>
      <w:r w:rsidRPr="00B91149">
        <w:rPr>
          <w:rStyle w:val="FootnoteReference"/>
          <w:sz w:val="20"/>
        </w:rPr>
        <w:footnoteRef/>
      </w:r>
      <w:r w:rsidRPr="00B91149">
        <w:rPr>
          <w:sz w:val="20"/>
        </w:rPr>
        <w:t xml:space="preserve"> </w:t>
      </w:r>
      <w:r w:rsidR="004E4350" w:rsidRPr="00B91149">
        <w:rPr>
          <w:i/>
          <w:sz w:val="20"/>
          <w:lang w:val="en-US"/>
        </w:rPr>
        <w:t>See id.</w:t>
      </w:r>
      <w:r w:rsidRPr="00B91149">
        <w:rPr>
          <w:sz w:val="20"/>
        </w:rPr>
        <w:t xml:space="preserve">, 26 FCC Rcd at </w:t>
      </w:r>
      <w:r w:rsidR="002A63DE" w:rsidRPr="00B91149">
        <w:rPr>
          <w:sz w:val="20"/>
          <w:lang w:val="en-US"/>
        </w:rPr>
        <w:t>5668-69, 5670-71, 5679, ¶¶ 65, 69, 79.</w:t>
      </w:r>
    </w:p>
  </w:footnote>
  <w:footnote w:id="10">
    <w:p w:rsidR="00640576" w:rsidRPr="00B91149" w:rsidRDefault="00640576" w:rsidP="00B91149">
      <w:pPr>
        <w:pStyle w:val="FootnoteText"/>
        <w:spacing w:after="120"/>
        <w:rPr>
          <w:sz w:val="20"/>
          <w:lang w:val="en-US"/>
        </w:rPr>
      </w:pPr>
      <w:r w:rsidRPr="00B91149">
        <w:rPr>
          <w:rStyle w:val="FootnoteReference"/>
          <w:sz w:val="20"/>
        </w:rPr>
        <w:footnoteRef/>
      </w:r>
      <w:r w:rsidRPr="00B91149">
        <w:rPr>
          <w:sz w:val="20"/>
        </w:rPr>
        <w:t xml:space="preserve"> </w:t>
      </w:r>
      <w:r w:rsidRPr="00B91149">
        <w:rPr>
          <w:i/>
          <w:sz w:val="20"/>
        </w:rPr>
        <w:t xml:space="preserve">See </w:t>
      </w:r>
      <w:r w:rsidR="004E4350" w:rsidRPr="00B91149">
        <w:rPr>
          <w:i/>
          <w:sz w:val="20"/>
          <w:lang w:val="en-US"/>
        </w:rPr>
        <w:t>id.</w:t>
      </w:r>
      <w:r w:rsidR="002A63DE" w:rsidRPr="00B91149">
        <w:rPr>
          <w:sz w:val="20"/>
        </w:rPr>
        <w:t>, 26 FCC Rcd at 56</w:t>
      </w:r>
      <w:r w:rsidR="002A63DE" w:rsidRPr="00B91149">
        <w:rPr>
          <w:sz w:val="20"/>
          <w:lang w:val="en-US"/>
        </w:rPr>
        <w:t>80</w:t>
      </w:r>
      <w:r w:rsidR="002A63DE" w:rsidRPr="00B91149">
        <w:rPr>
          <w:sz w:val="20"/>
        </w:rPr>
        <w:t xml:space="preserve">, ¶ </w:t>
      </w:r>
      <w:r w:rsidR="002A63DE" w:rsidRPr="00B91149">
        <w:rPr>
          <w:sz w:val="20"/>
          <w:lang w:val="en-US"/>
        </w:rPr>
        <w:t>92</w:t>
      </w:r>
      <w:r w:rsidRPr="00B91149">
        <w:rPr>
          <w:sz w:val="20"/>
        </w:rPr>
        <w:t xml:space="preserve">.  </w:t>
      </w:r>
    </w:p>
  </w:footnote>
  <w:footnote w:id="11">
    <w:p w:rsidR="00AC3F7D" w:rsidRPr="00B91149" w:rsidRDefault="00AC3F7D" w:rsidP="00B91149">
      <w:pPr>
        <w:spacing w:after="120"/>
        <w:rPr>
          <w:sz w:val="20"/>
        </w:rPr>
      </w:pPr>
      <w:r w:rsidRPr="00B91149">
        <w:rPr>
          <w:rStyle w:val="FootnoteReference"/>
          <w:sz w:val="20"/>
        </w:rPr>
        <w:footnoteRef/>
      </w:r>
      <w:r w:rsidRPr="00B91149">
        <w:rPr>
          <w:sz w:val="20"/>
        </w:rPr>
        <w:t xml:space="preserve"> </w:t>
      </w:r>
      <w:r w:rsidRPr="00B91149">
        <w:rPr>
          <w:i/>
          <w:sz w:val="20"/>
        </w:rPr>
        <w:t>FCC Invites Applications for Certification to Participate in the National Deaf-Blind Equipment Distribution Program in the State of Nevada</w:t>
      </w:r>
      <w:r w:rsidRPr="00B91149">
        <w:rPr>
          <w:sz w:val="20"/>
        </w:rPr>
        <w:t xml:space="preserve">, Public Notice, 28 FCC Rcd 6360 (CGB 2013); </w:t>
      </w:r>
      <w:r w:rsidRPr="00B91149">
        <w:rPr>
          <w:i/>
          <w:sz w:val="20"/>
        </w:rPr>
        <w:t>FCC Invites Applications for Certification to Participate in the National Deaf-Blind Equipment Distribution Program in the State of Mississippi</w:t>
      </w:r>
      <w:r w:rsidRPr="00B91149">
        <w:rPr>
          <w:sz w:val="20"/>
        </w:rPr>
        <w:t xml:space="preserve">, Public Notice, 28 FCC Rcd 14869 (CGB 2013); </w:t>
      </w:r>
      <w:r w:rsidRPr="00B91149">
        <w:rPr>
          <w:i/>
          <w:sz w:val="20"/>
        </w:rPr>
        <w:t>FCC Invites Applications for Certification to Participate in the National Deaf-Blind Equipment Distribution Program in the States of Vermont and Nebraska</w:t>
      </w:r>
      <w:r w:rsidRPr="00B91149">
        <w:rPr>
          <w:sz w:val="20"/>
        </w:rPr>
        <w:t xml:space="preserve">, Public Notice, 29 FCC Rcd 3921 (CGB 2014); </w:t>
      </w:r>
      <w:r w:rsidRPr="00B91149">
        <w:rPr>
          <w:i/>
          <w:sz w:val="20"/>
        </w:rPr>
        <w:t>FCC Invites Applications for Certification to Participate in the National Deaf-Blind Equipment Distribution Program in the States of Indiana and Minnesota</w:t>
      </w:r>
      <w:r w:rsidRPr="00B91149">
        <w:rPr>
          <w:sz w:val="20"/>
        </w:rPr>
        <w:t xml:space="preserve">, Public Notice, DA 14-775 (CGB, rel. June 4, 2014); </w:t>
      </w:r>
      <w:r w:rsidRPr="00B91149">
        <w:rPr>
          <w:i/>
          <w:sz w:val="20"/>
        </w:rPr>
        <w:t>FCC Invites Applications for Certification to Participate in the National Deaf-Blind Equipment Distribution Program in the State of Iowa</w:t>
      </w:r>
      <w:r w:rsidRPr="00B91149">
        <w:rPr>
          <w:sz w:val="20"/>
        </w:rPr>
        <w:t>, Public Notice, DA 14-964 (CGB, rel. July 3, 2014).</w:t>
      </w:r>
    </w:p>
  </w:footnote>
  <w:footnote w:id="12">
    <w:p w:rsidR="00AC3F7D" w:rsidRPr="00B91149" w:rsidRDefault="00AC3F7D" w:rsidP="00B91149">
      <w:pPr>
        <w:pStyle w:val="FootnoteText"/>
        <w:spacing w:after="120"/>
        <w:rPr>
          <w:sz w:val="20"/>
        </w:rPr>
      </w:pPr>
      <w:r w:rsidRPr="00B91149">
        <w:rPr>
          <w:rStyle w:val="FootnoteReference"/>
          <w:sz w:val="20"/>
        </w:rPr>
        <w:footnoteRef/>
      </w:r>
      <w:r w:rsidRPr="00B91149">
        <w:rPr>
          <w:sz w:val="20"/>
        </w:rPr>
        <w:t xml:space="preserve"> </w:t>
      </w:r>
      <w:r w:rsidRPr="00B91149">
        <w:rPr>
          <w:i/>
          <w:sz w:val="20"/>
        </w:rPr>
        <w:t>See</w:t>
      </w:r>
      <w:r w:rsidRPr="00B91149">
        <w:rPr>
          <w:sz w:val="20"/>
        </w:rPr>
        <w:t xml:space="preserve"> 47 C.F.R. § 64.610(b) (full list of certification criteria).</w:t>
      </w:r>
    </w:p>
  </w:footnote>
  <w:footnote w:id="13">
    <w:p w:rsidR="00AC3F7D" w:rsidRPr="00B91149" w:rsidRDefault="00AC3F7D" w:rsidP="00B91149">
      <w:pPr>
        <w:pStyle w:val="FootnoteText"/>
        <w:spacing w:after="120"/>
        <w:rPr>
          <w:i/>
          <w:sz w:val="20"/>
        </w:rPr>
      </w:pPr>
      <w:r w:rsidRPr="00B91149">
        <w:rPr>
          <w:rStyle w:val="FootnoteReference"/>
          <w:sz w:val="20"/>
        </w:rPr>
        <w:footnoteRef/>
      </w:r>
      <w:r w:rsidRPr="00B91149">
        <w:rPr>
          <w:sz w:val="20"/>
        </w:rPr>
        <w:t xml:space="preserve"> The Commission employed this procedure for its selection of the NDBEDP national outreach coordinator.  </w:t>
      </w:r>
      <w:r w:rsidRPr="00B91149">
        <w:rPr>
          <w:i/>
          <w:sz w:val="20"/>
        </w:rPr>
        <w:t>See</w:t>
      </w:r>
      <w:r w:rsidRPr="00B91149">
        <w:rPr>
          <w:sz w:val="20"/>
        </w:rPr>
        <w:t xml:space="preserve"> </w:t>
      </w:r>
      <w:r w:rsidRPr="00B91149">
        <w:rPr>
          <w:i/>
          <w:sz w:val="20"/>
        </w:rPr>
        <w:t>FCC Invites Applicants to Conduct National Outreach for the National Deaf-Blind Equipment Distribution Program</w:t>
      </w:r>
      <w:r w:rsidRPr="00B91149">
        <w:rPr>
          <w:sz w:val="20"/>
        </w:rPr>
        <w:t xml:space="preserve">, Public Notice, 26 FCC Rcd 14517 (CGB 2011). </w:t>
      </w:r>
      <w:r w:rsidRPr="00B91149">
        <w:rPr>
          <w:i/>
          <w:sz w:val="20"/>
        </w:rPr>
        <w:t xml:space="preserve"> </w:t>
      </w:r>
    </w:p>
  </w:footnote>
  <w:footnote w:id="14">
    <w:p w:rsidR="00AC3F7D" w:rsidRPr="00B91149" w:rsidRDefault="00AC3F7D" w:rsidP="00B91149">
      <w:pPr>
        <w:pStyle w:val="FootnoteText"/>
        <w:spacing w:after="120"/>
        <w:rPr>
          <w:sz w:val="20"/>
        </w:rPr>
      </w:pPr>
      <w:r w:rsidRPr="00B91149">
        <w:rPr>
          <w:rStyle w:val="FootnoteReference"/>
          <w:sz w:val="20"/>
        </w:rPr>
        <w:footnoteRef/>
      </w:r>
      <w:r w:rsidRPr="00B91149">
        <w:rPr>
          <w:sz w:val="20"/>
        </w:rPr>
        <w:t xml:space="preserve"> </w:t>
      </w:r>
      <w:r w:rsidRPr="00B91149">
        <w:rPr>
          <w:i/>
          <w:sz w:val="20"/>
        </w:rPr>
        <w:t>See NDBEDP Report and Order</w:t>
      </w:r>
      <w:r w:rsidRPr="00B91149">
        <w:rPr>
          <w:sz w:val="20"/>
        </w:rPr>
        <w:t>, 26 FCC Rcd at 5647, ¶ 14.</w:t>
      </w:r>
    </w:p>
  </w:footnote>
  <w:footnote w:id="15">
    <w:p w:rsidR="00AC3F7D" w:rsidRPr="00B91149" w:rsidRDefault="00AC3F7D" w:rsidP="00B91149">
      <w:pPr>
        <w:pStyle w:val="NormalWeb"/>
        <w:spacing w:before="0" w:beforeAutospacing="0" w:after="120" w:afterAutospacing="0"/>
        <w:rPr>
          <w:sz w:val="20"/>
          <w:szCs w:val="20"/>
        </w:rPr>
      </w:pPr>
      <w:r w:rsidRPr="00B91149">
        <w:rPr>
          <w:rStyle w:val="FootnoteReference"/>
          <w:sz w:val="20"/>
          <w:szCs w:val="20"/>
        </w:rPr>
        <w:footnoteRef/>
      </w:r>
      <w:r w:rsidRPr="00B91149">
        <w:rPr>
          <w:sz w:val="20"/>
          <w:szCs w:val="20"/>
        </w:rPr>
        <w:t xml:space="preserve"> </w:t>
      </w:r>
      <w:r w:rsidRPr="00B91149">
        <w:rPr>
          <w:i/>
          <w:sz w:val="20"/>
          <w:szCs w:val="20"/>
        </w:rPr>
        <w:t xml:space="preserve">See, e.g., </w:t>
      </w:r>
      <w:r w:rsidRPr="00B91149">
        <w:rPr>
          <w:sz w:val="20"/>
          <w:szCs w:val="20"/>
        </w:rPr>
        <w:t xml:space="preserve">47 C.F.R. § 64.606(c)(1)(state TRS applications for renewal may be filed one year prior to expiration); 47 C.F.R. § 64.606 (c)(2) (Internet-based TRS provider certification is for five years; applications for renewal must be filed at least 90 days prior to expiration).  </w:t>
      </w:r>
    </w:p>
  </w:footnote>
  <w:footnote w:id="16">
    <w:p w:rsidR="00AC3F7D" w:rsidRPr="00B91149" w:rsidRDefault="00AC3F7D" w:rsidP="00B91149">
      <w:pPr>
        <w:pStyle w:val="FootnoteText"/>
        <w:spacing w:after="120"/>
        <w:rPr>
          <w:sz w:val="20"/>
          <w:lang w:val="en-US"/>
        </w:rPr>
      </w:pPr>
      <w:r w:rsidRPr="00B91149">
        <w:rPr>
          <w:rStyle w:val="FootnoteReference"/>
          <w:sz w:val="20"/>
        </w:rPr>
        <w:footnoteRef/>
      </w:r>
      <w:r w:rsidRPr="00B91149">
        <w:rPr>
          <w:sz w:val="20"/>
        </w:rPr>
        <w:t xml:space="preserve"> 47 C.F.R. § 64.610(h)(1).  Among its many public releases, the Bureau has also provided the following guidance with respect to the administration of the NDBEDP pilot program:  (1) “NDBEDP Certified Program Expenses,” available at </w:t>
      </w:r>
      <w:hyperlink r:id="rId1" w:history="1">
        <w:r w:rsidRPr="00B91149">
          <w:rPr>
            <w:rStyle w:val="Hyperlink"/>
            <w:sz w:val="20"/>
          </w:rPr>
          <w:t>http://r-l-s-a.com/TRS/ExamplesofReimbursableExpenses.pdf</w:t>
        </w:r>
      </w:hyperlink>
      <w:r w:rsidRPr="00B91149">
        <w:rPr>
          <w:sz w:val="20"/>
        </w:rPr>
        <w:t xml:space="preserve"> (providing examples of expenses that are and are not reimbursable under the NDBEDP) (last viewed June 30, 2014) (</w:t>
      </w:r>
      <w:r w:rsidRPr="00B91149">
        <w:rPr>
          <w:i/>
          <w:sz w:val="20"/>
        </w:rPr>
        <w:t>NDBEDP Expenses</w:t>
      </w:r>
      <w:r w:rsidRPr="00B91149">
        <w:rPr>
          <w:sz w:val="20"/>
        </w:rPr>
        <w:t xml:space="preserve">); and (2) “NDBEDP Frequently Asked Questions,” available at </w:t>
      </w:r>
      <w:hyperlink r:id="rId2" w:history="1">
        <w:r w:rsidRPr="00B91149">
          <w:rPr>
            <w:rStyle w:val="Hyperlink"/>
            <w:sz w:val="20"/>
          </w:rPr>
          <w:t>http://r-l-s-a.com/TRS/NDBEDP-FAQ.pdf</w:t>
        </w:r>
      </w:hyperlink>
      <w:r w:rsidRPr="00B91149">
        <w:rPr>
          <w:sz w:val="20"/>
        </w:rPr>
        <w:t xml:space="preserve"> (last viewed June 30, 2014) (</w:t>
      </w:r>
      <w:r w:rsidRPr="00B91149">
        <w:rPr>
          <w:i/>
          <w:sz w:val="20"/>
        </w:rPr>
        <w:t>NDBEDP FAQ</w:t>
      </w:r>
      <w:r w:rsidRPr="00B91149">
        <w:rPr>
          <w:sz w:val="20"/>
        </w:rPr>
        <w:t>)</w:t>
      </w:r>
      <w:r w:rsidR="000E1F18" w:rsidRPr="00B91149">
        <w:rPr>
          <w:sz w:val="20"/>
          <w:lang w:val="en-US"/>
        </w:rPr>
        <w:t>.</w:t>
      </w:r>
    </w:p>
  </w:footnote>
  <w:footnote w:id="17">
    <w:p w:rsidR="00AC3F7D" w:rsidRPr="00B91149" w:rsidRDefault="00AC3F7D" w:rsidP="00B91149">
      <w:pPr>
        <w:pStyle w:val="FootnoteText"/>
        <w:spacing w:after="120"/>
        <w:rPr>
          <w:sz w:val="20"/>
        </w:rPr>
      </w:pPr>
      <w:r w:rsidRPr="00B91149">
        <w:rPr>
          <w:rStyle w:val="FootnoteReference"/>
          <w:sz w:val="20"/>
        </w:rPr>
        <w:footnoteRef/>
      </w:r>
      <w:r w:rsidRPr="00B91149">
        <w:rPr>
          <w:sz w:val="20"/>
        </w:rPr>
        <w:t xml:space="preserve"> 47 C.F.R. § 64.610(h)(2).  </w:t>
      </w:r>
    </w:p>
  </w:footnote>
  <w:footnote w:id="18">
    <w:p w:rsidR="00AC3F7D" w:rsidRPr="00B91149" w:rsidRDefault="00AC3F7D" w:rsidP="00B91149">
      <w:pPr>
        <w:autoSpaceDE w:val="0"/>
        <w:autoSpaceDN w:val="0"/>
        <w:adjustRightInd w:val="0"/>
        <w:spacing w:after="120"/>
        <w:rPr>
          <w:sz w:val="20"/>
        </w:rPr>
      </w:pPr>
      <w:r w:rsidRPr="00B91149">
        <w:rPr>
          <w:rStyle w:val="FootnoteReference"/>
          <w:sz w:val="20"/>
        </w:rPr>
        <w:footnoteRef/>
      </w:r>
      <w:r w:rsidRPr="00B91149">
        <w:rPr>
          <w:sz w:val="20"/>
        </w:rPr>
        <w:t xml:space="preserve"> </w:t>
      </w:r>
      <w:r w:rsidRPr="00B91149">
        <w:rPr>
          <w:i/>
          <w:sz w:val="20"/>
        </w:rPr>
        <w:t>See NDBEDP Report and Order</w:t>
      </w:r>
      <w:r w:rsidRPr="00B91149">
        <w:rPr>
          <w:sz w:val="20"/>
        </w:rPr>
        <w:t xml:space="preserve">, 26 FCC Rcd at 5675-76, ¶ 80.  </w:t>
      </w:r>
    </w:p>
  </w:footnote>
  <w:footnote w:id="19">
    <w:p w:rsidR="00AC3F7D" w:rsidRPr="00B91149" w:rsidRDefault="00AC3F7D" w:rsidP="00B91149">
      <w:pPr>
        <w:pStyle w:val="FootnoteText"/>
        <w:spacing w:after="120"/>
        <w:rPr>
          <w:sz w:val="20"/>
        </w:rPr>
      </w:pPr>
      <w:r w:rsidRPr="00B91149">
        <w:rPr>
          <w:rStyle w:val="FootnoteReference"/>
          <w:sz w:val="20"/>
        </w:rPr>
        <w:footnoteRef/>
      </w:r>
      <w:r w:rsidRPr="00B91149">
        <w:rPr>
          <w:sz w:val="20"/>
        </w:rPr>
        <w:t xml:space="preserve"> </w:t>
      </w:r>
      <w:r w:rsidR="004E4350" w:rsidRPr="00B91149">
        <w:rPr>
          <w:i/>
          <w:sz w:val="20"/>
          <w:lang w:val="en-US"/>
        </w:rPr>
        <w:t>Id.</w:t>
      </w:r>
      <w:r w:rsidRPr="00B91149">
        <w:rPr>
          <w:sz w:val="20"/>
        </w:rPr>
        <w:t xml:space="preserve">, 26 FCC Rcd at 5677, ¶ 85. </w:t>
      </w:r>
    </w:p>
  </w:footnote>
  <w:footnote w:id="20">
    <w:p w:rsidR="00AC3F7D" w:rsidRPr="00B91149" w:rsidRDefault="00AC3F7D" w:rsidP="00B91149">
      <w:pPr>
        <w:autoSpaceDE w:val="0"/>
        <w:autoSpaceDN w:val="0"/>
        <w:adjustRightInd w:val="0"/>
        <w:spacing w:after="120"/>
        <w:rPr>
          <w:sz w:val="20"/>
        </w:rPr>
      </w:pPr>
      <w:r w:rsidRPr="00B91149">
        <w:rPr>
          <w:rStyle w:val="FootnoteReference"/>
          <w:sz w:val="20"/>
        </w:rPr>
        <w:footnoteRef/>
      </w:r>
      <w:r w:rsidRPr="00B91149">
        <w:rPr>
          <w:sz w:val="20"/>
        </w:rPr>
        <w:t xml:space="preserve"> </w:t>
      </w:r>
      <w:r w:rsidR="004E4350" w:rsidRPr="00B91149">
        <w:rPr>
          <w:i/>
          <w:sz w:val="20"/>
        </w:rPr>
        <w:t>Id.</w:t>
      </w:r>
      <w:r w:rsidRPr="00B91149">
        <w:rPr>
          <w:sz w:val="20"/>
        </w:rPr>
        <w:t xml:space="preserve">, 26 FCC Rcd at 5677, ¶ 84.  CGB is authorized to adjust these allocations, as needed and appropriate.  </w:t>
      </w:r>
      <w:r w:rsidRPr="00B91149">
        <w:rPr>
          <w:i/>
          <w:sz w:val="20"/>
        </w:rPr>
        <w:t>Id.</w:t>
      </w:r>
      <w:r w:rsidRPr="00B91149">
        <w:rPr>
          <w:sz w:val="20"/>
        </w:rPr>
        <w:t>, 26 FCC Rcd at 5677, ¶¶ 85, 90.</w:t>
      </w:r>
      <w:r w:rsidRPr="00B91149">
        <w:rPr>
          <w:color w:val="010101"/>
          <w:sz w:val="20"/>
        </w:rPr>
        <w:t xml:space="preserve">  </w:t>
      </w:r>
      <w:r w:rsidRPr="00B91149">
        <w:rPr>
          <w:i/>
          <w:sz w:val="20"/>
        </w:rPr>
        <w:t>See also Bureau Announces 2013-2014 State Allocations for the National Deaf-Blind Equipment Distribution Program</w:t>
      </w:r>
      <w:r w:rsidRPr="00B91149">
        <w:rPr>
          <w:sz w:val="20"/>
        </w:rPr>
        <w:t>, 28 FCC Rcd 9243 (2013).</w:t>
      </w:r>
    </w:p>
  </w:footnote>
  <w:footnote w:id="21">
    <w:p w:rsidR="00AC3F7D" w:rsidRPr="00B91149" w:rsidRDefault="00AC3F7D" w:rsidP="00B91149">
      <w:pPr>
        <w:pStyle w:val="FootnoteText"/>
        <w:spacing w:after="120"/>
        <w:rPr>
          <w:sz w:val="20"/>
        </w:rPr>
      </w:pPr>
      <w:r w:rsidRPr="00B91149">
        <w:rPr>
          <w:rStyle w:val="FootnoteReference"/>
          <w:sz w:val="20"/>
        </w:rPr>
        <w:footnoteRef/>
      </w:r>
      <w:r w:rsidRPr="00B91149">
        <w:rPr>
          <w:sz w:val="20"/>
        </w:rPr>
        <w:t xml:space="preserve"> </w:t>
      </w:r>
      <w:r w:rsidRPr="00B91149">
        <w:rPr>
          <w:i/>
          <w:sz w:val="20"/>
        </w:rPr>
        <w:t>See NDBEDP Third Year Order</w:t>
      </w:r>
      <w:r w:rsidRPr="00B91149">
        <w:rPr>
          <w:sz w:val="20"/>
        </w:rPr>
        <w:t>, 29 FCC Rcd at 1236, ¶ 5</w:t>
      </w:r>
    </w:p>
  </w:footnote>
  <w:footnote w:id="22">
    <w:p w:rsidR="00AC3F7D" w:rsidRPr="00B91149" w:rsidRDefault="00AC3F7D" w:rsidP="00B91149">
      <w:pPr>
        <w:autoSpaceDE w:val="0"/>
        <w:autoSpaceDN w:val="0"/>
        <w:adjustRightInd w:val="0"/>
        <w:spacing w:after="120"/>
        <w:rPr>
          <w:sz w:val="20"/>
        </w:rPr>
      </w:pPr>
      <w:r w:rsidRPr="00B91149">
        <w:rPr>
          <w:rStyle w:val="FootnoteReference"/>
          <w:sz w:val="20"/>
        </w:rPr>
        <w:footnoteRef/>
      </w:r>
      <w:r w:rsidRPr="00B91149">
        <w:rPr>
          <w:sz w:val="20"/>
        </w:rPr>
        <w:t xml:space="preserve"> </w:t>
      </w:r>
      <w:r w:rsidRPr="00B91149">
        <w:rPr>
          <w:i/>
          <w:sz w:val="20"/>
        </w:rPr>
        <w:t xml:space="preserve">See </w:t>
      </w:r>
      <w:r w:rsidR="004E4350" w:rsidRPr="00B91149">
        <w:rPr>
          <w:i/>
          <w:sz w:val="20"/>
        </w:rPr>
        <w:t>id.</w:t>
      </w:r>
      <w:r w:rsidRPr="00B91149">
        <w:rPr>
          <w:sz w:val="20"/>
        </w:rPr>
        <w:t>, 29 FCC Rcd at 1236, ¶ 6.</w:t>
      </w:r>
    </w:p>
  </w:footnote>
  <w:footnote w:id="23">
    <w:p w:rsidR="00AC3F7D" w:rsidRPr="00B91149" w:rsidRDefault="00AC3F7D" w:rsidP="00B91149">
      <w:pPr>
        <w:spacing w:after="120"/>
        <w:rPr>
          <w:sz w:val="20"/>
        </w:rPr>
      </w:pPr>
      <w:r w:rsidRPr="00B91149">
        <w:rPr>
          <w:rStyle w:val="FootnoteReference"/>
          <w:sz w:val="20"/>
        </w:rPr>
        <w:footnoteRef/>
      </w:r>
      <w:r w:rsidRPr="00B91149">
        <w:rPr>
          <w:sz w:val="20"/>
        </w:rPr>
        <w:t xml:space="preserve"> The Bureau may reduce, raise, or reallocate funding allocations to any certified program as it may deem necessary and appropriate.  </w:t>
      </w:r>
      <w:r w:rsidRPr="00B91149">
        <w:rPr>
          <w:i/>
          <w:sz w:val="20"/>
        </w:rPr>
        <w:t xml:space="preserve">See </w:t>
      </w:r>
      <w:r w:rsidR="004E4350" w:rsidRPr="00B91149">
        <w:rPr>
          <w:i/>
          <w:sz w:val="20"/>
        </w:rPr>
        <w:t>id.</w:t>
      </w:r>
      <w:r w:rsidRPr="00B91149">
        <w:rPr>
          <w:sz w:val="20"/>
        </w:rPr>
        <w:t>, 26 FCC Rcd at 5679, ¶ 90.</w:t>
      </w:r>
    </w:p>
  </w:footnote>
  <w:footnote w:id="24">
    <w:p w:rsidR="00AC3F7D" w:rsidRPr="00B91149" w:rsidRDefault="00AC3F7D" w:rsidP="00B91149">
      <w:pPr>
        <w:pStyle w:val="FootnoteText"/>
        <w:spacing w:after="120"/>
        <w:rPr>
          <w:sz w:val="20"/>
        </w:rPr>
      </w:pPr>
      <w:r w:rsidRPr="00B91149">
        <w:rPr>
          <w:rStyle w:val="FootnoteReference"/>
          <w:sz w:val="20"/>
        </w:rPr>
        <w:footnoteRef/>
      </w:r>
      <w:r w:rsidRPr="00B91149">
        <w:rPr>
          <w:sz w:val="20"/>
        </w:rPr>
        <w:t xml:space="preserve"> 47 C.F.R. § 64.610(f).</w:t>
      </w:r>
    </w:p>
  </w:footnote>
  <w:footnote w:id="25">
    <w:p w:rsidR="00AC3F7D" w:rsidRPr="00B91149" w:rsidRDefault="00AC3F7D" w:rsidP="00B91149">
      <w:pPr>
        <w:pStyle w:val="FootnoteText"/>
        <w:spacing w:after="120"/>
        <w:rPr>
          <w:sz w:val="20"/>
        </w:rPr>
      </w:pPr>
      <w:r w:rsidRPr="00B91149">
        <w:rPr>
          <w:rStyle w:val="FootnoteReference"/>
          <w:sz w:val="20"/>
        </w:rPr>
        <w:footnoteRef/>
      </w:r>
      <w:r w:rsidRPr="00B91149">
        <w:rPr>
          <w:sz w:val="20"/>
        </w:rPr>
        <w:t xml:space="preserve"> </w:t>
      </w:r>
      <w:r w:rsidRPr="00B91149">
        <w:rPr>
          <w:i/>
          <w:sz w:val="20"/>
        </w:rPr>
        <w:t>See NDBEDP Report and Order</w:t>
      </w:r>
      <w:r w:rsidRPr="00B91149">
        <w:rPr>
          <w:sz w:val="20"/>
        </w:rPr>
        <w:t>, 26 FCC Rcd at 5679, ¶ 88.  Each reimbursement claim must be accompanied by a declaration made under penalty of perjury attesting to the truth and accuracy of the submission.  47 C.F.R. § 64.610(f)(3).</w:t>
      </w:r>
    </w:p>
  </w:footnote>
  <w:footnote w:id="26">
    <w:p w:rsidR="00AC3F7D" w:rsidRPr="00B91149" w:rsidRDefault="00AC3F7D" w:rsidP="00B91149">
      <w:pPr>
        <w:pStyle w:val="FootnoteText"/>
        <w:spacing w:after="120"/>
        <w:rPr>
          <w:sz w:val="20"/>
        </w:rPr>
      </w:pPr>
      <w:r w:rsidRPr="00B91149">
        <w:rPr>
          <w:rStyle w:val="FootnoteReference"/>
          <w:sz w:val="20"/>
        </w:rPr>
        <w:footnoteRef/>
      </w:r>
      <w:r w:rsidRPr="00B91149">
        <w:rPr>
          <w:sz w:val="20"/>
        </w:rPr>
        <w:t xml:space="preserve"> </w:t>
      </w:r>
      <w:r w:rsidRPr="00B91149">
        <w:rPr>
          <w:i/>
          <w:sz w:val="20"/>
        </w:rPr>
        <w:t>See Implementation of the Twenty-First Century Communications and Video Accessibility Act of 2010, Section 105, Relay Services for Deaf-Blind Individuals</w:t>
      </w:r>
      <w:r w:rsidRPr="00B91149">
        <w:rPr>
          <w:sz w:val="20"/>
        </w:rPr>
        <w:t>, Order, 27 FCC Rcd 2812</w:t>
      </w:r>
      <w:r w:rsidR="00984EAD" w:rsidRPr="00B91149">
        <w:rPr>
          <w:sz w:val="20"/>
          <w:lang w:val="en-US"/>
        </w:rPr>
        <w:t xml:space="preserve"> (CGB 2012)</w:t>
      </w:r>
      <w:r w:rsidRPr="00B91149">
        <w:rPr>
          <w:sz w:val="20"/>
        </w:rPr>
        <w:t>.</w:t>
      </w:r>
    </w:p>
  </w:footnote>
  <w:footnote w:id="27">
    <w:p w:rsidR="00AC3F7D" w:rsidRPr="00B91149" w:rsidRDefault="00AC3F7D" w:rsidP="00B91149">
      <w:pPr>
        <w:pStyle w:val="FootnoteText"/>
        <w:spacing w:after="120"/>
        <w:rPr>
          <w:sz w:val="20"/>
          <w:lang w:val="en-US"/>
        </w:rPr>
      </w:pPr>
      <w:r w:rsidRPr="00B91149">
        <w:rPr>
          <w:rStyle w:val="FootnoteReference"/>
          <w:sz w:val="20"/>
        </w:rPr>
        <w:footnoteRef/>
      </w:r>
      <w:r w:rsidRPr="00B91149">
        <w:rPr>
          <w:sz w:val="20"/>
        </w:rPr>
        <w:t xml:space="preserve"> </w:t>
      </w:r>
      <w:r w:rsidRPr="00B91149">
        <w:rPr>
          <w:i/>
          <w:sz w:val="20"/>
          <w:lang w:val="en-US"/>
        </w:rPr>
        <w:t xml:space="preserve">See </w:t>
      </w:r>
      <w:r w:rsidRPr="00B91149">
        <w:rPr>
          <w:sz w:val="20"/>
          <w:lang w:val="en-US"/>
        </w:rPr>
        <w:t xml:space="preserve">¶ 9, </w:t>
      </w:r>
      <w:r w:rsidRPr="00B91149">
        <w:rPr>
          <w:i/>
          <w:sz w:val="20"/>
          <w:lang w:val="en-US"/>
        </w:rPr>
        <w:t>supra</w:t>
      </w:r>
      <w:r w:rsidRPr="00B91149">
        <w:rPr>
          <w:sz w:val="20"/>
          <w:lang w:val="en-US"/>
        </w:rPr>
        <w:t xml:space="preserve"> (noting that the </w:t>
      </w:r>
      <w:r w:rsidR="00386CD1" w:rsidRPr="00B91149">
        <w:rPr>
          <w:sz w:val="20"/>
          <w:lang w:val="en-US"/>
        </w:rPr>
        <w:t>Bureau</w:t>
      </w:r>
      <w:r w:rsidRPr="00B91149">
        <w:rPr>
          <w:sz w:val="20"/>
          <w:lang w:val="en-US"/>
        </w:rPr>
        <w:t xml:space="preserve"> reallocated </w:t>
      </w:r>
      <w:r w:rsidRPr="00B91149">
        <w:rPr>
          <w:color w:val="020202"/>
          <w:sz w:val="20"/>
        </w:rPr>
        <w:t>fund</w:t>
      </w:r>
      <w:r w:rsidRPr="00B91149">
        <w:rPr>
          <w:color w:val="020202"/>
          <w:sz w:val="20"/>
          <w:lang w:val="en-US"/>
        </w:rPr>
        <w:t>s</w:t>
      </w:r>
      <w:r w:rsidRPr="00B91149">
        <w:rPr>
          <w:color w:val="020202"/>
          <w:sz w:val="20"/>
        </w:rPr>
        <w:t xml:space="preserve"> between state programs </w:t>
      </w:r>
      <w:r w:rsidRPr="00B91149">
        <w:rPr>
          <w:color w:val="020202"/>
          <w:sz w:val="20"/>
          <w:lang w:val="en-US"/>
        </w:rPr>
        <w:t xml:space="preserve">during the first two years of the pilot program </w:t>
      </w:r>
      <w:r w:rsidRPr="00B91149">
        <w:rPr>
          <w:color w:val="020202"/>
          <w:sz w:val="20"/>
        </w:rPr>
        <w:t xml:space="preserve">when necessary </w:t>
      </w:r>
      <w:r w:rsidRPr="00B91149">
        <w:rPr>
          <w:color w:val="010101"/>
          <w:sz w:val="20"/>
        </w:rPr>
        <w:t>to maximize the use of available funding</w:t>
      </w:r>
      <w:r w:rsidRPr="00B91149">
        <w:rPr>
          <w:color w:val="010101"/>
          <w:sz w:val="20"/>
          <w:lang w:val="en-US"/>
        </w:rPr>
        <w:t>)</w:t>
      </w:r>
      <w:r w:rsidRPr="00B91149">
        <w:rPr>
          <w:sz w:val="20"/>
          <w:lang w:val="en-US"/>
        </w:rPr>
        <w:t>.</w:t>
      </w:r>
    </w:p>
  </w:footnote>
  <w:footnote w:id="28">
    <w:p w:rsidR="00AC3F7D" w:rsidRPr="00B91149" w:rsidRDefault="00AC3F7D" w:rsidP="00B91149">
      <w:pPr>
        <w:pStyle w:val="FootnoteText"/>
        <w:spacing w:after="120"/>
        <w:rPr>
          <w:sz w:val="20"/>
        </w:rPr>
      </w:pPr>
      <w:r w:rsidRPr="00B91149">
        <w:rPr>
          <w:rStyle w:val="FootnoteReference"/>
          <w:sz w:val="20"/>
        </w:rPr>
        <w:footnoteRef/>
      </w:r>
      <w:r w:rsidRPr="00B91149">
        <w:rPr>
          <w:sz w:val="20"/>
        </w:rPr>
        <w:t xml:space="preserve"> </w:t>
      </w:r>
      <w:r w:rsidRPr="00B91149">
        <w:rPr>
          <w:i/>
          <w:sz w:val="20"/>
          <w:lang w:val="en-US"/>
        </w:rPr>
        <w:t xml:space="preserve">See </w:t>
      </w:r>
      <w:r w:rsidRPr="00B91149">
        <w:rPr>
          <w:sz w:val="20"/>
        </w:rPr>
        <w:t>47 C.F.R. § 64.610(g)</w:t>
      </w:r>
      <w:r w:rsidRPr="00B91149">
        <w:rPr>
          <w:sz w:val="20"/>
          <w:lang w:val="en-US"/>
        </w:rPr>
        <w:t xml:space="preserve"> </w:t>
      </w:r>
      <w:r w:rsidRPr="00B91149">
        <w:rPr>
          <w:sz w:val="20"/>
        </w:rPr>
        <w:t>(</w:t>
      </w:r>
      <w:r w:rsidRPr="00B91149">
        <w:rPr>
          <w:sz w:val="20"/>
          <w:lang w:val="en-US"/>
        </w:rPr>
        <w:t xml:space="preserve">reporting requirements for NDBEDP certified programs).  </w:t>
      </w:r>
      <w:r w:rsidRPr="00B91149">
        <w:rPr>
          <w:i/>
          <w:sz w:val="20"/>
          <w:lang w:val="en-US"/>
        </w:rPr>
        <w:t xml:space="preserve">See also </w:t>
      </w:r>
      <w:r w:rsidRPr="00B91149">
        <w:rPr>
          <w:sz w:val="20"/>
          <w:lang w:val="en-US"/>
        </w:rPr>
        <w:t xml:space="preserve">Section IX, </w:t>
      </w:r>
      <w:r w:rsidRPr="00B91149">
        <w:rPr>
          <w:i/>
          <w:sz w:val="20"/>
          <w:lang w:val="en-US"/>
        </w:rPr>
        <w:t>infra</w:t>
      </w:r>
      <w:r w:rsidRPr="00B91149">
        <w:rPr>
          <w:sz w:val="20"/>
          <w:lang w:val="en-US"/>
        </w:rPr>
        <w:t xml:space="preserve"> (discussing oversight and reporting).</w:t>
      </w:r>
    </w:p>
  </w:footnote>
  <w:footnote w:id="29">
    <w:p w:rsidR="00AC3F7D" w:rsidRPr="00B91149" w:rsidRDefault="00AC3F7D" w:rsidP="00B91149">
      <w:pPr>
        <w:autoSpaceDE w:val="0"/>
        <w:autoSpaceDN w:val="0"/>
        <w:adjustRightInd w:val="0"/>
        <w:spacing w:after="120"/>
        <w:rPr>
          <w:sz w:val="20"/>
        </w:rPr>
      </w:pPr>
      <w:r w:rsidRPr="00B91149">
        <w:rPr>
          <w:rStyle w:val="FootnoteReference"/>
          <w:sz w:val="20"/>
        </w:rPr>
        <w:footnoteRef/>
      </w:r>
      <w:r w:rsidRPr="00B91149">
        <w:rPr>
          <w:sz w:val="20"/>
        </w:rPr>
        <w:t xml:space="preserve"> </w:t>
      </w:r>
      <w:r w:rsidRPr="00B91149">
        <w:rPr>
          <w:i/>
          <w:sz w:val="20"/>
        </w:rPr>
        <w:t>See NDBEDP Report and Order</w:t>
      </w:r>
      <w:r w:rsidRPr="00B91149">
        <w:rPr>
          <w:sz w:val="20"/>
        </w:rPr>
        <w:t xml:space="preserve">, 26 FCC Rcd at 5680, ¶ 92. </w:t>
      </w:r>
      <w:r w:rsidRPr="00B91149">
        <w:rPr>
          <w:color w:val="010101"/>
          <w:sz w:val="20"/>
        </w:rPr>
        <w:t xml:space="preserve"> </w:t>
      </w:r>
    </w:p>
  </w:footnote>
  <w:footnote w:id="30">
    <w:p w:rsidR="00AC3F7D" w:rsidRPr="00B91149" w:rsidRDefault="00AC3F7D" w:rsidP="00B91149">
      <w:pPr>
        <w:pStyle w:val="FootnoteText"/>
        <w:spacing w:after="120"/>
        <w:rPr>
          <w:sz w:val="20"/>
        </w:rPr>
      </w:pPr>
      <w:r w:rsidRPr="00B91149">
        <w:rPr>
          <w:rStyle w:val="FootnoteReference"/>
          <w:sz w:val="20"/>
        </w:rPr>
        <w:footnoteRef/>
      </w:r>
      <w:r w:rsidRPr="00B91149">
        <w:rPr>
          <w:sz w:val="20"/>
        </w:rPr>
        <w:t xml:space="preserve"> </w:t>
      </w:r>
      <w:r w:rsidR="000E1F18" w:rsidRPr="00B91149">
        <w:rPr>
          <w:i/>
          <w:sz w:val="20"/>
          <w:lang w:val="en-US"/>
        </w:rPr>
        <w:t>Id</w:t>
      </w:r>
      <w:r w:rsidRPr="00B91149">
        <w:rPr>
          <w:sz w:val="20"/>
        </w:rPr>
        <w:t xml:space="preserve">.  </w:t>
      </w:r>
    </w:p>
  </w:footnote>
  <w:footnote w:id="31">
    <w:p w:rsidR="00AC3F7D" w:rsidRPr="00B91149" w:rsidRDefault="00AC3F7D" w:rsidP="00B91149">
      <w:pPr>
        <w:pStyle w:val="FootnoteText"/>
        <w:spacing w:after="120"/>
        <w:rPr>
          <w:sz w:val="20"/>
        </w:rPr>
      </w:pPr>
      <w:r w:rsidRPr="00B91149">
        <w:rPr>
          <w:rStyle w:val="FootnoteReference"/>
          <w:sz w:val="20"/>
        </w:rPr>
        <w:footnoteRef/>
      </w:r>
      <w:r w:rsidRPr="00B91149">
        <w:rPr>
          <w:sz w:val="20"/>
        </w:rPr>
        <w:t xml:space="preserve"> 47 U.S.C. § 620(b).  The HKNC Act defines an individual who is “deaf-blind” as any individual:  (A)(i)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 (ii) who has a chronic hearing impairment so severe that most speech cannot be understood with optimum amplification, or a progressive hearing loss having a prognosis leading to this condition; and (iii) for whom the combination of impairments described in clauses (i) and (ii) cause extreme difficulty in attaining independence in daily life activities, achieving psychosocial adjustment, or obtaining a vocation; (B)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or (C) meets such other requirements as the Secretary may prescribe by regulation.  29 U.S.C. § 1905(2). </w:t>
      </w:r>
    </w:p>
  </w:footnote>
  <w:footnote w:id="32">
    <w:p w:rsidR="00AC3F7D" w:rsidRPr="00B91149" w:rsidRDefault="00AC3F7D" w:rsidP="00B91149">
      <w:pPr>
        <w:pStyle w:val="FootnoteText"/>
        <w:spacing w:after="120"/>
        <w:rPr>
          <w:sz w:val="20"/>
        </w:rPr>
      </w:pPr>
      <w:r w:rsidRPr="00B91149">
        <w:rPr>
          <w:rStyle w:val="FootnoteReference"/>
          <w:sz w:val="20"/>
        </w:rPr>
        <w:footnoteRef/>
      </w:r>
      <w:r w:rsidRPr="00B91149">
        <w:rPr>
          <w:sz w:val="20"/>
        </w:rPr>
        <w:t xml:space="preserve">47 C.F.R. § 64.610(c)(2)(ii). </w:t>
      </w:r>
      <w:r w:rsidRPr="00B91149">
        <w:rPr>
          <w:i/>
          <w:sz w:val="20"/>
        </w:rPr>
        <w:t xml:space="preserve"> See also NDBEDP Report and Order</w:t>
      </w:r>
      <w:r w:rsidRPr="00B91149">
        <w:rPr>
          <w:sz w:val="20"/>
        </w:rPr>
        <w:t>, 26 FCC Rcd at 5652, ¶ 27.</w:t>
      </w:r>
    </w:p>
  </w:footnote>
  <w:footnote w:id="33">
    <w:p w:rsidR="00AC3F7D" w:rsidRPr="00B91149" w:rsidRDefault="00AC3F7D" w:rsidP="00B91149">
      <w:pPr>
        <w:pStyle w:val="FootnoteText"/>
        <w:spacing w:after="120"/>
        <w:rPr>
          <w:sz w:val="20"/>
        </w:rPr>
      </w:pPr>
      <w:r w:rsidRPr="00B91149">
        <w:rPr>
          <w:rStyle w:val="FootnoteReference"/>
          <w:sz w:val="20"/>
        </w:rPr>
        <w:footnoteRef/>
      </w:r>
      <w:r w:rsidRPr="00B91149">
        <w:rPr>
          <w:sz w:val="20"/>
        </w:rPr>
        <w:t xml:space="preserve"> 47 C.F.R. §§ 64.610(d)(1)(i), (ii).  Such professionals must attest, either to the best of their knowledge or under penalty of perjury, that the applicant is an individuals who is deaf-blind, as that term is defined in the Commission’s rules.  47 C.F.R. § 64.610(d)(1)(ii). </w:t>
      </w:r>
      <w:r w:rsidRPr="00B91149">
        <w:rPr>
          <w:sz w:val="20"/>
          <w:lang w:val="en-US"/>
        </w:rPr>
        <w:t xml:space="preserve"> A </w:t>
      </w:r>
      <w:r w:rsidRPr="00B91149">
        <w:rPr>
          <w:sz w:val="20"/>
        </w:rPr>
        <w:t xml:space="preserve">disability verification </w:t>
      </w:r>
      <w:r w:rsidRPr="00B91149">
        <w:rPr>
          <w:sz w:val="20"/>
          <w:lang w:val="en-US"/>
        </w:rPr>
        <w:t xml:space="preserve">must </w:t>
      </w:r>
      <w:r w:rsidRPr="00B91149">
        <w:rPr>
          <w:sz w:val="20"/>
        </w:rPr>
        <w:t>include the attester’s name, title, and contact information, including address, phone number, and e-mail address.  47 C.F.R. § 64.610(d)(1)(iv).</w:t>
      </w:r>
    </w:p>
  </w:footnote>
  <w:footnote w:id="34">
    <w:p w:rsidR="00AC3F7D" w:rsidRPr="00B91149" w:rsidRDefault="00AC3F7D" w:rsidP="00B91149">
      <w:pPr>
        <w:pStyle w:val="FootnoteText"/>
        <w:spacing w:after="120"/>
        <w:rPr>
          <w:sz w:val="20"/>
        </w:rPr>
      </w:pPr>
      <w:r w:rsidRPr="00B91149">
        <w:rPr>
          <w:rStyle w:val="FootnoteReference"/>
          <w:sz w:val="20"/>
        </w:rPr>
        <w:footnoteRef/>
      </w:r>
      <w:r w:rsidRPr="00B91149">
        <w:rPr>
          <w:sz w:val="20"/>
        </w:rPr>
        <w:t xml:space="preserve"> 47 C.F.R. § 64.610(d)(1)(iii).  </w:t>
      </w:r>
    </w:p>
  </w:footnote>
  <w:footnote w:id="35">
    <w:p w:rsidR="00AC3F7D" w:rsidRPr="00B91149" w:rsidRDefault="00AC3F7D" w:rsidP="00B91149">
      <w:pPr>
        <w:pStyle w:val="FootnoteText"/>
        <w:spacing w:after="120"/>
        <w:rPr>
          <w:sz w:val="20"/>
        </w:rPr>
      </w:pPr>
      <w:r w:rsidRPr="00B91149">
        <w:rPr>
          <w:rStyle w:val="FootnoteReference"/>
          <w:sz w:val="20"/>
        </w:rPr>
        <w:footnoteRef/>
      </w:r>
      <w:r w:rsidRPr="00B91149">
        <w:rPr>
          <w:sz w:val="20"/>
        </w:rPr>
        <w:t xml:space="preserve"> 47 U.S.C. § 620(a).</w:t>
      </w:r>
    </w:p>
  </w:footnote>
  <w:footnote w:id="36">
    <w:p w:rsidR="00AC3F7D" w:rsidRPr="00B91149" w:rsidRDefault="00AC3F7D" w:rsidP="00B91149">
      <w:pPr>
        <w:pStyle w:val="FootnoteText"/>
        <w:spacing w:after="120"/>
        <w:rPr>
          <w:b/>
          <w:sz w:val="20"/>
        </w:rPr>
      </w:pPr>
      <w:r w:rsidRPr="00B91149">
        <w:rPr>
          <w:rStyle w:val="FootnoteReference"/>
          <w:sz w:val="20"/>
        </w:rPr>
        <w:footnoteRef/>
      </w:r>
      <w:r w:rsidRPr="00B91149">
        <w:rPr>
          <w:sz w:val="20"/>
        </w:rPr>
        <w:t xml:space="preserve"> 47 C.F.R. § 64.610(d)(2).  These federal subsidy programs include the Federal Public Housing Assistance or Section 8; Supplemental Nutrition Assistance Program, formerly known as Food Stamps; Low Income Home Energy Assistance Program; Medicaid; National School Lunch Program's free lunch program; Supplemental Security Income; or Temporary Assistance for Needy Families.  </w:t>
      </w:r>
      <w:r w:rsidRPr="00B91149">
        <w:rPr>
          <w:i/>
          <w:sz w:val="20"/>
        </w:rPr>
        <w:t xml:space="preserve">Id.  See also </w:t>
      </w:r>
      <w:r w:rsidRPr="00B91149">
        <w:rPr>
          <w:sz w:val="20"/>
        </w:rPr>
        <w:t xml:space="preserve">2014 Poverty Guidelines, U.S. Department of Health &amp; Human Services, Office of the Assistant Secretary for Planning and Evaluation, available at </w:t>
      </w:r>
      <w:hyperlink r:id="rId3" w:history="1">
        <w:r w:rsidRPr="00B91149">
          <w:rPr>
            <w:rStyle w:val="Hyperlink"/>
            <w:sz w:val="20"/>
          </w:rPr>
          <w:t>http://aspe.hhs.gov/poverty/14poverty.cfm</w:t>
        </w:r>
      </w:hyperlink>
      <w:r w:rsidRPr="00B91149">
        <w:rPr>
          <w:sz w:val="20"/>
        </w:rPr>
        <w:t xml:space="preserve"> (last viewed July 8, 2014).</w:t>
      </w:r>
    </w:p>
  </w:footnote>
  <w:footnote w:id="37">
    <w:p w:rsidR="00AC3F7D" w:rsidRPr="00B91149" w:rsidRDefault="00AC3F7D" w:rsidP="00B91149">
      <w:pPr>
        <w:pStyle w:val="FootnoteText"/>
        <w:spacing w:after="120"/>
        <w:rPr>
          <w:sz w:val="20"/>
        </w:rPr>
      </w:pPr>
      <w:r w:rsidRPr="00B91149">
        <w:rPr>
          <w:rStyle w:val="FootnoteReference"/>
          <w:sz w:val="20"/>
        </w:rPr>
        <w:footnoteRef/>
      </w:r>
      <w:r w:rsidRPr="00B91149">
        <w:rPr>
          <w:sz w:val="20"/>
        </w:rPr>
        <w:t xml:space="preserve"> </w:t>
      </w:r>
      <w:r w:rsidRPr="00B91149">
        <w:rPr>
          <w:i/>
          <w:sz w:val="20"/>
        </w:rPr>
        <w:t>See NDBEDP FAQ</w:t>
      </w:r>
      <w:r w:rsidRPr="00B91149">
        <w:rPr>
          <w:sz w:val="20"/>
        </w:rPr>
        <w:t xml:space="preserve"> 23.  </w:t>
      </w:r>
      <w:r w:rsidRPr="00B91149">
        <w:rPr>
          <w:i/>
          <w:sz w:val="20"/>
        </w:rPr>
        <w:t xml:space="preserve">See also </w:t>
      </w:r>
      <w:r w:rsidRPr="00B91149">
        <w:rPr>
          <w:sz w:val="20"/>
        </w:rPr>
        <w:t>47 C.F.R. § 54.400(f) (defining “income” for purposes of universal service support for low-income consumers).</w:t>
      </w:r>
    </w:p>
  </w:footnote>
  <w:footnote w:id="38">
    <w:p w:rsidR="00AC3F7D" w:rsidRPr="00B91149" w:rsidRDefault="00AC3F7D" w:rsidP="00B91149">
      <w:pPr>
        <w:pStyle w:val="FootnoteText"/>
        <w:spacing w:after="120"/>
        <w:rPr>
          <w:sz w:val="20"/>
        </w:rPr>
      </w:pPr>
      <w:r w:rsidRPr="00B91149">
        <w:rPr>
          <w:rStyle w:val="FootnoteReference"/>
          <w:sz w:val="20"/>
        </w:rPr>
        <w:footnoteRef/>
      </w:r>
      <w:r w:rsidRPr="00B91149">
        <w:rPr>
          <w:sz w:val="20"/>
        </w:rPr>
        <w:t xml:space="preserve"> </w:t>
      </w:r>
      <w:r w:rsidRPr="00B91149">
        <w:rPr>
          <w:i/>
          <w:sz w:val="20"/>
        </w:rPr>
        <w:t>See NDBEDP FAQ</w:t>
      </w:r>
      <w:r w:rsidRPr="00B91149">
        <w:rPr>
          <w:sz w:val="20"/>
        </w:rPr>
        <w:t xml:space="preserve"> 16 and 24.</w:t>
      </w:r>
      <w:r w:rsidRPr="00B91149">
        <w:rPr>
          <w:i/>
          <w:sz w:val="20"/>
        </w:rPr>
        <w:t xml:space="preserve">  See also </w:t>
      </w:r>
      <w:r w:rsidRPr="00B91149">
        <w:rPr>
          <w:sz w:val="20"/>
        </w:rPr>
        <w:t>47 C.F.R. § 54.400(h) (defining “household” for purposes of universal service support for low-income consumers).</w:t>
      </w:r>
    </w:p>
  </w:footnote>
  <w:footnote w:id="39">
    <w:p w:rsidR="00AC3F7D" w:rsidRPr="00B91149" w:rsidRDefault="00AC3F7D" w:rsidP="00B91149">
      <w:pPr>
        <w:pStyle w:val="FootnoteText"/>
        <w:spacing w:after="120"/>
        <w:rPr>
          <w:sz w:val="20"/>
        </w:rPr>
      </w:pPr>
      <w:r w:rsidRPr="00B91149">
        <w:rPr>
          <w:rStyle w:val="FootnoteReference"/>
          <w:sz w:val="20"/>
        </w:rPr>
        <w:footnoteRef/>
      </w:r>
      <w:r w:rsidRPr="00B91149">
        <w:rPr>
          <w:sz w:val="20"/>
        </w:rPr>
        <w:t xml:space="preserve"> </w:t>
      </w:r>
      <w:r w:rsidRPr="00B91149">
        <w:rPr>
          <w:i/>
          <w:sz w:val="20"/>
        </w:rPr>
        <w:t>See NDBEDP Report and Order</w:t>
      </w:r>
      <w:r w:rsidRPr="00B91149">
        <w:rPr>
          <w:sz w:val="20"/>
        </w:rPr>
        <w:t>, 26 FCC Rcd at 5658, ¶ 42.</w:t>
      </w:r>
    </w:p>
  </w:footnote>
  <w:footnote w:id="40">
    <w:p w:rsidR="00AC3F7D" w:rsidRPr="00B91149" w:rsidRDefault="00AC3F7D" w:rsidP="00B91149">
      <w:pPr>
        <w:pStyle w:val="FootnoteText"/>
        <w:spacing w:after="120"/>
        <w:rPr>
          <w:sz w:val="20"/>
        </w:rPr>
      </w:pPr>
      <w:r w:rsidRPr="00B91149">
        <w:rPr>
          <w:rStyle w:val="FootnoteReference"/>
          <w:sz w:val="20"/>
        </w:rPr>
        <w:footnoteRef/>
      </w:r>
      <w:r w:rsidRPr="00B91149">
        <w:rPr>
          <w:sz w:val="20"/>
        </w:rPr>
        <w:t xml:space="preserve"> </w:t>
      </w:r>
      <w:r w:rsidRPr="00B91149">
        <w:rPr>
          <w:i/>
          <w:sz w:val="20"/>
        </w:rPr>
        <w:t xml:space="preserve">See </w:t>
      </w:r>
      <w:r w:rsidR="004E4350" w:rsidRPr="00B91149">
        <w:rPr>
          <w:i/>
          <w:sz w:val="20"/>
          <w:lang w:val="en-US"/>
        </w:rPr>
        <w:t>id.</w:t>
      </w:r>
      <w:r w:rsidRPr="00B91149">
        <w:rPr>
          <w:sz w:val="20"/>
        </w:rPr>
        <w:t>, 26 FCC Rcd at 5659, ¶ 44.</w:t>
      </w:r>
    </w:p>
  </w:footnote>
  <w:footnote w:id="41">
    <w:p w:rsidR="00AC3F7D" w:rsidRPr="00B91149" w:rsidRDefault="00AC3F7D" w:rsidP="00B91149">
      <w:pPr>
        <w:pStyle w:val="FootnoteText"/>
        <w:spacing w:after="120"/>
        <w:rPr>
          <w:i/>
          <w:sz w:val="20"/>
        </w:rPr>
      </w:pPr>
      <w:r w:rsidRPr="00B91149">
        <w:rPr>
          <w:rStyle w:val="FootnoteReference"/>
          <w:sz w:val="20"/>
        </w:rPr>
        <w:footnoteRef/>
      </w:r>
      <w:r w:rsidRPr="00B91149">
        <w:rPr>
          <w:sz w:val="20"/>
        </w:rPr>
        <w:t xml:space="preserve"> The NDBEDP provides a funding resource for the distribution of communications equipment that supplements rather than supplants any existing legal mandates or programs that may be available to provide communications or other equipment to low-income individuals who are deaf-blind.</w:t>
      </w:r>
      <w:r w:rsidRPr="00B91149">
        <w:rPr>
          <w:i/>
          <w:sz w:val="20"/>
        </w:rPr>
        <w:t xml:space="preserve">  See </w:t>
      </w:r>
      <w:r w:rsidR="004E4350" w:rsidRPr="00B91149">
        <w:rPr>
          <w:i/>
          <w:sz w:val="20"/>
          <w:lang w:val="en-US"/>
        </w:rPr>
        <w:t>id.</w:t>
      </w:r>
      <w:r w:rsidRPr="00B91149">
        <w:rPr>
          <w:sz w:val="20"/>
        </w:rPr>
        <w:t>, 26 FCC Rcd at 5690, ¶ 115.</w:t>
      </w:r>
    </w:p>
  </w:footnote>
  <w:footnote w:id="42">
    <w:p w:rsidR="00AC3F7D" w:rsidRPr="00B91149" w:rsidRDefault="00AC3F7D" w:rsidP="00B91149">
      <w:pPr>
        <w:spacing w:after="120"/>
        <w:rPr>
          <w:sz w:val="20"/>
        </w:rPr>
      </w:pPr>
      <w:r w:rsidRPr="00B91149">
        <w:rPr>
          <w:rStyle w:val="FootnoteReference"/>
          <w:sz w:val="20"/>
        </w:rPr>
        <w:footnoteRef/>
      </w:r>
      <w:r w:rsidRPr="00B91149">
        <w:rPr>
          <w:sz w:val="20"/>
        </w:rPr>
        <w:t xml:space="preserve"> “Specialized customer premises equipment” is equipment employed on the premises of a person which is commonly used by individuals with disabilities to achieve access.  </w:t>
      </w:r>
      <w:r w:rsidRPr="00B91149">
        <w:rPr>
          <w:i/>
          <w:sz w:val="20"/>
        </w:rPr>
        <w:t xml:space="preserve">See </w:t>
      </w:r>
      <w:r w:rsidRPr="00B91149">
        <w:rPr>
          <w:sz w:val="20"/>
        </w:rPr>
        <w:t xml:space="preserve">47 U.S.C. §§ 153(16) (defining “customer premises equipment”; 47 C.F.R. § 6.3(i) (defining “specialized customer premises equipment”).  </w:t>
      </w:r>
      <w:r w:rsidRPr="00B91149">
        <w:rPr>
          <w:i/>
          <w:sz w:val="20"/>
        </w:rPr>
        <w:t>See also</w:t>
      </w:r>
      <w:r w:rsidRPr="00B91149">
        <w:rPr>
          <w:sz w:val="20"/>
        </w:rPr>
        <w:t xml:space="preserve"> </w:t>
      </w:r>
      <w:r w:rsidRPr="00B91149">
        <w:rPr>
          <w:i/>
          <w:sz w:val="20"/>
        </w:rPr>
        <w:t>Implementation of Sections 255 and 251(a)(2) of the Communications Act of 1934, as Enacted by the Telecommunications Act of 1996; Access to Telecommunications Service, Telecommunications Equipment and Customer Premises Equipment by Persons with Disabilities</w:t>
      </w:r>
      <w:r w:rsidRPr="00B91149">
        <w:rPr>
          <w:sz w:val="20"/>
        </w:rPr>
        <w:t>, WT Docket No. 96-198, Report and Order and Further Notice of Inquiry, 16 FCC Rcd 6417, 6435, ¶¶ 34-36 (1999) (providing further guidance on this definition).</w:t>
      </w:r>
    </w:p>
  </w:footnote>
  <w:footnote w:id="43">
    <w:p w:rsidR="00AC3F7D" w:rsidRPr="00B91149" w:rsidRDefault="00AC3F7D" w:rsidP="00B91149">
      <w:pPr>
        <w:pStyle w:val="HTMLPreformatted"/>
        <w:spacing w:after="120"/>
        <w:rPr>
          <w:rFonts w:ascii="Times New Roman" w:hAnsi="Times New Roman"/>
        </w:rPr>
      </w:pPr>
      <w:r w:rsidRPr="00B91149">
        <w:rPr>
          <w:rStyle w:val="FootnoteReference"/>
          <w:rFonts w:ascii="Times New Roman" w:hAnsi="Times New Roman"/>
        </w:rPr>
        <w:footnoteRef/>
      </w:r>
      <w:r w:rsidRPr="00B91149">
        <w:rPr>
          <w:rFonts w:ascii="Times New Roman" w:hAnsi="Times New Roman"/>
        </w:rPr>
        <w:t xml:space="preserve"> “Telecommunications service” is defined in the Communications Act as the offering of telecommunications for a fee directly to the public, or to such classes of users as to effectively available directly to the public, regardless of the facilities used.  47 U.S.C. §152(46).  “Telecommunications” is further defined as the transmission, between or among points specified by the user, of information of the user’s choosing, without change in the form or content of the information as sent and received.  47 U.S.C. §152(50). </w:t>
      </w:r>
    </w:p>
  </w:footnote>
  <w:footnote w:id="44">
    <w:p w:rsidR="00AC3F7D" w:rsidRPr="00B91149" w:rsidRDefault="00AC3F7D" w:rsidP="00B91149">
      <w:pPr>
        <w:pStyle w:val="FootnoteText"/>
        <w:spacing w:after="120"/>
        <w:rPr>
          <w:sz w:val="20"/>
        </w:rPr>
      </w:pPr>
      <w:r w:rsidRPr="00B91149">
        <w:rPr>
          <w:rStyle w:val="FootnoteReference"/>
          <w:sz w:val="20"/>
        </w:rPr>
        <w:footnoteRef/>
      </w:r>
      <w:r w:rsidRPr="00B91149">
        <w:rPr>
          <w:sz w:val="20"/>
        </w:rPr>
        <w:t xml:space="preserve"> The Controlling the Assault of Non-Solicited Pornography and Marketing Act of 2003 (</w:t>
      </w:r>
      <w:r w:rsidRPr="00B91149">
        <w:rPr>
          <w:iCs/>
          <w:sz w:val="20"/>
        </w:rPr>
        <w:t xml:space="preserve">CAN-SPAM Act) defines “Internet access service” as “a service that enables users to access content, information, electronic mail, or other services offered over the Internet, and may also include access to proprietary content, information, and other services as part of a package of services offered to consumers.”  </w:t>
      </w:r>
      <w:r w:rsidRPr="00B91149">
        <w:rPr>
          <w:sz w:val="20"/>
        </w:rPr>
        <w:t xml:space="preserve">47 U.S.C. § 231(e)(4). </w:t>
      </w:r>
    </w:p>
  </w:footnote>
  <w:footnote w:id="45">
    <w:p w:rsidR="00AC3F7D" w:rsidRPr="00B91149" w:rsidRDefault="00AC3F7D" w:rsidP="00B91149">
      <w:pPr>
        <w:pStyle w:val="FootnoteText"/>
        <w:spacing w:after="120"/>
        <w:rPr>
          <w:sz w:val="20"/>
        </w:rPr>
      </w:pPr>
      <w:r w:rsidRPr="00B91149">
        <w:rPr>
          <w:rStyle w:val="FootnoteReference"/>
          <w:sz w:val="20"/>
        </w:rPr>
        <w:footnoteRef/>
      </w:r>
      <w:r w:rsidRPr="00B91149">
        <w:rPr>
          <w:sz w:val="20"/>
        </w:rPr>
        <w:t xml:space="preserve"> “Advanced communications” is defined to include “interconnected VoIP service,” “non-interconnected VoIP service,” “electronic messaging service,” and “interoperable video conferencing service.”  47 U.S.C. § 153(1).  </w:t>
      </w:r>
      <w:r w:rsidRPr="00B91149">
        <w:rPr>
          <w:i/>
          <w:sz w:val="20"/>
        </w:rPr>
        <w:t xml:space="preserve">See also </w:t>
      </w:r>
      <w:r w:rsidRPr="00B91149">
        <w:rPr>
          <w:sz w:val="20"/>
        </w:rPr>
        <w:t>47 C.F.R. § 9.3 (defining “interconnected VoIP service”); 47 U.S.C. § 153(36) (defining “non-interconnected VoIP service”); 47 U.S.C. § 153(19) (defining “electronic messaging service”); and 47 U.S.C. § 153(27) (defining “interoperable video conferencing service”).</w:t>
      </w:r>
    </w:p>
  </w:footnote>
  <w:footnote w:id="46">
    <w:p w:rsidR="00AC3F7D" w:rsidRPr="00B91149" w:rsidRDefault="00AC3F7D" w:rsidP="00B91149">
      <w:pPr>
        <w:pStyle w:val="FootnoteText"/>
        <w:spacing w:after="120"/>
        <w:rPr>
          <w:sz w:val="20"/>
        </w:rPr>
      </w:pPr>
      <w:r w:rsidRPr="00B91149">
        <w:rPr>
          <w:rStyle w:val="FootnoteReference"/>
          <w:sz w:val="20"/>
        </w:rPr>
        <w:footnoteRef/>
      </w:r>
      <w:r w:rsidRPr="00B91149">
        <w:rPr>
          <w:sz w:val="20"/>
        </w:rPr>
        <w:t xml:space="preserve"> “Interexchange services” are generally services between local exchanges in different geographic areas (local access and transport areas, otherwise known as LATAs).  Traditionally, these have been commonly called long-distance services.  </w:t>
      </w:r>
      <w:r w:rsidRPr="00B91149">
        <w:rPr>
          <w:i/>
          <w:sz w:val="20"/>
        </w:rPr>
        <w:t>See</w:t>
      </w:r>
      <w:r w:rsidRPr="00B91149">
        <w:rPr>
          <w:sz w:val="20"/>
        </w:rPr>
        <w:t xml:space="preserve"> </w:t>
      </w:r>
      <w:r w:rsidRPr="00B91149">
        <w:rPr>
          <w:bCs/>
          <w:i/>
          <w:sz w:val="20"/>
        </w:rPr>
        <w:t>Union Telephone Co. v. Qwest Corp</w:t>
      </w:r>
      <w:r w:rsidRPr="00B91149">
        <w:rPr>
          <w:bCs/>
          <w:sz w:val="20"/>
        </w:rPr>
        <w:t>.</w:t>
      </w:r>
      <w:r w:rsidRPr="00B91149">
        <w:rPr>
          <w:sz w:val="20"/>
        </w:rPr>
        <w:t>, 2004 WL 4960741 (D.Wyo. Sep 03, 2004) (NO. 02-CV-209-D)(2004) at 2 (“l</w:t>
      </w:r>
      <w:r w:rsidRPr="00B91149">
        <w:rPr>
          <w:bCs/>
          <w:sz w:val="20"/>
        </w:rPr>
        <w:t>ong</w:t>
      </w:r>
      <w:r w:rsidRPr="00B91149">
        <w:rPr>
          <w:sz w:val="20"/>
        </w:rPr>
        <w:t xml:space="preserve"> </w:t>
      </w:r>
      <w:r w:rsidRPr="00B91149">
        <w:rPr>
          <w:bCs/>
          <w:sz w:val="20"/>
        </w:rPr>
        <w:t>distance</w:t>
      </w:r>
      <w:r w:rsidRPr="00B91149">
        <w:rPr>
          <w:sz w:val="20"/>
        </w:rPr>
        <w:t>” (also known as “toll” or “</w:t>
      </w:r>
      <w:r w:rsidRPr="00B91149">
        <w:rPr>
          <w:bCs/>
          <w:sz w:val="20"/>
        </w:rPr>
        <w:t>interexchange</w:t>
      </w:r>
      <w:r w:rsidRPr="00B91149">
        <w:rPr>
          <w:sz w:val="20"/>
        </w:rPr>
        <w:t xml:space="preserve">”) </w:t>
      </w:r>
      <w:r w:rsidRPr="00B91149">
        <w:rPr>
          <w:bCs/>
          <w:sz w:val="20"/>
        </w:rPr>
        <w:t>service</w:t>
      </w:r>
      <w:r w:rsidRPr="00B91149">
        <w:rPr>
          <w:sz w:val="20"/>
        </w:rPr>
        <w:t xml:space="preserve"> refers to service offered to subscribers that permits them to place (or originate) calls that terminate outside of their local calling area).  </w:t>
      </w:r>
    </w:p>
  </w:footnote>
  <w:footnote w:id="47">
    <w:p w:rsidR="00AC3F7D" w:rsidRPr="00B91149" w:rsidRDefault="00AC3F7D" w:rsidP="00B91149">
      <w:pPr>
        <w:pStyle w:val="FootnoteText"/>
        <w:spacing w:after="120"/>
        <w:rPr>
          <w:sz w:val="20"/>
        </w:rPr>
      </w:pPr>
      <w:r w:rsidRPr="00B91149">
        <w:rPr>
          <w:rStyle w:val="FootnoteReference"/>
          <w:sz w:val="20"/>
        </w:rPr>
        <w:footnoteRef/>
      </w:r>
      <w:r w:rsidRPr="00B91149">
        <w:rPr>
          <w:sz w:val="20"/>
        </w:rPr>
        <w:t xml:space="preserve"> “Information service” is defined as the offering of a capability for generating, acquiring, storing, transforming, processing, retrieving, utilizing, or making available information via telecommunications, and includes electronic publishing, but does not include any use of any such capability for the management, control, or operation of a telecommunications system or the management of a telecommunications service.  47 U.S.C. § 153(24).</w:t>
      </w:r>
    </w:p>
  </w:footnote>
  <w:footnote w:id="48">
    <w:p w:rsidR="00AC3F7D" w:rsidRPr="00B91149" w:rsidRDefault="00AC3F7D" w:rsidP="00B91149">
      <w:pPr>
        <w:pStyle w:val="FootnoteText"/>
        <w:spacing w:after="120"/>
        <w:rPr>
          <w:sz w:val="20"/>
        </w:rPr>
      </w:pPr>
      <w:r w:rsidRPr="00B91149">
        <w:rPr>
          <w:rStyle w:val="FootnoteReference"/>
          <w:sz w:val="20"/>
        </w:rPr>
        <w:footnoteRef/>
      </w:r>
      <w:r w:rsidRPr="00B91149">
        <w:rPr>
          <w:sz w:val="20"/>
        </w:rPr>
        <w:t xml:space="preserve"> 47 U.S.C. § 620(a).</w:t>
      </w:r>
    </w:p>
  </w:footnote>
  <w:footnote w:id="49">
    <w:p w:rsidR="00AC3F7D" w:rsidRPr="00B91149" w:rsidRDefault="00AC3F7D" w:rsidP="00B91149">
      <w:pPr>
        <w:pStyle w:val="FootnoteText"/>
        <w:spacing w:after="120"/>
        <w:rPr>
          <w:sz w:val="20"/>
        </w:rPr>
      </w:pPr>
      <w:r w:rsidRPr="00B91149">
        <w:rPr>
          <w:rStyle w:val="FootnoteReference"/>
          <w:sz w:val="20"/>
        </w:rPr>
        <w:footnoteRef/>
      </w:r>
      <w:r w:rsidRPr="00B91149">
        <w:rPr>
          <w:sz w:val="20"/>
        </w:rPr>
        <w:t xml:space="preserve"> 47 C.F.R. § 64.610(c)(1) (defining “equipment” for purposes of the NDBEDP), (f)(1) (authorizing payment to certified programs for the cost of NDBEDP equipment distributed and related services provided).</w:t>
      </w:r>
    </w:p>
  </w:footnote>
  <w:footnote w:id="50">
    <w:p w:rsidR="00AC3F7D" w:rsidRPr="00B91149" w:rsidRDefault="00AC3F7D" w:rsidP="00B91149">
      <w:pPr>
        <w:pStyle w:val="FootnoteText"/>
        <w:spacing w:after="120"/>
        <w:rPr>
          <w:sz w:val="20"/>
        </w:rPr>
      </w:pPr>
      <w:r w:rsidRPr="00B91149">
        <w:rPr>
          <w:rStyle w:val="FootnoteReference"/>
          <w:sz w:val="20"/>
        </w:rPr>
        <w:footnoteRef/>
      </w:r>
      <w:r w:rsidRPr="00B91149">
        <w:rPr>
          <w:i/>
          <w:sz w:val="20"/>
        </w:rPr>
        <w:t xml:space="preserve"> See NDBEDP Report and Order</w:t>
      </w:r>
      <w:r w:rsidRPr="00B91149">
        <w:rPr>
          <w:sz w:val="20"/>
        </w:rPr>
        <w:t>, 26 FCC Rcd at 5665, ¶ 55.</w:t>
      </w:r>
    </w:p>
  </w:footnote>
  <w:footnote w:id="51">
    <w:p w:rsidR="00AC3F7D" w:rsidRPr="00B91149" w:rsidRDefault="00AC3F7D" w:rsidP="00B91149">
      <w:pPr>
        <w:pStyle w:val="FootnoteText"/>
        <w:spacing w:after="120"/>
        <w:rPr>
          <w:sz w:val="20"/>
        </w:rPr>
      </w:pPr>
      <w:r w:rsidRPr="00B91149">
        <w:rPr>
          <w:rStyle w:val="FootnoteReference"/>
          <w:sz w:val="20"/>
        </w:rPr>
        <w:footnoteRef/>
      </w:r>
      <w:r w:rsidRPr="00B91149">
        <w:rPr>
          <w:sz w:val="20"/>
        </w:rPr>
        <w:t xml:space="preserve"> 47 C.F.R. §§ 64.610(f)(2)(i), (iv).  </w:t>
      </w:r>
      <w:r w:rsidRPr="00B91149">
        <w:rPr>
          <w:i/>
          <w:sz w:val="20"/>
        </w:rPr>
        <w:t>See also NDBEDP Report and Order</w:t>
      </w:r>
      <w:r w:rsidRPr="00B91149">
        <w:rPr>
          <w:sz w:val="20"/>
        </w:rPr>
        <w:t>, 26 FCC Rcd at 5673-74, ¶¶ 75-76;</w:t>
      </w:r>
      <w:r w:rsidRPr="00B91149">
        <w:rPr>
          <w:i/>
          <w:sz w:val="20"/>
        </w:rPr>
        <w:t xml:space="preserve"> NDBEDP Expenses</w:t>
      </w:r>
      <w:r w:rsidRPr="00B91149">
        <w:rPr>
          <w:sz w:val="20"/>
        </w:rPr>
        <w:t xml:space="preserve"> at 1-2.  </w:t>
      </w:r>
    </w:p>
  </w:footnote>
  <w:footnote w:id="52">
    <w:p w:rsidR="00AC3F7D" w:rsidRPr="00B91149" w:rsidRDefault="00AC3F7D" w:rsidP="00B91149">
      <w:pPr>
        <w:pStyle w:val="FootnoteText"/>
        <w:spacing w:after="120"/>
        <w:rPr>
          <w:sz w:val="20"/>
        </w:rPr>
      </w:pPr>
      <w:r w:rsidRPr="00B91149">
        <w:rPr>
          <w:rStyle w:val="FootnoteReference"/>
          <w:sz w:val="20"/>
        </w:rPr>
        <w:footnoteRef/>
      </w:r>
      <w:r w:rsidRPr="00B91149">
        <w:rPr>
          <w:sz w:val="20"/>
        </w:rPr>
        <w:t xml:space="preserve"> </w:t>
      </w:r>
      <w:r w:rsidRPr="00B91149">
        <w:rPr>
          <w:i/>
          <w:sz w:val="20"/>
        </w:rPr>
        <w:t>See NDBEDP Report and Order</w:t>
      </w:r>
      <w:r w:rsidRPr="00B91149">
        <w:rPr>
          <w:sz w:val="20"/>
        </w:rPr>
        <w:t>, 26 FCC Rcd at 5666, ¶ 58.</w:t>
      </w:r>
    </w:p>
  </w:footnote>
  <w:footnote w:id="53">
    <w:p w:rsidR="00AC3F7D" w:rsidRPr="00B91149" w:rsidRDefault="00AC3F7D" w:rsidP="00B91149">
      <w:pPr>
        <w:pStyle w:val="FootnoteText"/>
        <w:spacing w:after="120"/>
        <w:rPr>
          <w:sz w:val="20"/>
        </w:rPr>
      </w:pPr>
      <w:r w:rsidRPr="00B91149">
        <w:rPr>
          <w:rStyle w:val="FootnoteReference"/>
          <w:sz w:val="20"/>
        </w:rPr>
        <w:footnoteRef/>
      </w:r>
      <w:r w:rsidRPr="00B91149">
        <w:rPr>
          <w:sz w:val="20"/>
        </w:rPr>
        <w:t xml:space="preserve"> 47 C.F.R. § 64.610(e)(iii).</w:t>
      </w:r>
    </w:p>
  </w:footnote>
  <w:footnote w:id="54">
    <w:p w:rsidR="00AC3F7D" w:rsidRPr="00B91149" w:rsidRDefault="00AC3F7D" w:rsidP="00B91149">
      <w:pPr>
        <w:pStyle w:val="FootnoteText"/>
        <w:spacing w:after="120"/>
        <w:rPr>
          <w:sz w:val="20"/>
        </w:rPr>
      </w:pPr>
      <w:r w:rsidRPr="00B91149">
        <w:rPr>
          <w:rStyle w:val="FootnoteReference"/>
          <w:sz w:val="20"/>
        </w:rPr>
        <w:footnoteRef/>
      </w:r>
      <w:r w:rsidRPr="00B91149">
        <w:rPr>
          <w:sz w:val="20"/>
        </w:rPr>
        <w:t xml:space="preserve"> 47 C.F.R. § 64.610(f)(2)(ii).</w:t>
      </w:r>
    </w:p>
  </w:footnote>
  <w:footnote w:id="55">
    <w:p w:rsidR="00AC3F7D" w:rsidRPr="00B91149" w:rsidRDefault="00AC3F7D" w:rsidP="00B91149">
      <w:pPr>
        <w:pStyle w:val="FootnoteText"/>
        <w:spacing w:after="120"/>
        <w:rPr>
          <w:i/>
          <w:sz w:val="20"/>
        </w:rPr>
      </w:pPr>
      <w:r w:rsidRPr="00B91149">
        <w:rPr>
          <w:rStyle w:val="FootnoteReference"/>
          <w:sz w:val="20"/>
        </w:rPr>
        <w:footnoteRef/>
      </w:r>
      <w:r w:rsidRPr="00B91149">
        <w:rPr>
          <w:sz w:val="20"/>
        </w:rPr>
        <w:t xml:space="preserve"> </w:t>
      </w:r>
      <w:r w:rsidRPr="00B91149">
        <w:rPr>
          <w:i/>
          <w:sz w:val="20"/>
        </w:rPr>
        <w:t>See NDBEDP Report and Order</w:t>
      </w:r>
      <w:r w:rsidRPr="00B91149">
        <w:rPr>
          <w:sz w:val="20"/>
        </w:rPr>
        <w:t xml:space="preserve">, 26 FCC Rcd at 5668, ¶ 65.  </w:t>
      </w:r>
      <w:r w:rsidRPr="00B91149">
        <w:rPr>
          <w:i/>
          <w:sz w:val="20"/>
        </w:rPr>
        <w:t>See also NDBEDP Expenses</w:t>
      </w:r>
      <w:r w:rsidRPr="00B91149">
        <w:rPr>
          <w:sz w:val="20"/>
        </w:rPr>
        <w:t xml:space="preserve"> at 1.</w:t>
      </w:r>
    </w:p>
  </w:footnote>
  <w:footnote w:id="56">
    <w:p w:rsidR="00AC3F7D" w:rsidRPr="00B91149" w:rsidRDefault="00AC3F7D" w:rsidP="00B91149">
      <w:pPr>
        <w:pStyle w:val="FootnoteText"/>
        <w:spacing w:after="120"/>
        <w:rPr>
          <w:sz w:val="20"/>
        </w:rPr>
      </w:pPr>
      <w:r w:rsidRPr="00B91149">
        <w:rPr>
          <w:rStyle w:val="FootnoteReference"/>
          <w:sz w:val="20"/>
        </w:rPr>
        <w:footnoteRef/>
      </w:r>
      <w:r w:rsidRPr="00B91149">
        <w:rPr>
          <w:sz w:val="20"/>
        </w:rPr>
        <w:t xml:space="preserve"> 47 C.F.R. § 64.610(f)(2)(iii).</w:t>
      </w:r>
      <w:r w:rsidRPr="00B91149">
        <w:rPr>
          <w:i/>
          <w:sz w:val="20"/>
        </w:rPr>
        <w:t xml:space="preserve">  See also NDBEDP Report and Order</w:t>
      </w:r>
      <w:r w:rsidRPr="00B91149">
        <w:rPr>
          <w:sz w:val="20"/>
        </w:rPr>
        <w:t xml:space="preserve">, 26 FCC Rcd at 5670-71, ¶ 69.  </w:t>
      </w:r>
    </w:p>
  </w:footnote>
  <w:footnote w:id="57">
    <w:p w:rsidR="00AC3F7D" w:rsidRPr="00B91149" w:rsidRDefault="00AC3F7D" w:rsidP="00B91149">
      <w:pPr>
        <w:pStyle w:val="FootnoteText"/>
        <w:spacing w:after="120"/>
        <w:rPr>
          <w:sz w:val="20"/>
        </w:rPr>
      </w:pPr>
      <w:r w:rsidRPr="00B91149">
        <w:rPr>
          <w:rStyle w:val="FootnoteReference"/>
          <w:sz w:val="20"/>
        </w:rPr>
        <w:footnoteRef/>
      </w:r>
      <w:r w:rsidRPr="00B91149">
        <w:rPr>
          <w:sz w:val="20"/>
        </w:rPr>
        <w:t xml:space="preserve"> </w:t>
      </w:r>
      <w:r w:rsidRPr="00B91149">
        <w:rPr>
          <w:i/>
          <w:sz w:val="20"/>
        </w:rPr>
        <w:t>See NDBEDP Expenses</w:t>
      </w:r>
      <w:r w:rsidRPr="00B91149">
        <w:rPr>
          <w:sz w:val="20"/>
        </w:rPr>
        <w:t xml:space="preserve"> at 2.</w:t>
      </w:r>
    </w:p>
  </w:footnote>
  <w:footnote w:id="58">
    <w:p w:rsidR="00AC3F7D" w:rsidRPr="00B91149" w:rsidRDefault="00AC3F7D" w:rsidP="00B91149">
      <w:pPr>
        <w:pStyle w:val="FootnoteText"/>
        <w:spacing w:after="120"/>
        <w:rPr>
          <w:sz w:val="20"/>
        </w:rPr>
      </w:pPr>
      <w:r w:rsidRPr="00B91149">
        <w:rPr>
          <w:rStyle w:val="FootnoteReference"/>
          <w:sz w:val="20"/>
        </w:rPr>
        <w:footnoteRef/>
      </w:r>
      <w:r w:rsidRPr="00B91149">
        <w:rPr>
          <w:sz w:val="20"/>
        </w:rPr>
        <w:t xml:space="preserve"> </w:t>
      </w:r>
      <w:r w:rsidRPr="00B91149">
        <w:rPr>
          <w:i/>
          <w:sz w:val="20"/>
        </w:rPr>
        <w:t>See NDBEDP Report and Order</w:t>
      </w:r>
      <w:r w:rsidRPr="00B91149">
        <w:rPr>
          <w:sz w:val="20"/>
        </w:rPr>
        <w:t xml:space="preserve">, 26 FCC Rcd at 5671, ¶ 70.  </w:t>
      </w:r>
    </w:p>
  </w:footnote>
  <w:footnote w:id="59">
    <w:p w:rsidR="00AC3F7D" w:rsidRPr="00B91149" w:rsidRDefault="00AC3F7D" w:rsidP="00B91149">
      <w:pPr>
        <w:pStyle w:val="FootnoteText"/>
        <w:spacing w:after="120"/>
        <w:rPr>
          <w:i/>
          <w:sz w:val="20"/>
        </w:rPr>
      </w:pPr>
      <w:r w:rsidRPr="00B91149">
        <w:rPr>
          <w:rStyle w:val="FootnoteReference"/>
          <w:sz w:val="20"/>
        </w:rPr>
        <w:footnoteRef/>
      </w:r>
      <w:r w:rsidRPr="00B91149">
        <w:rPr>
          <w:sz w:val="20"/>
        </w:rPr>
        <w:t xml:space="preserve"> </w:t>
      </w:r>
      <w:r w:rsidRPr="00B91149">
        <w:rPr>
          <w:i/>
          <w:sz w:val="20"/>
        </w:rPr>
        <w:t>Id.</w:t>
      </w:r>
    </w:p>
  </w:footnote>
  <w:footnote w:id="60">
    <w:p w:rsidR="00AC3F7D" w:rsidRPr="00B91149" w:rsidRDefault="00AC3F7D" w:rsidP="00B91149">
      <w:pPr>
        <w:pStyle w:val="FootnoteText"/>
        <w:spacing w:after="120"/>
        <w:rPr>
          <w:i/>
          <w:sz w:val="20"/>
        </w:rPr>
      </w:pPr>
      <w:r w:rsidRPr="00B91149">
        <w:rPr>
          <w:rStyle w:val="FootnoteReference"/>
          <w:sz w:val="20"/>
        </w:rPr>
        <w:footnoteRef/>
      </w:r>
      <w:r w:rsidRPr="00B91149">
        <w:rPr>
          <w:sz w:val="20"/>
        </w:rPr>
        <w:t xml:space="preserve"> </w:t>
      </w:r>
      <w:r w:rsidRPr="00B91149">
        <w:rPr>
          <w:i/>
          <w:sz w:val="20"/>
        </w:rPr>
        <w:t>Id.</w:t>
      </w:r>
    </w:p>
  </w:footnote>
  <w:footnote w:id="61">
    <w:p w:rsidR="00AC3F7D" w:rsidRPr="00B91149" w:rsidRDefault="00AC3F7D" w:rsidP="00B91149">
      <w:pPr>
        <w:autoSpaceDE w:val="0"/>
        <w:autoSpaceDN w:val="0"/>
        <w:adjustRightInd w:val="0"/>
        <w:spacing w:after="120"/>
        <w:rPr>
          <w:sz w:val="20"/>
        </w:rPr>
      </w:pPr>
      <w:r w:rsidRPr="00B91149">
        <w:rPr>
          <w:rStyle w:val="FootnoteReference"/>
          <w:sz w:val="20"/>
        </w:rPr>
        <w:footnoteRef/>
      </w:r>
      <w:r w:rsidRPr="00B91149">
        <w:rPr>
          <w:sz w:val="20"/>
        </w:rPr>
        <w:t xml:space="preserve"> </w:t>
      </w:r>
      <w:r w:rsidRPr="00B91149">
        <w:rPr>
          <w:i/>
          <w:sz w:val="20"/>
        </w:rPr>
        <w:t xml:space="preserve">See </w:t>
      </w:r>
      <w:r w:rsidR="004E4350" w:rsidRPr="00B91149">
        <w:rPr>
          <w:i/>
          <w:sz w:val="20"/>
        </w:rPr>
        <w:t>id.</w:t>
      </w:r>
      <w:r w:rsidRPr="00B91149">
        <w:rPr>
          <w:sz w:val="20"/>
        </w:rPr>
        <w:t xml:space="preserve">, 26 FCC Rcd at 5675-76, ¶ 80.  </w:t>
      </w:r>
    </w:p>
  </w:footnote>
  <w:footnote w:id="62">
    <w:p w:rsidR="00AC3F7D" w:rsidRPr="00B91149" w:rsidRDefault="00AC3F7D" w:rsidP="00B91149">
      <w:pPr>
        <w:pStyle w:val="FootnoteText"/>
        <w:spacing w:after="120"/>
        <w:rPr>
          <w:sz w:val="20"/>
        </w:rPr>
      </w:pPr>
      <w:r w:rsidRPr="00B91149">
        <w:rPr>
          <w:rStyle w:val="FootnoteReference"/>
          <w:sz w:val="20"/>
        </w:rPr>
        <w:footnoteRef/>
      </w:r>
      <w:r w:rsidRPr="00B91149">
        <w:rPr>
          <w:sz w:val="20"/>
        </w:rPr>
        <w:t xml:space="preserve"> </w:t>
      </w:r>
      <w:r w:rsidRPr="00B91149">
        <w:rPr>
          <w:i/>
          <w:sz w:val="20"/>
        </w:rPr>
        <w:t>See Perkins School for the Blind to Conduct National Outreach for the National Deaf-Blind Equipment Distribution Program</w:t>
      </w:r>
      <w:r w:rsidRPr="00B91149">
        <w:rPr>
          <w:sz w:val="20"/>
        </w:rPr>
        <w:t xml:space="preserve">, Public Notice, 27 FCC Rcd 6143 (CGB 2012).  </w:t>
      </w:r>
    </w:p>
  </w:footnote>
  <w:footnote w:id="63">
    <w:p w:rsidR="00AC3F7D" w:rsidRPr="00B91149" w:rsidRDefault="00AC3F7D" w:rsidP="00B91149">
      <w:pPr>
        <w:pStyle w:val="FootnoteText"/>
        <w:spacing w:after="120"/>
        <w:rPr>
          <w:sz w:val="20"/>
        </w:rPr>
      </w:pPr>
      <w:r w:rsidRPr="00B91149">
        <w:rPr>
          <w:rStyle w:val="FootnoteReference"/>
          <w:sz w:val="20"/>
        </w:rPr>
        <w:footnoteRef/>
      </w:r>
      <w:r w:rsidRPr="00B91149">
        <w:rPr>
          <w:sz w:val="20"/>
        </w:rPr>
        <w:t xml:space="preserve"> The iCanConnect website at </w:t>
      </w:r>
      <w:hyperlink r:id="rId4" w:history="1">
        <w:r w:rsidRPr="00B91149">
          <w:rPr>
            <w:rStyle w:val="Hyperlink"/>
            <w:sz w:val="20"/>
          </w:rPr>
          <w:t>www.iCanConnect.org</w:t>
        </w:r>
      </w:hyperlink>
      <w:r w:rsidRPr="00B91149">
        <w:rPr>
          <w:sz w:val="20"/>
        </w:rPr>
        <w:t xml:space="preserve"> provides contact and other information for each of the 53 certified programs (called “State Partners”), news about the program nationwide (including coverage by news media and personal stories about how the program has benefitted equipment recipients), an overview of the types of communications equipment the program can provide, and additional resources.  </w:t>
      </w:r>
      <w:r w:rsidRPr="00B91149">
        <w:rPr>
          <w:i/>
          <w:sz w:val="20"/>
        </w:rPr>
        <w:t>See also</w:t>
      </w:r>
      <w:r w:rsidRPr="00B91149">
        <w:rPr>
          <w:sz w:val="20"/>
        </w:rPr>
        <w:t xml:space="preserve"> </w:t>
      </w:r>
      <w:hyperlink r:id="rId5" w:history="1">
        <w:r w:rsidRPr="00B91149">
          <w:rPr>
            <w:rStyle w:val="Hyperlink"/>
            <w:sz w:val="20"/>
          </w:rPr>
          <w:t>https://www.facebook.com/iCanConnect.org</w:t>
        </w:r>
      </w:hyperlink>
      <w:r w:rsidRPr="00B91149">
        <w:rPr>
          <w:sz w:val="20"/>
        </w:rPr>
        <w:t xml:space="preserve"> (Facebook), </w:t>
      </w:r>
      <w:hyperlink r:id="rId6" w:history="1">
        <w:r w:rsidRPr="00B91149">
          <w:rPr>
            <w:rStyle w:val="Hyperlink"/>
            <w:sz w:val="20"/>
          </w:rPr>
          <w:t>https://twitter.com/iCanConnect1</w:t>
        </w:r>
      </w:hyperlink>
      <w:r w:rsidRPr="00B91149">
        <w:rPr>
          <w:sz w:val="20"/>
        </w:rPr>
        <w:t xml:space="preserve"> (Twitter), and </w:t>
      </w:r>
      <w:hyperlink r:id="rId7" w:history="1">
        <w:r w:rsidRPr="00B91149">
          <w:rPr>
            <w:rStyle w:val="Hyperlink"/>
            <w:sz w:val="20"/>
          </w:rPr>
          <w:t>http://www.youtube.com/watch?v=wyQ6d9SgQ6s</w:t>
        </w:r>
      </w:hyperlink>
      <w:r w:rsidRPr="00B91149">
        <w:rPr>
          <w:sz w:val="20"/>
        </w:rPr>
        <w:t xml:space="preserve"> (60-second PSA), </w:t>
      </w:r>
      <w:hyperlink r:id="rId8" w:history="1">
        <w:r w:rsidRPr="00B91149">
          <w:rPr>
            <w:rStyle w:val="Hyperlink"/>
            <w:sz w:val="20"/>
          </w:rPr>
          <w:t>http://www.youtube.com/watch?v=DRlm8M7ieck</w:t>
        </w:r>
      </w:hyperlink>
      <w:r w:rsidRPr="00B91149">
        <w:rPr>
          <w:sz w:val="20"/>
        </w:rPr>
        <w:t xml:space="preserve"> (30-second PSA), and </w:t>
      </w:r>
      <w:hyperlink r:id="rId9" w:history="1">
        <w:r w:rsidRPr="00B91149">
          <w:rPr>
            <w:rStyle w:val="Hyperlink"/>
            <w:sz w:val="20"/>
          </w:rPr>
          <w:t>http://www.youtube.com/watch?v=eRAJKCINY9o</w:t>
        </w:r>
      </w:hyperlink>
      <w:r w:rsidRPr="00B91149">
        <w:rPr>
          <w:sz w:val="20"/>
        </w:rPr>
        <w:t xml:space="preserve"> (10-second PSA). </w:t>
      </w:r>
    </w:p>
  </w:footnote>
  <w:footnote w:id="64">
    <w:p w:rsidR="00AC3F7D" w:rsidRPr="00B91149" w:rsidRDefault="00AC3F7D" w:rsidP="00B91149">
      <w:pPr>
        <w:pStyle w:val="FootnoteText"/>
        <w:spacing w:after="120"/>
        <w:rPr>
          <w:sz w:val="20"/>
        </w:rPr>
      </w:pPr>
      <w:r w:rsidRPr="00B91149">
        <w:rPr>
          <w:rStyle w:val="FootnoteReference"/>
          <w:sz w:val="20"/>
        </w:rPr>
        <w:footnoteRef/>
      </w:r>
      <w:r w:rsidRPr="00B91149">
        <w:rPr>
          <w:sz w:val="20"/>
        </w:rPr>
        <w:t xml:space="preserve"> </w:t>
      </w:r>
      <w:r w:rsidRPr="00B91149">
        <w:rPr>
          <w:i/>
          <w:sz w:val="20"/>
        </w:rPr>
        <w:t xml:space="preserve">See </w:t>
      </w:r>
      <w:r w:rsidRPr="00B91149">
        <w:rPr>
          <w:sz w:val="20"/>
        </w:rPr>
        <w:t xml:space="preserve">iCanConnect “Year One Highlights,” September 26, 2013 (filed Nov. 20, 2013) (providing a synopsis of the first year of the NDBEDP pilot program, including national marketing and outreach efforts), available at </w:t>
      </w:r>
      <w:hyperlink r:id="rId10" w:history="1">
        <w:r w:rsidRPr="00B91149">
          <w:rPr>
            <w:rStyle w:val="Hyperlink"/>
            <w:sz w:val="20"/>
          </w:rPr>
          <w:t>http://apps.fcc.gov/ecfs/document/view?id=7520958851</w:t>
        </w:r>
      </w:hyperlink>
      <w:r w:rsidRPr="00B91149">
        <w:rPr>
          <w:sz w:val="20"/>
        </w:rPr>
        <w:t xml:space="preserve">.  </w:t>
      </w:r>
    </w:p>
  </w:footnote>
  <w:footnote w:id="65">
    <w:p w:rsidR="00AC3F7D" w:rsidRPr="00B91149" w:rsidRDefault="00AC3F7D" w:rsidP="00B91149">
      <w:pPr>
        <w:pStyle w:val="FootnoteText"/>
        <w:spacing w:after="120"/>
        <w:rPr>
          <w:sz w:val="20"/>
        </w:rPr>
      </w:pPr>
      <w:r w:rsidRPr="00B91149">
        <w:rPr>
          <w:rStyle w:val="FootnoteReference"/>
          <w:sz w:val="20"/>
        </w:rPr>
        <w:footnoteRef/>
      </w:r>
      <w:r w:rsidRPr="00B91149">
        <w:rPr>
          <w:sz w:val="20"/>
        </w:rPr>
        <w:t xml:space="preserve"> 47 C.F.R. § 64.610(f)(2)(v).  </w:t>
      </w:r>
      <w:r w:rsidRPr="00B91149">
        <w:rPr>
          <w:i/>
          <w:sz w:val="20"/>
        </w:rPr>
        <w:t>See also NDBEDP Report and Order</w:t>
      </w:r>
      <w:r w:rsidRPr="00B91149">
        <w:rPr>
          <w:sz w:val="20"/>
        </w:rPr>
        <w:t xml:space="preserve">, 26 FCC Rcd at 5675, ¶ 79; </w:t>
      </w:r>
      <w:r w:rsidRPr="00B91149">
        <w:rPr>
          <w:i/>
          <w:sz w:val="20"/>
        </w:rPr>
        <w:t>NDBEDP Expenses</w:t>
      </w:r>
      <w:r w:rsidRPr="00B91149">
        <w:rPr>
          <w:sz w:val="20"/>
        </w:rPr>
        <w:t xml:space="preserve"> at 2.</w:t>
      </w:r>
    </w:p>
  </w:footnote>
  <w:footnote w:id="66">
    <w:p w:rsidR="00AC3F7D" w:rsidRPr="00B91149" w:rsidRDefault="00AC3F7D" w:rsidP="00B91149">
      <w:pPr>
        <w:pStyle w:val="FootnoteText"/>
        <w:spacing w:after="120"/>
        <w:rPr>
          <w:sz w:val="20"/>
        </w:rPr>
      </w:pPr>
      <w:r w:rsidRPr="00B91149">
        <w:rPr>
          <w:rStyle w:val="FootnoteReference"/>
          <w:sz w:val="20"/>
        </w:rPr>
        <w:footnoteRef/>
      </w:r>
      <w:r w:rsidRPr="00B91149">
        <w:rPr>
          <w:sz w:val="20"/>
        </w:rPr>
        <w:t xml:space="preserve"> 47 C.F.R. § 64.610(g)(1).  </w:t>
      </w:r>
      <w:r w:rsidRPr="00B91149">
        <w:rPr>
          <w:i/>
          <w:sz w:val="20"/>
        </w:rPr>
        <w:t>See also NDBEDP Report and Order</w:t>
      </w:r>
      <w:r w:rsidRPr="00B91149">
        <w:rPr>
          <w:sz w:val="20"/>
        </w:rPr>
        <w:t xml:space="preserve">, 26 FCC Rcd at 5683-84, ¶ 99.  Each report must be accompanied by a declaration made under penalty of perjury attesting to the truth and accuracy of the submission.  47 C.F.R. § 64.610(g)(2).  </w:t>
      </w:r>
    </w:p>
  </w:footnote>
  <w:footnote w:id="67">
    <w:p w:rsidR="00AC3F7D" w:rsidRPr="00B91149" w:rsidRDefault="00AC3F7D" w:rsidP="00B91149">
      <w:pPr>
        <w:pStyle w:val="FootnoteText"/>
        <w:spacing w:after="120"/>
        <w:rPr>
          <w:i/>
          <w:sz w:val="20"/>
        </w:rPr>
      </w:pPr>
      <w:r w:rsidRPr="00B91149">
        <w:rPr>
          <w:rStyle w:val="FootnoteReference"/>
          <w:sz w:val="20"/>
        </w:rPr>
        <w:footnoteRef/>
      </w:r>
      <w:r w:rsidRPr="00B91149">
        <w:rPr>
          <w:sz w:val="20"/>
        </w:rPr>
        <w:t xml:space="preserve"> </w:t>
      </w:r>
      <w:r w:rsidRPr="00B91149">
        <w:rPr>
          <w:i/>
          <w:sz w:val="20"/>
        </w:rPr>
        <w:t xml:space="preserve">See </w:t>
      </w:r>
      <w:r w:rsidRPr="00B91149">
        <w:rPr>
          <w:sz w:val="20"/>
        </w:rPr>
        <w:t xml:space="preserve">47 C.F.R. § 64.610(g)(1).  </w:t>
      </w:r>
    </w:p>
  </w:footnote>
  <w:footnote w:id="68">
    <w:p w:rsidR="00AC3F7D" w:rsidRPr="00B91149" w:rsidRDefault="00AC3F7D" w:rsidP="00B91149">
      <w:pPr>
        <w:pStyle w:val="FootnoteText"/>
        <w:spacing w:after="120"/>
        <w:rPr>
          <w:sz w:val="20"/>
        </w:rPr>
      </w:pPr>
      <w:r w:rsidRPr="00B91149">
        <w:rPr>
          <w:rStyle w:val="FootnoteReference"/>
          <w:sz w:val="20"/>
        </w:rPr>
        <w:footnoteRef/>
      </w:r>
      <w:r w:rsidRPr="00B91149">
        <w:rPr>
          <w:sz w:val="20"/>
        </w:rPr>
        <w:t xml:space="preserve"> </w:t>
      </w:r>
      <w:r w:rsidRPr="00B91149">
        <w:rPr>
          <w:i/>
          <w:sz w:val="20"/>
        </w:rPr>
        <w:t>See NDBEDP Report and Order</w:t>
      </w:r>
      <w:r w:rsidRPr="00B91149">
        <w:rPr>
          <w:sz w:val="20"/>
        </w:rPr>
        <w:t xml:space="preserve">, 26 FCC Rcd at 5683, ¶ 98.  </w:t>
      </w:r>
    </w:p>
  </w:footnote>
  <w:footnote w:id="69">
    <w:p w:rsidR="00AC3F7D" w:rsidRPr="00B91149" w:rsidRDefault="00AC3F7D" w:rsidP="00B91149">
      <w:pPr>
        <w:pStyle w:val="FootnoteText"/>
        <w:spacing w:after="120"/>
        <w:rPr>
          <w:sz w:val="20"/>
        </w:rPr>
      </w:pPr>
      <w:r w:rsidRPr="00B91149">
        <w:rPr>
          <w:rStyle w:val="FootnoteReference"/>
          <w:sz w:val="20"/>
        </w:rPr>
        <w:footnoteRef/>
      </w:r>
      <w:r w:rsidRPr="00B91149">
        <w:rPr>
          <w:sz w:val="20"/>
        </w:rPr>
        <w:t xml:space="preserve"> By “qualitative,” we are referring to narrative or other non-statistical, non-quantitative information about the program that might help us oversee the NDBEDP.</w:t>
      </w:r>
    </w:p>
  </w:footnote>
  <w:footnote w:id="70">
    <w:p w:rsidR="00AC3F7D" w:rsidRPr="00B91149" w:rsidRDefault="00AC3F7D" w:rsidP="00B91149">
      <w:pPr>
        <w:pStyle w:val="FootnoteText"/>
        <w:spacing w:after="120"/>
        <w:rPr>
          <w:sz w:val="20"/>
        </w:rPr>
      </w:pPr>
      <w:r w:rsidRPr="00B91149">
        <w:rPr>
          <w:rStyle w:val="FootnoteReference"/>
          <w:sz w:val="20"/>
        </w:rPr>
        <w:footnoteRef/>
      </w:r>
      <w:r w:rsidRPr="00B91149">
        <w:rPr>
          <w:sz w:val="20"/>
        </w:rPr>
        <w:t xml:space="preserve"> 47 C.F.R. § 64.610(e)(1)(vii).  </w:t>
      </w:r>
      <w:r w:rsidRPr="00B91149">
        <w:rPr>
          <w:i/>
          <w:sz w:val="20"/>
        </w:rPr>
        <w:t>See also NDBEDP Report and Order</w:t>
      </w:r>
      <w:r w:rsidRPr="00B91149">
        <w:rPr>
          <w:sz w:val="20"/>
        </w:rPr>
        <w:t xml:space="preserve">, 26 FCC Rcd at 5684, ¶ 100.  </w:t>
      </w:r>
      <w:r w:rsidRPr="00B91149">
        <w:rPr>
          <w:i/>
          <w:sz w:val="20"/>
        </w:rPr>
        <w:t>See also NDBEDP FAQ</w:t>
      </w:r>
      <w:r w:rsidRPr="00B91149">
        <w:rPr>
          <w:sz w:val="20"/>
        </w:rPr>
        <w:t xml:space="preserve"> 25.</w:t>
      </w:r>
    </w:p>
  </w:footnote>
  <w:footnote w:id="71">
    <w:p w:rsidR="00AC3F7D" w:rsidRPr="00B91149" w:rsidRDefault="00AC3F7D" w:rsidP="00B91149">
      <w:pPr>
        <w:pStyle w:val="FootnoteText"/>
        <w:spacing w:after="120"/>
        <w:rPr>
          <w:sz w:val="20"/>
        </w:rPr>
      </w:pPr>
      <w:r w:rsidRPr="00B91149">
        <w:rPr>
          <w:rStyle w:val="FootnoteReference"/>
          <w:sz w:val="20"/>
        </w:rPr>
        <w:footnoteRef/>
      </w:r>
      <w:r w:rsidRPr="00B91149">
        <w:rPr>
          <w:sz w:val="20"/>
        </w:rPr>
        <w:t xml:space="preserve"> 47 C.F.R. §§ 1.415, 1.419.</w:t>
      </w:r>
    </w:p>
  </w:footnote>
  <w:footnote w:id="72">
    <w:p w:rsidR="00AC3F7D" w:rsidRPr="00B91149" w:rsidRDefault="00AC3F7D" w:rsidP="00B91149">
      <w:pPr>
        <w:pStyle w:val="FootnoteText"/>
        <w:spacing w:after="120"/>
        <w:rPr>
          <w:sz w:val="20"/>
        </w:rPr>
      </w:pPr>
      <w:r w:rsidRPr="00B91149">
        <w:rPr>
          <w:rStyle w:val="FootnoteReference"/>
          <w:sz w:val="20"/>
        </w:rPr>
        <w:footnoteRef/>
      </w:r>
      <w:r w:rsidRPr="00B91149">
        <w:rPr>
          <w:sz w:val="20"/>
        </w:rPr>
        <w:t xml:space="preserve"> See </w:t>
      </w:r>
      <w:r w:rsidRPr="00B91149">
        <w:rPr>
          <w:i/>
          <w:sz w:val="20"/>
        </w:rPr>
        <w:t>Electronic Filing of Documents in Rulemaking Proceedings</w:t>
      </w:r>
      <w:r w:rsidRPr="00B91149">
        <w:rPr>
          <w:sz w:val="20"/>
        </w:rPr>
        <w:t>, 63 FR 24121 (1998).</w:t>
      </w:r>
    </w:p>
  </w:footnote>
  <w:footnote w:id="73">
    <w:p w:rsidR="00AC3F7D" w:rsidRPr="00B91149" w:rsidRDefault="00AC3F7D" w:rsidP="00B91149">
      <w:pPr>
        <w:pStyle w:val="FootnoteText"/>
        <w:spacing w:after="120"/>
        <w:rPr>
          <w:sz w:val="20"/>
          <w:lang w:val="fr-FR"/>
        </w:rPr>
      </w:pPr>
      <w:r w:rsidRPr="00B91149">
        <w:rPr>
          <w:rStyle w:val="FootnoteReference"/>
          <w:sz w:val="20"/>
        </w:rPr>
        <w:footnoteRef/>
      </w:r>
      <w:r w:rsidRPr="00B91149">
        <w:rPr>
          <w:sz w:val="20"/>
          <w:lang w:val="fr-FR"/>
        </w:rPr>
        <w:t xml:space="preserve"> 47 C.F.R. §§ 1.200 </w:t>
      </w:r>
      <w:r w:rsidRPr="00B91149">
        <w:rPr>
          <w:i/>
          <w:sz w:val="20"/>
          <w:lang w:val="fr-FR"/>
        </w:rPr>
        <w:t>et seq</w:t>
      </w:r>
      <w:r w:rsidRPr="00B91149">
        <w:rPr>
          <w:sz w:val="20"/>
          <w:lang w:val="fr-FR"/>
        </w:rPr>
        <w:t>.</w:t>
      </w:r>
    </w:p>
  </w:footnote>
  <w:footnote w:id="74">
    <w:p w:rsidR="00AC3F7D" w:rsidRPr="00B91149" w:rsidRDefault="00AC3F7D" w:rsidP="00B91149">
      <w:pPr>
        <w:pStyle w:val="FootnoteText"/>
        <w:spacing w:after="120"/>
        <w:rPr>
          <w:sz w:val="20"/>
          <w:lang w:val="fr-FR"/>
        </w:rPr>
      </w:pPr>
      <w:r w:rsidRPr="00B91149">
        <w:rPr>
          <w:rStyle w:val="FootnoteReference"/>
          <w:sz w:val="20"/>
        </w:rPr>
        <w:footnoteRef/>
      </w:r>
      <w:r w:rsidRPr="00B91149">
        <w:rPr>
          <w:sz w:val="20"/>
          <w:lang w:val="fr-FR"/>
        </w:rPr>
        <w:t xml:space="preserve"> 47 C.F.R. § 1.1206(b).</w:t>
      </w:r>
    </w:p>
  </w:footnote>
  <w:footnote w:id="75">
    <w:p w:rsidR="00AC3F7D" w:rsidRPr="00B91149" w:rsidRDefault="00AC3F7D" w:rsidP="00B91149">
      <w:pPr>
        <w:pStyle w:val="FootnoteText"/>
        <w:spacing w:after="120"/>
        <w:rPr>
          <w:sz w:val="20"/>
        </w:rPr>
      </w:pPr>
      <w:r w:rsidRPr="00B91149">
        <w:rPr>
          <w:rStyle w:val="FootnoteReference"/>
          <w:sz w:val="20"/>
        </w:rPr>
        <w:footnoteRef/>
      </w:r>
      <w:r w:rsidRPr="00B91149">
        <w:rPr>
          <w:sz w:val="20"/>
        </w:rPr>
        <w:t xml:space="preserve"> 47 C.R.R. § 1.49(f).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35" w:rsidRDefault="00E628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F7D" w:rsidRDefault="00AC3F7D" w:rsidP="00DB02EE">
    <w:pPr>
      <w:pStyle w:val="Header"/>
      <w:tabs>
        <w:tab w:val="clear" w:pos="4320"/>
        <w:tab w:val="clear"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F7D" w:rsidRPr="00F65993" w:rsidRDefault="006D3904">
    <w:pPr>
      <w:pStyle w:val="Header"/>
      <w:tabs>
        <w:tab w:val="clear" w:pos="4320"/>
        <w:tab w:val="clear" w:pos="8640"/>
      </w:tabs>
      <w:spacing w:before="40"/>
      <w:ind w:firstLine="1080"/>
      <w:rPr>
        <w:rFonts w:ascii="Arial" w:hAnsi="Arial" w:cs="Arial"/>
        <w:b/>
        <w:kern w:val="28"/>
        <w:sz w:val="96"/>
      </w:rPr>
    </w:pPr>
    <w:r>
      <w:rPr>
        <w:rFonts w:ascii="Arial" w:hAnsi="Arial" w:cs="Arial"/>
        <w:b/>
        <w:noProof/>
        <w:sz w:val="24"/>
      </w:rPr>
      <mc:AlternateContent>
        <mc:Choice Requires="wps">
          <w:drawing>
            <wp:anchor distT="0" distB="0" distL="114300" distR="114300" simplePos="0" relativeHeight="251656192" behindDoc="0" locked="0" layoutInCell="0" allowOverlap="1">
              <wp:simplePos x="0" y="0"/>
              <wp:positionH relativeFrom="column">
                <wp:posOffset>641985</wp:posOffset>
              </wp:positionH>
              <wp:positionV relativeFrom="paragraph">
                <wp:posOffset>688340</wp:posOffset>
              </wp:positionV>
              <wp:extent cx="3071495" cy="6832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683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F7D" w:rsidRDefault="00AC3F7D">
                          <w:pPr>
                            <w:jc w:val="both"/>
                            <w:rPr>
                              <w:rFonts w:ascii="Arial" w:hAnsi="Arial"/>
                              <w:b/>
                            </w:rPr>
                          </w:pPr>
                          <w:r>
                            <w:rPr>
                              <w:rFonts w:ascii="Arial" w:hAnsi="Arial"/>
                              <w:b/>
                            </w:rPr>
                            <w:t>Federal Communications Commission</w:t>
                          </w:r>
                        </w:p>
                        <w:p w:rsidR="00AC3F7D" w:rsidRDefault="00AC3F7D">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AC3F7D" w:rsidRDefault="00AC3F7D">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55pt;margin-top:54.2pt;width:241.85pt;height:5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hphQ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" o:allowincell="f" stroked="f">
              <v:textbox>
                <w:txbxContent>
                  <w:p w:rsidR="00AC3F7D" w:rsidRDefault="00AC3F7D">
                    <w:pPr>
                      <w:jc w:val="both"/>
                      <w:rPr>
                        <w:rFonts w:ascii="Arial" w:hAnsi="Arial"/>
                        <w:b/>
                      </w:rPr>
                    </w:pPr>
                    <w:r>
                      <w:rPr>
                        <w:rFonts w:ascii="Arial" w:hAnsi="Arial"/>
                        <w:b/>
                      </w:rPr>
                      <w:t>Federal Communications Commission</w:t>
                    </w:r>
                  </w:p>
                  <w:p w:rsidR="00AC3F7D" w:rsidRDefault="00AC3F7D">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AC3F7D" w:rsidRDefault="00AC3F7D">
                    <w:pPr>
                      <w:rPr>
                        <w:rFonts w:ascii="Arial" w:hAnsi="Arial"/>
                        <w:sz w:val="24"/>
                      </w:rPr>
                    </w:pPr>
                    <w:r>
                      <w:rPr>
                        <w:rFonts w:ascii="Arial" w:hAnsi="Arial"/>
                        <w:b/>
                      </w:rPr>
                      <w:t>Washington, D.C.  20554</w:t>
                    </w:r>
                  </w:p>
                </w:txbxContent>
              </v:textbox>
            </v:shape>
          </w:pict>
        </mc:Fallback>
      </mc:AlternateContent>
    </w:r>
    <w:r>
      <w:rPr>
        <w:rFonts w:ascii="Arial" w:hAnsi="Arial" w:cs="Arial"/>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C3F7D" w:rsidRPr="00F65993">
      <w:rPr>
        <w:rFonts w:ascii="Arial" w:hAnsi="Arial" w:cs="Arial"/>
        <w:b/>
        <w:kern w:val="28"/>
        <w:sz w:val="96"/>
      </w:rPr>
      <w:t>PUBLIC NOTICE</w:t>
    </w:r>
  </w:p>
  <w:p w:rsidR="00AC3F7D" w:rsidRDefault="006D3904" w:rsidP="00DB02EE">
    <w:pPr>
      <w:pStyle w:val="Header"/>
      <w:tabs>
        <w:tab w:val="clear" w:pos="4320"/>
        <w:tab w:val="clear" w:pos="8640"/>
        <w:tab w:val="left" w:pos="1080"/>
      </w:tabs>
      <w:spacing w:line="1120" w:lineRule="exact"/>
      <w:ind w:left="720"/>
      <w:rPr>
        <w:rFonts w:ascii="Arial" w:hAnsi="Arial"/>
        <w:b/>
        <w:sz w:val="24"/>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3526790</wp:posOffset>
              </wp:positionH>
              <wp:positionV relativeFrom="paragraph">
                <wp:posOffset>76200</wp:posOffset>
              </wp:positionV>
              <wp:extent cx="2438400"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F7D" w:rsidRDefault="00AC3F7D">
                          <w:pPr>
                            <w:spacing w:before="40"/>
                            <w:jc w:val="right"/>
                            <w:rPr>
                              <w:rFonts w:ascii="Arial" w:hAnsi="Arial"/>
                              <w:b/>
                              <w:sz w:val="16"/>
                            </w:rPr>
                          </w:pPr>
                          <w:r>
                            <w:rPr>
                              <w:rFonts w:ascii="Arial" w:hAnsi="Arial"/>
                              <w:b/>
                              <w:sz w:val="16"/>
                            </w:rPr>
                            <w:t>News Media Information 202 / 418-0500</w:t>
                          </w:r>
                        </w:p>
                        <w:p w:rsidR="00AC3F7D" w:rsidRDefault="00AC3F7D">
                          <w:pPr>
                            <w:jc w:val="right"/>
                            <w:rPr>
                              <w:rFonts w:ascii="Arial" w:hAnsi="Arial"/>
                              <w:b/>
                              <w:sz w:val="16"/>
                            </w:rPr>
                          </w:pPr>
                          <w:r>
                            <w:rPr>
                              <w:rFonts w:ascii="Arial" w:hAnsi="Arial"/>
                              <w:b/>
                              <w:sz w:val="16"/>
                            </w:rPr>
                            <w:t xml:space="preserve">Internet: </w:t>
                          </w:r>
                          <w:bookmarkStart w:id="1" w:name="_Hlt233824"/>
                          <w:r>
                            <w:rPr>
                              <w:rFonts w:ascii="Arial" w:hAnsi="Arial"/>
                              <w:b/>
                              <w:sz w:val="16"/>
                            </w:rPr>
                            <w:t xml:space="preserve"> h</w:t>
                          </w:r>
                          <w:bookmarkEnd w:id="1"/>
                          <w:r>
                            <w:rPr>
                              <w:rFonts w:ascii="Arial" w:hAnsi="Arial"/>
                              <w:b/>
                              <w:sz w:val="16"/>
                            </w:rPr>
                            <w:t>ttp://www.fcc.gov</w:t>
                          </w:r>
                        </w:p>
                        <w:p w:rsidR="00AC3F7D" w:rsidRDefault="00AC3F7D">
                          <w:pPr>
                            <w:jc w:val="right"/>
                            <w:rPr>
                              <w:rFonts w:ascii="Arial" w:hAnsi="Arial"/>
                              <w:b/>
                              <w:sz w:val="16"/>
                            </w:rPr>
                          </w:pPr>
                          <w:r>
                            <w:rPr>
                              <w:rFonts w:ascii="Arial" w:hAnsi="Arial"/>
                              <w:b/>
                              <w:sz w:val="16"/>
                            </w:rPr>
                            <w:t>TTY:  1-888-835-5322</w:t>
                          </w:r>
                        </w:p>
                        <w:p w:rsidR="00AC3F7D" w:rsidRDefault="00AC3F7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77.7pt;margin-top:6pt;width:19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" stroked="f">
              <v:textbox inset=",0,,0">
                <w:txbxContent>
                  <w:p w:rsidR="00AC3F7D" w:rsidRDefault="00AC3F7D">
                    <w:pPr>
                      <w:spacing w:before="40"/>
                      <w:jc w:val="right"/>
                      <w:rPr>
                        <w:rFonts w:ascii="Arial" w:hAnsi="Arial"/>
                        <w:b/>
                        <w:sz w:val="16"/>
                      </w:rPr>
                    </w:pPr>
                    <w:r>
                      <w:rPr>
                        <w:rFonts w:ascii="Arial" w:hAnsi="Arial"/>
                        <w:b/>
                        <w:sz w:val="16"/>
                      </w:rPr>
                      <w:t>News Media Information 202 / 418-0500</w:t>
                    </w:r>
                  </w:p>
                  <w:p w:rsidR="00AC3F7D" w:rsidRDefault="00AC3F7D">
                    <w:pPr>
                      <w:jc w:val="right"/>
                      <w:rPr>
                        <w:rFonts w:ascii="Arial" w:hAnsi="Arial"/>
                        <w:b/>
                        <w:sz w:val="16"/>
                      </w:rPr>
                    </w:pPr>
                    <w:r>
                      <w:rPr>
                        <w:rFonts w:ascii="Arial" w:hAnsi="Arial"/>
                        <w:b/>
                        <w:sz w:val="16"/>
                      </w:rPr>
                      <w:t xml:space="preserve">Internet: </w:t>
                    </w:r>
                    <w:bookmarkStart w:id="2" w:name="_Hlt233824"/>
                    <w:r>
                      <w:rPr>
                        <w:rFonts w:ascii="Arial" w:hAnsi="Arial"/>
                        <w:b/>
                        <w:sz w:val="16"/>
                      </w:rPr>
                      <w:t xml:space="preserve"> h</w:t>
                    </w:r>
                    <w:bookmarkEnd w:id="2"/>
                    <w:r>
                      <w:rPr>
                        <w:rFonts w:ascii="Arial" w:hAnsi="Arial"/>
                        <w:b/>
                        <w:sz w:val="16"/>
                      </w:rPr>
                      <w:t>ttp://www.fcc.gov</w:t>
                    </w:r>
                  </w:p>
                  <w:p w:rsidR="00AC3F7D" w:rsidRDefault="00AC3F7D">
                    <w:pPr>
                      <w:jc w:val="right"/>
                      <w:rPr>
                        <w:rFonts w:ascii="Arial" w:hAnsi="Arial"/>
                        <w:b/>
                        <w:sz w:val="16"/>
                      </w:rPr>
                    </w:pPr>
                    <w:r>
                      <w:rPr>
                        <w:rFonts w:ascii="Arial" w:hAnsi="Arial"/>
                        <w:b/>
                        <w:sz w:val="16"/>
                      </w:rPr>
                      <w:t>TTY:  1-888-835-5322</w:t>
                    </w:r>
                  </w:p>
                  <w:p w:rsidR="00AC3F7D" w:rsidRDefault="00AC3F7D">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30480</wp:posOffset>
              </wp:positionH>
              <wp:positionV relativeFrom="paragraph">
                <wp:posOffset>645160</wp:posOffset>
              </wp:positionV>
              <wp:extent cx="593471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50.8pt" to="469.7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5ur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pStyle w:val="ParaNum"/>
      <w:lvlText w:val="%1."/>
      <w:lvlJc w:val="left"/>
      <w:pPr>
        <w:tabs>
          <w:tab w:val="num" w:pos="1080"/>
        </w:tabs>
        <w:ind w:left="0" w:firstLine="720"/>
      </w:pPr>
      <w:rPr>
        <w:b w:val="0"/>
        <w:i w:val="0"/>
      </w:rPr>
    </w:lvl>
  </w:abstractNum>
  <w:abstractNum w:abstractNumId="1">
    <w:nsid w:val="036602A8"/>
    <w:multiLevelType w:val="hybridMultilevel"/>
    <w:tmpl w:val="4134BBF8"/>
    <w:lvl w:ilvl="0" w:tplc="04090003">
      <w:start w:val="1"/>
      <w:numFmt w:val="bullet"/>
      <w:lvlText w:val="o"/>
      <w:lvlJc w:val="left"/>
      <w:pPr>
        <w:tabs>
          <w:tab w:val="num" w:pos="1440"/>
        </w:tabs>
        <w:ind w:left="1440" w:hanging="360"/>
      </w:pPr>
      <w:rPr>
        <w:rFonts w:ascii="Courier New" w:hAnsi="Courier New" w:cs="Marlett" w:hint="default"/>
      </w:rPr>
    </w:lvl>
    <w:lvl w:ilvl="1" w:tplc="04090003" w:tentative="1">
      <w:start w:val="1"/>
      <w:numFmt w:val="bullet"/>
      <w:lvlText w:val="o"/>
      <w:lvlJc w:val="left"/>
      <w:pPr>
        <w:tabs>
          <w:tab w:val="num" w:pos="2160"/>
        </w:tabs>
        <w:ind w:left="2160" w:hanging="360"/>
      </w:pPr>
      <w:rPr>
        <w:rFonts w:ascii="Courier New" w:hAnsi="Courier New" w:cs="Marlett" w:hint="default"/>
      </w:rPr>
    </w:lvl>
    <w:lvl w:ilvl="2" w:tplc="04090005" w:tentative="1">
      <w:start w:val="1"/>
      <w:numFmt w:val="bullet"/>
      <w:lvlText w:val=""/>
      <w:lvlJc w:val="left"/>
      <w:pPr>
        <w:tabs>
          <w:tab w:val="num" w:pos="2880"/>
        </w:tabs>
        <w:ind w:left="2880" w:hanging="360"/>
      </w:pPr>
      <w:rPr>
        <w:rFonts w:ascii="Marlett" w:hAnsi="Marlett"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Marlett" w:hint="default"/>
      </w:rPr>
    </w:lvl>
    <w:lvl w:ilvl="5" w:tplc="04090005" w:tentative="1">
      <w:start w:val="1"/>
      <w:numFmt w:val="bullet"/>
      <w:lvlText w:val=""/>
      <w:lvlJc w:val="left"/>
      <w:pPr>
        <w:tabs>
          <w:tab w:val="num" w:pos="5040"/>
        </w:tabs>
        <w:ind w:left="5040" w:hanging="360"/>
      </w:pPr>
      <w:rPr>
        <w:rFonts w:ascii="Marlett" w:hAnsi="Marlett"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Marlett" w:hint="default"/>
      </w:rPr>
    </w:lvl>
    <w:lvl w:ilvl="8" w:tplc="04090005" w:tentative="1">
      <w:start w:val="1"/>
      <w:numFmt w:val="bullet"/>
      <w:lvlText w:val=""/>
      <w:lvlJc w:val="left"/>
      <w:pPr>
        <w:tabs>
          <w:tab w:val="num" w:pos="7200"/>
        </w:tabs>
        <w:ind w:left="7200" w:hanging="360"/>
      </w:pPr>
      <w:rPr>
        <w:rFonts w:ascii="Marlett" w:hAnsi="Marlett" w:hint="default"/>
      </w:rPr>
    </w:lvl>
  </w:abstractNum>
  <w:abstractNum w:abstractNumId="2">
    <w:nsid w:val="044C7657"/>
    <w:multiLevelType w:val="multilevel"/>
    <w:tmpl w:val="F24E5598"/>
    <w:lvl w:ilvl="0">
      <w:start w:val="1"/>
      <w:numFmt w:val="bullet"/>
      <w:lvlText w:val=""/>
      <w:lvlJc w:val="left"/>
      <w:pPr>
        <w:tabs>
          <w:tab w:val="num" w:pos="1440"/>
        </w:tabs>
        <w:ind w:left="1440" w:hanging="360"/>
      </w:pPr>
      <w:rPr>
        <w:rFonts w:ascii="Marlett" w:hAnsi="Marlett" w:hint="default"/>
      </w:rPr>
    </w:lvl>
    <w:lvl w:ilvl="1">
      <w:start w:val="1"/>
      <w:numFmt w:val="bullet"/>
      <w:lvlText w:val="o"/>
      <w:lvlJc w:val="left"/>
      <w:pPr>
        <w:tabs>
          <w:tab w:val="num" w:pos="2160"/>
        </w:tabs>
        <w:ind w:left="2160" w:hanging="360"/>
      </w:pPr>
      <w:rPr>
        <w:rFonts w:ascii="Courier New" w:hAnsi="Courier New" w:cs="Marlett" w:hint="default"/>
      </w:rPr>
    </w:lvl>
    <w:lvl w:ilvl="2">
      <w:start w:val="1"/>
      <w:numFmt w:val="bullet"/>
      <w:lvlText w:val=""/>
      <w:lvlJc w:val="left"/>
      <w:pPr>
        <w:tabs>
          <w:tab w:val="num" w:pos="2880"/>
        </w:tabs>
        <w:ind w:left="2880" w:hanging="360"/>
      </w:pPr>
      <w:rPr>
        <w:rFonts w:ascii="Marlett" w:hAnsi="Marlett"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Marlett" w:hint="default"/>
      </w:rPr>
    </w:lvl>
    <w:lvl w:ilvl="5">
      <w:start w:val="1"/>
      <w:numFmt w:val="bullet"/>
      <w:lvlText w:val=""/>
      <w:lvlJc w:val="left"/>
      <w:pPr>
        <w:tabs>
          <w:tab w:val="num" w:pos="5040"/>
        </w:tabs>
        <w:ind w:left="5040" w:hanging="360"/>
      </w:pPr>
      <w:rPr>
        <w:rFonts w:ascii="Marlett" w:hAnsi="Marlett"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Marlett" w:hint="default"/>
      </w:rPr>
    </w:lvl>
    <w:lvl w:ilvl="8">
      <w:start w:val="1"/>
      <w:numFmt w:val="bullet"/>
      <w:lvlText w:val=""/>
      <w:lvlJc w:val="left"/>
      <w:pPr>
        <w:tabs>
          <w:tab w:val="num" w:pos="7200"/>
        </w:tabs>
        <w:ind w:left="7200" w:hanging="360"/>
      </w:pPr>
      <w:rPr>
        <w:rFonts w:ascii="Marlett" w:hAnsi="Marlett" w:hint="default"/>
      </w:rPr>
    </w:lvl>
  </w:abstractNum>
  <w:abstractNum w:abstractNumId="3">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56221DD"/>
    <w:multiLevelType w:val="hybridMultilevel"/>
    <w:tmpl w:val="9A8689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Marlet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Marlet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Marlet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23D71BB"/>
    <w:multiLevelType w:val="hybridMultilevel"/>
    <w:tmpl w:val="4176E1FE"/>
    <w:lvl w:ilvl="0" w:tplc="9C5AB6A4">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6">
    <w:nsid w:val="155C1407"/>
    <w:multiLevelType w:val="hybridMultilevel"/>
    <w:tmpl w:val="F0B876EA"/>
    <w:lvl w:ilvl="0" w:tplc="E140F02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5727D43"/>
    <w:multiLevelType w:val="hybridMultilevel"/>
    <w:tmpl w:val="ADB81E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69C0D5F"/>
    <w:multiLevelType w:val="multilevel"/>
    <w:tmpl w:val="4134BBF8"/>
    <w:lvl w:ilvl="0">
      <w:start w:val="1"/>
      <w:numFmt w:val="bullet"/>
      <w:lvlText w:val="o"/>
      <w:lvlJc w:val="left"/>
      <w:pPr>
        <w:tabs>
          <w:tab w:val="num" w:pos="1440"/>
        </w:tabs>
        <w:ind w:left="1440" w:hanging="360"/>
      </w:pPr>
      <w:rPr>
        <w:rFonts w:ascii="Courier New" w:hAnsi="Courier New" w:cs="Marlett" w:hint="default"/>
      </w:rPr>
    </w:lvl>
    <w:lvl w:ilvl="1">
      <w:start w:val="1"/>
      <w:numFmt w:val="bullet"/>
      <w:lvlText w:val="o"/>
      <w:lvlJc w:val="left"/>
      <w:pPr>
        <w:tabs>
          <w:tab w:val="num" w:pos="2160"/>
        </w:tabs>
        <w:ind w:left="2160" w:hanging="360"/>
      </w:pPr>
      <w:rPr>
        <w:rFonts w:ascii="Courier New" w:hAnsi="Courier New" w:cs="Marlett" w:hint="default"/>
      </w:rPr>
    </w:lvl>
    <w:lvl w:ilvl="2">
      <w:start w:val="1"/>
      <w:numFmt w:val="bullet"/>
      <w:lvlText w:val=""/>
      <w:lvlJc w:val="left"/>
      <w:pPr>
        <w:tabs>
          <w:tab w:val="num" w:pos="2880"/>
        </w:tabs>
        <w:ind w:left="2880" w:hanging="360"/>
      </w:pPr>
      <w:rPr>
        <w:rFonts w:ascii="Marlett" w:hAnsi="Marlett"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Marlett" w:hint="default"/>
      </w:rPr>
    </w:lvl>
    <w:lvl w:ilvl="5">
      <w:start w:val="1"/>
      <w:numFmt w:val="bullet"/>
      <w:lvlText w:val=""/>
      <w:lvlJc w:val="left"/>
      <w:pPr>
        <w:tabs>
          <w:tab w:val="num" w:pos="5040"/>
        </w:tabs>
        <w:ind w:left="5040" w:hanging="360"/>
      </w:pPr>
      <w:rPr>
        <w:rFonts w:ascii="Marlett" w:hAnsi="Marlett"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Marlett" w:hint="default"/>
      </w:rPr>
    </w:lvl>
    <w:lvl w:ilvl="8">
      <w:start w:val="1"/>
      <w:numFmt w:val="bullet"/>
      <w:lvlText w:val=""/>
      <w:lvlJc w:val="left"/>
      <w:pPr>
        <w:tabs>
          <w:tab w:val="num" w:pos="7200"/>
        </w:tabs>
        <w:ind w:left="7200" w:hanging="360"/>
      </w:pPr>
      <w:rPr>
        <w:rFonts w:ascii="Marlett" w:hAnsi="Marlett" w:hint="default"/>
      </w:rPr>
    </w:lvl>
  </w:abstractNum>
  <w:abstractNum w:abstractNumId="9">
    <w:nsid w:val="225B3F21"/>
    <w:multiLevelType w:val="hybridMultilevel"/>
    <w:tmpl w:val="40240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arlet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arlet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arlet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F8118A"/>
    <w:multiLevelType w:val="hybridMultilevel"/>
    <w:tmpl w:val="F06E4E0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2">
    <w:nsid w:val="2AD741EE"/>
    <w:multiLevelType w:val="hybridMultilevel"/>
    <w:tmpl w:val="1DFC9614"/>
    <w:lvl w:ilvl="0" w:tplc="D28E3030">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Marlett" w:hint="default"/>
      </w:rPr>
    </w:lvl>
    <w:lvl w:ilvl="2" w:tplc="04090005" w:tentative="1">
      <w:start w:val="1"/>
      <w:numFmt w:val="bullet"/>
      <w:lvlText w:val=""/>
      <w:lvlJc w:val="left"/>
      <w:pPr>
        <w:tabs>
          <w:tab w:val="num" w:pos="2880"/>
        </w:tabs>
        <w:ind w:left="2880" w:hanging="360"/>
      </w:pPr>
      <w:rPr>
        <w:rFonts w:ascii="Marlett" w:hAnsi="Marlett"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Marlett" w:hint="default"/>
      </w:rPr>
    </w:lvl>
    <w:lvl w:ilvl="5" w:tplc="04090005" w:tentative="1">
      <w:start w:val="1"/>
      <w:numFmt w:val="bullet"/>
      <w:lvlText w:val=""/>
      <w:lvlJc w:val="left"/>
      <w:pPr>
        <w:tabs>
          <w:tab w:val="num" w:pos="5040"/>
        </w:tabs>
        <w:ind w:left="5040" w:hanging="360"/>
      </w:pPr>
      <w:rPr>
        <w:rFonts w:ascii="Marlett" w:hAnsi="Marlett"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Marlett" w:hint="default"/>
      </w:rPr>
    </w:lvl>
    <w:lvl w:ilvl="8" w:tplc="04090005" w:tentative="1">
      <w:start w:val="1"/>
      <w:numFmt w:val="bullet"/>
      <w:lvlText w:val=""/>
      <w:lvlJc w:val="left"/>
      <w:pPr>
        <w:tabs>
          <w:tab w:val="num" w:pos="7200"/>
        </w:tabs>
        <w:ind w:left="7200" w:hanging="360"/>
      </w:pPr>
      <w:rPr>
        <w:rFonts w:ascii="Marlett" w:hAnsi="Marlett" w:hint="default"/>
      </w:rPr>
    </w:lvl>
  </w:abstractNum>
  <w:abstractNum w:abstractNumId="13">
    <w:nsid w:val="2F756A01"/>
    <w:multiLevelType w:val="hybridMultilevel"/>
    <w:tmpl w:val="F24E5598"/>
    <w:lvl w:ilvl="0" w:tplc="04090005">
      <w:start w:val="1"/>
      <w:numFmt w:val="bullet"/>
      <w:lvlText w:val=""/>
      <w:lvlJc w:val="left"/>
      <w:pPr>
        <w:tabs>
          <w:tab w:val="num" w:pos="1440"/>
        </w:tabs>
        <w:ind w:left="1440" w:hanging="360"/>
      </w:pPr>
      <w:rPr>
        <w:rFonts w:ascii="Marlett" w:hAnsi="Marlett" w:hint="default"/>
      </w:rPr>
    </w:lvl>
    <w:lvl w:ilvl="1" w:tplc="04090003" w:tentative="1">
      <w:start w:val="1"/>
      <w:numFmt w:val="bullet"/>
      <w:lvlText w:val="o"/>
      <w:lvlJc w:val="left"/>
      <w:pPr>
        <w:tabs>
          <w:tab w:val="num" w:pos="2160"/>
        </w:tabs>
        <w:ind w:left="2160" w:hanging="360"/>
      </w:pPr>
      <w:rPr>
        <w:rFonts w:ascii="Courier New" w:hAnsi="Courier New" w:cs="Marlett" w:hint="default"/>
      </w:rPr>
    </w:lvl>
    <w:lvl w:ilvl="2" w:tplc="04090005" w:tentative="1">
      <w:start w:val="1"/>
      <w:numFmt w:val="bullet"/>
      <w:lvlText w:val=""/>
      <w:lvlJc w:val="left"/>
      <w:pPr>
        <w:tabs>
          <w:tab w:val="num" w:pos="2880"/>
        </w:tabs>
        <w:ind w:left="2880" w:hanging="360"/>
      </w:pPr>
      <w:rPr>
        <w:rFonts w:ascii="Marlett" w:hAnsi="Marlett"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Marlett" w:hint="default"/>
      </w:rPr>
    </w:lvl>
    <w:lvl w:ilvl="5" w:tplc="04090005" w:tentative="1">
      <w:start w:val="1"/>
      <w:numFmt w:val="bullet"/>
      <w:lvlText w:val=""/>
      <w:lvlJc w:val="left"/>
      <w:pPr>
        <w:tabs>
          <w:tab w:val="num" w:pos="5040"/>
        </w:tabs>
        <w:ind w:left="5040" w:hanging="360"/>
      </w:pPr>
      <w:rPr>
        <w:rFonts w:ascii="Marlett" w:hAnsi="Marlett"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Marlett" w:hint="default"/>
      </w:rPr>
    </w:lvl>
    <w:lvl w:ilvl="8" w:tplc="04090005" w:tentative="1">
      <w:start w:val="1"/>
      <w:numFmt w:val="bullet"/>
      <w:lvlText w:val=""/>
      <w:lvlJc w:val="left"/>
      <w:pPr>
        <w:tabs>
          <w:tab w:val="num" w:pos="7200"/>
        </w:tabs>
        <w:ind w:left="7200" w:hanging="360"/>
      </w:pPr>
      <w:rPr>
        <w:rFonts w:ascii="Marlett" w:hAnsi="Marlett" w:hint="default"/>
      </w:rPr>
    </w:lvl>
  </w:abstractNum>
  <w:abstractNum w:abstractNumId="14">
    <w:nsid w:val="31DE54E0"/>
    <w:multiLevelType w:val="hybridMultilevel"/>
    <w:tmpl w:val="B34E2E3C"/>
    <w:lvl w:ilvl="0" w:tplc="1A6CE2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4265127"/>
    <w:multiLevelType w:val="hybridMultilevel"/>
    <w:tmpl w:val="247AD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arlet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arlet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arlet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F84030"/>
    <w:multiLevelType w:val="hybridMultilevel"/>
    <w:tmpl w:val="44609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3F09058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nsid w:val="404257B4"/>
    <w:multiLevelType w:val="hybridMultilevel"/>
    <w:tmpl w:val="879A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C33CC5"/>
    <w:multiLevelType w:val="hybridMultilevel"/>
    <w:tmpl w:val="3EF6C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F2512A"/>
    <w:multiLevelType w:val="hybridMultilevel"/>
    <w:tmpl w:val="D5EC5D32"/>
    <w:lvl w:ilvl="0" w:tplc="C5D06FEA">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22A1060"/>
    <w:multiLevelType w:val="hybridMultilevel"/>
    <w:tmpl w:val="C288537E"/>
    <w:lvl w:ilvl="0" w:tplc="3D2E68D2">
      <w:start w:val="1"/>
      <w:numFmt w:val="lowerLetter"/>
      <w:lvlText w:val="%1)"/>
      <w:lvlJc w:val="left"/>
      <w:pPr>
        <w:tabs>
          <w:tab w:val="num" w:pos="2400"/>
        </w:tabs>
        <w:ind w:left="2400" w:hanging="9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47990D69"/>
    <w:multiLevelType w:val="hybridMultilevel"/>
    <w:tmpl w:val="5EF69BB4"/>
    <w:lvl w:ilvl="0" w:tplc="B42224BA">
      <w:start w:val="1"/>
      <w:numFmt w:val="decimal"/>
      <w:lvlText w:val="%1."/>
      <w:lvlJc w:val="left"/>
      <w:pPr>
        <w:ind w:left="3432" w:hanging="360"/>
      </w:pPr>
      <w:rPr>
        <w:rFonts w:hint="default"/>
      </w:rPr>
    </w:lvl>
    <w:lvl w:ilvl="1" w:tplc="04090019" w:tentative="1">
      <w:start w:val="1"/>
      <w:numFmt w:val="lowerLetter"/>
      <w:lvlText w:val="%2."/>
      <w:lvlJc w:val="left"/>
      <w:pPr>
        <w:ind w:left="4152" w:hanging="360"/>
      </w:pPr>
    </w:lvl>
    <w:lvl w:ilvl="2" w:tplc="0409001B" w:tentative="1">
      <w:start w:val="1"/>
      <w:numFmt w:val="lowerRoman"/>
      <w:lvlText w:val="%3."/>
      <w:lvlJc w:val="right"/>
      <w:pPr>
        <w:ind w:left="4872" w:hanging="180"/>
      </w:pPr>
    </w:lvl>
    <w:lvl w:ilvl="3" w:tplc="0409000F" w:tentative="1">
      <w:start w:val="1"/>
      <w:numFmt w:val="decimal"/>
      <w:lvlText w:val="%4."/>
      <w:lvlJc w:val="left"/>
      <w:pPr>
        <w:ind w:left="5592" w:hanging="360"/>
      </w:pPr>
    </w:lvl>
    <w:lvl w:ilvl="4" w:tplc="04090019" w:tentative="1">
      <w:start w:val="1"/>
      <w:numFmt w:val="lowerLetter"/>
      <w:lvlText w:val="%5."/>
      <w:lvlJc w:val="left"/>
      <w:pPr>
        <w:ind w:left="6312" w:hanging="360"/>
      </w:pPr>
    </w:lvl>
    <w:lvl w:ilvl="5" w:tplc="0409001B" w:tentative="1">
      <w:start w:val="1"/>
      <w:numFmt w:val="lowerRoman"/>
      <w:lvlText w:val="%6."/>
      <w:lvlJc w:val="right"/>
      <w:pPr>
        <w:ind w:left="7032" w:hanging="180"/>
      </w:pPr>
    </w:lvl>
    <w:lvl w:ilvl="6" w:tplc="0409000F" w:tentative="1">
      <w:start w:val="1"/>
      <w:numFmt w:val="decimal"/>
      <w:lvlText w:val="%7."/>
      <w:lvlJc w:val="left"/>
      <w:pPr>
        <w:ind w:left="7752" w:hanging="360"/>
      </w:pPr>
    </w:lvl>
    <w:lvl w:ilvl="7" w:tplc="04090019" w:tentative="1">
      <w:start w:val="1"/>
      <w:numFmt w:val="lowerLetter"/>
      <w:lvlText w:val="%8."/>
      <w:lvlJc w:val="left"/>
      <w:pPr>
        <w:ind w:left="8472" w:hanging="360"/>
      </w:pPr>
    </w:lvl>
    <w:lvl w:ilvl="8" w:tplc="0409001B" w:tentative="1">
      <w:start w:val="1"/>
      <w:numFmt w:val="lowerRoman"/>
      <w:lvlText w:val="%9."/>
      <w:lvlJc w:val="right"/>
      <w:pPr>
        <w:ind w:left="9192" w:hanging="180"/>
      </w:pPr>
    </w:lvl>
  </w:abstractNum>
  <w:abstractNum w:abstractNumId="2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6">
    <w:nsid w:val="53861425"/>
    <w:multiLevelType w:val="hybridMultilevel"/>
    <w:tmpl w:val="0F3CBC9A"/>
    <w:lvl w:ilvl="0" w:tplc="57D036F6">
      <w:start w:val="1"/>
      <w:numFmt w:val="decimal"/>
      <w:lvlText w:val="(%1)"/>
      <w:lvlJc w:val="left"/>
      <w:pPr>
        <w:tabs>
          <w:tab w:val="num" w:pos="1110"/>
        </w:tabs>
        <w:ind w:left="1110" w:hanging="390"/>
      </w:pPr>
      <w:rPr>
        <w:rFonts w:hint="default"/>
      </w:rPr>
    </w:lvl>
    <w:lvl w:ilvl="1" w:tplc="F5B47ED0">
      <w:start w:val="1"/>
      <w:numFmt w:val="bullet"/>
      <w:lvlText w:val=""/>
      <w:lvlJc w:val="left"/>
      <w:pPr>
        <w:tabs>
          <w:tab w:val="num" w:pos="1800"/>
        </w:tabs>
        <w:ind w:left="1800" w:hanging="360"/>
      </w:pPr>
      <w:rPr>
        <w:rFonts w:ascii="Symbol" w:eastAsia="Times New Roman" w:hAnsi="Symbol"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8">
    <w:nsid w:val="55154792"/>
    <w:multiLevelType w:val="hybridMultilevel"/>
    <w:tmpl w:val="BA143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9C12A1"/>
    <w:multiLevelType w:val="hybridMultilevel"/>
    <w:tmpl w:val="20B06AF6"/>
    <w:lvl w:ilvl="0" w:tplc="DEB43560">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7B15D84"/>
    <w:multiLevelType w:val="hybridMultilevel"/>
    <w:tmpl w:val="A1A60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arlet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arlet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arlet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3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33">
    <w:nsid w:val="5EE967D5"/>
    <w:multiLevelType w:val="hybridMultilevel"/>
    <w:tmpl w:val="259A0120"/>
    <w:lvl w:ilvl="0" w:tplc="04090001">
      <w:start w:val="1"/>
      <w:numFmt w:val="bullet"/>
      <w:lvlText w:val=""/>
      <w:lvlJc w:val="left"/>
      <w:pPr>
        <w:tabs>
          <w:tab w:val="num" w:pos="1872"/>
        </w:tabs>
        <w:ind w:left="1872" w:hanging="360"/>
      </w:pPr>
      <w:rPr>
        <w:rFonts w:ascii="Symbol" w:hAnsi="Symbol" w:hint="default"/>
      </w:rPr>
    </w:lvl>
    <w:lvl w:ilvl="1" w:tplc="04090003" w:tentative="1">
      <w:start w:val="1"/>
      <w:numFmt w:val="bullet"/>
      <w:lvlText w:val="o"/>
      <w:lvlJc w:val="left"/>
      <w:pPr>
        <w:tabs>
          <w:tab w:val="num" w:pos="2592"/>
        </w:tabs>
        <w:ind w:left="2592" w:hanging="360"/>
      </w:pPr>
      <w:rPr>
        <w:rFonts w:ascii="Courier New" w:hAnsi="Courier New" w:cs="Symbol"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Symbol"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Symbol"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4">
    <w:nsid w:val="61182925"/>
    <w:multiLevelType w:val="singleLevel"/>
    <w:tmpl w:val="D180CED0"/>
    <w:lvl w:ilvl="0">
      <w:start w:val="1"/>
      <w:numFmt w:val="decimal"/>
      <w:lvlText w:val="%1."/>
      <w:lvlJc w:val="left"/>
      <w:pPr>
        <w:tabs>
          <w:tab w:val="num" w:pos="1080"/>
        </w:tabs>
        <w:ind w:left="0" w:firstLine="720"/>
      </w:pPr>
    </w:lvl>
  </w:abstractNum>
  <w:abstractNum w:abstractNumId="35">
    <w:nsid w:val="61EC630B"/>
    <w:multiLevelType w:val="hybridMultilevel"/>
    <w:tmpl w:val="BE100E36"/>
    <w:lvl w:ilvl="0" w:tplc="30FEF132">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38A03D0"/>
    <w:multiLevelType w:val="hybridMultilevel"/>
    <w:tmpl w:val="EC4E0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37">
    <w:nsid w:val="6ADE05E1"/>
    <w:multiLevelType w:val="multilevel"/>
    <w:tmpl w:val="F24E5598"/>
    <w:lvl w:ilvl="0">
      <w:start w:val="1"/>
      <w:numFmt w:val="bullet"/>
      <w:lvlText w:val=""/>
      <w:lvlJc w:val="left"/>
      <w:pPr>
        <w:tabs>
          <w:tab w:val="num" w:pos="1440"/>
        </w:tabs>
        <w:ind w:left="1440" w:hanging="360"/>
      </w:pPr>
      <w:rPr>
        <w:rFonts w:ascii="Marlett" w:hAnsi="Marlett" w:hint="default"/>
      </w:rPr>
    </w:lvl>
    <w:lvl w:ilvl="1">
      <w:start w:val="1"/>
      <w:numFmt w:val="bullet"/>
      <w:lvlText w:val="o"/>
      <w:lvlJc w:val="left"/>
      <w:pPr>
        <w:tabs>
          <w:tab w:val="num" w:pos="2160"/>
        </w:tabs>
        <w:ind w:left="2160" w:hanging="360"/>
      </w:pPr>
      <w:rPr>
        <w:rFonts w:ascii="Courier New" w:hAnsi="Courier New" w:cs="Marlett" w:hint="default"/>
      </w:rPr>
    </w:lvl>
    <w:lvl w:ilvl="2">
      <w:start w:val="1"/>
      <w:numFmt w:val="bullet"/>
      <w:lvlText w:val=""/>
      <w:lvlJc w:val="left"/>
      <w:pPr>
        <w:tabs>
          <w:tab w:val="num" w:pos="2880"/>
        </w:tabs>
        <w:ind w:left="2880" w:hanging="360"/>
      </w:pPr>
      <w:rPr>
        <w:rFonts w:ascii="Marlett" w:hAnsi="Marlett"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Marlett" w:hint="default"/>
      </w:rPr>
    </w:lvl>
    <w:lvl w:ilvl="5">
      <w:start w:val="1"/>
      <w:numFmt w:val="bullet"/>
      <w:lvlText w:val=""/>
      <w:lvlJc w:val="left"/>
      <w:pPr>
        <w:tabs>
          <w:tab w:val="num" w:pos="5040"/>
        </w:tabs>
        <w:ind w:left="5040" w:hanging="360"/>
      </w:pPr>
      <w:rPr>
        <w:rFonts w:ascii="Marlett" w:hAnsi="Marlett"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Marlett" w:hint="default"/>
      </w:rPr>
    </w:lvl>
    <w:lvl w:ilvl="8">
      <w:start w:val="1"/>
      <w:numFmt w:val="bullet"/>
      <w:lvlText w:val=""/>
      <w:lvlJc w:val="left"/>
      <w:pPr>
        <w:tabs>
          <w:tab w:val="num" w:pos="7200"/>
        </w:tabs>
        <w:ind w:left="7200" w:hanging="360"/>
      </w:pPr>
      <w:rPr>
        <w:rFonts w:ascii="Marlett" w:hAnsi="Marlett" w:hint="default"/>
      </w:rPr>
    </w:lvl>
  </w:abstractNum>
  <w:abstractNum w:abstractNumId="38">
    <w:nsid w:val="715F25C3"/>
    <w:multiLevelType w:val="hybridMultilevel"/>
    <w:tmpl w:val="D57E038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7C93094"/>
    <w:multiLevelType w:val="hybridMultilevel"/>
    <w:tmpl w:val="983CC1F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9B612FD"/>
    <w:multiLevelType w:val="hybridMultilevel"/>
    <w:tmpl w:val="DDAE20E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2">
    <w:nsid w:val="7F083491"/>
    <w:multiLevelType w:val="hybridMultilevel"/>
    <w:tmpl w:val="17D6B864"/>
    <w:lvl w:ilvl="0" w:tplc="CF2AF4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1"/>
  </w:num>
  <w:num w:numId="2">
    <w:abstractNumId w:val="27"/>
  </w:num>
  <w:num w:numId="3">
    <w:abstractNumId w:val="32"/>
  </w:num>
  <w:num w:numId="4">
    <w:abstractNumId w:val="11"/>
  </w:num>
  <w:num w:numId="5">
    <w:abstractNumId w:val="32"/>
  </w:num>
  <w:num w:numId="6">
    <w:abstractNumId w:val="32"/>
  </w:num>
  <w:num w:numId="7">
    <w:abstractNumId w:val="32"/>
  </w:num>
  <w:num w:numId="8">
    <w:abstractNumId w:val="32"/>
  </w:num>
  <w:num w:numId="9">
    <w:abstractNumId w:val="32"/>
  </w:num>
  <w:num w:numId="10">
    <w:abstractNumId w:val="32"/>
  </w:num>
  <w:num w:numId="11">
    <w:abstractNumId w:val="25"/>
  </w:num>
  <w:num w:numId="12">
    <w:abstractNumId w:val="18"/>
  </w:num>
  <w:num w:numId="13">
    <w:abstractNumId w:val="0"/>
  </w:num>
  <w:num w:numId="14">
    <w:abstractNumId w:val="19"/>
  </w:num>
  <w:num w:numId="15">
    <w:abstractNumId w:val="1"/>
  </w:num>
  <w:num w:numId="16">
    <w:abstractNumId w:val="8"/>
  </w:num>
  <w:num w:numId="17">
    <w:abstractNumId w:val="13"/>
  </w:num>
  <w:num w:numId="18">
    <w:abstractNumId w:val="42"/>
  </w:num>
  <w:num w:numId="19">
    <w:abstractNumId w:val="37"/>
  </w:num>
  <w:num w:numId="20">
    <w:abstractNumId w:val="2"/>
  </w:num>
  <w:num w:numId="21">
    <w:abstractNumId w:val="12"/>
  </w:num>
  <w:num w:numId="22">
    <w:abstractNumId w:val="14"/>
  </w:num>
  <w:num w:numId="23">
    <w:abstractNumId w:val="4"/>
  </w:num>
  <w:num w:numId="24">
    <w:abstractNumId w:val="30"/>
  </w:num>
  <w:num w:numId="25">
    <w:abstractNumId w:val="15"/>
  </w:num>
  <w:num w:numId="26">
    <w:abstractNumId w:val="23"/>
  </w:num>
  <w:num w:numId="27">
    <w:abstractNumId w:val="9"/>
  </w:num>
  <w:num w:numId="28">
    <w:abstractNumId w:val="6"/>
  </w:num>
  <w:num w:numId="29">
    <w:abstractNumId w:val="33"/>
  </w:num>
  <w:num w:numId="30">
    <w:abstractNumId w:val="28"/>
  </w:num>
  <w:num w:numId="31">
    <w:abstractNumId w:val="22"/>
  </w:num>
  <w:num w:numId="32">
    <w:abstractNumId w:val="35"/>
  </w:num>
  <w:num w:numId="33">
    <w:abstractNumId w:val="26"/>
  </w:num>
  <w:num w:numId="34">
    <w:abstractNumId w:val="29"/>
  </w:num>
  <w:num w:numId="35">
    <w:abstractNumId w:val="24"/>
  </w:num>
  <w:num w:numId="36">
    <w:abstractNumId w:val="17"/>
  </w:num>
  <w:num w:numId="37">
    <w:abstractNumId w:val="39"/>
  </w:num>
  <w:num w:numId="38">
    <w:abstractNumId w:val="7"/>
  </w:num>
  <w:num w:numId="39">
    <w:abstractNumId w:val="36"/>
  </w:num>
  <w:num w:numId="40">
    <w:abstractNumId w:val="5"/>
  </w:num>
  <w:num w:numId="41">
    <w:abstractNumId w:val="21"/>
  </w:num>
  <w:num w:numId="42">
    <w:abstractNumId w:val="38"/>
  </w:num>
  <w:num w:numId="43">
    <w:abstractNumId w:val="34"/>
    <w:lvlOverride w:ilvl="0">
      <w:startOverride w:val="1"/>
    </w:lvlOverride>
  </w:num>
  <w:num w:numId="44">
    <w:abstractNumId w:val="40"/>
  </w:num>
  <w:num w:numId="45">
    <w:abstractNumId w:val="10"/>
  </w:num>
  <w:num w:numId="46">
    <w:abstractNumId w:val="3"/>
  </w:num>
  <w:num w:numId="47">
    <w:abstractNumId w:val="41"/>
  </w:num>
  <w:num w:numId="48">
    <w:abstractNumId w:val="16"/>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3F"/>
    <w:rsid w:val="000016A4"/>
    <w:rsid w:val="0003427F"/>
    <w:rsid w:val="000D3346"/>
    <w:rsid w:val="000E1F18"/>
    <w:rsid w:val="0013683C"/>
    <w:rsid w:val="00177A76"/>
    <w:rsid w:val="0018214E"/>
    <w:rsid w:val="001E342E"/>
    <w:rsid w:val="002505DE"/>
    <w:rsid w:val="00285223"/>
    <w:rsid w:val="002A63DE"/>
    <w:rsid w:val="002D06F0"/>
    <w:rsid w:val="002D7BD3"/>
    <w:rsid w:val="00334860"/>
    <w:rsid w:val="00360A87"/>
    <w:rsid w:val="00373295"/>
    <w:rsid w:val="00386CD1"/>
    <w:rsid w:val="00464004"/>
    <w:rsid w:val="00494736"/>
    <w:rsid w:val="004E4350"/>
    <w:rsid w:val="004E7A38"/>
    <w:rsid w:val="005345B5"/>
    <w:rsid w:val="00640576"/>
    <w:rsid w:val="006812ED"/>
    <w:rsid w:val="00692CB0"/>
    <w:rsid w:val="006D3904"/>
    <w:rsid w:val="006F0311"/>
    <w:rsid w:val="00704B11"/>
    <w:rsid w:val="00714A76"/>
    <w:rsid w:val="00732970"/>
    <w:rsid w:val="007668D2"/>
    <w:rsid w:val="0077425A"/>
    <w:rsid w:val="007B2335"/>
    <w:rsid w:val="007C456A"/>
    <w:rsid w:val="007E3E44"/>
    <w:rsid w:val="00801FB3"/>
    <w:rsid w:val="00814F5D"/>
    <w:rsid w:val="008335CC"/>
    <w:rsid w:val="00840FB7"/>
    <w:rsid w:val="00873C3F"/>
    <w:rsid w:val="0097077C"/>
    <w:rsid w:val="00984EAD"/>
    <w:rsid w:val="009F29CC"/>
    <w:rsid w:val="00AC3F7D"/>
    <w:rsid w:val="00AD6824"/>
    <w:rsid w:val="00AF3248"/>
    <w:rsid w:val="00B42689"/>
    <w:rsid w:val="00B530B8"/>
    <w:rsid w:val="00B54184"/>
    <w:rsid w:val="00B65CAB"/>
    <w:rsid w:val="00B91149"/>
    <w:rsid w:val="00B960CB"/>
    <w:rsid w:val="00CC6C4B"/>
    <w:rsid w:val="00D60275"/>
    <w:rsid w:val="00DB02EE"/>
    <w:rsid w:val="00E06783"/>
    <w:rsid w:val="00E20D3B"/>
    <w:rsid w:val="00E3761A"/>
    <w:rsid w:val="00E573F8"/>
    <w:rsid w:val="00E62835"/>
    <w:rsid w:val="00EC7DFA"/>
    <w:rsid w:val="00F22B19"/>
    <w:rsid w:val="00F60AA8"/>
    <w:rsid w:val="00F7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Footnote Reference/,Style 6"/>
    <w:semiHidden/>
    <w:rPr>
      <w:vertAlign w:val="superscript"/>
    </w:rPr>
  </w:style>
  <w:style w:type="paragraph" w:styleId="FootnoteText">
    <w:name w:val="footnote text"/>
    <w:aliases w:val="Footnote Text Char3 Char,Footnote Text Char2 Char1 Char,Footnote Text Char Char Char Char1,Footnote Text Char1 Char Char1 Char Char,Footnote Text Char Char1 Char Char Char Char,Footnote Text Char1,Footnote Text Char5,fn,Footnote Text Char"/>
    <w:basedOn w:val="Normal"/>
    <w:link w:val="FootnoteTextChar2"/>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0">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
    <w:name w:val="ParaNum"/>
    <w:basedOn w:val="Normal"/>
    <w:link w:val="ParaNumChar"/>
    <w:pPr>
      <w:widowControl w:val="0"/>
      <w:numPr>
        <w:numId w:val="13"/>
      </w:numPr>
      <w:tabs>
        <w:tab w:val="clear" w:pos="1080"/>
      </w:tabs>
      <w:spacing w:after="220"/>
      <w:jc w:val="both"/>
    </w:pPr>
    <w:rPr>
      <w:snapToGrid w:val="0"/>
      <w:kern w:val="28"/>
      <w:lang w:val="x-none" w:eastAsia="x-none"/>
    </w:rPr>
  </w:style>
  <w:style w:type="paragraph" w:styleId="BodyText">
    <w:name w:val="Body Text"/>
    <w:basedOn w:val="Normal"/>
    <w:rPr>
      <w:sz w:val="24"/>
    </w:rPr>
  </w:style>
  <w:style w:type="paragraph" w:styleId="BodyTextIndent">
    <w:name w:val="Body Text Indent"/>
    <w:basedOn w:val="Normal"/>
    <w:pPr>
      <w:ind w:left="720" w:hanging="720"/>
    </w:pPr>
    <w:rPr>
      <w:sz w:val="24"/>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paragraph" w:styleId="DocumentMap">
    <w:name w:val="Document Map"/>
    <w:basedOn w:val="Normal"/>
    <w:link w:val="DocumentMapChar"/>
    <w:rPr>
      <w:rFonts w:ascii="Tahoma" w:hAnsi="Tahoma"/>
      <w:sz w:val="16"/>
      <w:szCs w:val="16"/>
      <w:lang w:val="x-none" w:eastAsia="x-none"/>
    </w:rPr>
  </w:style>
  <w:style w:type="character" w:customStyle="1" w:styleId="DocumentMapChar">
    <w:name w:val="Document Map Char"/>
    <w:link w:val="DocumentMap"/>
    <w:rPr>
      <w:rFonts w:ascii="Tahoma" w:hAnsi="Tahoma" w:cs="Tahoma"/>
      <w:sz w:val="16"/>
      <w:szCs w:val="16"/>
    </w:rPr>
  </w:style>
  <w:style w:type="character" w:customStyle="1" w:styleId="FootnoteTextChar2">
    <w:name w:val="Footnote Text Char2"/>
    <w:aliases w:val="Footnote Text Char3 Char Char,Footnote Text Char2 Char1 Char Char,Footnote Text Char Char Char Char1 Char,Footnote Text Char1 Char Char1 Char Char Char,Footnote Text Char Char1 Char Char Char Char Char,Footnote Text Char1 Char"/>
    <w:link w:val="FootnoteText"/>
    <w:semiHidden/>
    <w:locked/>
    <w:rsid w:val="00EE4037"/>
    <w:rPr>
      <w:sz w:val="22"/>
    </w:rPr>
  </w:style>
  <w:style w:type="character" w:customStyle="1" w:styleId="FooterChar">
    <w:name w:val="Footer Char"/>
    <w:link w:val="Footer"/>
    <w:uiPriority w:val="99"/>
    <w:rsid w:val="001D18DA"/>
    <w:rPr>
      <w:sz w:val="22"/>
    </w:rPr>
  </w:style>
  <w:style w:type="character" w:customStyle="1" w:styleId="HTMLPreformattedChar">
    <w:name w:val="HTML Preformatted Char"/>
    <w:link w:val="HTMLPreformatted"/>
    <w:rsid w:val="00CB2564"/>
    <w:rPr>
      <w:rFonts w:ascii="Courier New" w:hAnsi="Courier New" w:cs="Courier New"/>
    </w:rPr>
  </w:style>
  <w:style w:type="paragraph" w:styleId="TOC3">
    <w:name w:val="toc 3"/>
    <w:basedOn w:val="Normal"/>
    <w:next w:val="Normal"/>
    <w:autoRedefine/>
    <w:rsid w:val="00F22E47"/>
    <w:pPr>
      <w:ind w:left="440"/>
    </w:pPr>
  </w:style>
  <w:style w:type="paragraph" w:customStyle="1" w:styleId="ColorfulList-Accent11">
    <w:name w:val="Colorful List - Accent 11"/>
    <w:basedOn w:val="Normal"/>
    <w:uiPriority w:val="34"/>
    <w:qFormat/>
    <w:rsid w:val="00EF30A8"/>
    <w:pPr>
      <w:ind w:left="720"/>
    </w:pPr>
    <w:rPr>
      <w:rFonts w:ascii="Calibri" w:eastAsia="Calibri" w:hAnsi="Calibri"/>
      <w:szCs w:val="22"/>
    </w:rPr>
  </w:style>
  <w:style w:type="paragraph" w:styleId="NormalWeb">
    <w:name w:val="Normal (Web)"/>
    <w:basedOn w:val="Normal"/>
    <w:uiPriority w:val="99"/>
    <w:unhideWhenUsed/>
    <w:rsid w:val="008A4052"/>
    <w:pPr>
      <w:spacing w:before="100" w:beforeAutospacing="1" w:after="100" w:afterAutospacing="1"/>
    </w:pPr>
    <w:rPr>
      <w:sz w:val="24"/>
      <w:szCs w:val="24"/>
    </w:rPr>
  </w:style>
  <w:style w:type="character" w:customStyle="1" w:styleId="ParaNumChar">
    <w:name w:val="ParaNum Char"/>
    <w:link w:val="ParaNum"/>
    <w:locked/>
    <w:rsid w:val="00CA574A"/>
    <w:rPr>
      <w:snapToGrid w:val="0"/>
      <w:kern w:val="28"/>
      <w:sz w:val="22"/>
    </w:rPr>
  </w:style>
  <w:style w:type="character" w:styleId="Emphasis">
    <w:name w:val="Emphasis"/>
    <w:uiPriority w:val="20"/>
    <w:qFormat/>
    <w:rsid w:val="007734B3"/>
    <w:rPr>
      <w:i/>
      <w:iCs/>
    </w:rPr>
  </w:style>
  <w:style w:type="character" w:customStyle="1" w:styleId="FootnoteTextCharCharChar2Char">
    <w:name w:val="Footnote Text Char Char Char2 Char"/>
    <w:aliases w:val="Footnote Text Char1 Char2 Char Char1 Char,Footnote Text Char Char Char2 Char Char Char,Footnote Text Char1 Char2 Char Char1 Char Char Char"/>
    <w:semiHidden/>
    <w:locked/>
    <w:rsid w:val="000A4954"/>
  </w:style>
  <w:style w:type="character" w:customStyle="1" w:styleId="ParaNumChar1">
    <w:name w:val="ParaNum Char1"/>
    <w:locked/>
    <w:rsid w:val="000A4954"/>
    <w:rPr>
      <w:kern w:val="28"/>
      <w:sz w:val="22"/>
    </w:rPr>
  </w:style>
  <w:style w:type="character" w:customStyle="1" w:styleId="enumbell">
    <w:name w:val="enumbell"/>
    <w:rsid w:val="00AE08AA"/>
  </w:style>
  <w:style w:type="character" w:customStyle="1" w:styleId="ptext-">
    <w:name w:val="ptext-"/>
    <w:rsid w:val="00AE08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Footnote Reference/,Style 6"/>
    <w:semiHidden/>
    <w:rPr>
      <w:vertAlign w:val="superscript"/>
    </w:rPr>
  </w:style>
  <w:style w:type="paragraph" w:styleId="FootnoteText">
    <w:name w:val="footnote text"/>
    <w:aliases w:val="Footnote Text Char3 Char,Footnote Text Char2 Char1 Char,Footnote Text Char Char Char Char1,Footnote Text Char1 Char Char1 Char Char,Footnote Text Char Char1 Char Char Char Char,Footnote Text Char1,Footnote Text Char5,fn,Footnote Text Char"/>
    <w:basedOn w:val="Normal"/>
    <w:link w:val="FootnoteTextChar2"/>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0">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
    <w:name w:val="ParaNum"/>
    <w:basedOn w:val="Normal"/>
    <w:link w:val="ParaNumChar"/>
    <w:pPr>
      <w:widowControl w:val="0"/>
      <w:numPr>
        <w:numId w:val="13"/>
      </w:numPr>
      <w:tabs>
        <w:tab w:val="clear" w:pos="1080"/>
      </w:tabs>
      <w:spacing w:after="220"/>
      <w:jc w:val="both"/>
    </w:pPr>
    <w:rPr>
      <w:snapToGrid w:val="0"/>
      <w:kern w:val="28"/>
      <w:lang w:val="x-none" w:eastAsia="x-none"/>
    </w:rPr>
  </w:style>
  <w:style w:type="paragraph" w:styleId="BodyText">
    <w:name w:val="Body Text"/>
    <w:basedOn w:val="Normal"/>
    <w:rPr>
      <w:sz w:val="24"/>
    </w:rPr>
  </w:style>
  <w:style w:type="paragraph" w:styleId="BodyTextIndent">
    <w:name w:val="Body Text Indent"/>
    <w:basedOn w:val="Normal"/>
    <w:pPr>
      <w:ind w:left="720" w:hanging="720"/>
    </w:pPr>
    <w:rPr>
      <w:sz w:val="24"/>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paragraph" w:styleId="DocumentMap">
    <w:name w:val="Document Map"/>
    <w:basedOn w:val="Normal"/>
    <w:link w:val="DocumentMapChar"/>
    <w:rPr>
      <w:rFonts w:ascii="Tahoma" w:hAnsi="Tahoma"/>
      <w:sz w:val="16"/>
      <w:szCs w:val="16"/>
      <w:lang w:val="x-none" w:eastAsia="x-none"/>
    </w:rPr>
  </w:style>
  <w:style w:type="character" w:customStyle="1" w:styleId="DocumentMapChar">
    <w:name w:val="Document Map Char"/>
    <w:link w:val="DocumentMap"/>
    <w:rPr>
      <w:rFonts w:ascii="Tahoma" w:hAnsi="Tahoma" w:cs="Tahoma"/>
      <w:sz w:val="16"/>
      <w:szCs w:val="16"/>
    </w:rPr>
  </w:style>
  <w:style w:type="character" w:customStyle="1" w:styleId="FootnoteTextChar2">
    <w:name w:val="Footnote Text Char2"/>
    <w:aliases w:val="Footnote Text Char3 Char Char,Footnote Text Char2 Char1 Char Char,Footnote Text Char Char Char Char1 Char,Footnote Text Char1 Char Char1 Char Char Char,Footnote Text Char Char1 Char Char Char Char Char,Footnote Text Char1 Char"/>
    <w:link w:val="FootnoteText"/>
    <w:semiHidden/>
    <w:locked/>
    <w:rsid w:val="00EE4037"/>
    <w:rPr>
      <w:sz w:val="22"/>
    </w:rPr>
  </w:style>
  <w:style w:type="character" w:customStyle="1" w:styleId="FooterChar">
    <w:name w:val="Footer Char"/>
    <w:link w:val="Footer"/>
    <w:uiPriority w:val="99"/>
    <w:rsid w:val="001D18DA"/>
    <w:rPr>
      <w:sz w:val="22"/>
    </w:rPr>
  </w:style>
  <w:style w:type="character" w:customStyle="1" w:styleId="HTMLPreformattedChar">
    <w:name w:val="HTML Preformatted Char"/>
    <w:link w:val="HTMLPreformatted"/>
    <w:rsid w:val="00CB2564"/>
    <w:rPr>
      <w:rFonts w:ascii="Courier New" w:hAnsi="Courier New" w:cs="Courier New"/>
    </w:rPr>
  </w:style>
  <w:style w:type="paragraph" w:styleId="TOC3">
    <w:name w:val="toc 3"/>
    <w:basedOn w:val="Normal"/>
    <w:next w:val="Normal"/>
    <w:autoRedefine/>
    <w:rsid w:val="00F22E47"/>
    <w:pPr>
      <w:ind w:left="440"/>
    </w:pPr>
  </w:style>
  <w:style w:type="paragraph" w:customStyle="1" w:styleId="ColorfulList-Accent11">
    <w:name w:val="Colorful List - Accent 11"/>
    <w:basedOn w:val="Normal"/>
    <w:uiPriority w:val="34"/>
    <w:qFormat/>
    <w:rsid w:val="00EF30A8"/>
    <w:pPr>
      <w:ind w:left="720"/>
    </w:pPr>
    <w:rPr>
      <w:rFonts w:ascii="Calibri" w:eastAsia="Calibri" w:hAnsi="Calibri"/>
      <w:szCs w:val="22"/>
    </w:rPr>
  </w:style>
  <w:style w:type="paragraph" w:styleId="NormalWeb">
    <w:name w:val="Normal (Web)"/>
    <w:basedOn w:val="Normal"/>
    <w:uiPriority w:val="99"/>
    <w:unhideWhenUsed/>
    <w:rsid w:val="008A4052"/>
    <w:pPr>
      <w:spacing w:before="100" w:beforeAutospacing="1" w:after="100" w:afterAutospacing="1"/>
    </w:pPr>
    <w:rPr>
      <w:sz w:val="24"/>
      <w:szCs w:val="24"/>
    </w:rPr>
  </w:style>
  <w:style w:type="character" w:customStyle="1" w:styleId="ParaNumChar">
    <w:name w:val="ParaNum Char"/>
    <w:link w:val="ParaNum"/>
    <w:locked/>
    <w:rsid w:val="00CA574A"/>
    <w:rPr>
      <w:snapToGrid w:val="0"/>
      <w:kern w:val="28"/>
      <w:sz w:val="22"/>
    </w:rPr>
  </w:style>
  <w:style w:type="character" w:styleId="Emphasis">
    <w:name w:val="Emphasis"/>
    <w:uiPriority w:val="20"/>
    <w:qFormat/>
    <w:rsid w:val="007734B3"/>
    <w:rPr>
      <w:i/>
      <w:iCs/>
    </w:rPr>
  </w:style>
  <w:style w:type="character" w:customStyle="1" w:styleId="FootnoteTextCharCharChar2Char">
    <w:name w:val="Footnote Text Char Char Char2 Char"/>
    <w:aliases w:val="Footnote Text Char1 Char2 Char Char1 Char,Footnote Text Char Char Char2 Char Char Char,Footnote Text Char1 Char2 Char Char1 Char Char Char"/>
    <w:semiHidden/>
    <w:locked/>
    <w:rsid w:val="000A4954"/>
  </w:style>
  <w:style w:type="character" w:customStyle="1" w:styleId="ParaNumChar1">
    <w:name w:val="ParaNum Char1"/>
    <w:locked/>
    <w:rsid w:val="000A4954"/>
    <w:rPr>
      <w:kern w:val="28"/>
      <w:sz w:val="22"/>
    </w:rPr>
  </w:style>
  <w:style w:type="character" w:customStyle="1" w:styleId="enumbell">
    <w:name w:val="enumbell"/>
    <w:rsid w:val="00AE08AA"/>
  </w:style>
  <w:style w:type="character" w:customStyle="1" w:styleId="ptext-">
    <w:name w:val="ptext-"/>
    <w:rsid w:val="00AE0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445">
      <w:bodyDiv w:val="1"/>
      <w:marLeft w:val="0"/>
      <w:marRight w:val="0"/>
      <w:marTop w:val="0"/>
      <w:marBottom w:val="0"/>
      <w:divBdr>
        <w:top w:val="none" w:sz="0" w:space="0" w:color="auto"/>
        <w:left w:val="none" w:sz="0" w:space="0" w:color="auto"/>
        <w:bottom w:val="none" w:sz="0" w:space="0" w:color="auto"/>
        <w:right w:val="none" w:sz="0" w:space="0" w:color="auto"/>
      </w:divBdr>
    </w:div>
    <w:div w:id="168763042">
      <w:bodyDiv w:val="1"/>
      <w:marLeft w:val="0"/>
      <w:marRight w:val="0"/>
      <w:marTop w:val="0"/>
      <w:marBottom w:val="0"/>
      <w:divBdr>
        <w:top w:val="none" w:sz="0" w:space="0" w:color="auto"/>
        <w:left w:val="none" w:sz="0" w:space="0" w:color="auto"/>
        <w:bottom w:val="none" w:sz="0" w:space="0" w:color="auto"/>
        <w:right w:val="none" w:sz="0" w:space="0" w:color="auto"/>
      </w:divBdr>
    </w:div>
    <w:div w:id="202988138">
      <w:bodyDiv w:val="1"/>
      <w:marLeft w:val="0"/>
      <w:marRight w:val="0"/>
      <w:marTop w:val="0"/>
      <w:marBottom w:val="0"/>
      <w:divBdr>
        <w:top w:val="none" w:sz="0" w:space="0" w:color="auto"/>
        <w:left w:val="none" w:sz="0" w:space="0" w:color="auto"/>
        <w:bottom w:val="none" w:sz="0" w:space="0" w:color="auto"/>
        <w:right w:val="none" w:sz="0" w:space="0" w:color="auto"/>
      </w:divBdr>
      <w:divsChild>
        <w:div w:id="271254851">
          <w:marLeft w:val="0"/>
          <w:marRight w:val="0"/>
          <w:marTop w:val="0"/>
          <w:marBottom w:val="0"/>
          <w:divBdr>
            <w:top w:val="none" w:sz="0" w:space="0" w:color="auto"/>
            <w:left w:val="none" w:sz="0" w:space="0" w:color="auto"/>
            <w:bottom w:val="none" w:sz="0" w:space="0" w:color="auto"/>
            <w:right w:val="none" w:sz="0" w:space="0" w:color="auto"/>
          </w:divBdr>
        </w:div>
        <w:div w:id="297995824">
          <w:marLeft w:val="0"/>
          <w:marRight w:val="0"/>
          <w:marTop w:val="0"/>
          <w:marBottom w:val="0"/>
          <w:divBdr>
            <w:top w:val="none" w:sz="0" w:space="0" w:color="auto"/>
            <w:left w:val="none" w:sz="0" w:space="0" w:color="auto"/>
            <w:bottom w:val="none" w:sz="0" w:space="0" w:color="auto"/>
            <w:right w:val="none" w:sz="0" w:space="0" w:color="auto"/>
          </w:divBdr>
        </w:div>
        <w:div w:id="399909999">
          <w:marLeft w:val="0"/>
          <w:marRight w:val="0"/>
          <w:marTop w:val="0"/>
          <w:marBottom w:val="0"/>
          <w:divBdr>
            <w:top w:val="none" w:sz="0" w:space="0" w:color="auto"/>
            <w:left w:val="none" w:sz="0" w:space="0" w:color="auto"/>
            <w:bottom w:val="none" w:sz="0" w:space="0" w:color="auto"/>
            <w:right w:val="none" w:sz="0" w:space="0" w:color="auto"/>
          </w:divBdr>
        </w:div>
        <w:div w:id="500660274">
          <w:marLeft w:val="0"/>
          <w:marRight w:val="0"/>
          <w:marTop w:val="0"/>
          <w:marBottom w:val="0"/>
          <w:divBdr>
            <w:top w:val="none" w:sz="0" w:space="0" w:color="auto"/>
            <w:left w:val="none" w:sz="0" w:space="0" w:color="auto"/>
            <w:bottom w:val="none" w:sz="0" w:space="0" w:color="auto"/>
            <w:right w:val="none" w:sz="0" w:space="0" w:color="auto"/>
          </w:divBdr>
        </w:div>
        <w:div w:id="535384958">
          <w:marLeft w:val="0"/>
          <w:marRight w:val="0"/>
          <w:marTop w:val="0"/>
          <w:marBottom w:val="0"/>
          <w:divBdr>
            <w:top w:val="none" w:sz="0" w:space="0" w:color="auto"/>
            <w:left w:val="none" w:sz="0" w:space="0" w:color="auto"/>
            <w:bottom w:val="none" w:sz="0" w:space="0" w:color="auto"/>
            <w:right w:val="none" w:sz="0" w:space="0" w:color="auto"/>
          </w:divBdr>
        </w:div>
        <w:div w:id="712847299">
          <w:marLeft w:val="0"/>
          <w:marRight w:val="0"/>
          <w:marTop w:val="0"/>
          <w:marBottom w:val="0"/>
          <w:divBdr>
            <w:top w:val="none" w:sz="0" w:space="0" w:color="auto"/>
            <w:left w:val="none" w:sz="0" w:space="0" w:color="auto"/>
            <w:bottom w:val="none" w:sz="0" w:space="0" w:color="auto"/>
            <w:right w:val="none" w:sz="0" w:space="0" w:color="auto"/>
          </w:divBdr>
        </w:div>
        <w:div w:id="778836010">
          <w:marLeft w:val="0"/>
          <w:marRight w:val="0"/>
          <w:marTop w:val="0"/>
          <w:marBottom w:val="0"/>
          <w:divBdr>
            <w:top w:val="none" w:sz="0" w:space="0" w:color="auto"/>
            <w:left w:val="none" w:sz="0" w:space="0" w:color="auto"/>
            <w:bottom w:val="none" w:sz="0" w:space="0" w:color="auto"/>
            <w:right w:val="none" w:sz="0" w:space="0" w:color="auto"/>
          </w:divBdr>
        </w:div>
        <w:div w:id="1030380504">
          <w:marLeft w:val="0"/>
          <w:marRight w:val="0"/>
          <w:marTop w:val="0"/>
          <w:marBottom w:val="0"/>
          <w:divBdr>
            <w:top w:val="none" w:sz="0" w:space="0" w:color="auto"/>
            <w:left w:val="none" w:sz="0" w:space="0" w:color="auto"/>
            <w:bottom w:val="none" w:sz="0" w:space="0" w:color="auto"/>
            <w:right w:val="none" w:sz="0" w:space="0" w:color="auto"/>
          </w:divBdr>
        </w:div>
        <w:div w:id="1150830575">
          <w:marLeft w:val="0"/>
          <w:marRight w:val="0"/>
          <w:marTop w:val="0"/>
          <w:marBottom w:val="0"/>
          <w:divBdr>
            <w:top w:val="none" w:sz="0" w:space="0" w:color="auto"/>
            <w:left w:val="none" w:sz="0" w:space="0" w:color="auto"/>
            <w:bottom w:val="none" w:sz="0" w:space="0" w:color="auto"/>
            <w:right w:val="none" w:sz="0" w:space="0" w:color="auto"/>
          </w:divBdr>
        </w:div>
        <w:div w:id="1276869327">
          <w:marLeft w:val="0"/>
          <w:marRight w:val="0"/>
          <w:marTop w:val="0"/>
          <w:marBottom w:val="0"/>
          <w:divBdr>
            <w:top w:val="none" w:sz="0" w:space="0" w:color="auto"/>
            <w:left w:val="none" w:sz="0" w:space="0" w:color="auto"/>
            <w:bottom w:val="none" w:sz="0" w:space="0" w:color="auto"/>
            <w:right w:val="none" w:sz="0" w:space="0" w:color="auto"/>
          </w:divBdr>
        </w:div>
        <w:div w:id="1330871015">
          <w:marLeft w:val="0"/>
          <w:marRight w:val="0"/>
          <w:marTop w:val="0"/>
          <w:marBottom w:val="0"/>
          <w:divBdr>
            <w:top w:val="none" w:sz="0" w:space="0" w:color="auto"/>
            <w:left w:val="none" w:sz="0" w:space="0" w:color="auto"/>
            <w:bottom w:val="none" w:sz="0" w:space="0" w:color="auto"/>
            <w:right w:val="none" w:sz="0" w:space="0" w:color="auto"/>
          </w:divBdr>
        </w:div>
        <w:div w:id="1684210899">
          <w:marLeft w:val="0"/>
          <w:marRight w:val="0"/>
          <w:marTop w:val="0"/>
          <w:marBottom w:val="0"/>
          <w:divBdr>
            <w:top w:val="none" w:sz="0" w:space="0" w:color="auto"/>
            <w:left w:val="none" w:sz="0" w:space="0" w:color="auto"/>
            <w:bottom w:val="none" w:sz="0" w:space="0" w:color="auto"/>
            <w:right w:val="none" w:sz="0" w:space="0" w:color="auto"/>
          </w:divBdr>
        </w:div>
        <w:div w:id="1929800846">
          <w:marLeft w:val="0"/>
          <w:marRight w:val="0"/>
          <w:marTop w:val="0"/>
          <w:marBottom w:val="0"/>
          <w:divBdr>
            <w:top w:val="none" w:sz="0" w:space="0" w:color="auto"/>
            <w:left w:val="none" w:sz="0" w:space="0" w:color="auto"/>
            <w:bottom w:val="none" w:sz="0" w:space="0" w:color="auto"/>
            <w:right w:val="none" w:sz="0" w:space="0" w:color="auto"/>
          </w:divBdr>
        </w:div>
        <w:div w:id="1956524109">
          <w:marLeft w:val="0"/>
          <w:marRight w:val="0"/>
          <w:marTop w:val="0"/>
          <w:marBottom w:val="0"/>
          <w:divBdr>
            <w:top w:val="none" w:sz="0" w:space="0" w:color="auto"/>
            <w:left w:val="none" w:sz="0" w:space="0" w:color="auto"/>
            <w:bottom w:val="none" w:sz="0" w:space="0" w:color="auto"/>
            <w:right w:val="none" w:sz="0" w:space="0" w:color="auto"/>
          </w:divBdr>
        </w:div>
        <w:div w:id="2057586136">
          <w:marLeft w:val="0"/>
          <w:marRight w:val="0"/>
          <w:marTop w:val="0"/>
          <w:marBottom w:val="0"/>
          <w:divBdr>
            <w:top w:val="none" w:sz="0" w:space="0" w:color="auto"/>
            <w:left w:val="none" w:sz="0" w:space="0" w:color="auto"/>
            <w:bottom w:val="none" w:sz="0" w:space="0" w:color="auto"/>
            <w:right w:val="none" w:sz="0" w:space="0" w:color="auto"/>
          </w:divBdr>
        </w:div>
        <w:div w:id="2122145621">
          <w:marLeft w:val="0"/>
          <w:marRight w:val="0"/>
          <w:marTop w:val="0"/>
          <w:marBottom w:val="0"/>
          <w:divBdr>
            <w:top w:val="none" w:sz="0" w:space="0" w:color="auto"/>
            <w:left w:val="none" w:sz="0" w:space="0" w:color="auto"/>
            <w:bottom w:val="none" w:sz="0" w:space="0" w:color="auto"/>
            <w:right w:val="none" w:sz="0" w:space="0" w:color="auto"/>
          </w:divBdr>
        </w:div>
      </w:divsChild>
    </w:div>
    <w:div w:id="341207708">
      <w:bodyDiv w:val="1"/>
      <w:marLeft w:val="0"/>
      <w:marRight w:val="0"/>
      <w:marTop w:val="0"/>
      <w:marBottom w:val="0"/>
      <w:divBdr>
        <w:top w:val="none" w:sz="0" w:space="0" w:color="auto"/>
        <w:left w:val="none" w:sz="0" w:space="0" w:color="auto"/>
        <w:bottom w:val="none" w:sz="0" w:space="0" w:color="auto"/>
        <w:right w:val="none" w:sz="0" w:space="0" w:color="auto"/>
      </w:divBdr>
    </w:div>
    <w:div w:id="418406791">
      <w:bodyDiv w:val="1"/>
      <w:marLeft w:val="0"/>
      <w:marRight w:val="0"/>
      <w:marTop w:val="0"/>
      <w:marBottom w:val="0"/>
      <w:divBdr>
        <w:top w:val="none" w:sz="0" w:space="0" w:color="auto"/>
        <w:left w:val="none" w:sz="0" w:space="0" w:color="auto"/>
        <w:bottom w:val="none" w:sz="0" w:space="0" w:color="auto"/>
        <w:right w:val="none" w:sz="0" w:space="0" w:color="auto"/>
      </w:divBdr>
    </w:div>
    <w:div w:id="524636146">
      <w:bodyDiv w:val="1"/>
      <w:marLeft w:val="84"/>
      <w:marRight w:val="84"/>
      <w:marTop w:val="0"/>
      <w:marBottom w:val="0"/>
      <w:divBdr>
        <w:top w:val="none" w:sz="0" w:space="0" w:color="auto"/>
        <w:left w:val="none" w:sz="0" w:space="0" w:color="auto"/>
        <w:bottom w:val="none" w:sz="0" w:space="0" w:color="auto"/>
        <w:right w:val="none" w:sz="0" w:space="0" w:color="auto"/>
      </w:divBdr>
      <w:divsChild>
        <w:div w:id="1515194539">
          <w:marLeft w:val="0"/>
          <w:marRight w:val="0"/>
          <w:marTop w:val="0"/>
          <w:marBottom w:val="0"/>
          <w:divBdr>
            <w:top w:val="none" w:sz="0" w:space="0" w:color="auto"/>
            <w:left w:val="none" w:sz="0" w:space="0" w:color="auto"/>
            <w:bottom w:val="none" w:sz="0" w:space="0" w:color="auto"/>
            <w:right w:val="none" w:sz="0" w:space="0" w:color="auto"/>
          </w:divBdr>
          <w:divsChild>
            <w:div w:id="240218276">
              <w:marLeft w:val="0"/>
              <w:marRight w:val="0"/>
              <w:marTop w:val="0"/>
              <w:marBottom w:val="0"/>
              <w:divBdr>
                <w:top w:val="none" w:sz="0" w:space="0" w:color="auto"/>
                <w:left w:val="none" w:sz="0" w:space="0" w:color="auto"/>
                <w:bottom w:val="none" w:sz="0" w:space="0" w:color="auto"/>
                <w:right w:val="none" w:sz="0" w:space="0" w:color="auto"/>
              </w:divBdr>
              <w:divsChild>
                <w:div w:id="156402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18108">
      <w:bodyDiv w:val="1"/>
      <w:marLeft w:val="0"/>
      <w:marRight w:val="0"/>
      <w:marTop w:val="0"/>
      <w:marBottom w:val="0"/>
      <w:divBdr>
        <w:top w:val="none" w:sz="0" w:space="0" w:color="auto"/>
        <w:left w:val="none" w:sz="0" w:space="0" w:color="auto"/>
        <w:bottom w:val="none" w:sz="0" w:space="0" w:color="auto"/>
        <w:right w:val="none" w:sz="0" w:space="0" w:color="auto"/>
      </w:divBdr>
      <w:divsChild>
        <w:div w:id="634868724">
          <w:marLeft w:val="0"/>
          <w:marRight w:val="0"/>
          <w:marTop w:val="0"/>
          <w:marBottom w:val="0"/>
          <w:divBdr>
            <w:top w:val="none" w:sz="0" w:space="0" w:color="auto"/>
            <w:left w:val="none" w:sz="0" w:space="0" w:color="auto"/>
            <w:bottom w:val="none" w:sz="0" w:space="0" w:color="auto"/>
            <w:right w:val="none" w:sz="0" w:space="0" w:color="auto"/>
          </w:divBdr>
        </w:div>
        <w:div w:id="897129068">
          <w:marLeft w:val="0"/>
          <w:marRight w:val="0"/>
          <w:marTop w:val="0"/>
          <w:marBottom w:val="0"/>
          <w:divBdr>
            <w:top w:val="none" w:sz="0" w:space="0" w:color="auto"/>
            <w:left w:val="none" w:sz="0" w:space="0" w:color="auto"/>
            <w:bottom w:val="none" w:sz="0" w:space="0" w:color="auto"/>
            <w:right w:val="none" w:sz="0" w:space="0" w:color="auto"/>
          </w:divBdr>
        </w:div>
        <w:div w:id="1420565687">
          <w:marLeft w:val="0"/>
          <w:marRight w:val="0"/>
          <w:marTop w:val="0"/>
          <w:marBottom w:val="0"/>
          <w:divBdr>
            <w:top w:val="none" w:sz="0" w:space="0" w:color="auto"/>
            <w:left w:val="none" w:sz="0" w:space="0" w:color="auto"/>
            <w:bottom w:val="none" w:sz="0" w:space="0" w:color="auto"/>
            <w:right w:val="none" w:sz="0" w:space="0" w:color="auto"/>
          </w:divBdr>
        </w:div>
      </w:divsChild>
    </w:div>
    <w:div w:id="641498356">
      <w:bodyDiv w:val="1"/>
      <w:marLeft w:val="0"/>
      <w:marRight w:val="0"/>
      <w:marTop w:val="0"/>
      <w:marBottom w:val="0"/>
      <w:divBdr>
        <w:top w:val="none" w:sz="0" w:space="0" w:color="auto"/>
        <w:left w:val="none" w:sz="0" w:space="0" w:color="auto"/>
        <w:bottom w:val="none" w:sz="0" w:space="0" w:color="auto"/>
        <w:right w:val="none" w:sz="0" w:space="0" w:color="auto"/>
      </w:divBdr>
      <w:divsChild>
        <w:div w:id="230114899">
          <w:marLeft w:val="0"/>
          <w:marRight w:val="0"/>
          <w:marTop w:val="0"/>
          <w:marBottom w:val="0"/>
          <w:divBdr>
            <w:top w:val="none" w:sz="0" w:space="0" w:color="auto"/>
            <w:left w:val="none" w:sz="0" w:space="0" w:color="auto"/>
            <w:bottom w:val="none" w:sz="0" w:space="0" w:color="auto"/>
            <w:right w:val="none" w:sz="0" w:space="0" w:color="auto"/>
          </w:divBdr>
        </w:div>
        <w:div w:id="306593957">
          <w:marLeft w:val="0"/>
          <w:marRight w:val="0"/>
          <w:marTop w:val="0"/>
          <w:marBottom w:val="0"/>
          <w:divBdr>
            <w:top w:val="none" w:sz="0" w:space="0" w:color="auto"/>
            <w:left w:val="none" w:sz="0" w:space="0" w:color="auto"/>
            <w:bottom w:val="none" w:sz="0" w:space="0" w:color="auto"/>
            <w:right w:val="none" w:sz="0" w:space="0" w:color="auto"/>
          </w:divBdr>
        </w:div>
        <w:div w:id="382364711">
          <w:marLeft w:val="0"/>
          <w:marRight w:val="0"/>
          <w:marTop w:val="0"/>
          <w:marBottom w:val="0"/>
          <w:divBdr>
            <w:top w:val="none" w:sz="0" w:space="0" w:color="auto"/>
            <w:left w:val="none" w:sz="0" w:space="0" w:color="auto"/>
            <w:bottom w:val="none" w:sz="0" w:space="0" w:color="auto"/>
            <w:right w:val="none" w:sz="0" w:space="0" w:color="auto"/>
          </w:divBdr>
        </w:div>
        <w:div w:id="1271625216">
          <w:marLeft w:val="0"/>
          <w:marRight w:val="0"/>
          <w:marTop w:val="0"/>
          <w:marBottom w:val="0"/>
          <w:divBdr>
            <w:top w:val="none" w:sz="0" w:space="0" w:color="auto"/>
            <w:left w:val="none" w:sz="0" w:space="0" w:color="auto"/>
            <w:bottom w:val="none" w:sz="0" w:space="0" w:color="auto"/>
            <w:right w:val="none" w:sz="0" w:space="0" w:color="auto"/>
          </w:divBdr>
        </w:div>
        <w:div w:id="1848058159">
          <w:marLeft w:val="0"/>
          <w:marRight w:val="0"/>
          <w:marTop w:val="0"/>
          <w:marBottom w:val="0"/>
          <w:divBdr>
            <w:top w:val="none" w:sz="0" w:space="0" w:color="auto"/>
            <w:left w:val="none" w:sz="0" w:space="0" w:color="auto"/>
            <w:bottom w:val="none" w:sz="0" w:space="0" w:color="auto"/>
            <w:right w:val="none" w:sz="0" w:space="0" w:color="auto"/>
          </w:divBdr>
        </w:div>
        <w:div w:id="1993289001">
          <w:marLeft w:val="0"/>
          <w:marRight w:val="0"/>
          <w:marTop w:val="0"/>
          <w:marBottom w:val="0"/>
          <w:divBdr>
            <w:top w:val="none" w:sz="0" w:space="0" w:color="auto"/>
            <w:left w:val="none" w:sz="0" w:space="0" w:color="auto"/>
            <w:bottom w:val="none" w:sz="0" w:space="0" w:color="auto"/>
            <w:right w:val="none" w:sz="0" w:space="0" w:color="auto"/>
          </w:divBdr>
        </w:div>
      </w:divsChild>
    </w:div>
    <w:div w:id="749470668">
      <w:bodyDiv w:val="1"/>
      <w:marLeft w:val="84"/>
      <w:marRight w:val="84"/>
      <w:marTop w:val="0"/>
      <w:marBottom w:val="0"/>
      <w:divBdr>
        <w:top w:val="none" w:sz="0" w:space="0" w:color="auto"/>
        <w:left w:val="none" w:sz="0" w:space="0" w:color="auto"/>
        <w:bottom w:val="none" w:sz="0" w:space="0" w:color="auto"/>
        <w:right w:val="none" w:sz="0" w:space="0" w:color="auto"/>
      </w:divBdr>
      <w:divsChild>
        <w:div w:id="1589919096">
          <w:marLeft w:val="0"/>
          <w:marRight w:val="0"/>
          <w:marTop w:val="0"/>
          <w:marBottom w:val="0"/>
          <w:divBdr>
            <w:top w:val="none" w:sz="0" w:space="0" w:color="auto"/>
            <w:left w:val="none" w:sz="0" w:space="0" w:color="auto"/>
            <w:bottom w:val="none" w:sz="0" w:space="0" w:color="auto"/>
            <w:right w:val="none" w:sz="0" w:space="0" w:color="auto"/>
          </w:divBdr>
          <w:divsChild>
            <w:div w:id="817373">
              <w:marLeft w:val="0"/>
              <w:marRight w:val="0"/>
              <w:marTop w:val="0"/>
              <w:marBottom w:val="0"/>
              <w:divBdr>
                <w:top w:val="none" w:sz="0" w:space="0" w:color="auto"/>
                <w:left w:val="none" w:sz="0" w:space="0" w:color="auto"/>
                <w:bottom w:val="none" w:sz="0" w:space="0" w:color="auto"/>
                <w:right w:val="none" w:sz="0" w:space="0" w:color="auto"/>
              </w:divBdr>
              <w:divsChild>
                <w:div w:id="30497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612109">
      <w:bodyDiv w:val="1"/>
      <w:marLeft w:val="0"/>
      <w:marRight w:val="0"/>
      <w:marTop w:val="0"/>
      <w:marBottom w:val="0"/>
      <w:divBdr>
        <w:top w:val="none" w:sz="0" w:space="0" w:color="auto"/>
        <w:left w:val="none" w:sz="0" w:space="0" w:color="auto"/>
        <w:bottom w:val="none" w:sz="0" w:space="0" w:color="auto"/>
        <w:right w:val="none" w:sz="0" w:space="0" w:color="auto"/>
      </w:divBdr>
      <w:divsChild>
        <w:div w:id="261113803">
          <w:marLeft w:val="0"/>
          <w:marRight w:val="0"/>
          <w:marTop w:val="0"/>
          <w:marBottom w:val="0"/>
          <w:divBdr>
            <w:top w:val="none" w:sz="0" w:space="0" w:color="auto"/>
            <w:left w:val="none" w:sz="0" w:space="0" w:color="auto"/>
            <w:bottom w:val="none" w:sz="0" w:space="0" w:color="auto"/>
            <w:right w:val="none" w:sz="0" w:space="0" w:color="auto"/>
          </w:divBdr>
        </w:div>
        <w:div w:id="383872008">
          <w:marLeft w:val="0"/>
          <w:marRight w:val="0"/>
          <w:marTop w:val="0"/>
          <w:marBottom w:val="0"/>
          <w:divBdr>
            <w:top w:val="none" w:sz="0" w:space="0" w:color="auto"/>
            <w:left w:val="none" w:sz="0" w:space="0" w:color="auto"/>
            <w:bottom w:val="none" w:sz="0" w:space="0" w:color="auto"/>
            <w:right w:val="none" w:sz="0" w:space="0" w:color="auto"/>
          </w:divBdr>
        </w:div>
        <w:div w:id="462578243">
          <w:marLeft w:val="0"/>
          <w:marRight w:val="0"/>
          <w:marTop w:val="0"/>
          <w:marBottom w:val="0"/>
          <w:divBdr>
            <w:top w:val="none" w:sz="0" w:space="0" w:color="auto"/>
            <w:left w:val="none" w:sz="0" w:space="0" w:color="auto"/>
            <w:bottom w:val="none" w:sz="0" w:space="0" w:color="auto"/>
            <w:right w:val="none" w:sz="0" w:space="0" w:color="auto"/>
          </w:divBdr>
        </w:div>
        <w:div w:id="1476991554">
          <w:marLeft w:val="0"/>
          <w:marRight w:val="0"/>
          <w:marTop w:val="0"/>
          <w:marBottom w:val="0"/>
          <w:divBdr>
            <w:top w:val="none" w:sz="0" w:space="0" w:color="auto"/>
            <w:left w:val="none" w:sz="0" w:space="0" w:color="auto"/>
            <w:bottom w:val="none" w:sz="0" w:space="0" w:color="auto"/>
            <w:right w:val="none" w:sz="0" w:space="0" w:color="auto"/>
          </w:divBdr>
        </w:div>
        <w:div w:id="1515456926">
          <w:marLeft w:val="0"/>
          <w:marRight w:val="0"/>
          <w:marTop w:val="0"/>
          <w:marBottom w:val="0"/>
          <w:divBdr>
            <w:top w:val="none" w:sz="0" w:space="0" w:color="auto"/>
            <w:left w:val="none" w:sz="0" w:space="0" w:color="auto"/>
            <w:bottom w:val="none" w:sz="0" w:space="0" w:color="auto"/>
            <w:right w:val="none" w:sz="0" w:space="0" w:color="auto"/>
          </w:divBdr>
        </w:div>
        <w:div w:id="1859655819">
          <w:marLeft w:val="0"/>
          <w:marRight w:val="0"/>
          <w:marTop w:val="0"/>
          <w:marBottom w:val="0"/>
          <w:divBdr>
            <w:top w:val="none" w:sz="0" w:space="0" w:color="auto"/>
            <w:left w:val="none" w:sz="0" w:space="0" w:color="auto"/>
            <w:bottom w:val="none" w:sz="0" w:space="0" w:color="auto"/>
            <w:right w:val="none" w:sz="0" w:space="0" w:color="auto"/>
          </w:divBdr>
        </w:div>
        <w:div w:id="1934391231">
          <w:marLeft w:val="0"/>
          <w:marRight w:val="0"/>
          <w:marTop w:val="0"/>
          <w:marBottom w:val="0"/>
          <w:divBdr>
            <w:top w:val="none" w:sz="0" w:space="0" w:color="auto"/>
            <w:left w:val="none" w:sz="0" w:space="0" w:color="auto"/>
            <w:bottom w:val="none" w:sz="0" w:space="0" w:color="auto"/>
            <w:right w:val="none" w:sz="0" w:space="0" w:color="auto"/>
          </w:divBdr>
        </w:div>
      </w:divsChild>
    </w:div>
    <w:div w:id="1132286069">
      <w:bodyDiv w:val="1"/>
      <w:marLeft w:val="0"/>
      <w:marRight w:val="0"/>
      <w:marTop w:val="0"/>
      <w:marBottom w:val="0"/>
      <w:divBdr>
        <w:top w:val="none" w:sz="0" w:space="0" w:color="auto"/>
        <w:left w:val="none" w:sz="0" w:space="0" w:color="auto"/>
        <w:bottom w:val="none" w:sz="0" w:space="0" w:color="auto"/>
        <w:right w:val="none" w:sz="0" w:space="0" w:color="auto"/>
      </w:divBdr>
      <w:divsChild>
        <w:div w:id="105317481">
          <w:marLeft w:val="0"/>
          <w:marRight w:val="0"/>
          <w:marTop w:val="0"/>
          <w:marBottom w:val="0"/>
          <w:divBdr>
            <w:top w:val="none" w:sz="0" w:space="0" w:color="auto"/>
            <w:left w:val="none" w:sz="0" w:space="0" w:color="auto"/>
            <w:bottom w:val="none" w:sz="0" w:space="0" w:color="auto"/>
            <w:right w:val="none" w:sz="0" w:space="0" w:color="auto"/>
          </w:divBdr>
        </w:div>
        <w:div w:id="326979673">
          <w:marLeft w:val="0"/>
          <w:marRight w:val="0"/>
          <w:marTop w:val="0"/>
          <w:marBottom w:val="0"/>
          <w:divBdr>
            <w:top w:val="none" w:sz="0" w:space="0" w:color="auto"/>
            <w:left w:val="none" w:sz="0" w:space="0" w:color="auto"/>
            <w:bottom w:val="none" w:sz="0" w:space="0" w:color="auto"/>
            <w:right w:val="none" w:sz="0" w:space="0" w:color="auto"/>
          </w:divBdr>
        </w:div>
        <w:div w:id="452214049">
          <w:marLeft w:val="0"/>
          <w:marRight w:val="0"/>
          <w:marTop w:val="0"/>
          <w:marBottom w:val="0"/>
          <w:divBdr>
            <w:top w:val="none" w:sz="0" w:space="0" w:color="auto"/>
            <w:left w:val="none" w:sz="0" w:space="0" w:color="auto"/>
            <w:bottom w:val="none" w:sz="0" w:space="0" w:color="auto"/>
            <w:right w:val="none" w:sz="0" w:space="0" w:color="auto"/>
          </w:divBdr>
        </w:div>
        <w:div w:id="810484493">
          <w:marLeft w:val="0"/>
          <w:marRight w:val="0"/>
          <w:marTop w:val="0"/>
          <w:marBottom w:val="0"/>
          <w:divBdr>
            <w:top w:val="none" w:sz="0" w:space="0" w:color="auto"/>
            <w:left w:val="none" w:sz="0" w:space="0" w:color="auto"/>
            <w:bottom w:val="none" w:sz="0" w:space="0" w:color="auto"/>
            <w:right w:val="none" w:sz="0" w:space="0" w:color="auto"/>
          </w:divBdr>
        </w:div>
        <w:div w:id="885601598">
          <w:marLeft w:val="0"/>
          <w:marRight w:val="0"/>
          <w:marTop w:val="0"/>
          <w:marBottom w:val="0"/>
          <w:divBdr>
            <w:top w:val="none" w:sz="0" w:space="0" w:color="auto"/>
            <w:left w:val="none" w:sz="0" w:space="0" w:color="auto"/>
            <w:bottom w:val="none" w:sz="0" w:space="0" w:color="auto"/>
            <w:right w:val="none" w:sz="0" w:space="0" w:color="auto"/>
          </w:divBdr>
        </w:div>
        <w:div w:id="887379862">
          <w:marLeft w:val="0"/>
          <w:marRight w:val="0"/>
          <w:marTop w:val="0"/>
          <w:marBottom w:val="0"/>
          <w:divBdr>
            <w:top w:val="none" w:sz="0" w:space="0" w:color="auto"/>
            <w:left w:val="none" w:sz="0" w:space="0" w:color="auto"/>
            <w:bottom w:val="none" w:sz="0" w:space="0" w:color="auto"/>
            <w:right w:val="none" w:sz="0" w:space="0" w:color="auto"/>
          </w:divBdr>
        </w:div>
        <w:div w:id="920330639">
          <w:marLeft w:val="0"/>
          <w:marRight w:val="0"/>
          <w:marTop w:val="0"/>
          <w:marBottom w:val="0"/>
          <w:divBdr>
            <w:top w:val="none" w:sz="0" w:space="0" w:color="auto"/>
            <w:left w:val="none" w:sz="0" w:space="0" w:color="auto"/>
            <w:bottom w:val="none" w:sz="0" w:space="0" w:color="auto"/>
            <w:right w:val="none" w:sz="0" w:space="0" w:color="auto"/>
          </w:divBdr>
        </w:div>
        <w:div w:id="1043091749">
          <w:marLeft w:val="0"/>
          <w:marRight w:val="0"/>
          <w:marTop w:val="0"/>
          <w:marBottom w:val="0"/>
          <w:divBdr>
            <w:top w:val="none" w:sz="0" w:space="0" w:color="auto"/>
            <w:left w:val="none" w:sz="0" w:space="0" w:color="auto"/>
            <w:bottom w:val="none" w:sz="0" w:space="0" w:color="auto"/>
            <w:right w:val="none" w:sz="0" w:space="0" w:color="auto"/>
          </w:divBdr>
        </w:div>
        <w:div w:id="1902516747">
          <w:marLeft w:val="0"/>
          <w:marRight w:val="0"/>
          <w:marTop w:val="0"/>
          <w:marBottom w:val="0"/>
          <w:divBdr>
            <w:top w:val="none" w:sz="0" w:space="0" w:color="auto"/>
            <w:left w:val="none" w:sz="0" w:space="0" w:color="auto"/>
            <w:bottom w:val="none" w:sz="0" w:space="0" w:color="auto"/>
            <w:right w:val="none" w:sz="0" w:space="0" w:color="auto"/>
          </w:divBdr>
        </w:div>
        <w:div w:id="1994482079">
          <w:marLeft w:val="0"/>
          <w:marRight w:val="0"/>
          <w:marTop w:val="0"/>
          <w:marBottom w:val="0"/>
          <w:divBdr>
            <w:top w:val="none" w:sz="0" w:space="0" w:color="auto"/>
            <w:left w:val="none" w:sz="0" w:space="0" w:color="auto"/>
            <w:bottom w:val="none" w:sz="0" w:space="0" w:color="auto"/>
            <w:right w:val="none" w:sz="0" w:space="0" w:color="auto"/>
          </w:divBdr>
        </w:div>
      </w:divsChild>
    </w:div>
    <w:div w:id="1165124947">
      <w:bodyDiv w:val="1"/>
      <w:marLeft w:val="0"/>
      <w:marRight w:val="0"/>
      <w:marTop w:val="0"/>
      <w:marBottom w:val="0"/>
      <w:divBdr>
        <w:top w:val="none" w:sz="0" w:space="0" w:color="auto"/>
        <w:left w:val="none" w:sz="0" w:space="0" w:color="auto"/>
        <w:bottom w:val="none" w:sz="0" w:space="0" w:color="auto"/>
        <w:right w:val="none" w:sz="0" w:space="0" w:color="auto"/>
      </w:divBdr>
    </w:div>
    <w:div w:id="1509371329">
      <w:bodyDiv w:val="1"/>
      <w:marLeft w:val="0"/>
      <w:marRight w:val="0"/>
      <w:marTop w:val="0"/>
      <w:marBottom w:val="0"/>
      <w:divBdr>
        <w:top w:val="none" w:sz="0" w:space="0" w:color="auto"/>
        <w:left w:val="none" w:sz="0" w:space="0" w:color="auto"/>
        <w:bottom w:val="none" w:sz="0" w:space="0" w:color="auto"/>
        <w:right w:val="none" w:sz="0" w:space="0" w:color="auto"/>
      </w:divBdr>
    </w:div>
    <w:div w:id="1587302227">
      <w:bodyDiv w:val="1"/>
      <w:marLeft w:val="0"/>
      <w:marRight w:val="0"/>
      <w:marTop w:val="0"/>
      <w:marBottom w:val="0"/>
      <w:divBdr>
        <w:top w:val="none" w:sz="0" w:space="0" w:color="auto"/>
        <w:left w:val="none" w:sz="0" w:space="0" w:color="auto"/>
        <w:bottom w:val="none" w:sz="0" w:space="0" w:color="auto"/>
        <w:right w:val="none" w:sz="0" w:space="0" w:color="auto"/>
      </w:divBdr>
    </w:div>
    <w:div w:id="1589997803">
      <w:bodyDiv w:val="1"/>
      <w:marLeft w:val="0"/>
      <w:marRight w:val="0"/>
      <w:marTop w:val="0"/>
      <w:marBottom w:val="0"/>
      <w:divBdr>
        <w:top w:val="none" w:sz="0" w:space="0" w:color="auto"/>
        <w:left w:val="none" w:sz="0" w:space="0" w:color="auto"/>
        <w:bottom w:val="none" w:sz="0" w:space="0" w:color="auto"/>
        <w:right w:val="none" w:sz="0" w:space="0" w:color="auto"/>
      </w:divBdr>
    </w:div>
    <w:div w:id="1594321633">
      <w:bodyDiv w:val="1"/>
      <w:marLeft w:val="0"/>
      <w:marRight w:val="0"/>
      <w:marTop w:val="0"/>
      <w:marBottom w:val="0"/>
      <w:divBdr>
        <w:top w:val="none" w:sz="0" w:space="0" w:color="auto"/>
        <w:left w:val="none" w:sz="0" w:space="0" w:color="auto"/>
        <w:bottom w:val="none" w:sz="0" w:space="0" w:color="auto"/>
        <w:right w:val="none" w:sz="0" w:space="0" w:color="auto"/>
      </w:divBdr>
      <w:divsChild>
        <w:div w:id="94596409">
          <w:marLeft w:val="0"/>
          <w:marRight w:val="0"/>
          <w:marTop w:val="0"/>
          <w:marBottom w:val="0"/>
          <w:divBdr>
            <w:top w:val="none" w:sz="0" w:space="0" w:color="auto"/>
            <w:left w:val="none" w:sz="0" w:space="0" w:color="auto"/>
            <w:bottom w:val="none" w:sz="0" w:space="0" w:color="auto"/>
            <w:right w:val="none" w:sz="0" w:space="0" w:color="auto"/>
          </w:divBdr>
        </w:div>
        <w:div w:id="420491104">
          <w:marLeft w:val="0"/>
          <w:marRight w:val="0"/>
          <w:marTop w:val="0"/>
          <w:marBottom w:val="0"/>
          <w:divBdr>
            <w:top w:val="none" w:sz="0" w:space="0" w:color="auto"/>
            <w:left w:val="none" w:sz="0" w:space="0" w:color="auto"/>
            <w:bottom w:val="none" w:sz="0" w:space="0" w:color="auto"/>
            <w:right w:val="none" w:sz="0" w:space="0" w:color="auto"/>
          </w:divBdr>
        </w:div>
        <w:div w:id="1518033747">
          <w:marLeft w:val="0"/>
          <w:marRight w:val="0"/>
          <w:marTop w:val="0"/>
          <w:marBottom w:val="0"/>
          <w:divBdr>
            <w:top w:val="none" w:sz="0" w:space="0" w:color="auto"/>
            <w:left w:val="none" w:sz="0" w:space="0" w:color="auto"/>
            <w:bottom w:val="none" w:sz="0" w:space="0" w:color="auto"/>
            <w:right w:val="none" w:sz="0" w:space="0" w:color="auto"/>
          </w:divBdr>
          <w:divsChild>
            <w:div w:id="984747939">
              <w:marLeft w:val="0"/>
              <w:marRight w:val="0"/>
              <w:marTop w:val="0"/>
              <w:marBottom w:val="0"/>
              <w:divBdr>
                <w:top w:val="none" w:sz="0" w:space="0" w:color="auto"/>
                <w:left w:val="none" w:sz="0" w:space="0" w:color="auto"/>
                <w:bottom w:val="none" w:sz="0" w:space="0" w:color="auto"/>
                <w:right w:val="none" w:sz="0" w:space="0" w:color="auto"/>
              </w:divBdr>
            </w:div>
            <w:div w:id="1525635458">
              <w:marLeft w:val="0"/>
              <w:marRight w:val="0"/>
              <w:marTop w:val="0"/>
              <w:marBottom w:val="0"/>
              <w:divBdr>
                <w:top w:val="none" w:sz="0" w:space="0" w:color="auto"/>
                <w:left w:val="none" w:sz="0" w:space="0" w:color="auto"/>
                <w:bottom w:val="none" w:sz="0" w:space="0" w:color="auto"/>
                <w:right w:val="none" w:sz="0" w:space="0" w:color="auto"/>
              </w:divBdr>
            </w:div>
            <w:div w:id="21241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85733">
      <w:bodyDiv w:val="1"/>
      <w:marLeft w:val="0"/>
      <w:marRight w:val="0"/>
      <w:marTop w:val="0"/>
      <w:marBottom w:val="0"/>
      <w:divBdr>
        <w:top w:val="none" w:sz="0" w:space="0" w:color="auto"/>
        <w:left w:val="none" w:sz="0" w:space="0" w:color="auto"/>
        <w:bottom w:val="none" w:sz="0" w:space="0" w:color="auto"/>
        <w:right w:val="none" w:sz="0" w:space="0" w:color="auto"/>
      </w:divBdr>
      <w:divsChild>
        <w:div w:id="201867706">
          <w:marLeft w:val="0"/>
          <w:marRight w:val="0"/>
          <w:marTop w:val="0"/>
          <w:marBottom w:val="0"/>
          <w:divBdr>
            <w:top w:val="none" w:sz="0" w:space="0" w:color="auto"/>
            <w:left w:val="none" w:sz="0" w:space="0" w:color="auto"/>
            <w:bottom w:val="none" w:sz="0" w:space="0" w:color="auto"/>
            <w:right w:val="none" w:sz="0" w:space="0" w:color="auto"/>
          </w:divBdr>
        </w:div>
        <w:div w:id="596793899">
          <w:marLeft w:val="0"/>
          <w:marRight w:val="0"/>
          <w:marTop w:val="0"/>
          <w:marBottom w:val="0"/>
          <w:divBdr>
            <w:top w:val="none" w:sz="0" w:space="0" w:color="auto"/>
            <w:left w:val="none" w:sz="0" w:space="0" w:color="auto"/>
            <w:bottom w:val="none" w:sz="0" w:space="0" w:color="auto"/>
            <w:right w:val="none" w:sz="0" w:space="0" w:color="auto"/>
          </w:divBdr>
        </w:div>
        <w:div w:id="913121765">
          <w:marLeft w:val="0"/>
          <w:marRight w:val="0"/>
          <w:marTop w:val="0"/>
          <w:marBottom w:val="0"/>
          <w:divBdr>
            <w:top w:val="none" w:sz="0" w:space="0" w:color="auto"/>
            <w:left w:val="none" w:sz="0" w:space="0" w:color="auto"/>
            <w:bottom w:val="none" w:sz="0" w:space="0" w:color="auto"/>
            <w:right w:val="none" w:sz="0" w:space="0" w:color="auto"/>
          </w:divBdr>
        </w:div>
      </w:divsChild>
    </w:div>
    <w:div w:id="2049720087">
      <w:bodyDiv w:val="1"/>
      <w:marLeft w:val="0"/>
      <w:marRight w:val="0"/>
      <w:marTop w:val="0"/>
      <w:marBottom w:val="0"/>
      <w:divBdr>
        <w:top w:val="none" w:sz="0" w:space="0" w:color="auto"/>
        <w:left w:val="none" w:sz="0" w:space="0" w:color="auto"/>
        <w:bottom w:val="none" w:sz="0" w:space="0" w:color="auto"/>
        <w:right w:val="none" w:sz="0" w:space="0" w:color="auto"/>
      </w:divBdr>
    </w:div>
    <w:div w:id="208414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osaline.Crawford@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ackie.Ellington@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youtube.com/watch?v=DRlm8M7ieck" TargetMode="External"/><Relationship Id="rId3" Type="http://schemas.openxmlformats.org/officeDocument/2006/relationships/hyperlink" Target="http://aspe.hhs.gov/poverty/14poverty.cfm" TargetMode="External"/><Relationship Id="rId7" Type="http://schemas.openxmlformats.org/officeDocument/2006/relationships/hyperlink" Target="http://www.youtube.com/watch?v=wyQ6d9SgQ6s" TargetMode="External"/><Relationship Id="rId2" Type="http://schemas.openxmlformats.org/officeDocument/2006/relationships/hyperlink" Target="http://r-l-s-a.com/TRS/NDBEDP-FAQ.pdf" TargetMode="External"/><Relationship Id="rId1" Type="http://schemas.openxmlformats.org/officeDocument/2006/relationships/hyperlink" Target="http://r-l-s-a.com/TRS/ExamplesofReimbursableExpenses.pdf" TargetMode="External"/><Relationship Id="rId6" Type="http://schemas.openxmlformats.org/officeDocument/2006/relationships/hyperlink" Target="https://twitter.com/iCanConnect1" TargetMode="External"/><Relationship Id="rId5" Type="http://schemas.openxmlformats.org/officeDocument/2006/relationships/hyperlink" Target="https://www.facebook.com/iCanConnect.org" TargetMode="External"/><Relationship Id="rId10" Type="http://schemas.openxmlformats.org/officeDocument/2006/relationships/hyperlink" Target="http://apps.fcc.gov/ecfs/document/view?id=7520958851" TargetMode="External"/><Relationship Id="rId4" Type="http://schemas.openxmlformats.org/officeDocument/2006/relationships/hyperlink" Target="http://www.icanconnect.org/" TargetMode="External"/><Relationship Id="rId9" Type="http://schemas.openxmlformats.org/officeDocument/2006/relationships/hyperlink" Target="http://www.youtube.com/watch?v=eRAJKCINY9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4541</Words>
  <Characters>26530</Characters>
  <Application>Microsoft Office Word</Application>
  <DocSecurity>0</DocSecurity>
  <Lines>394</Lines>
  <Paragraphs>54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31201</CharactersWithSpaces>
  <SharedDoc>false</SharedDoc>
  <HyperlinkBase> </HyperlinkBase>
  <HLinks>
    <vt:vector size="84" baseType="variant">
      <vt:variant>
        <vt:i4>5570620</vt:i4>
      </vt:variant>
      <vt:variant>
        <vt:i4>9</vt:i4>
      </vt:variant>
      <vt:variant>
        <vt:i4>0</vt:i4>
      </vt:variant>
      <vt:variant>
        <vt:i4>5</vt:i4>
      </vt:variant>
      <vt:variant>
        <vt:lpwstr>mailto:Rosaline.Crawford@fcc.gov</vt:lpwstr>
      </vt:variant>
      <vt:variant>
        <vt:lpwstr/>
      </vt:variant>
      <vt:variant>
        <vt:i4>4390970</vt:i4>
      </vt:variant>
      <vt:variant>
        <vt:i4>6</vt:i4>
      </vt:variant>
      <vt:variant>
        <vt:i4>0</vt:i4>
      </vt:variant>
      <vt:variant>
        <vt:i4>5</vt:i4>
      </vt:variant>
      <vt:variant>
        <vt:lpwstr>mailto:Jackie.Ellington@fcc.gov</vt:lpwstr>
      </vt:variant>
      <vt:variant>
        <vt:lpwstr/>
      </vt:variant>
      <vt:variant>
        <vt:i4>3473482</vt:i4>
      </vt:variant>
      <vt:variant>
        <vt:i4>3</vt:i4>
      </vt:variant>
      <vt:variant>
        <vt:i4>0</vt:i4>
      </vt:variant>
      <vt:variant>
        <vt:i4>5</vt:i4>
      </vt:variant>
      <vt:variant>
        <vt:lpwstr>mailto:fcc504@fcc.gov</vt:lpwstr>
      </vt:variant>
      <vt:variant>
        <vt:lpwstr/>
      </vt:variant>
      <vt:variant>
        <vt:i4>7929897</vt:i4>
      </vt:variant>
      <vt:variant>
        <vt:i4>0</vt:i4>
      </vt:variant>
      <vt:variant>
        <vt:i4>0</vt:i4>
      </vt:variant>
      <vt:variant>
        <vt:i4>5</vt:i4>
      </vt:variant>
      <vt:variant>
        <vt:lpwstr>http://fjallfoss.fcc.gov/ecfs2/</vt:lpwstr>
      </vt:variant>
      <vt:variant>
        <vt:lpwstr/>
      </vt:variant>
      <vt:variant>
        <vt:i4>5308480</vt:i4>
      </vt:variant>
      <vt:variant>
        <vt:i4>27</vt:i4>
      </vt:variant>
      <vt:variant>
        <vt:i4>0</vt:i4>
      </vt:variant>
      <vt:variant>
        <vt:i4>5</vt:i4>
      </vt:variant>
      <vt:variant>
        <vt:lpwstr>http://apps.fcc.gov/ecfs/document/view?id=7520958851</vt:lpwstr>
      </vt:variant>
      <vt:variant>
        <vt:lpwstr/>
      </vt:variant>
      <vt:variant>
        <vt:i4>3407979</vt:i4>
      </vt:variant>
      <vt:variant>
        <vt:i4>24</vt:i4>
      </vt:variant>
      <vt:variant>
        <vt:i4>0</vt:i4>
      </vt:variant>
      <vt:variant>
        <vt:i4>5</vt:i4>
      </vt:variant>
      <vt:variant>
        <vt:lpwstr>http://www.youtube.com/watch?v=eRAJKCINY9o</vt:lpwstr>
      </vt:variant>
      <vt:variant>
        <vt:lpwstr/>
      </vt:variant>
      <vt:variant>
        <vt:i4>2949183</vt:i4>
      </vt:variant>
      <vt:variant>
        <vt:i4>21</vt:i4>
      </vt:variant>
      <vt:variant>
        <vt:i4>0</vt:i4>
      </vt:variant>
      <vt:variant>
        <vt:i4>5</vt:i4>
      </vt:variant>
      <vt:variant>
        <vt:lpwstr>http://www.youtube.com/watch?v=DRlm8M7ieck</vt:lpwstr>
      </vt:variant>
      <vt:variant>
        <vt:lpwstr/>
      </vt:variant>
      <vt:variant>
        <vt:i4>3604576</vt:i4>
      </vt:variant>
      <vt:variant>
        <vt:i4>18</vt:i4>
      </vt:variant>
      <vt:variant>
        <vt:i4>0</vt:i4>
      </vt:variant>
      <vt:variant>
        <vt:i4>5</vt:i4>
      </vt:variant>
      <vt:variant>
        <vt:lpwstr>http://www.youtube.com/watch?v=wyQ6d9SgQ6s</vt:lpwstr>
      </vt:variant>
      <vt:variant>
        <vt:lpwstr/>
      </vt:variant>
      <vt:variant>
        <vt:i4>4653121</vt:i4>
      </vt:variant>
      <vt:variant>
        <vt:i4>15</vt:i4>
      </vt:variant>
      <vt:variant>
        <vt:i4>0</vt:i4>
      </vt:variant>
      <vt:variant>
        <vt:i4>5</vt:i4>
      </vt:variant>
      <vt:variant>
        <vt:lpwstr>https://twitter.com/iCanConnect1</vt:lpwstr>
      </vt:variant>
      <vt:variant>
        <vt:lpwstr/>
      </vt:variant>
      <vt:variant>
        <vt:i4>5898261</vt:i4>
      </vt:variant>
      <vt:variant>
        <vt:i4>12</vt:i4>
      </vt:variant>
      <vt:variant>
        <vt:i4>0</vt:i4>
      </vt:variant>
      <vt:variant>
        <vt:i4>5</vt:i4>
      </vt:variant>
      <vt:variant>
        <vt:lpwstr>https://www.facebook.com/iCanConnect.org</vt:lpwstr>
      </vt:variant>
      <vt:variant>
        <vt:lpwstr/>
      </vt:variant>
      <vt:variant>
        <vt:i4>3604579</vt:i4>
      </vt:variant>
      <vt:variant>
        <vt:i4>9</vt:i4>
      </vt:variant>
      <vt:variant>
        <vt:i4>0</vt:i4>
      </vt:variant>
      <vt:variant>
        <vt:i4>5</vt:i4>
      </vt:variant>
      <vt:variant>
        <vt:lpwstr>http://www.icanconnect.org/</vt:lpwstr>
      </vt:variant>
      <vt:variant>
        <vt:lpwstr/>
      </vt:variant>
      <vt:variant>
        <vt:i4>4259911</vt:i4>
      </vt:variant>
      <vt:variant>
        <vt:i4>6</vt:i4>
      </vt:variant>
      <vt:variant>
        <vt:i4>0</vt:i4>
      </vt:variant>
      <vt:variant>
        <vt:i4>5</vt:i4>
      </vt:variant>
      <vt:variant>
        <vt:lpwstr>http://aspe.hhs.gov/poverty/14poverty.cfm</vt:lpwstr>
      </vt:variant>
      <vt:variant>
        <vt:lpwstr/>
      </vt:variant>
      <vt:variant>
        <vt:i4>4194305</vt:i4>
      </vt:variant>
      <vt:variant>
        <vt:i4>3</vt:i4>
      </vt:variant>
      <vt:variant>
        <vt:i4>0</vt:i4>
      </vt:variant>
      <vt:variant>
        <vt:i4>5</vt:i4>
      </vt:variant>
      <vt:variant>
        <vt:lpwstr>http://r-l-s-a.com/TRS/NDBEDP-FAQ.pdf</vt:lpwstr>
      </vt:variant>
      <vt:variant>
        <vt:lpwstr/>
      </vt:variant>
      <vt:variant>
        <vt:i4>131103</vt:i4>
      </vt:variant>
      <vt:variant>
        <vt:i4>0</vt:i4>
      </vt:variant>
      <vt:variant>
        <vt:i4>0</vt:i4>
      </vt:variant>
      <vt:variant>
        <vt:i4>5</vt:i4>
      </vt:variant>
      <vt:variant>
        <vt:lpwstr>http://r-l-s-a.com/TRS/ExamplesofReimbursableExpenses.pdf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2010-11-02T21:53:00Z</cp:lastPrinted>
  <dcterms:created xsi:type="dcterms:W3CDTF">2014-08-01T18:22:00Z</dcterms:created>
  <dcterms:modified xsi:type="dcterms:W3CDTF">2014-08-01T18:22:00Z</dcterms:modified>
  <cp:category> </cp:category>
  <cp:contentStatus> </cp:contentStatus>
</cp:coreProperties>
</file>