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A69" w:rsidRDefault="00505A69">
      <w:pPr>
        <w:pStyle w:val="Header"/>
        <w:tabs>
          <w:tab w:val="clear" w:pos="4320"/>
          <w:tab w:val="clear" w:pos="8640"/>
        </w:tabs>
        <w:sectPr w:rsidR="00505A69">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440" w:left="720" w:header="720" w:footer="1440" w:gutter="0"/>
          <w:cols w:space="720"/>
          <w:titlePg/>
        </w:sectPr>
      </w:pPr>
      <w:bookmarkStart w:id="1" w:name="_GoBack"/>
      <w:bookmarkEnd w:id="1"/>
    </w:p>
    <w:p w:rsidR="00505A69" w:rsidRDefault="00505A69">
      <w:pPr>
        <w:jc w:val="right"/>
        <w:rPr>
          <w:sz w:val="24"/>
        </w:rPr>
      </w:pPr>
      <w:r>
        <w:rPr>
          <w:b/>
          <w:szCs w:val="22"/>
        </w:rPr>
        <w:lastRenderedPageBreak/>
        <w:t xml:space="preserve">DA </w:t>
      </w:r>
      <w:r w:rsidR="007E13C1" w:rsidRPr="007E13C1">
        <w:rPr>
          <w:b/>
          <w:szCs w:val="22"/>
        </w:rPr>
        <w:t>14-1130</w:t>
      </w:r>
      <w:r>
        <w:rPr>
          <w:sz w:val="24"/>
        </w:rPr>
        <w:t xml:space="preserve"> </w:t>
      </w:r>
    </w:p>
    <w:p w:rsidR="00505A69" w:rsidRDefault="00505A69">
      <w:pPr>
        <w:spacing w:before="60"/>
        <w:jc w:val="right"/>
        <w:rPr>
          <w:sz w:val="24"/>
        </w:rPr>
      </w:pPr>
      <w:r w:rsidRPr="00505A69">
        <w:rPr>
          <w:b/>
          <w:szCs w:val="22"/>
        </w:rPr>
        <w:t xml:space="preserve">Released:  </w:t>
      </w:r>
      <w:r w:rsidR="0012043F">
        <w:rPr>
          <w:b/>
          <w:szCs w:val="22"/>
        </w:rPr>
        <w:t>August</w:t>
      </w:r>
      <w:r w:rsidR="007E13C1">
        <w:rPr>
          <w:b/>
          <w:szCs w:val="22"/>
        </w:rPr>
        <w:t xml:space="preserve"> 4</w:t>
      </w:r>
      <w:r>
        <w:rPr>
          <w:b/>
          <w:szCs w:val="22"/>
        </w:rPr>
        <w:t>, 2014</w:t>
      </w:r>
    </w:p>
    <w:p w:rsidR="00505A69" w:rsidRDefault="00505A69">
      <w:pPr>
        <w:jc w:val="right"/>
        <w:rPr>
          <w:sz w:val="24"/>
        </w:rPr>
      </w:pPr>
    </w:p>
    <w:p w:rsidR="00505A69" w:rsidRDefault="00505A69">
      <w:pPr>
        <w:spacing w:after="240"/>
        <w:jc w:val="center"/>
        <w:rPr>
          <w:b/>
          <w:sz w:val="24"/>
        </w:rPr>
      </w:pPr>
      <w:r w:rsidRPr="00505A69">
        <w:rPr>
          <w:b/>
          <w:szCs w:val="22"/>
        </w:rPr>
        <w:t>WIRELINE COMPETITION BUREAU SEEKS COMMENT ON DRAFT ELIGIBLE SERVICES LIST FOR SCHOOLS AND LIBRARIES UNIVERSAL SERVICE PROGRAM</w:t>
      </w:r>
    </w:p>
    <w:p w:rsidR="00505A69" w:rsidRPr="00505A69" w:rsidRDefault="00505A69" w:rsidP="00505A69">
      <w:pPr>
        <w:spacing w:after="240"/>
        <w:jc w:val="center"/>
        <w:rPr>
          <w:b/>
          <w:spacing w:val="-2"/>
          <w:szCs w:val="22"/>
          <w:lang w:val="sv-SE"/>
        </w:rPr>
      </w:pPr>
      <w:r w:rsidRPr="00505A69">
        <w:rPr>
          <w:b/>
          <w:szCs w:val="22"/>
        </w:rPr>
        <w:t xml:space="preserve">CC Docket No. 02-6; </w:t>
      </w:r>
      <w:r w:rsidRPr="00505A69">
        <w:rPr>
          <w:b/>
          <w:spacing w:val="-2"/>
          <w:szCs w:val="22"/>
          <w:lang w:val="sv-SE"/>
        </w:rPr>
        <w:t>GN Docket No. 09-51</w:t>
      </w:r>
      <w:r>
        <w:rPr>
          <w:b/>
          <w:spacing w:val="-2"/>
          <w:szCs w:val="22"/>
          <w:lang w:val="sv-SE"/>
        </w:rPr>
        <w:t>; WC Docket No. 13-184</w:t>
      </w:r>
    </w:p>
    <w:p w:rsidR="00505A69" w:rsidRPr="00505A69" w:rsidRDefault="00505A69" w:rsidP="00505A69">
      <w:pPr>
        <w:jc w:val="center"/>
        <w:rPr>
          <w:szCs w:val="22"/>
        </w:rPr>
      </w:pPr>
    </w:p>
    <w:p w:rsidR="00505A69" w:rsidRPr="00505A69" w:rsidRDefault="00505A69" w:rsidP="00505A69">
      <w:pPr>
        <w:tabs>
          <w:tab w:val="left" w:pos="-720"/>
        </w:tabs>
        <w:suppressAutoHyphens/>
        <w:outlineLvl w:val="0"/>
        <w:rPr>
          <w:szCs w:val="22"/>
        </w:rPr>
      </w:pPr>
      <w:r w:rsidRPr="00505A69">
        <w:rPr>
          <w:b/>
          <w:szCs w:val="22"/>
        </w:rPr>
        <w:t xml:space="preserve">Comment Date:  </w:t>
      </w:r>
      <w:r w:rsidR="007E13C1">
        <w:rPr>
          <w:b/>
          <w:szCs w:val="22"/>
        </w:rPr>
        <w:t>September 3, 2014</w:t>
      </w:r>
    </w:p>
    <w:p w:rsidR="00505A69" w:rsidRPr="00505A69" w:rsidRDefault="00505A69" w:rsidP="00505A69">
      <w:pPr>
        <w:tabs>
          <w:tab w:val="left" w:pos="-720"/>
        </w:tabs>
        <w:suppressAutoHyphens/>
        <w:outlineLvl w:val="0"/>
        <w:rPr>
          <w:b/>
          <w:szCs w:val="22"/>
        </w:rPr>
      </w:pPr>
      <w:r w:rsidRPr="00505A69">
        <w:rPr>
          <w:b/>
          <w:szCs w:val="22"/>
        </w:rPr>
        <w:t xml:space="preserve">Reply Comment Date:  </w:t>
      </w:r>
      <w:r w:rsidR="007E13C1">
        <w:rPr>
          <w:b/>
          <w:szCs w:val="22"/>
        </w:rPr>
        <w:t>September 18, 2014</w:t>
      </w:r>
    </w:p>
    <w:p w:rsidR="00505A69" w:rsidRPr="00505A69" w:rsidRDefault="00505A69" w:rsidP="00505A69">
      <w:pPr>
        <w:spacing w:before="120"/>
        <w:rPr>
          <w:szCs w:val="22"/>
        </w:rPr>
      </w:pPr>
    </w:p>
    <w:p w:rsidR="00505A69" w:rsidRPr="00505A69" w:rsidRDefault="00505A69" w:rsidP="00505A69">
      <w:pPr>
        <w:ind w:firstLine="720"/>
        <w:rPr>
          <w:szCs w:val="22"/>
        </w:rPr>
      </w:pPr>
      <w:r w:rsidRPr="00505A69">
        <w:rPr>
          <w:szCs w:val="22"/>
        </w:rPr>
        <w:t>The Wireline Competition Bureau (Bureau) seeks comment on a draft eligible services list (ESL) for the schools and libraries universal support mechanism (also known as the E-rat</w:t>
      </w:r>
      <w:r>
        <w:rPr>
          <w:szCs w:val="22"/>
        </w:rPr>
        <w:t>e program) for funding year 2015</w:t>
      </w:r>
      <w:r w:rsidRPr="00505A69">
        <w:rPr>
          <w:szCs w:val="22"/>
        </w:rPr>
        <w:t>.</w:t>
      </w:r>
      <w:r w:rsidRPr="00505A69">
        <w:rPr>
          <w:szCs w:val="22"/>
          <w:vertAlign w:val="superscript"/>
        </w:rPr>
        <w:footnoteReference w:id="2"/>
      </w:r>
      <w:r w:rsidRPr="00505A69">
        <w:rPr>
          <w:szCs w:val="22"/>
        </w:rPr>
        <w:t xml:space="preserve">  In the </w:t>
      </w:r>
      <w:r>
        <w:rPr>
          <w:i/>
          <w:szCs w:val="22"/>
        </w:rPr>
        <w:t xml:space="preserve">E-rate Modernization </w:t>
      </w:r>
      <w:r w:rsidRPr="00505A69">
        <w:rPr>
          <w:i/>
          <w:szCs w:val="22"/>
        </w:rPr>
        <w:t>Order</w:t>
      </w:r>
      <w:r>
        <w:rPr>
          <w:szCs w:val="22"/>
        </w:rPr>
        <w:t xml:space="preserve">, </w:t>
      </w:r>
      <w:r w:rsidR="00A03D75">
        <w:rPr>
          <w:szCs w:val="22"/>
        </w:rPr>
        <w:t xml:space="preserve">among other things, </w:t>
      </w:r>
      <w:r>
        <w:rPr>
          <w:szCs w:val="22"/>
        </w:rPr>
        <w:t>the Commission</w:t>
      </w:r>
      <w:r w:rsidR="00A03D75">
        <w:rPr>
          <w:szCs w:val="22"/>
        </w:rPr>
        <w:t xml:space="preserve"> restructures</w:t>
      </w:r>
      <w:r>
        <w:rPr>
          <w:szCs w:val="22"/>
        </w:rPr>
        <w:t xml:space="preserve"> the ESL into </w:t>
      </w:r>
      <w:r w:rsidR="002E43F6">
        <w:rPr>
          <w:szCs w:val="22"/>
        </w:rPr>
        <w:t>category one</w:t>
      </w:r>
      <w:r>
        <w:rPr>
          <w:szCs w:val="22"/>
        </w:rPr>
        <w:t xml:space="preserve"> a</w:t>
      </w:r>
      <w:r w:rsidR="00DC18EA">
        <w:rPr>
          <w:szCs w:val="22"/>
        </w:rPr>
        <w:t xml:space="preserve">nd </w:t>
      </w:r>
      <w:r w:rsidR="002E43F6">
        <w:rPr>
          <w:szCs w:val="22"/>
        </w:rPr>
        <w:t>category two services, streamlines</w:t>
      </w:r>
      <w:r w:rsidR="005A3B93">
        <w:rPr>
          <w:szCs w:val="22"/>
        </w:rPr>
        <w:t xml:space="preserve"> the list of eligible internal connections components to focus support on</w:t>
      </w:r>
      <w:r w:rsidR="005A3B93" w:rsidRPr="005A3B93">
        <w:rPr>
          <w:szCs w:val="22"/>
        </w:rPr>
        <w:t xml:space="preserve"> </w:t>
      </w:r>
      <w:r w:rsidR="005A3B93" w:rsidRPr="00045A60">
        <w:rPr>
          <w:szCs w:val="22"/>
        </w:rPr>
        <w:t xml:space="preserve">those services </w:t>
      </w:r>
      <w:r w:rsidR="005A3B93">
        <w:rPr>
          <w:szCs w:val="22"/>
        </w:rPr>
        <w:t xml:space="preserve">and components </w:t>
      </w:r>
      <w:r w:rsidR="005A3B93" w:rsidRPr="00045A60">
        <w:rPr>
          <w:szCs w:val="22"/>
        </w:rPr>
        <w:t>needed for broadband connectivity within schools and libraries</w:t>
      </w:r>
      <w:r w:rsidR="005A3B93">
        <w:rPr>
          <w:szCs w:val="22"/>
        </w:rPr>
        <w:t xml:space="preserve">, </w:t>
      </w:r>
      <w:r w:rsidR="002E43F6">
        <w:rPr>
          <w:szCs w:val="22"/>
        </w:rPr>
        <w:t>and eliminates</w:t>
      </w:r>
      <w:r w:rsidR="00A03D75">
        <w:rPr>
          <w:szCs w:val="22"/>
        </w:rPr>
        <w:t xml:space="preserve"> other</w:t>
      </w:r>
      <w:r>
        <w:rPr>
          <w:szCs w:val="22"/>
        </w:rPr>
        <w:t xml:space="preserve"> services and components beginning in funding year 2015.</w:t>
      </w:r>
      <w:r w:rsidR="002478C4">
        <w:rPr>
          <w:rStyle w:val="FootnoteReference"/>
          <w:szCs w:val="22"/>
        </w:rPr>
        <w:footnoteReference w:id="3"/>
      </w:r>
      <w:r>
        <w:rPr>
          <w:szCs w:val="22"/>
        </w:rPr>
        <w:t xml:space="preserve">  The draft ESL we release with this public notice </w:t>
      </w:r>
      <w:r w:rsidR="00B97910">
        <w:rPr>
          <w:szCs w:val="22"/>
        </w:rPr>
        <w:t>implements</w:t>
      </w:r>
      <w:r>
        <w:rPr>
          <w:szCs w:val="22"/>
        </w:rPr>
        <w:t xml:space="preserve"> the changes </w:t>
      </w:r>
      <w:r w:rsidR="002E43F6">
        <w:rPr>
          <w:szCs w:val="22"/>
        </w:rPr>
        <w:t xml:space="preserve">required by </w:t>
      </w:r>
      <w:r>
        <w:rPr>
          <w:szCs w:val="22"/>
        </w:rPr>
        <w:t xml:space="preserve">the </w:t>
      </w:r>
      <w:r w:rsidR="007F3262">
        <w:rPr>
          <w:i/>
          <w:szCs w:val="22"/>
        </w:rPr>
        <w:t xml:space="preserve">E-rate Modernization </w:t>
      </w:r>
      <w:r w:rsidR="007F3262" w:rsidRPr="00505A69">
        <w:rPr>
          <w:i/>
          <w:szCs w:val="22"/>
        </w:rPr>
        <w:t>Order</w:t>
      </w:r>
      <w:r>
        <w:rPr>
          <w:szCs w:val="22"/>
        </w:rPr>
        <w:t>.</w:t>
      </w:r>
      <w:r w:rsidR="00492F13">
        <w:rPr>
          <w:szCs w:val="22"/>
        </w:rPr>
        <w:t xml:space="preserve">  </w:t>
      </w:r>
      <w:r>
        <w:rPr>
          <w:szCs w:val="22"/>
        </w:rPr>
        <w:t xml:space="preserve">We seek comment on </w:t>
      </w:r>
      <w:r w:rsidR="00492F13">
        <w:rPr>
          <w:szCs w:val="22"/>
        </w:rPr>
        <w:t xml:space="preserve">the </w:t>
      </w:r>
      <w:r w:rsidR="0054746E">
        <w:rPr>
          <w:szCs w:val="22"/>
        </w:rPr>
        <w:t>draft ESL for funding year 2015.</w:t>
      </w:r>
      <w:r w:rsidR="00492F13">
        <w:rPr>
          <w:szCs w:val="22"/>
        </w:rPr>
        <w:t xml:space="preserve">  Comment</w:t>
      </w:r>
      <w:r w:rsidR="008602AA">
        <w:rPr>
          <w:szCs w:val="22"/>
        </w:rPr>
        <w:t>er</w:t>
      </w:r>
      <w:r w:rsidR="00492F13">
        <w:rPr>
          <w:szCs w:val="22"/>
        </w:rPr>
        <w:t xml:space="preserve">s should highlight whether </w:t>
      </w:r>
      <w:r w:rsidR="008602AA">
        <w:rPr>
          <w:szCs w:val="22"/>
        </w:rPr>
        <w:t xml:space="preserve">the draft manifests </w:t>
      </w:r>
      <w:r>
        <w:rPr>
          <w:szCs w:val="22"/>
        </w:rPr>
        <w:t>the Commission’s decisions</w:t>
      </w:r>
      <w:r w:rsidR="00E24CAE">
        <w:rPr>
          <w:szCs w:val="22"/>
        </w:rPr>
        <w:t xml:space="preserve"> and intent</w:t>
      </w:r>
      <w:r w:rsidR="0054746E">
        <w:rPr>
          <w:szCs w:val="22"/>
        </w:rPr>
        <w:t xml:space="preserve"> in the </w:t>
      </w:r>
      <w:r w:rsidR="007F3262" w:rsidRPr="007F3262">
        <w:rPr>
          <w:i/>
          <w:szCs w:val="22"/>
        </w:rPr>
        <w:t>E-rate Modernization Order</w:t>
      </w:r>
      <w:r w:rsidR="0054746E">
        <w:rPr>
          <w:szCs w:val="22"/>
        </w:rPr>
        <w:t>, and to the extent that they find additional changes are necessary</w:t>
      </w:r>
      <w:r w:rsidR="00536320">
        <w:rPr>
          <w:szCs w:val="22"/>
        </w:rPr>
        <w:t xml:space="preserve">, </w:t>
      </w:r>
      <w:r w:rsidR="00604E3F">
        <w:rPr>
          <w:szCs w:val="22"/>
        </w:rPr>
        <w:t xml:space="preserve">we encourage commenters to </w:t>
      </w:r>
      <w:r w:rsidR="00536320">
        <w:rPr>
          <w:szCs w:val="22"/>
        </w:rPr>
        <w:t>be as detailed as possible with their recommendations</w:t>
      </w:r>
      <w:r>
        <w:rPr>
          <w:szCs w:val="22"/>
        </w:rPr>
        <w:t xml:space="preserve">.  </w:t>
      </w:r>
      <w:r w:rsidR="00536320">
        <w:rPr>
          <w:szCs w:val="22"/>
        </w:rPr>
        <w:t xml:space="preserve">The following </w:t>
      </w:r>
      <w:r w:rsidR="0065724B">
        <w:rPr>
          <w:szCs w:val="22"/>
        </w:rPr>
        <w:t xml:space="preserve">summarizes the changes </w:t>
      </w:r>
      <w:r w:rsidR="00CB4FFE">
        <w:rPr>
          <w:szCs w:val="22"/>
        </w:rPr>
        <w:t>we propose.</w:t>
      </w:r>
    </w:p>
    <w:p w:rsidR="0098349B" w:rsidRDefault="0098349B" w:rsidP="00AA0A16">
      <w:pPr>
        <w:rPr>
          <w:rFonts w:eastAsia="Calibri"/>
          <w:bCs/>
          <w:szCs w:val="22"/>
        </w:rPr>
      </w:pPr>
    </w:p>
    <w:p w:rsidR="00F7025A" w:rsidRPr="0012043F" w:rsidRDefault="00AE21F6" w:rsidP="0012043F">
      <w:pPr>
        <w:numPr>
          <w:ilvl w:val="0"/>
          <w:numId w:val="16"/>
        </w:numPr>
        <w:rPr>
          <w:rFonts w:eastAsia="Calibri"/>
          <w:bCs/>
          <w:szCs w:val="22"/>
        </w:rPr>
      </w:pPr>
      <w:r>
        <w:rPr>
          <w:rFonts w:eastAsia="Calibri"/>
          <w:bCs/>
          <w:szCs w:val="22"/>
        </w:rPr>
        <w:t xml:space="preserve">Consistent with the Commission’s first goal in the </w:t>
      </w:r>
      <w:r>
        <w:rPr>
          <w:rFonts w:eastAsia="Calibri"/>
          <w:bCs/>
          <w:i/>
          <w:szCs w:val="22"/>
        </w:rPr>
        <w:t xml:space="preserve">E-rate Modernization </w:t>
      </w:r>
      <w:r w:rsidRPr="002E788C">
        <w:rPr>
          <w:rFonts w:eastAsia="Calibri"/>
          <w:bCs/>
          <w:i/>
          <w:szCs w:val="22"/>
        </w:rPr>
        <w:t>Order</w:t>
      </w:r>
      <w:r>
        <w:rPr>
          <w:rFonts w:eastAsia="Calibri"/>
          <w:bCs/>
          <w:szCs w:val="22"/>
        </w:rPr>
        <w:t xml:space="preserve"> </w:t>
      </w:r>
      <w:r>
        <w:t xml:space="preserve">– </w:t>
      </w:r>
      <w:r>
        <w:rPr>
          <w:rStyle w:val="stylenumberedparagraphs11ptchar"/>
          <w:snapToGrid w:val="0"/>
          <w:szCs w:val="22"/>
        </w:rPr>
        <w:t>e</w:t>
      </w:r>
      <w:r w:rsidRPr="007F3262">
        <w:rPr>
          <w:rStyle w:val="stylenumberedparagraphs11ptchar"/>
          <w:snapToGrid w:val="0"/>
          <w:szCs w:val="22"/>
        </w:rPr>
        <w:t xml:space="preserve">nsuring </w:t>
      </w:r>
      <w:r w:rsidRPr="007F3262">
        <w:rPr>
          <w:snapToGrid w:val="0"/>
          <w:szCs w:val="22"/>
        </w:rPr>
        <w:t>affordable access to high-s</w:t>
      </w:r>
      <w:r>
        <w:rPr>
          <w:snapToGrid w:val="0"/>
          <w:szCs w:val="22"/>
        </w:rPr>
        <w:t>peed bro</w:t>
      </w:r>
      <w:r w:rsidRPr="007F3262">
        <w:rPr>
          <w:snapToGrid w:val="0"/>
          <w:szCs w:val="22"/>
        </w:rPr>
        <w:t>adband</w:t>
      </w:r>
      <w:r>
        <w:rPr>
          <w:rStyle w:val="FootnoteReference"/>
          <w:snapToGrid w:val="0"/>
          <w:szCs w:val="22"/>
        </w:rPr>
        <w:footnoteReference w:id="4"/>
      </w:r>
      <w:r w:rsidRPr="007F3262">
        <w:rPr>
          <w:snapToGrid w:val="0"/>
          <w:szCs w:val="22"/>
        </w:rPr>
        <w:t xml:space="preserve"> </w:t>
      </w:r>
      <w:r>
        <w:t xml:space="preserve">– the proposed ESL </w:t>
      </w:r>
      <w:r w:rsidR="00362120">
        <w:t xml:space="preserve">implements the Commission’s decisions by </w:t>
      </w:r>
      <w:r w:rsidR="00E9787E">
        <w:rPr>
          <w:rFonts w:eastAsia="Calibri"/>
          <w:bCs/>
          <w:szCs w:val="22"/>
        </w:rPr>
        <w:t>streamlin</w:t>
      </w:r>
      <w:r w:rsidR="00362120">
        <w:rPr>
          <w:rFonts w:eastAsia="Calibri"/>
          <w:bCs/>
          <w:szCs w:val="22"/>
        </w:rPr>
        <w:t>ing</w:t>
      </w:r>
      <w:r w:rsidR="009A2932">
        <w:rPr>
          <w:rFonts w:eastAsia="Calibri"/>
          <w:bCs/>
          <w:szCs w:val="22"/>
        </w:rPr>
        <w:t xml:space="preserve"> </w:t>
      </w:r>
      <w:r w:rsidR="00E9787E">
        <w:rPr>
          <w:rFonts w:eastAsia="Calibri"/>
          <w:bCs/>
          <w:szCs w:val="22"/>
        </w:rPr>
        <w:t xml:space="preserve">the list of supported services </w:t>
      </w:r>
      <w:r w:rsidR="00CB4FFE">
        <w:rPr>
          <w:rFonts w:eastAsia="Calibri"/>
          <w:bCs/>
          <w:szCs w:val="22"/>
        </w:rPr>
        <w:t>from the former priority o</w:t>
      </w:r>
      <w:r w:rsidR="0073171B">
        <w:rPr>
          <w:rFonts w:eastAsia="Calibri"/>
          <w:bCs/>
          <w:szCs w:val="22"/>
        </w:rPr>
        <w:t xml:space="preserve">ne category </w:t>
      </w:r>
      <w:r w:rsidR="002E43F6">
        <w:rPr>
          <w:rFonts w:eastAsia="Calibri"/>
          <w:bCs/>
          <w:szCs w:val="22"/>
        </w:rPr>
        <w:t>into a new category o</w:t>
      </w:r>
      <w:r w:rsidR="00E9787E">
        <w:rPr>
          <w:rFonts w:eastAsia="Calibri"/>
          <w:bCs/>
          <w:szCs w:val="22"/>
        </w:rPr>
        <w:t xml:space="preserve">ne </w:t>
      </w:r>
      <w:r w:rsidR="0073171B">
        <w:rPr>
          <w:rFonts w:eastAsia="Calibri"/>
          <w:bCs/>
          <w:szCs w:val="22"/>
        </w:rPr>
        <w:t xml:space="preserve">section </w:t>
      </w:r>
      <w:r w:rsidR="00E9787E">
        <w:rPr>
          <w:rFonts w:eastAsia="Calibri"/>
          <w:bCs/>
          <w:szCs w:val="22"/>
        </w:rPr>
        <w:t xml:space="preserve">to better tailor support </w:t>
      </w:r>
      <w:r w:rsidR="00AA0A16">
        <w:rPr>
          <w:rFonts w:eastAsia="Calibri"/>
          <w:bCs/>
          <w:szCs w:val="22"/>
        </w:rPr>
        <w:t xml:space="preserve">towards high-capacity broadband, and </w:t>
      </w:r>
      <w:r w:rsidR="00E9787E">
        <w:rPr>
          <w:rFonts w:eastAsia="Calibri"/>
          <w:bCs/>
          <w:szCs w:val="22"/>
        </w:rPr>
        <w:t>eliminate support for</w:t>
      </w:r>
      <w:r w:rsidR="00AA0A16">
        <w:rPr>
          <w:rFonts w:eastAsia="Calibri"/>
          <w:bCs/>
          <w:szCs w:val="22"/>
        </w:rPr>
        <w:t xml:space="preserve"> outdated, legacy,</w:t>
      </w:r>
      <w:r>
        <w:rPr>
          <w:rFonts w:eastAsia="Calibri"/>
          <w:bCs/>
          <w:szCs w:val="22"/>
        </w:rPr>
        <w:t xml:space="preserve"> and </w:t>
      </w:r>
      <w:r w:rsidR="00AA0A16">
        <w:rPr>
          <w:rFonts w:eastAsia="Calibri"/>
          <w:bCs/>
          <w:szCs w:val="22"/>
        </w:rPr>
        <w:t xml:space="preserve">other </w:t>
      </w:r>
      <w:r>
        <w:rPr>
          <w:rFonts w:eastAsia="Calibri"/>
          <w:bCs/>
          <w:szCs w:val="22"/>
        </w:rPr>
        <w:t>services that do not provide broadband</w:t>
      </w:r>
      <w:r w:rsidR="002E43F6">
        <w:t xml:space="preserve">.  </w:t>
      </w:r>
    </w:p>
    <w:p w:rsidR="001B4BEC" w:rsidRPr="001B4BEC" w:rsidRDefault="00783C22" w:rsidP="001B4BEC">
      <w:pPr>
        <w:numPr>
          <w:ilvl w:val="1"/>
          <w:numId w:val="16"/>
        </w:numPr>
        <w:spacing w:after="220"/>
        <w:rPr>
          <w:rFonts w:eastAsia="Calibri"/>
          <w:bCs/>
          <w:szCs w:val="22"/>
        </w:rPr>
      </w:pPr>
      <w:r>
        <w:rPr>
          <w:szCs w:val="22"/>
        </w:rPr>
        <w:lastRenderedPageBreak/>
        <w:t xml:space="preserve">The proposed ESL removes </w:t>
      </w:r>
      <w:r w:rsidR="007D4049" w:rsidRPr="006F410F">
        <w:rPr>
          <w:szCs w:val="22"/>
        </w:rPr>
        <w:t>w</w:t>
      </w:r>
      <w:r w:rsidR="007D4049" w:rsidRPr="006F410F">
        <w:rPr>
          <w:rFonts w:eastAsia="Calibri"/>
          <w:bCs/>
          <w:szCs w:val="22"/>
        </w:rPr>
        <w:t xml:space="preserve">eb hosting, voice mail, and email </w:t>
      </w:r>
      <w:r w:rsidR="007D4049" w:rsidRPr="006F410F">
        <w:rPr>
          <w:szCs w:val="22"/>
        </w:rPr>
        <w:t>because the Commission determined that these services use broadband as a delivery mechanism but do not connect schools and libraries to high-</w:t>
      </w:r>
      <w:r w:rsidR="006E070F">
        <w:rPr>
          <w:szCs w:val="22"/>
        </w:rPr>
        <w:t>speed</w:t>
      </w:r>
      <w:r w:rsidR="007D4049" w:rsidRPr="006F410F">
        <w:rPr>
          <w:szCs w:val="22"/>
        </w:rPr>
        <w:t xml:space="preserve"> broadband</w:t>
      </w:r>
      <w:r w:rsidR="007D4049" w:rsidRPr="006F410F">
        <w:rPr>
          <w:rFonts w:eastAsia="Calibri"/>
          <w:bCs/>
          <w:szCs w:val="22"/>
        </w:rPr>
        <w:t xml:space="preserve"> themselves.</w:t>
      </w:r>
      <w:r>
        <w:rPr>
          <w:rStyle w:val="FootnoteReference"/>
        </w:rPr>
        <w:footnoteReference w:id="5"/>
      </w:r>
    </w:p>
    <w:p w:rsidR="00F7025A" w:rsidRPr="0012043F" w:rsidRDefault="00B97910" w:rsidP="001B4BEC">
      <w:pPr>
        <w:numPr>
          <w:ilvl w:val="1"/>
          <w:numId w:val="16"/>
        </w:numPr>
        <w:spacing w:after="220"/>
        <w:rPr>
          <w:rFonts w:eastAsia="Calibri"/>
          <w:bCs/>
          <w:szCs w:val="22"/>
        </w:rPr>
      </w:pPr>
      <w:bookmarkStart w:id="2" w:name="_Ref391056511"/>
      <w:r w:rsidRPr="004140E7">
        <w:t xml:space="preserve">The </w:t>
      </w:r>
      <w:r>
        <w:t xml:space="preserve">proposed ESL removes </w:t>
      </w:r>
      <w:r w:rsidRPr="004140E7">
        <w:t>paging, directory assistance charges, text messaging, custom calling services, direct inward dialing, 900/976 call blocking</w:t>
      </w:r>
      <w:r>
        <w:t xml:space="preserve">, </w:t>
      </w:r>
      <w:r w:rsidRPr="004140E7">
        <w:t>an</w:t>
      </w:r>
      <w:r>
        <w:t>d inside wire maintenance plans (</w:t>
      </w:r>
      <w:r w:rsidR="006E070F">
        <w:t>grouped as “</w:t>
      </w:r>
      <w:r w:rsidR="00BF7AEE">
        <w:t>T</w:t>
      </w:r>
      <w:r w:rsidR="006E070F">
        <w:t xml:space="preserve">elephone </w:t>
      </w:r>
      <w:r w:rsidR="00BF7AEE">
        <w:t>C</w:t>
      </w:r>
      <w:r>
        <w:t>omponents”</w:t>
      </w:r>
      <w:r w:rsidR="00BF7AEE">
        <w:t xml:space="preserve"> in past ESLs</w:t>
      </w:r>
      <w:r>
        <w:t xml:space="preserve">) </w:t>
      </w:r>
      <w:r w:rsidRPr="00B97910">
        <w:t>because</w:t>
      </w:r>
      <w:r>
        <w:t xml:space="preserve"> the Commission </w:t>
      </w:r>
      <w:r w:rsidR="00F7025A">
        <w:t xml:space="preserve">determined </w:t>
      </w:r>
      <w:r>
        <w:t xml:space="preserve">that </w:t>
      </w:r>
      <w:r w:rsidR="0077747A">
        <w:t>these services</w:t>
      </w:r>
      <w:r w:rsidR="006A6817">
        <w:t xml:space="preserve"> </w:t>
      </w:r>
      <w:r w:rsidR="0077747A">
        <w:t>are</w:t>
      </w:r>
      <w:r>
        <w:t xml:space="preserve"> </w:t>
      </w:r>
      <w:r w:rsidRPr="004140E7">
        <w:t>outdated</w:t>
      </w:r>
      <w:r w:rsidR="006A6817">
        <w:t>,</w:t>
      </w:r>
      <w:r>
        <w:t xml:space="preserve"> and continuing to fund </w:t>
      </w:r>
      <w:r w:rsidR="0077747A">
        <w:t>the</w:t>
      </w:r>
      <w:r w:rsidR="006A6817">
        <w:t xml:space="preserve">se components </w:t>
      </w:r>
      <w:r>
        <w:rPr>
          <w:iCs/>
          <w:color w:val="000000"/>
          <w:szCs w:val="22"/>
        </w:rPr>
        <w:t>diverts funding away from the high-speed broadband services that have become essential to schools and libraries.</w:t>
      </w:r>
      <w:r w:rsidR="006E070F">
        <w:rPr>
          <w:rStyle w:val="FootnoteReference"/>
          <w:iCs/>
          <w:color w:val="000000"/>
          <w:szCs w:val="22"/>
        </w:rPr>
        <w:footnoteReference w:id="6"/>
      </w:r>
      <w:r w:rsidRPr="004140E7">
        <w:t xml:space="preserve"> </w:t>
      </w:r>
      <w:bookmarkEnd w:id="2"/>
      <w:r w:rsidR="00AD19A9" w:rsidRPr="0012043F">
        <w:rPr>
          <w:rFonts w:eastAsiaTheme="minorHAnsi"/>
          <w:szCs w:val="22"/>
        </w:rPr>
        <w:t xml:space="preserve">  </w:t>
      </w:r>
    </w:p>
    <w:p w:rsidR="00F7025A" w:rsidRPr="001B4BEC" w:rsidRDefault="00F7025A" w:rsidP="001B4BEC">
      <w:pPr>
        <w:numPr>
          <w:ilvl w:val="1"/>
          <w:numId w:val="16"/>
        </w:numPr>
        <w:spacing w:after="220"/>
        <w:rPr>
          <w:rFonts w:eastAsia="Calibri"/>
          <w:bCs/>
          <w:szCs w:val="22"/>
        </w:rPr>
      </w:pPr>
      <w:r>
        <w:rPr>
          <w:rFonts w:eastAsia="Calibri"/>
          <w:bCs/>
          <w:szCs w:val="22"/>
        </w:rPr>
        <w:t xml:space="preserve">The proposed ESL reflects the Commission’s decision to phase down support for voice services and that individual data plans will meet the E-rate program’s cost-effectiveness requirements </w:t>
      </w:r>
      <w:r w:rsidR="000D3F60">
        <w:rPr>
          <w:rFonts w:eastAsia="Calibri"/>
          <w:bCs/>
          <w:szCs w:val="22"/>
        </w:rPr>
        <w:t xml:space="preserve">only in special circumstances </w:t>
      </w:r>
      <w:r>
        <w:t xml:space="preserve">as described in more detail in the </w:t>
      </w:r>
      <w:r>
        <w:rPr>
          <w:i/>
        </w:rPr>
        <w:t>E-rate Modernization Order</w:t>
      </w:r>
      <w:r>
        <w:t>.</w:t>
      </w:r>
      <w:r>
        <w:rPr>
          <w:rStyle w:val="FootnoteReference"/>
        </w:rPr>
        <w:footnoteReference w:id="7"/>
      </w:r>
    </w:p>
    <w:p w:rsidR="00C43BA9" w:rsidRPr="001D370D" w:rsidRDefault="002E43F6" w:rsidP="001B4BEC">
      <w:pPr>
        <w:numPr>
          <w:ilvl w:val="0"/>
          <w:numId w:val="16"/>
        </w:numPr>
        <w:spacing w:after="220"/>
        <w:rPr>
          <w:rFonts w:eastAsia="Calibri"/>
          <w:bCs/>
          <w:szCs w:val="22"/>
        </w:rPr>
      </w:pPr>
      <w:r>
        <w:rPr>
          <w:rFonts w:eastAsia="Calibri"/>
          <w:bCs/>
          <w:szCs w:val="22"/>
        </w:rPr>
        <w:t xml:space="preserve">As required by the </w:t>
      </w:r>
      <w:r>
        <w:rPr>
          <w:rFonts w:eastAsia="Calibri"/>
          <w:bCs/>
          <w:i/>
          <w:szCs w:val="22"/>
        </w:rPr>
        <w:t xml:space="preserve">E-rate Modernization </w:t>
      </w:r>
      <w:r w:rsidRPr="00AA0A16">
        <w:rPr>
          <w:rFonts w:eastAsia="Calibri"/>
          <w:bCs/>
          <w:i/>
          <w:szCs w:val="22"/>
        </w:rPr>
        <w:t>Order</w:t>
      </w:r>
      <w:r>
        <w:rPr>
          <w:rFonts w:eastAsia="Calibri"/>
          <w:bCs/>
          <w:szCs w:val="22"/>
        </w:rPr>
        <w:t xml:space="preserve">, </w:t>
      </w:r>
      <w:r w:rsidR="00AE21F6">
        <w:rPr>
          <w:rFonts w:eastAsia="Calibri"/>
          <w:bCs/>
          <w:szCs w:val="22"/>
        </w:rPr>
        <w:t>the proposed ESL</w:t>
      </w:r>
      <w:r w:rsidR="00E9787E">
        <w:rPr>
          <w:rFonts w:eastAsia="Calibri"/>
          <w:bCs/>
          <w:szCs w:val="22"/>
        </w:rPr>
        <w:t xml:space="preserve"> </w:t>
      </w:r>
      <w:r w:rsidRPr="00B13230">
        <w:t>lim</w:t>
      </w:r>
      <w:r>
        <w:t>it</w:t>
      </w:r>
      <w:r w:rsidR="00AE21F6">
        <w:t>s</w:t>
      </w:r>
      <w:r>
        <w:t xml:space="preserve"> internal connections </w:t>
      </w:r>
      <w:r w:rsidRPr="00B13230">
        <w:t xml:space="preserve">to those broadband </w:t>
      </w:r>
      <w:r w:rsidR="007E75E5">
        <w:t>internal connections components and services</w:t>
      </w:r>
      <w:r w:rsidR="00F4229F">
        <w:t xml:space="preserve"> </w:t>
      </w:r>
      <w:r w:rsidRPr="00B13230">
        <w:t xml:space="preserve">needed to </w:t>
      </w:r>
      <w:r w:rsidR="00A64A78" w:rsidRPr="00B13230">
        <w:t>enable high-speed broadband connectivity</w:t>
      </w:r>
      <w:r w:rsidR="00A64A78">
        <w:t xml:space="preserve">. </w:t>
      </w:r>
      <w:r w:rsidR="00A64A78">
        <w:rPr>
          <w:snapToGrid w:val="0"/>
          <w:kern w:val="28"/>
        </w:rPr>
        <w:t xml:space="preserve"> </w:t>
      </w:r>
      <w:r w:rsidR="00CB4FFE">
        <w:rPr>
          <w:snapToGrid w:val="0"/>
          <w:kern w:val="28"/>
        </w:rPr>
        <w:t>C</w:t>
      </w:r>
      <w:r>
        <w:rPr>
          <w:snapToGrid w:val="0"/>
          <w:kern w:val="28"/>
        </w:rPr>
        <w:t>ategory two</w:t>
      </w:r>
      <w:r w:rsidR="00F4229F">
        <w:rPr>
          <w:snapToGrid w:val="0"/>
          <w:kern w:val="28"/>
        </w:rPr>
        <w:t xml:space="preserve"> services</w:t>
      </w:r>
      <w:r w:rsidR="0073171B">
        <w:rPr>
          <w:snapToGrid w:val="0"/>
          <w:kern w:val="28"/>
        </w:rPr>
        <w:t xml:space="preserve"> include LAN/WLAN (local area networks/wireless local area networks)-focused</w:t>
      </w:r>
      <w:r w:rsidR="00C43BA9">
        <w:rPr>
          <w:rFonts w:eastAsia="Calibri"/>
          <w:bCs/>
          <w:szCs w:val="22"/>
        </w:rPr>
        <w:t xml:space="preserve"> components</w:t>
      </w:r>
      <w:r w:rsidR="001D40CA">
        <w:rPr>
          <w:rFonts w:eastAsia="Calibri"/>
          <w:bCs/>
          <w:szCs w:val="22"/>
        </w:rPr>
        <w:t xml:space="preserve"> (broadband internal connections components)</w:t>
      </w:r>
      <w:r w:rsidR="0073171B">
        <w:rPr>
          <w:rFonts w:eastAsia="Calibri"/>
          <w:bCs/>
          <w:szCs w:val="22"/>
        </w:rPr>
        <w:t>, basic maintenance</w:t>
      </w:r>
      <w:r w:rsidR="001D40CA">
        <w:rPr>
          <w:rFonts w:eastAsia="Calibri"/>
          <w:bCs/>
          <w:szCs w:val="22"/>
        </w:rPr>
        <w:t xml:space="preserve"> of eligible broadband internal connections components</w:t>
      </w:r>
      <w:r w:rsidR="0073171B">
        <w:rPr>
          <w:rFonts w:eastAsia="Calibri"/>
          <w:bCs/>
          <w:szCs w:val="22"/>
        </w:rPr>
        <w:t>, and</w:t>
      </w:r>
      <w:r w:rsidR="00C43BA9">
        <w:rPr>
          <w:rFonts w:eastAsia="Calibri"/>
          <w:bCs/>
          <w:szCs w:val="22"/>
        </w:rPr>
        <w:t xml:space="preserve"> </w:t>
      </w:r>
      <w:r w:rsidR="00676EC6">
        <w:rPr>
          <w:rFonts w:eastAsia="Calibri"/>
          <w:bCs/>
          <w:szCs w:val="22"/>
        </w:rPr>
        <w:t xml:space="preserve">managed </w:t>
      </w:r>
      <w:r w:rsidR="001D40CA">
        <w:rPr>
          <w:rFonts w:eastAsia="Calibri"/>
          <w:bCs/>
          <w:szCs w:val="22"/>
        </w:rPr>
        <w:t xml:space="preserve">internal broadband </w:t>
      </w:r>
      <w:r w:rsidR="00676EC6">
        <w:rPr>
          <w:rFonts w:eastAsia="Calibri"/>
          <w:bCs/>
          <w:szCs w:val="22"/>
        </w:rPr>
        <w:t>services</w:t>
      </w:r>
      <w:r w:rsidR="00C43BA9">
        <w:rPr>
          <w:snapToGrid w:val="0"/>
          <w:kern w:val="28"/>
        </w:rPr>
        <w:t>.</w:t>
      </w:r>
      <w:r w:rsidR="00676EC6">
        <w:rPr>
          <w:snapToGrid w:val="0"/>
          <w:kern w:val="28"/>
        </w:rPr>
        <w:t xml:space="preserve">  </w:t>
      </w:r>
      <w:r w:rsidR="00AE21F6">
        <w:rPr>
          <w:snapToGrid w:val="0"/>
          <w:kern w:val="28"/>
        </w:rPr>
        <w:t xml:space="preserve">Category two </w:t>
      </w:r>
      <w:r w:rsidR="00F4229F">
        <w:rPr>
          <w:snapToGrid w:val="0"/>
          <w:kern w:val="28"/>
        </w:rPr>
        <w:t xml:space="preserve">services </w:t>
      </w:r>
      <w:r w:rsidR="00AE21F6">
        <w:rPr>
          <w:snapToGrid w:val="0"/>
          <w:kern w:val="28"/>
        </w:rPr>
        <w:t xml:space="preserve">exclude </w:t>
      </w:r>
      <w:r w:rsidR="0073171B">
        <w:rPr>
          <w:snapToGrid w:val="0"/>
          <w:kern w:val="28"/>
        </w:rPr>
        <w:t>e</w:t>
      </w:r>
      <w:r w:rsidR="00676EC6">
        <w:rPr>
          <w:snapToGrid w:val="0"/>
          <w:kern w:val="28"/>
        </w:rPr>
        <w:t xml:space="preserve">quipment </w:t>
      </w:r>
      <w:r w:rsidR="00AE21F6">
        <w:rPr>
          <w:snapToGrid w:val="0"/>
          <w:kern w:val="28"/>
        </w:rPr>
        <w:t xml:space="preserve">that is </w:t>
      </w:r>
      <w:r w:rsidR="00676EC6">
        <w:rPr>
          <w:snapToGrid w:val="0"/>
          <w:kern w:val="28"/>
        </w:rPr>
        <w:t xml:space="preserve">dedicated to </w:t>
      </w:r>
      <w:r w:rsidR="00AE21F6">
        <w:rPr>
          <w:snapToGrid w:val="0"/>
          <w:kern w:val="28"/>
        </w:rPr>
        <w:t xml:space="preserve">the </w:t>
      </w:r>
      <w:r w:rsidR="00F4229F">
        <w:rPr>
          <w:snapToGrid w:val="0"/>
          <w:kern w:val="28"/>
        </w:rPr>
        <w:t xml:space="preserve">category </w:t>
      </w:r>
      <w:r w:rsidR="00AE21F6">
        <w:rPr>
          <w:snapToGrid w:val="0"/>
          <w:kern w:val="28"/>
        </w:rPr>
        <w:t xml:space="preserve">one </w:t>
      </w:r>
      <w:r w:rsidR="0073171B">
        <w:rPr>
          <w:snapToGrid w:val="0"/>
          <w:kern w:val="28"/>
        </w:rPr>
        <w:t>s</w:t>
      </w:r>
      <w:r w:rsidR="00676EC6">
        <w:rPr>
          <w:snapToGrid w:val="0"/>
          <w:kern w:val="28"/>
        </w:rPr>
        <w:t xml:space="preserve">ervices that </w:t>
      </w:r>
      <w:r w:rsidR="00AE21F6">
        <w:rPr>
          <w:snapToGrid w:val="0"/>
          <w:kern w:val="28"/>
        </w:rPr>
        <w:t xml:space="preserve">are being </w:t>
      </w:r>
      <w:r w:rsidR="00A64A78">
        <w:rPr>
          <w:snapToGrid w:val="0"/>
          <w:kern w:val="28"/>
        </w:rPr>
        <w:t xml:space="preserve">eliminated </w:t>
      </w:r>
      <w:r w:rsidR="00AE21F6">
        <w:rPr>
          <w:snapToGrid w:val="0"/>
          <w:kern w:val="28"/>
        </w:rPr>
        <w:t>or phased down beginning in</w:t>
      </w:r>
      <w:r w:rsidR="000D3F60">
        <w:rPr>
          <w:snapToGrid w:val="0"/>
          <w:kern w:val="28"/>
        </w:rPr>
        <w:t xml:space="preserve"> funding year 2015, and exclude</w:t>
      </w:r>
      <w:r w:rsidR="00AE21F6">
        <w:rPr>
          <w:snapToGrid w:val="0"/>
          <w:kern w:val="28"/>
        </w:rPr>
        <w:t xml:space="preserve"> </w:t>
      </w:r>
      <w:r w:rsidR="0073171B">
        <w:rPr>
          <w:snapToGrid w:val="0"/>
          <w:kern w:val="28"/>
        </w:rPr>
        <w:t xml:space="preserve">equipment that </w:t>
      </w:r>
      <w:r w:rsidR="00676EC6">
        <w:rPr>
          <w:snapToGrid w:val="0"/>
          <w:kern w:val="28"/>
        </w:rPr>
        <w:t xml:space="preserve">is </w:t>
      </w:r>
      <w:r w:rsidR="00C623C1">
        <w:rPr>
          <w:snapToGrid w:val="0"/>
          <w:kern w:val="28"/>
        </w:rPr>
        <w:t>unnecessary for</w:t>
      </w:r>
      <w:r w:rsidR="00676EC6">
        <w:rPr>
          <w:snapToGrid w:val="0"/>
          <w:kern w:val="28"/>
        </w:rPr>
        <w:t xml:space="preserve"> the deployment of LANs/WLANs.</w:t>
      </w:r>
      <w:r w:rsidR="00D257AA">
        <w:rPr>
          <w:rStyle w:val="FootnoteReference"/>
          <w:snapToGrid w:val="0"/>
          <w:kern w:val="28"/>
        </w:rPr>
        <w:footnoteReference w:id="8"/>
      </w:r>
      <w:r w:rsidR="00676EC6">
        <w:rPr>
          <w:snapToGrid w:val="0"/>
          <w:kern w:val="28"/>
        </w:rPr>
        <w:t xml:space="preserve">  </w:t>
      </w:r>
    </w:p>
    <w:p w:rsidR="007E75E5" w:rsidRPr="00F7025A" w:rsidRDefault="00C623C1" w:rsidP="001B4BEC">
      <w:pPr>
        <w:numPr>
          <w:ilvl w:val="0"/>
          <w:numId w:val="16"/>
        </w:numPr>
        <w:spacing w:after="220"/>
        <w:rPr>
          <w:rFonts w:eastAsia="Calibri"/>
          <w:bCs/>
          <w:szCs w:val="22"/>
        </w:rPr>
      </w:pPr>
      <w:bookmarkStart w:id="3" w:name="_Ref392783679"/>
      <w:r>
        <w:t xml:space="preserve">Pursuant to the </w:t>
      </w:r>
      <w:r w:rsidRPr="001D370D">
        <w:rPr>
          <w:i/>
        </w:rPr>
        <w:t>E-rate Modernization Order</w:t>
      </w:r>
      <w:r>
        <w:t>, t</w:t>
      </w:r>
      <w:r w:rsidR="007E75E5">
        <w:t>he proposed ESL also includes caching as an eligible broadband internal connections component.  As directed by the Commission, we seek comment on how</w:t>
      </w:r>
      <w:r w:rsidR="007E75E5" w:rsidRPr="00B13230">
        <w:t xml:space="preserve"> to </w:t>
      </w:r>
      <w:r w:rsidR="007E75E5">
        <w:t>define</w:t>
      </w:r>
      <w:r w:rsidR="007E75E5" w:rsidRPr="00B13230">
        <w:t xml:space="preserve"> </w:t>
      </w:r>
      <w:r w:rsidR="007E75E5">
        <w:t xml:space="preserve">caching, </w:t>
      </w:r>
      <w:r>
        <w:t xml:space="preserve">including </w:t>
      </w:r>
      <w:r w:rsidR="006F410F">
        <w:t xml:space="preserve">comment </w:t>
      </w:r>
      <w:r w:rsidR="00E34566">
        <w:t xml:space="preserve">on </w:t>
      </w:r>
      <w:r>
        <w:t xml:space="preserve">the </w:t>
      </w:r>
      <w:r w:rsidR="00E46064">
        <w:t xml:space="preserve">necessary </w:t>
      </w:r>
      <w:r w:rsidR="001B742C">
        <w:t xml:space="preserve">software or equipment </w:t>
      </w:r>
      <w:r>
        <w:t>the E-rate program should support as part of supporting caching</w:t>
      </w:r>
      <w:r w:rsidR="000D3F60">
        <w:t xml:space="preserve">, </w:t>
      </w:r>
      <w:r w:rsidR="001B742C">
        <w:t xml:space="preserve">such as caching servers, </w:t>
      </w:r>
      <w:r w:rsidR="000D3F60">
        <w:t xml:space="preserve">and on </w:t>
      </w:r>
      <w:r w:rsidR="006F410F">
        <w:t xml:space="preserve">whether </w:t>
      </w:r>
      <w:r w:rsidR="000D3F60">
        <w:t xml:space="preserve">the program should support </w:t>
      </w:r>
      <w:r w:rsidR="006F410F">
        <w:t>caching as a service</w:t>
      </w:r>
      <w:r>
        <w:t>.</w:t>
      </w:r>
      <w:r w:rsidR="007E75E5">
        <w:rPr>
          <w:rStyle w:val="FootnoteReference"/>
        </w:rPr>
        <w:footnoteReference w:id="9"/>
      </w:r>
      <w:r w:rsidR="007E75E5">
        <w:t xml:space="preserve">  </w:t>
      </w:r>
      <w:bookmarkEnd w:id="3"/>
    </w:p>
    <w:p w:rsidR="00F174F8" w:rsidRPr="00F7025A" w:rsidRDefault="00F7025A" w:rsidP="001B4BEC">
      <w:pPr>
        <w:numPr>
          <w:ilvl w:val="0"/>
          <w:numId w:val="16"/>
        </w:numPr>
        <w:spacing w:after="220"/>
        <w:rPr>
          <w:rFonts w:eastAsia="Calibri"/>
          <w:bCs/>
          <w:szCs w:val="22"/>
        </w:rPr>
      </w:pPr>
      <w:r>
        <w:rPr>
          <w:rFonts w:eastAsiaTheme="minorHAnsi"/>
          <w:szCs w:val="22"/>
        </w:rPr>
        <w:t xml:space="preserve">The proposed ESL removes phrasing from the “Installation, activation, and initial configuration” description </w:t>
      </w:r>
      <w:r>
        <w:t xml:space="preserve">indicating that installation must be part of a contract or bid for the components.  </w:t>
      </w:r>
      <w:r w:rsidR="001E28C2">
        <w:t xml:space="preserve">As suggested by </w:t>
      </w:r>
      <w:r>
        <w:t>commenters from prior proceedings</w:t>
      </w:r>
      <w:r w:rsidR="001E28C2">
        <w:t>,</w:t>
      </w:r>
      <w:r>
        <w:t xml:space="preserve"> </w:t>
      </w:r>
      <w:r w:rsidRPr="00D341A4">
        <w:rPr>
          <w:rFonts w:eastAsiaTheme="minorHAnsi"/>
          <w:szCs w:val="22"/>
        </w:rPr>
        <w:t xml:space="preserve">schools and libraries, especially rural schools and libraries that do not have local or regional equipment manufacturers that </w:t>
      </w:r>
      <w:r w:rsidR="00CA7FCB">
        <w:rPr>
          <w:rFonts w:eastAsiaTheme="minorHAnsi"/>
          <w:szCs w:val="22"/>
        </w:rPr>
        <w:t xml:space="preserve">both </w:t>
      </w:r>
      <w:r w:rsidRPr="00D341A4">
        <w:rPr>
          <w:rFonts w:eastAsiaTheme="minorHAnsi"/>
          <w:szCs w:val="22"/>
        </w:rPr>
        <w:t>sell networking equipment</w:t>
      </w:r>
      <w:r w:rsidR="0012043F">
        <w:rPr>
          <w:rFonts w:eastAsiaTheme="minorHAnsi"/>
          <w:szCs w:val="22"/>
        </w:rPr>
        <w:t xml:space="preserve"> and perform installation, may need </w:t>
      </w:r>
      <w:r w:rsidRPr="00D341A4">
        <w:rPr>
          <w:rFonts w:eastAsiaTheme="minorHAnsi"/>
          <w:szCs w:val="22"/>
        </w:rPr>
        <w:t xml:space="preserve">flexibility to contract with local firms to provide installation as part of a contract that is separate from </w:t>
      </w:r>
      <w:r>
        <w:rPr>
          <w:rFonts w:eastAsiaTheme="minorHAnsi"/>
          <w:szCs w:val="22"/>
        </w:rPr>
        <w:t>the equipment.</w:t>
      </w:r>
      <w:r w:rsidRPr="00D341A4">
        <w:rPr>
          <w:rFonts w:eastAsiaTheme="minorHAnsi"/>
          <w:szCs w:val="22"/>
          <w:vertAlign w:val="superscript"/>
        </w:rPr>
        <w:footnoteReference w:id="10"/>
      </w:r>
      <w:r>
        <w:rPr>
          <w:rFonts w:eastAsiaTheme="minorHAnsi"/>
          <w:szCs w:val="22"/>
        </w:rPr>
        <w:t xml:space="preserve">  We seek comment on this change to allow E-rate funding for installation </w:t>
      </w:r>
      <w:r>
        <w:t>from vendors that do not supply the eligible equipment to be installed.</w:t>
      </w:r>
    </w:p>
    <w:p w:rsidR="00F174F8" w:rsidRPr="0012043F" w:rsidRDefault="007644E3" w:rsidP="001B4BEC">
      <w:pPr>
        <w:numPr>
          <w:ilvl w:val="0"/>
          <w:numId w:val="16"/>
        </w:numPr>
        <w:spacing w:after="220"/>
        <w:rPr>
          <w:rFonts w:eastAsia="Calibri"/>
          <w:bCs/>
          <w:szCs w:val="22"/>
        </w:rPr>
      </w:pPr>
      <w:r>
        <w:t xml:space="preserve">Finally, consistent with the Commission’s third goal in the </w:t>
      </w:r>
      <w:r w:rsidRPr="003767C2">
        <w:rPr>
          <w:rFonts w:eastAsia="Calibri"/>
          <w:bCs/>
          <w:i/>
          <w:szCs w:val="22"/>
        </w:rPr>
        <w:t>E-rate Modernization Order</w:t>
      </w:r>
      <w:r w:rsidRPr="003767C2">
        <w:rPr>
          <w:rFonts w:eastAsia="Calibri"/>
          <w:bCs/>
          <w:szCs w:val="22"/>
        </w:rPr>
        <w:t xml:space="preserve"> </w:t>
      </w:r>
      <w:r>
        <w:t>– to simplify the E-rate application process and other E-rate processes</w:t>
      </w:r>
      <w:r>
        <w:rPr>
          <w:rStyle w:val="FootnoteReference"/>
          <w:snapToGrid w:val="0"/>
          <w:szCs w:val="22"/>
        </w:rPr>
        <w:footnoteReference w:id="11"/>
      </w:r>
      <w:r w:rsidRPr="003767C2">
        <w:rPr>
          <w:snapToGrid w:val="0"/>
          <w:szCs w:val="22"/>
        </w:rPr>
        <w:t xml:space="preserve"> </w:t>
      </w:r>
      <w:r>
        <w:t xml:space="preserve">– the proposed ESL includes the following </w:t>
      </w:r>
      <w:r w:rsidR="00B07F2B">
        <w:t>presentation</w:t>
      </w:r>
      <w:r w:rsidR="004057AB">
        <w:t xml:space="preserve"> and </w:t>
      </w:r>
      <w:r>
        <w:t>formatting changes:</w:t>
      </w:r>
    </w:p>
    <w:p w:rsidR="005F421E" w:rsidRPr="003767C2" w:rsidRDefault="005F421E" w:rsidP="001B4BEC">
      <w:pPr>
        <w:numPr>
          <w:ilvl w:val="1"/>
          <w:numId w:val="16"/>
        </w:numPr>
        <w:spacing w:after="220"/>
        <w:rPr>
          <w:rFonts w:eastAsia="Calibri"/>
          <w:bCs/>
          <w:szCs w:val="22"/>
        </w:rPr>
      </w:pPr>
      <w:r>
        <w:rPr>
          <w:rFonts w:eastAsia="Calibri"/>
          <w:bCs/>
          <w:szCs w:val="22"/>
        </w:rPr>
        <w:t>The proposed ESL changes the structure of the former priority one section by m</w:t>
      </w:r>
      <w:r w:rsidRPr="006F410F">
        <w:rPr>
          <w:rFonts w:eastAsia="Calibri"/>
          <w:bCs/>
          <w:szCs w:val="22"/>
        </w:rPr>
        <w:t>erg</w:t>
      </w:r>
      <w:r>
        <w:rPr>
          <w:rFonts w:eastAsia="Calibri"/>
          <w:bCs/>
          <w:szCs w:val="22"/>
        </w:rPr>
        <w:t>ing the list of eligible “Digital Transmission Services”</w:t>
      </w:r>
      <w:r w:rsidRPr="006F410F">
        <w:rPr>
          <w:rFonts w:eastAsia="Calibri"/>
          <w:bCs/>
          <w:szCs w:val="22"/>
        </w:rPr>
        <w:t xml:space="preserve"> </w:t>
      </w:r>
      <w:r>
        <w:rPr>
          <w:rFonts w:eastAsia="Calibri"/>
          <w:bCs/>
          <w:szCs w:val="22"/>
        </w:rPr>
        <w:t>with the list of eligible Internet access services into a single category one list described as “Eligible data transmission and Internet access” because many of the services on these lists were identical.</w:t>
      </w:r>
      <w:r>
        <w:rPr>
          <w:rStyle w:val="FootnoteReference"/>
          <w:rFonts w:eastAsia="Calibri"/>
          <w:bCs/>
          <w:szCs w:val="22"/>
        </w:rPr>
        <w:footnoteReference w:id="12"/>
      </w:r>
      <w:r>
        <w:rPr>
          <w:rFonts w:eastAsia="Calibri"/>
          <w:bCs/>
          <w:szCs w:val="22"/>
        </w:rPr>
        <w:t xml:space="preserve">  Applicants are still required </w:t>
      </w:r>
      <w:r w:rsidRPr="006F410F">
        <w:rPr>
          <w:rFonts w:eastAsia="Calibri"/>
          <w:bCs/>
          <w:szCs w:val="22"/>
        </w:rPr>
        <w:t xml:space="preserve">to identify the </w:t>
      </w:r>
      <w:r>
        <w:rPr>
          <w:rFonts w:eastAsia="Calibri"/>
          <w:bCs/>
          <w:szCs w:val="22"/>
        </w:rPr>
        <w:t xml:space="preserve">category one service type on the FCC Form 471, as </w:t>
      </w:r>
      <w:r w:rsidRPr="00C35EB6">
        <w:rPr>
          <w:rFonts w:eastAsia="Calibri"/>
          <w:bCs/>
          <w:szCs w:val="22"/>
        </w:rPr>
        <w:t>Telecommunications services, Internet access, or voice.</w:t>
      </w:r>
    </w:p>
    <w:p w:rsidR="00955826" w:rsidRPr="00C43BA9" w:rsidRDefault="007644E3" w:rsidP="001B4BEC">
      <w:pPr>
        <w:numPr>
          <w:ilvl w:val="1"/>
          <w:numId w:val="16"/>
        </w:numPr>
        <w:spacing w:after="220"/>
        <w:rPr>
          <w:rFonts w:eastAsia="Calibri"/>
          <w:bCs/>
          <w:szCs w:val="22"/>
        </w:rPr>
      </w:pPr>
      <w:r>
        <w:t xml:space="preserve">The proposed ESL </w:t>
      </w:r>
      <w:r w:rsidR="00462671">
        <w:t>eliminate</w:t>
      </w:r>
      <w:r>
        <w:t>s</w:t>
      </w:r>
      <w:r w:rsidR="00462671">
        <w:t xml:space="preserve"> the list of </w:t>
      </w:r>
      <w:r w:rsidR="00955826">
        <w:t xml:space="preserve">ineligible services </w:t>
      </w:r>
      <w:r w:rsidR="00462671">
        <w:t>that had been posted at the end of each category of service</w:t>
      </w:r>
      <w:r w:rsidR="00955826">
        <w:t xml:space="preserve">.  Although </w:t>
      </w:r>
      <w:r w:rsidR="00055299">
        <w:t xml:space="preserve">there are </w:t>
      </w:r>
      <w:r w:rsidR="00955826">
        <w:t xml:space="preserve">instances where </w:t>
      </w:r>
      <w:r w:rsidR="00462671">
        <w:t xml:space="preserve">these lists </w:t>
      </w:r>
      <w:r w:rsidR="00955826">
        <w:t xml:space="preserve">could prove helpful, providing applicants long lists of </w:t>
      </w:r>
      <w:r w:rsidR="00955826" w:rsidRPr="00893F8F">
        <w:rPr>
          <w:szCs w:val="22"/>
        </w:rPr>
        <w:t xml:space="preserve">examples to review and understand </w:t>
      </w:r>
      <w:r w:rsidR="002351E4">
        <w:rPr>
          <w:szCs w:val="22"/>
        </w:rPr>
        <w:t>h</w:t>
      </w:r>
      <w:r w:rsidR="003F5290">
        <w:rPr>
          <w:szCs w:val="22"/>
        </w:rPr>
        <w:t xml:space="preserve">as not been a fast, simple, or efficient aspect </w:t>
      </w:r>
      <w:r w:rsidR="00955826" w:rsidRPr="00893F8F">
        <w:rPr>
          <w:szCs w:val="22"/>
        </w:rPr>
        <w:t xml:space="preserve">of the application process. </w:t>
      </w:r>
      <w:r w:rsidR="00462671" w:rsidRPr="00893F8F">
        <w:rPr>
          <w:szCs w:val="22"/>
        </w:rPr>
        <w:t xml:space="preserve"> </w:t>
      </w:r>
      <w:r w:rsidR="00893F8F" w:rsidRPr="00893F8F">
        <w:rPr>
          <w:szCs w:val="22"/>
        </w:rPr>
        <w:t xml:space="preserve">Also, </w:t>
      </w:r>
      <w:r w:rsidR="00893F8F">
        <w:rPr>
          <w:szCs w:val="22"/>
        </w:rPr>
        <w:t>rather than examining long list</w:t>
      </w:r>
      <w:r w:rsidR="00E24CAE">
        <w:rPr>
          <w:szCs w:val="22"/>
        </w:rPr>
        <w:t xml:space="preserve">s of ineligible services, it </w:t>
      </w:r>
      <w:r w:rsidR="00604E3F">
        <w:rPr>
          <w:szCs w:val="22"/>
        </w:rPr>
        <w:t xml:space="preserve">will </w:t>
      </w:r>
      <w:r w:rsidR="00893F8F">
        <w:rPr>
          <w:szCs w:val="22"/>
        </w:rPr>
        <w:t xml:space="preserve">be </w:t>
      </w:r>
      <w:r w:rsidR="003F5290">
        <w:rPr>
          <w:szCs w:val="22"/>
        </w:rPr>
        <w:t xml:space="preserve">more efficient </w:t>
      </w:r>
      <w:r w:rsidR="00893F8F">
        <w:rPr>
          <w:szCs w:val="22"/>
        </w:rPr>
        <w:t xml:space="preserve">for applicants to </w:t>
      </w:r>
      <w:r w:rsidR="00C623C1">
        <w:rPr>
          <w:szCs w:val="22"/>
        </w:rPr>
        <w:t xml:space="preserve">assume </w:t>
      </w:r>
      <w:r w:rsidR="00893F8F">
        <w:rPr>
          <w:szCs w:val="22"/>
        </w:rPr>
        <w:t>that</w:t>
      </w:r>
      <w:r w:rsidR="00E24CAE">
        <w:rPr>
          <w:szCs w:val="22"/>
        </w:rPr>
        <w:t xml:space="preserve"> </w:t>
      </w:r>
      <w:r w:rsidR="00893F8F" w:rsidRPr="00893F8F">
        <w:rPr>
          <w:szCs w:val="22"/>
        </w:rPr>
        <w:t xml:space="preserve">any </w:t>
      </w:r>
      <w:r w:rsidR="00486333">
        <w:rPr>
          <w:szCs w:val="22"/>
        </w:rPr>
        <w:t>service or component not listed</w:t>
      </w:r>
      <w:r w:rsidR="00893F8F" w:rsidRPr="00893F8F">
        <w:rPr>
          <w:szCs w:val="22"/>
        </w:rPr>
        <w:t xml:space="preserve"> </w:t>
      </w:r>
      <w:r w:rsidR="003767C2">
        <w:rPr>
          <w:szCs w:val="22"/>
        </w:rPr>
        <w:t xml:space="preserve">in the ESL </w:t>
      </w:r>
      <w:r w:rsidR="00893F8F" w:rsidRPr="00893F8F">
        <w:rPr>
          <w:szCs w:val="22"/>
        </w:rPr>
        <w:t>is ineligible</w:t>
      </w:r>
      <w:r w:rsidR="00C623C1">
        <w:rPr>
          <w:szCs w:val="22"/>
        </w:rPr>
        <w:t xml:space="preserve"> for E-rate support</w:t>
      </w:r>
      <w:r w:rsidR="00893F8F" w:rsidRPr="00893F8F">
        <w:rPr>
          <w:szCs w:val="22"/>
        </w:rPr>
        <w:t>.</w:t>
      </w:r>
      <w:r w:rsidR="00E24CAE" w:rsidRPr="00893F8F">
        <w:rPr>
          <w:rStyle w:val="FootnoteReference"/>
          <w:szCs w:val="22"/>
        </w:rPr>
        <w:footnoteReference w:id="13"/>
      </w:r>
    </w:p>
    <w:p w:rsidR="004057AB" w:rsidRPr="00D84C5D" w:rsidRDefault="007644E3" w:rsidP="001B4BEC">
      <w:pPr>
        <w:numPr>
          <w:ilvl w:val="1"/>
          <w:numId w:val="16"/>
        </w:numPr>
        <w:spacing w:after="220"/>
        <w:rPr>
          <w:rFonts w:eastAsia="Calibri"/>
          <w:bCs/>
          <w:szCs w:val="22"/>
        </w:rPr>
      </w:pPr>
      <w:r w:rsidRPr="004057AB">
        <w:rPr>
          <w:rFonts w:eastAsia="Calibri"/>
          <w:bCs/>
          <w:szCs w:val="22"/>
        </w:rPr>
        <w:t xml:space="preserve">The proposed ESL </w:t>
      </w:r>
      <w:r w:rsidR="00C43BA9" w:rsidRPr="004057AB">
        <w:rPr>
          <w:rFonts w:eastAsia="Calibri"/>
          <w:bCs/>
          <w:szCs w:val="22"/>
        </w:rPr>
        <w:t>remove</w:t>
      </w:r>
      <w:r w:rsidRPr="004057AB">
        <w:rPr>
          <w:rFonts w:eastAsia="Calibri"/>
          <w:bCs/>
          <w:szCs w:val="22"/>
        </w:rPr>
        <w:t>s</w:t>
      </w:r>
      <w:r w:rsidR="004057AB" w:rsidRPr="004057AB">
        <w:rPr>
          <w:rFonts w:eastAsia="Calibri"/>
          <w:bCs/>
          <w:szCs w:val="22"/>
        </w:rPr>
        <w:t xml:space="preserve"> </w:t>
      </w:r>
      <w:r w:rsidR="00CB4FFE" w:rsidRPr="004057AB">
        <w:rPr>
          <w:rFonts w:eastAsia="Calibri"/>
          <w:bCs/>
          <w:szCs w:val="22"/>
        </w:rPr>
        <w:t>description</w:t>
      </w:r>
      <w:r w:rsidR="00462671" w:rsidRPr="004057AB">
        <w:rPr>
          <w:rFonts w:eastAsia="Calibri"/>
          <w:bCs/>
          <w:szCs w:val="22"/>
        </w:rPr>
        <w:t xml:space="preserve">s of E-rate program </w:t>
      </w:r>
      <w:r w:rsidR="00A83E48" w:rsidRPr="00D84C5D">
        <w:rPr>
          <w:rFonts w:eastAsia="Calibri"/>
          <w:bCs/>
          <w:szCs w:val="22"/>
        </w:rPr>
        <w:t>requirements</w:t>
      </w:r>
      <w:r w:rsidR="00581DFE" w:rsidRPr="00D84C5D">
        <w:rPr>
          <w:rFonts w:eastAsia="Calibri"/>
          <w:bCs/>
          <w:szCs w:val="22"/>
        </w:rPr>
        <w:t xml:space="preserve"> that </w:t>
      </w:r>
      <w:r w:rsidR="000910D0">
        <w:rPr>
          <w:rFonts w:eastAsia="Calibri"/>
          <w:bCs/>
          <w:szCs w:val="22"/>
        </w:rPr>
        <w:t>may be</w:t>
      </w:r>
      <w:r w:rsidR="00581DFE" w:rsidRPr="00D84C5D">
        <w:rPr>
          <w:rFonts w:eastAsia="Calibri"/>
          <w:bCs/>
          <w:szCs w:val="22"/>
        </w:rPr>
        <w:t xml:space="preserve"> related to eligibility but do not directly name or describe the services that are eligible, </w:t>
      </w:r>
      <w:r w:rsidR="006756D9">
        <w:rPr>
          <w:rFonts w:eastAsia="Calibri"/>
          <w:bCs/>
          <w:szCs w:val="22"/>
        </w:rPr>
        <w:t xml:space="preserve">and descriptions that </w:t>
      </w:r>
      <w:r w:rsidR="008C540E">
        <w:rPr>
          <w:rFonts w:eastAsia="Calibri"/>
          <w:bCs/>
          <w:szCs w:val="22"/>
        </w:rPr>
        <w:t>provide</w:t>
      </w:r>
      <w:r w:rsidR="004057AB" w:rsidRPr="00AD19A9">
        <w:rPr>
          <w:rFonts w:eastAsia="Calibri"/>
          <w:bCs/>
          <w:szCs w:val="22"/>
        </w:rPr>
        <w:t xml:space="preserve"> extra info</w:t>
      </w:r>
      <w:r w:rsidR="00E34566">
        <w:rPr>
          <w:rFonts w:eastAsia="Calibri"/>
          <w:bCs/>
          <w:szCs w:val="22"/>
        </w:rPr>
        <w:t>rmation pertaining to certain</w:t>
      </w:r>
      <w:r w:rsidR="004057AB" w:rsidRPr="00AD19A9">
        <w:rPr>
          <w:rFonts w:eastAsia="Calibri"/>
          <w:bCs/>
          <w:szCs w:val="22"/>
        </w:rPr>
        <w:t xml:space="preserve"> services.  </w:t>
      </w:r>
      <w:r w:rsidR="00E34566" w:rsidRPr="004057AB">
        <w:rPr>
          <w:rFonts w:eastAsia="Calibri"/>
          <w:bCs/>
          <w:szCs w:val="22"/>
        </w:rPr>
        <w:t xml:space="preserve">The proposed ESL removes the reference to </w:t>
      </w:r>
      <w:r w:rsidR="00E34566">
        <w:rPr>
          <w:rFonts w:eastAsia="Calibri"/>
          <w:bCs/>
          <w:szCs w:val="22"/>
        </w:rPr>
        <w:t>c</w:t>
      </w:r>
      <w:r w:rsidR="00E34566" w:rsidRPr="004057AB">
        <w:rPr>
          <w:rFonts w:eastAsia="Calibri"/>
          <w:bCs/>
          <w:szCs w:val="22"/>
        </w:rPr>
        <w:t>omponents required as an integral part of</w:t>
      </w:r>
      <w:r w:rsidR="00E34566">
        <w:rPr>
          <w:rFonts w:eastAsia="Calibri"/>
          <w:bCs/>
          <w:szCs w:val="22"/>
        </w:rPr>
        <w:t xml:space="preserve"> a digital transmission service;</w:t>
      </w:r>
      <w:r w:rsidR="00E34566" w:rsidRPr="00D84C5D">
        <w:rPr>
          <w:rFonts w:eastAsia="Calibri"/>
          <w:bCs/>
          <w:szCs w:val="22"/>
        </w:rPr>
        <w:t xml:space="preserve"> the explanation that the telecommunications component of a distance learning capability, video, interactive television, and voice or video conferencing </w:t>
      </w:r>
      <w:r w:rsidR="00E34566" w:rsidRPr="00C35EB6">
        <w:rPr>
          <w:rFonts w:eastAsia="Calibri"/>
          <w:bCs/>
          <w:szCs w:val="22"/>
        </w:rPr>
        <w:t>is eligible</w:t>
      </w:r>
      <w:r w:rsidR="00E34566">
        <w:rPr>
          <w:rFonts w:eastAsia="Calibri"/>
          <w:bCs/>
          <w:szCs w:val="22"/>
        </w:rPr>
        <w:t>;</w:t>
      </w:r>
      <w:r w:rsidR="00E34566" w:rsidRPr="00C35EB6">
        <w:rPr>
          <w:rFonts w:eastAsia="Calibri"/>
          <w:bCs/>
          <w:szCs w:val="22"/>
        </w:rPr>
        <w:t xml:space="preserve"> the </w:t>
      </w:r>
      <w:r w:rsidR="00E34566">
        <w:rPr>
          <w:rFonts w:eastAsia="Calibri"/>
          <w:bCs/>
          <w:szCs w:val="22"/>
        </w:rPr>
        <w:t xml:space="preserve">broad </w:t>
      </w:r>
      <w:r w:rsidR="00E34566" w:rsidRPr="00C35EB6">
        <w:rPr>
          <w:rFonts w:eastAsia="Calibri"/>
          <w:bCs/>
          <w:szCs w:val="22"/>
        </w:rPr>
        <w:t>reference to the features provided as a standard component of Internet access</w:t>
      </w:r>
      <w:r w:rsidR="00E34566">
        <w:rPr>
          <w:rFonts w:eastAsia="Calibri"/>
          <w:bCs/>
          <w:szCs w:val="22"/>
        </w:rPr>
        <w:t>; and the reference to the types of payment options that can be used for eligible voice services, including phone calling cards.</w:t>
      </w:r>
      <w:r w:rsidR="000719B2">
        <w:rPr>
          <w:rStyle w:val="FootnoteReference"/>
          <w:rFonts w:eastAsia="Calibri"/>
          <w:bCs/>
          <w:szCs w:val="22"/>
        </w:rPr>
        <w:footnoteReference w:id="14"/>
      </w:r>
      <w:r w:rsidR="00E34566">
        <w:rPr>
          <w:rFonts w:eastAsia="Calibri"/>
          <w:bCs/>
          <w:szCs w:val="22"/>
        </w:rPr>
        <w:t xml:space="preserve">  </w:t>
      </w:r>
      <w:r w:rsidR="00BA1AEE" w:rsidRPr="00AD19A9">
        <w:rPr>
          <w:rFonts w:eastAsia="Calibri"/>
          <w:bCs/>
          <w:szCs w:val="22"/>
        </w:rPr>
        <w:t xml:space="preserve">We remove these statements because they were </w:t>
      </w:r>
      <w:r w:rsidR="00BA1AEE">
        <w:rPr>
          <w:rFonts w:eastAsia="Calibri"/>
          <w:bCs/>
          <w:szCs w:val="22"/>
        </w:rPr>
        <w:t xml:space="preserve">either </w:t>
      </w:r>
      <w:r w:rsidR="00BA1AEE" w:rsidRPr="00D84C5D">
        <w:rPr>
          <w:rFonts w:eastAsia="Calibri"/>
          <w:bCs/>
          <w:szCs w:val="22"/>
        </w:rPr>
        <w:t>overly broad</w:t>
      </w:r>
      <w:r w:rsidR="00BA1AEE">
        <w:rPr>
          <w:rFonts w:eastAsia="Calibri"/>
          <w:bCs/>
          <w:szCs w:val="22"/>
        </w:rPr>
        <w:t xml:space="preserve">, </w:t>
      </w:r>
      <w:r w:rsidR="00BA1AEE" w:rsidRPr="00D84C5D">
        <w:rPr>
          <w:rFonts w:eastAsia="Calibri"/>
          <w:bCs/>
          <w:szCs w:val="22"/>
        </w:rPr>
        <w:t xml:space="preserve">could potentially mislead applicants into thinking there are other services that </w:t>
      </w:r>
      <w:r w:rsidR="00BA1AEE">
        <w:rPr>
          <w:rFonts w:eastAsia="Calibri"/>
          <w:bCs/>
          <w:szCs w:val="22"/>
        </w:rPr>
        <w:t>are eligible but not mentioned on the list, or do not provide meaningful assistance to applicants.</w:t>
      </w:r>
      <w:r w:rsidR="00BA1AEE" w:rsidRPr="00D84C5D">
        <w:rPr>
          <w:rFonts w:eastAsia="Calibri"/>
          <w:bCs/>
          <w:szCs w:val="22"/>
        </w:rPr>
        <w:t xml:space="preserve">   </w:t>
      </w:r>
      <w:r w:rsidR="004057AB" w:rsidRPr="00D84C5D">
        <w:rPr>
          <w:rFonts w:eastAsia="Calibri"/>
          <w:bCs/>
          <w:szCs w:val="22"/>
        </w:rPr>
        <w:t xml:space="preserve">Instead of providing </w:t>
      </w:r>
      <w:r w:rsidR="004057AB">
        <w:rPr>
          <w:rFonts w:eastAsia="Calibri"/>
          <w:bCs/>
          <w:szCs w:val="22"/>
        </w:rPr>
        <w:t>complex</w:t>
      </w:r>
      <w:r w:rsidR="004057AB" w:rsidRPr="004057AB">
        <w:rPr>
          <w:rFonts w:eastAsia="Calibri"/>
          <w:bCs/>
          <w:szCs w:val="22"/>
        </w:rPr>
        <w:t xml:space="preserve"> explanations that could potentially confuse applicants, we want to provide a clear list of eligible services </w:t>
      </w:r>
      <w:r w:rsidR="00D84C5D">
        <w:rPr>
          <w:rFonts w:eastAsia="Calibri"/>
          <w:bCs/>
          <w:szCs w:val="22"/>
        </w:rPr>
        <w:t xml:space="preserve">that applicants may seek </w:t>
      </w:r>
      <w:r w:rsidR="00BA1AEE" w:rsidRPr="004057AB">
        <w:rPr>
          <w:rFonts w:eastAsia="Calibri"/>
          <w:bCs/>
          <w:szCs w:val="22"/>
        </w:rPr>
        <w:t>t</w:t>
      </w:r>
      <w:r w:rsidR="00BA1AEE">
        <w:rPr>
          <w:rFonts w:eastAsia="Calibri"/>
          <w:bCs/>
          <w:szCs w:val="22"/>
        </w:rPr>
        <w:t xml:space="preserve">o </w:t>
      </w:r>
      <w:r w:rsidR="00BA1AEE" w:rsidRPr="004057AB">
        <w:rPr>
          <w:rFonts w:eastAsia="Calibri"/>
          <w:bCs/>
          <w:szCs w:val="22"/>
        </w:rPr>
        <w:t>use</w:t>
      </w:r>
      <w:r w:rsidR="004057AB" w:rsidRPr="004057AB">
        <w:rPr>
          <w:rFonts w:eastAsia="Calibri"/>
          <w:bCs/>
          <w:szCs w:val="22"/>
        </w:rPr>
        <w:t xml:space="preserve"> for eligible purposes.  </w:t>
      </w:r>
      <w:r w:rsidR="00E254D4" w:rsidRPr="00D84C5D">
        <w:rPr>
          <w:rFonts w:eastAsia="Calibri"/>
          <w:bCs/>
          <w:szCs w:val="22"/>
        </w:rPr>
        <w:t xml:space="preserve">The explanation, for example, that the telecommunications component of a distance learning capability, video, interactive television, and video conferencing is eligible may be helpful to applicants because it notifies them that they may use </w:t>
      </w:r>
      <w:r w:rsidR="00D84C5D">
        <w:rPr>
          <w:rFonts w:eastAsia="Calibri"/>
          <w:bCs/>
          <w:szCs w:val="22"/>
        </w:rPr>
        <w:t>broadband</w:t>
      </w:r>
      <w:r w:rsidR="006756D9">
        <w:rPr>
          <w:rFonts w:eastAsia="Calibri"/>
          <w:bCs/>
          <w:szCs w:val="22"/>
        </w:rPr>
        <w:t xml:space="preserve"> telecommunications </w:t>
      </w:r>
      <w:r w:rsidR="00E254D4" w:rsidRPr="00D84C5D">
        <w:rPr>
          <w:rFonts w:eastAsia="Calibri"/>
          <w:bCs/>
          <w:szCs w:val="22"/>
        </w:rPr>
        <w:t>for these purposes</w:t>
      </w:r>
      <w:r w:rsidR="00DF4F02">
        <w:rPr>
          <w:rFonts w:eastAsia="Calibri"/>
          <w:bCs/>
          <w:szCs w:val="22"/>
        </w:rPr>
        <w:t>;</w:t>
      </w:r>
      <w:r w:rsidR="00E254D4" w:rsidRPr="00D84C5D">
        <w:rPr>
          <w:rFonts w:eastAsia="Calibri"/>
          <w:bCs/>
          <w:szCs w:val="22"/>
        </w:rPr>
        <w:t xml:space="preserve"> </w:t>
      </w:r>
      <w:r w:rsidR="006756D9">
        <w:rPr>
          <w:rFonts w:eastAsia="Calibri"/>
          <w:bCs/>
          <w:szCs w:val="22"/>
        </w:rPr>
        <w:t>however,</w:t>
      </w:r>
      <w:r w:rsidR="00E254D4" w:rsidRPr="00D84C5D">
        <w:rPr>
          <w:rFonts w:eastAsia="Calibri"/>
          <w:bCs/>
          <w:szCs w:val="22"/>
        </w:rPr>
        <w:t xml:space="preserve"> the </w:t>
      </w:r>
      <w:r w:rsidR="008C540E" w:rsidRPr="00D84C5D">
        <w:rPr>
          <w:rFonts w:eastAsia="Calibri"/>
          <w:bCs/>
          <w:szCs w:val="22"/>
        </w:rPr>
        <w:t xml:space="preserve">non-telecommunications components </w:t>
      </w:r>
      <w:r w:rsidR="008C540E">
        <w:rPr>
          <w:rFonts w:eastAsia="Calibri"/>
          <w:bCs/>
          <w:szCs w:val="22"/>
        </w:rPr>
        <w:t xml:space="preserve">of the </w:t>
      </w:r>
      <w:r w:rsidR="00E254D4" w:rsidRPr="00D84C5D">
        <w:rPr>
          <w:rFonts w:eastAsia="Calibri"/>
          <w:bCs/>
          <w:szCs w:val="22"/>
        </w:rPr>
        <w:t>services themselves</w:t>
      </w:r>
      <w:r w:rsidR="006756D9">
        <w:rPr>
          <w:rFonts w:eastAsia="Calibri"/>
          <w:bCs/>
          <w:szCs w:val="22"/>
        </w:rPr>
        <w:t xml:space="preserve">, such as </w:t>
      </w:r>
      <w:r w:rsidR="008C540E">
        <w:rPr>
          <w:rFonts w:eastAsia="Calibri"/>
          <w:bCs/>
          <w:szCs w:val="22"/>
        </w:rPr>
        <w:t>fees to subscribe to such</w:t>
      </w:r>
      <w:r w:rsidR="006756D9">
        <w:rPr>
          <w:rFonts w:eastAsia="Calibri"/>
          <w:bCs/>
          <w:szCs w:val="22"/>
        </w:rPr>
        <w:t xml:space="preserve"> services,</w:t>
      </w:r>
      <w:r w:rsidR="008E7B47" w:rsidRPr="00D84C5D">
        <w:rPr>
          <w:rFonts w:eastAsia="Calibri"/>
          <w:bCs/>
          <w:szCs w:val="22"/>
        </w:rPr>
        <w:t xml:space="preserve"> are not eligible </w:t>
      </w:r>
      <w:r w:rsidR="00D84C5D">
        <w:rPr>
          <w:rFonts w:eastAsia="Calibri"/>
          <w:bCs/>
          <w:szCs w:val="22"/>
        </w:rPr>
        <w:t>for E-rate funding.</w:t>
      </w:r>
      <w:r w:rsidR="000719B2">
        <w:rPr>
          <w:rStyle w:val="FootnoteReference"/>
          <w:rFonts w:eastAsia="Calibri"/>
          <w:bCs/>
          <w:szCs w:val="22"/>
        </w:rPr>
        <w:footnoteReference w:id="15"/>
      </w:r>
      <w:r w:rsidR="00D84C5D">
        <w:rPr>
          <w:rFonts w:eastAsia="Calibri"/>
          <w:bCs/>
          <w:szCs w:val="22"/>
        </w:rPr>
        <w:t xml:space="preserve">  We remove this and similar explanations from the</w:t>
      </w:r>
      <w:r w:rsidR="008C540E">
        <w:rPr>
          <w:rFonts w:eastAsia="Calibri"/>
          <w:bCs/>
          <w:szCs w:val="22"/>
        </w:rPr>
        <w:t xml:space="preserve"> ESL because we find them to be</w:t>
      </w:r>
      <w:r w:rsidR="00D84C5D">
        <w:rPr>
          <w:rFonts w:eastAsia="Calibri"/>
          <w:bCs/>
          <w:szCs w:val="22"/>
        </w:rPr>
        <w:t xml:space="preserve"> </w:t>
      </w:r>
      <w:r w:rsidR="008E7B47" w:rsidRPr="00D84C5D">
        <w:rPr>
          <w:rFonts w:eastAsia="Calibri"/>
          <w:bCs/>
          <w:szCs w:val="22"/>
        </w:rPr>
        <w:t>unnecessary and potentially misleading for applicants.</w:t>
      </w:r>
      <w:r w:rsidR="008E7B47" w:rsidRPr="004057AB">
        <w:rPr>
          <w:rFonts w:eastAsia="Calibri"/>
          <w:bCs/>
          <w:szCs w:val="22"/>
        </w:rPr>
        <w:t xml:space="preserve">  </w:t>
      </w:r>
      <w:r w:rsidR="00D84C5D">
        <w:rPr>
          <w:rFonts w:eastAsia="Calibri"/>
          <w:bCs/>
          <w:szCs w:val="22"/>
        </w:rPr>
        <w:t xml:space="preserve">We seek comment on these proposed changes. </w:t>
      </w:r>
    </w:p>
    <w:p w:rsidR="00C43BA9" w:rsidRPr="00055299" w:rsidRDefault="00CF5F8F" w:rsidP="001B4BEC">
      <w:pPr>
        <w:numPr>
          <w:ilvl w:val="1"/>
          <w:numId w:val="16"/>
        </w:numPr>
        <w:spacing w:after="220"/>
        <w:rPr>
          <w:rFonts w:eastAsia="Calibri"/>
          <w:bCs/>
          <w:szCs w:val="22"/>
        </w:rPr>
      </w:pPr>
      <w:r>
        <w:rPr>
          <w:rFonts w:eastAsia="Calibri"/>
          <w:bCs/>
          <w:szCs w:val="22"/>
        </w:rPr>
        <w:t>T</w:t>
      </w:r>
      <w:r w:rsidR="00581DFE">
        <w:rPr>
          <w:rFonts w:eastAsia="Calibri"/>
          <w:bCs/>
          <w:szCs w:val="22"/>
        </w:rPr>
        <w:t xml:space="preserve">he </w:t>
      </w:r>
      <w:r>
        <w:rPr>
          <w:rFonts w:eastAsia="Calibri"/>
          <w:bCs/>
          <w:szCs w:val="22"/>
        </w:rPr>
        <w:t xml:space="preserve">proposed ESL also removes the </w:t>
      </w:r>
      <w:r w:rsidR="00581DFE">
        <w:rPr>
          <w:rFonts w:eastAsia="Calibri"/>
          <w:bCs/>
          <w:szCs w:val="22"/>
        </w:rPr>
        <w:t>“Special Eligibility Conditions”</w:t>
      </w:r>
      <w:r w:rsidR="007644E3">
        <w:rPr>
          <w:rFonts w:eastAsia="Calibri"/>
          <w:bCs/>
          <w:szCs w:val="22"/>
        </w:rPr>
        <w:t xml:space="preserve"> </w:t>
      </w:r>
      <w:r w:rsidR="00BA1AEE">
        <w:rPr>
          <w:rFonts w:eastAsia="Calibri"/>
          <w:bCs/>
          <w:szCs w:val="22"/>
        </w:rPr>
        <w:t>s</w:t>
      </w:r>
      <w:r>
        <w:rPr>
          <w:rFonts w:eastAsia="Calibri"/>
          <w:bCs/>
          <w:szCs w:val="22"/>
        </w:rPr>
        <w:t>ection</w:t>
      </w:r>
      <w:r w:rsidR="006756D9">
        <w:rPr>
          <w:rFonts w:eastAsia="Calibri"/>
          <w:bCs/>
          <w:szCs w:val="22"/>
        </w:rPr>
        <w:t xml:space="preserve"> of the ESL</w:t>
      </w:r>
      <w:r>
        <w:rPr>
          <w:rFonts w:eastAsia="Calibri"/>
          <w:bCs/>
          <w:szCs w:val="22"/>
        </w:rPr>
        <w:t xml:space="preserve"> because t</w:t>
      </w:r>
      <w:r w:rsidR="00581DFE">
        <w:rPr>
          <w:rFonts w:eastAsia="Calibri"/>
          <w:bCs/>
          <w:szCs w:val="22"/>
        </w:rPr>
        <w:t xml:space="preserve">he </w:t>
      </w:r>
      <w:r w:rsidR="007644E3">
        <w:rPr>
          <w:rFonts w:eastAsia="Calibri"/>
          <w:bCs/>
          <w:szCs w:val="22"/>
        </w:rPr>
        <w:t xml:space="preserve">requirements </w:t>
      </w:r>
      <w:r w:rsidR="006756D9">
        <w:rPr>
          <w:rFonts w:eastAsia="Calibri"/>
          <w:bCs/>
          <w:szCs w:val="22"/>
        </w:rPr>
        <w:t xml:space="preserve">therein </w:t>
      </w:r>
      <w:r w:rsidR="007644E3">
        <w:rPr>
          <w:rFonts w:eastAsia="Calibri"/>
          <w:bCs/>
          <w:szCs w:val="22"/>
        </w:rPr>
        <w:t xml:space="preserve">are </w:t>
      </w:r>
      <w:r w:rsidR="00581DFE">
        <w:rPr>
          <w:rFonts w:eastAsia="Calibri"/>
          <w:bCs/>
          <w:szCs w:val="22"/>
        </w:rPr>
        <w:t xml:space="preserve">already explained in the </w:t>
      </w:r>
      <w:r w:rsidR="007644E3">
        <w:rPr>
          <w:rFonts w:eastAsia="Calibri"/>
          <w:bCs/>
          <w:szCs w:val="22"/>
        </w:rPr>
        <w:t>Commission</w:t>
      </w:r>
      <w:r w:rsidR="00581DFE">
        <w:rPr>
          <w:rFonts w:eastAsia="Calibri"/>
          <w:bCs/>
          <w:szCs w:val="22"/>
        </w:rPr>
        <w:t>’s rules or</w:t>
      </w:r>
      <w:r w:rsidR="007644E3">
        <w:rPr>
          <w:rFonts w:eastAsia="Calibri"/>
          <w:bCs/>
          <w:szCs w:val="22"/>
        </w:rPr>
        <w:t xml:space="preserve"> in Commission or Bureau orders</w:t>
      </w:r>
      <w:r w:rsidR="000050CB">
        <w:rPr>
          <w:rFonts w:eastAsia="Calibri"/>
          <w:bCs/>
          <w:szCs w:val="22"/>
        </w:rPr>
        <w:t xml:space="preserve"> and USAC provides </w:t>
      </w:r>
      <w:r w:rsidR="005217AE">
        <w:rPr>
          <w:rFonts w:eastAsia="Calibri"/>
          <w:bCs/>
          <w:szCs w:val="22"/>
        </w:rPr>
        <w:t xml:space="preserve">information about these </w:t>
      </w:r>
      <w:r w:rsidR="000050CB">
        <w:rPr>
          <w:rFonts w:eastAsia="Calibri"/>
          <w:bCs/>
          <w:szCs w:val="22"/>
        </w:rPr>
        <w:t>requirements on its website</w:t>
      </w:r>
      <w:r w:rsidR="005479B5">
        <w:rPr>
          <w:rFonts w:eastAsia="Calibri"/>
          <w:bCs/>
          <w:szCs w:val="22"/>
        </w:rPr>
        <w:t>.</w:t>
      </w:r>
      <w:r w:rsidR="000050CB">
        <w:rPr>
          <w:rStyle w:val="FootnoteReference"/>
          <w:rFonts w:eastAsia="Calibri"/>
          <w:bCs/>
          <w:szCs w:val="22"/>
        </w:rPr>
        <w:footnoteReference w:id="16"/>
      </w:r>
      <w:r w:rsidR="005479B5">
        <w:rPr>
          <w:rFonts w:eastAsia="Calibri"/>
          <w:bCs/>
          <w:szCs w:val="22"/>
        </w:rPr>
        <w:t xml:space="preserve">  </w:t>
      </w:r>
    </w:p>
    <w:p w:rsidR="00055299" w:rsidRPr="00462671" w:rsidRDefault="00E34566" w:rsidP="001B4BEC">
      <w:pPr>
        <w:numPr>
          <w:ilvl w:val="1"/>
          <w:numId w:val="16"/>
        </w:numPr>
        <w:spacing w:after="220"/>
        <w:rPr>
          <w:rFonts w:eastAsia="Calibri"/>
          <w:bCs/>
          <w:szCs w:val="22"/>
        </w:rPr>
      </w:pPr>
      <w:r>
        <w:t>Finally, t</w:t>
      </w:r>
      <w:r w:rsidR="00581DFE">
        <w:t>he proposed ESL</w:t>
      </w:r>
      <w:r w:rsidR="00055299">
        <w:t xml:space="preserve"> eliminate</w:t>
      </w:r>
      <w:r w:rsidR="00581DFE">
        <w:t>s</w:t>
      </w:r>
      <w:r w:rsidR="00055299">
        <w:t xml:space="preserve"> the </w:t>
      </w:r>
      <w:r w:rsidR="00581DFE">
        <w:t xml:space="preserve">ESL </w:t>
      </w:r>
      <w:r w:rsidR="00055299">
        <w:t xml:space="preserve">Glossary.  </w:t>
      </w:r>
      <w:r w:rsidR="00581DFE">
        <w:t xml:space="preserve">Instead, </w:t>
      </w:r>
      <w:r w:rsidR="00462671">
        <w:t>we prop</w:t>
      </w:r>
      <w:r w:rsidR="00A83E48">
        <w:t xml:space="preserve">ose </w:t>
      </w:r>
      <w:r w:rsidR="00581DFE">
        <w:t xml:space="preserve">that </w:t>
      </w:r>
      <w:r w:rsidR="00A83E48">
        <w:t>USAC post a glossary of terms on</w:t>
      </w:r>
      <w:r w:rsidR="00462671">
        <w:t xml:space="preserve"> its</w:t>
      </w:r>
      <w:r w:rsidR="00055299">
        <w:t xml:space="preserve"> website as a reference tool.</w:t>
      </w:r>
      <w:r w:rsidR="00055299">
        <w:rPr>
          <w:rStyle w:val="FootnoteReference"/>
        </w:rPr>
        <w:footnoteReference w:id="17"/>
      </w:r>
      <w:r w:rsidR="00462671">
        <w:t xml:space="preserve">  </w:t>
      </w:r>
      <w:r w:rsidR="00064250">
        <w:t xml:space="preserve">This glossary </w:t>
      </w:r>
      <w:r w:rsidR="00462671">
        <w:t xml:space="preserve">on USAC’s website </w:t>
      </w:r>
      <w:r w:rsidR="00064250">
        <w:t>would</w:t>
      </w:r>
      <w:r w:rsidR="00462671">
        <w:t xml:space="preserve"> not </w:t>
      </w:r>
      <w:r w:rsidR="00064250">
        <w:t xml:space="preserve">be </w:t>
      </w:r>
      <w:r w:rsidR="00462671">
        <w:t xml:space="preserve">part of the ESL and </w:t>
      </w:r>
      <w:r w:rsidR="001D2209">
        <w:rPr>
          <w:szCs w:val="22"/>
        </w:rPr>
        <w:t>w</w:t>
      </w:r>
      <w:r w:rsidR="00462671">
        <w:rPr>
          <w:szCs w:val="22"/>
        </w:rPr>
        <w:t xml:space="preserve">ould not be used to determine </w:t>
      </w:r>
      <w:r w:rsidR="00A83E48">
        <w:rPr>
          <w:szCs w:val="22"/>
        </w:rPr>
        <w:t>eligibility for E-rate discounts</w:t>
      </w:r>
      <w:r w:rsidR="001D2209">
        <w:rPr>
          <w:szCs w:val="22"/>
        </w:rPr>
        <w:t>.  Applicants and service providers would be free to refer to it, but just for informal</w:t>
      </w:r>
      <w:r w:rsidR="00462671">
        <w:rPr>
          <w:szCs w:val="22"/>
        </w:rPr>
        <w:t xml:space="preserve"> guidance.</w:t>
      </w:r>
      <w:r w:rsidR="00244387">
        <w:rPr>
          <w:szCs w:val="22"/>
        </w:rPr>
        <w:t xml:space="preserve"> </w:t>
      </w:r>
    </w:p>
    <w:p w:rsidR="00505A69" w:rsidRPr="00505A69" w:rsidRDefault="00505A69" w:rsidP="00433609">
      <w:pPr>
        <w:spacing w:after="220"/>
        <w:ind w:firstLine="720"/>
        <w:rPr>
          <w:szCs w:val="22"/>
        </w:rPr>
      </w:pPr>
      <w:r w:rsidRPr="00505A69">
        <w:rPr>
          <w:szCs w:val="22"/>
        </w:rPr>
        <w:t>Pursuant to sections 1.415 and 1.419 of the Commission’s rules,</w:t>
      </w:r>
      <w:r w:rsidRPr="00505A69">
        <w:rPr>
          <w:vertAlign w:val="superscript"/>
        </w:rPr>
        <w:footnoteReference w:id="18"/>
      </w:r>
      <w:r w:rsidRPr="00505A69">
        <w:rPr>
          <w:szCs w:val="22"/>
        </w:rPr>
        <w:t xml:space="preserve"> interested parties may file comments on or before </w:t>
      </w:r>
      <w:r w:rsidR="007E13C1">
        <w:rPr>
          <w:szCs w:val="22"/>
        </w:rPr>
        <w:t>September 3, 2014</w:t>
      </w:r>
      <w:r w:rsidRPr="00505A69">
        <w:rPr>
          <w:szCs w:val="22"/>
        </w:rPr>
        <w:t xml:space="preserve"> and reply comments on or before </w:t>
      </w:r>
      <w:r w:rsidR="007E13C1">
        <w:rPr>
          <w:szCs w:val="22"/>
        </w:rPr>
        <w:t>September 18, 2014</w:t>
      </w:r>
      <w:r w:rsidRPr="00505A69">
        <w:rPr>
          <w:szCs w:val="22"/>
        </w:rPr>
        <w:t>.  All comments are to reference</w:t>
      </w:r>
      <w:r w:rsidRPr="00505A69">
        <w:rPr>
          <w:b/>
          <w:szCs w:val="22"/>
        </w:rPr>
        <w:t xml:space="preserve"> </w:t>
      </w:r>
      <w:r w:rsidR="003767C2">
        <w:rPr>
          <w:b/>
          <w:spacing w:val="-2"/>
          <w:szCs w:val="22"/>
          <w:lang w:val="sv-SE"/>
        </w:rPr>
        <w:t>WC Docket No. 13-184</w:t>
      </w:r>
      <w:r w:rsidR="003767C2">
        <w:rPr>
          <w:spacing w:val="-2"/>
          <w:szCs w:val="22"/>
          <w:lang w:val="sv-SE"/>
        </w:rPr>
        <w:t>;</w:t>
      </w:r>
      <w:r w:rsidR="00BB4401">
        <w:rPr>
          <w:spacing w:val="-2"/>
          <w:szCs w:val="22"/>
          <w:lang w:val="sv-SE"/>
        </w:rPr>
        <w:t xml:space="preserve"> </w:t>
      </w:r>
      <w:r w:rsidRPr="00505A69">
        <w:rPr>
          <w:b/>
          <w:szCs w:val="22"/>
        </w:rPr>
        <w:t xml:space="preserve">CC Docket No. 02-6 </w:t>
      </w:r>
      <w:r w:rsidRPr="00505A69">
        <w:rPr>
          <w:szCs w:val="22"/>
        </w:rPr>
        <w:t xml:space="preserve">and </w:t>
      </w:r>
      <w:r w:rsidRPr="00505A69">
        <w:rPr>
          <w:b/>
          <w:spacing w:val="-2"/>
          <w:szCs w:val="22"/>
          <w:lang w:val="sv-SE"/>
        </w:rPr>
        <w:t xml:space="preserve">GN Docket No. 09-51 </w:t>
      </w:r>
      <w:r w:rsidRPr="00505A69">
        <w:rPr>
          <w:spacing w:val="-2"/>
          <w:szCs w:val="22"/>
          <w:lang w:val="sv-SE"/>
        </w:rPr>
        <w:t xml:space="preserve">and </w:t>
      </w:r>
      <w:r w:rsidRPr="00505A69">
        <w:rPr>
          <w:szCs w:val="22"/>
        </w:rPr>
        <w:t>may be filed by paper or by using the Commission’s Electronic Comment Filing System (ECFS).</w:t>
      </w:r>
      <w:r w:rsidRPr="00505A69">
        <w:rPr>
          <w:vertAlign w:val="superscript"/>
        </w:rPr>
        <w:footnoteReference w:id="19"/>
      </w:r>
    </w:p>
    <w:p w:rsidR="00505A69" w:rsidRPr="00505A69" w:rsidRDefault="00505A69" w:rsidP="00433609">
      <w:pPr>
        <w:numPr>
          <w:ilvl w:val="0"/>
          <w:numId w:val="14"/>
        </w:numPr>
        <w:spacing w:after="220"/>
        <w:ind w:left="1440"/>
      </w:pPr>
      <w:r w:rsidRPr="00505A69">
        <w:t xml:space="preserve">Electronic Filers:  Comments may be filed electronically using the Internet by accessing the ECFS:  </w:t>
      </w:r>
      <w:hyperlink r:id="rId15" w:history="1">
        <w:r w:rsidRPr="00505A69">
          <w:rPr>
            <w:color w:val="0000FF"/>
            <w:u w:val="single"/>
          </w:rPr>
          <w:t>http://fjallfoss.fcc.gov/ecfs2/</w:t>
        </w:r>
      </w:hyperlink>
      <w:r w:rsidRPr="00505A69">
        <w:t>.</w:t>
      </w:r>
    </w:p>
    <w:p w:rsidR="00505A69" w:rsidRPr="00505A69" w:rsidRDefault="00505A69" w:rsidP="00433609">
      <w:pPr>
        <w:numPr>
          <w:ilvl w:val="0"/>
          <w:numId w:val="14"/>
        </w:numPr>
        <w:spacing w:after="220"/>
        <w:ind w:left="1440"/>
      </w:pPr>
      <w:r w:rsidRPr="00505A69">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505A69" w:rsidRPr="00505A69" w:rsidRDefault="00505A69" w:rsidP="008A6A23">
      <w:r w:rsidRPr="00505A69">
        <w:t>Filings can be sent by hand or messenger delivery, by commercial overnight courier, or by first-class or overnight U.S. Postal Service mail.  All filings must be addressed to the Commission’s Secretary, Office of the Secretary, Federal Communications Commission.</w:t>
      </w:r>
    </w:p>
    <w:p w:rsidR="00505A69" w:rsidRPr="00505A69" w:rsidRDefault="00505A69" w:rsidP="00505A69"/>
    <w:p w:rsidR="00505A69" w:rsidRPr="00505A69" w:rsidRDefault="00505A69" w:rsidP="00505A69">
      <w:pPr>
        <w:numPr>
          <w:ilvl w:val="1"/>
          <w:numId w:val="14"/>
        </w:numPr>
        <w:contextualSpacing/>
      </w:pPr>
      <w:r w:rsidRPr="00505A69">
        <w:t>All hand-delivered or messenger-delivered paper filings for the Commission’s Secretary must be delivered to FCC Headquarters at 445 12</w:t>
      </w:r>
      <w:r w:rsidRPr="00505A69">
        <w:rPr>
          <w:vertAlign w:val="superscript"/>
        </w:rPr>
        <w:t>th</w:t>
      </w:r>
      <w:r w:rsidRPr="00505A69">
        <w:t xml:space="preserve"> St., SW, Room TW-A325, Washington, DC 20554.  The filing hours are 8:00 a.m. to 7:00 p.m.  All hand deliveries must be held together with rubber bands or fasteners.  Any envelopes and boxes must be disposed of </w:t>
      </w:r>
      <w:r w:rsidRPr="00505A69">
        <w:rPr>
          <w:u w:val="single"/>
        </w:rPr>
        <w:t>before</w:t>
      </w:r>
      <w:r w:rsidRPr="00505A69">
        <w:t xml:space="preserve"> entering the building.  </w:t>
      </w:r>
    </w:p>
    <w:p w:rsidR="00505A69" w:rsidRPr="00505A69" w:rsidRDefault="00505A69" w:rsidP="00505A69">
      <w:pPr>
        <w:ind w:left="1080"/>
      </w:pPr>
    </w:p>
    <w:p w:rsidR="00505A69" w:rsidRPr="00505A69" w:rsidRDefault="00505A69" w:rsidP="00505A69">
      <w:pPr>
        <w:numPr>
          <w:ilvl w:val="0"/>
          <w:numId w:val="15"/>
        </w:numPr>
        <w:contextualSpacing/>
      </w:pPr>
      <w:r w:rsidRPr="00505A69">
        <w:t>Commercial overnight mail (other than U.S. Postal Service Express Mail and Priority Mail) must be sent to 9300 East Hampton Drive, Capitol Heights, MD  20743.</w:t>
      </w:r>
    </w:p>
    <w:p w:rsidR="00505A69" w:rsidRPr="00505A69" w:rsidRDefault="00505A69" w:rsidP="00505A69"/>
    <w:p w:rsidR="00505A69" w:rsidRPr="00505A69" w:rsidRDefault="00505A69" w:rsidP="00505A69">
      <w:pPr>
        <w:numPr>
          <w:ilvl w:val="0"/>
          <w:numId w:val="15"/>
        </w:numPr>
        <w:contextualSpacing/>
      </w:pPr>
      <w:r w:rsidRPr="00505A69">
        <w:t>U.S. Postal Service first-class, Express, and Priority mail must be addressed to 445 12</w:t>
      </w:r>
      <w:r w:rsidRPr="00505A69">
        <w:rPr>
          <w:vertAlign w:val="superscript"/>
        </w:rPr>
        <w:t>th</w:t>
      </w:r>
      <w:r w:rsidRPr="00505A69">
        <w:t xml:space="preserve"> Street, SW, Washington DC 20554.</w:t>
      </w:r>
    </w:p>
    <w:p w:rsidR="00505A69" w:rsidRPr="00505A69" w:rsidRDefault="00505A69" w:rsidP="00505A69">
      <w:pPr>
        <w:ind w:left="720"/>
        <w:contextualSpacing/>
      </w:pPr>
    </w:p>
    <w:p w:rsidR="00505A69" w:rsidRPr="00505A69" w:rsidRDefault="00505A69" w:rsidP="00433609">
      <w:pPr>
        <w:keepNext/>
        <w:spacing w:after="220"/>
      </w:pPr>
      <w:r w:rsidRPr="00505A69">
        <w:t xml:space="preserve">In addition, we request that one copy of each pleading be sent to each of the following: </w:t>
      </w:r>
    </w:p>
    <w:p w:rsidR="00893F8F" w:rsidRDefault="00505A69" w:rsidP="00893F8F">
      <w:pPr>
        <w:numPr>
          <w:ilvl w:val="0"/>
          <w:numId w:val="13"/>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505A69">
        <w:rPr>
          <w:szCs w:val="22"/>
        </w:rPr>
        <w:t xml:space="preserve">Cara Voth, Telecommunications Access Policy Division, Wireline Competition Bureau, 445 12th Street, SW, Room 6-A365, Washington, DC 20554; e-mail: </w:t>
      </w:r>
      <w:hyperlink r:id="rId16" w:history="1">
        <w:r w:rsidR="00893F8F" w:rsidRPr="00627817">
          <w:rPr>
            <w:rStyle w:val="Hyperlink"/>
            <w:szCs w:val="22"/>
          </w:rPr>
          <w:t>Cara.Voth@fcc.gov</w:t>
        </w:r>
      </w:hyperlink>
      <w:r w:rsidRPr="00505A69">
        <w:rPr>
          <w:szCs w:val="22"/>
        </w:rPr>
        <w:t>;</w:t>
      </w:r>
    </w:p>
    <w:p w:rsidR="003767C2" w:rsidRDefault="003767C2" w:rsidP="003767C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szCs w:val="22"/>
        </w:rPr>
      </w:pPr>
    </w:p>
    <w:p w:rsidR="003767C2" w:rsidRPr="00893F8F" w:rsidRDefault="003767C2" w:rsidP="00893F8F">
      <w:pPr>
        <w:numPr>
          <w:ilvl w:val="0"/>
          <w:numId w:val="13"/>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Charles Eberle, </w:t>
      </w:r>
      <w:r w:rsidRPr="00505A69">
        <w:rPr>
          <w:szCs w:val="22"/>
        </w:rPr>
        <w:t>Telecommunications Access Policy Division, Wireline Competition Bur</w:t>
      </w:r>
      <w:r>
        <w:rPr>
          <w:szCs w:val="22"/>
        </w:rPr>
        <w:t>eau, 445 12th Street, SW, Room 5-B530</w:t>
      </w:r>
      <w:r w:rsidRPr="00505A69">
        <w:rPr>
          <w:szCs w:val="22"/>
        </w:rPr>
        <w:t xml:space="preserve">, Washington, DC 20554; e-mail: </w:t>
      </w:r>
      <w:hyperlink r:id="rId17" w:history="1">
        <w:r w:rsidRPr="0095709A">
          <w:rPr>
            <w:rStyle w:val="Hyperlink"/>
            <w:szCs w:val="22"/>
          </w:rPr>
          <w:t>Charles.Eberle@fcc.gov</w:t>
        </w:r>
      </w:hyperlink>
      <w:r>
        <w:rPr>
          <w:szCs w:val="22"/>
        </w:rPr>
        <w:t>;</w:t>
      </w:r>
    </w:p>
    <w:p w:rsidR="00505A69" w:rsidRPr="00505A69" w:rsidRDefault="00505A69" w:rsidP="00505A6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szCs w:val="22"/>
        </w:rPr>
      </w:pPr>
    </w:p>
    <w:p w:rsidR="00505A69" w:rsidRPr="00505A69" w:rsidRDefault="00505A69" w:rsidP="00433609">
      <w:pPr>
        <w:numPr>
          <w:ilvl w:val="0"/>
          <w:numId w:val="13"/>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220"/>
        <w:rPr>
          <w:szCs w:val="22"/>
        </w:rPr>
      </w:pPr>
      <w:r w:rsidRPr="00505A69">
        <w:t>Charles Tyler</w:t>
      </w:r>
      <w:r w:rsidRPr="00505A69">
        <w:rPr>
          <w:szCs w:val="22"/>
        </w:rPr>
        <w:t xml:space="preserve">, Telecommunications Access Policy Division, Wireline Competition Bureau, 445 12th Street, SW, Room 5-B521, Washington, DC 20554; e-mail: </w:t>
      </w:r>
      <w:hyperlink r:id="rId18" w:history="1">
        <w:r w:rsidRPr="00505A69">
          <w:rPr>
            <w:color w:val="0000FF"/>
            <w:szCs w:val="22"/>
            <w:u w:val="single"/>
          </w:rPr>
          <w:t>Charles.Tyler@fcc.gov</w:t>
        </w:r>
      </w:hyperlink>
      <w:r w:rsidRPr="00505A69">
        <w:rPr>
          <w:szCs w:val="22"/>
        </w:rPr>
        <w:t>.</w:t>
      </w:r>
    </w:p>
    <w:p w:rsidR="00505A69" w:rsidRPr="00505A69" w:rsidRDefault="00505A69" w:rsidP="00433609">
      <w:pPr>
        <w:tabs>
          <w:tab w:val="left" w:pos="1080"/>
        </w:tabs>
        <w:spacing w:after="220"/>
        <w:rPr>
          <w:szCs w:val="22"/>
        </w:rPr>
      </w:pPr>
      <w:r w:rsidRPr="00505A69">
        <w:rPr>
          <w:szCs w:val="22"/>
          <w:u w:val="single"/>
        </w:rPr>
        <w:t>People with Disabilities</w:t>
      </w:r>
      <w:r w:rsidRPr="00505A69">
        <w:rPr>
          <w:szCs w:val="22"/>
        </w:rPr>
        <w:t xml:space="preserve">.  To request materials in accessible formats for people with disabilities (braille, large print, electronic files, audio format), send an e-mail to </w:t>
      </w:r>
      <w:hyperlink r:id="rId19" w:history="1">
        <w:r w:rsidRPr="00505A69">
          <w:rPr>
            <w:color w:val="0000FF"/>
            <w:szCs w:val="22"/>
            <w:u w:val="single"/>
          </w:rPr>
          <w:t>fcc504@fcc.gov</w:t>
        </w:r>
      </w:hyperlink>
      <w:r w:rsidRPr="00505A69">
        <w:rPr>
          <w:szCs w:val="22"/>
        </w:rPr>
        <w:t xml:space="preserve"> or call the Consumer &amp; Governmental Affairs Bureau at 202-418-0530 (voice), 202-418-0432 (tty).</w:t>
      </w:r>
    </w:p>
    <w:p w:rsidR="00505A69" w:rsidRPr="00505A69" w:rsidRDefault="00505A69" w:rsidP="00433609">
      <w:pPr>
        <w:tabs>
          <w:tab w:val="left" w:pos="1080"/>
        </w:tabs>
        <w:spacing w:after="220"/>
        <w:rPr>
          <w:szCs w:val="22"/>
        </w:rPr>
      </w:pPr>
      <w:r w:rsidRPr="00505A69">
        <w:rPr>
          <w:szCs w:val="22"/>
          <w:u w:val="single"/>
        </w:rPr>
        <w:t>Availability of Documents</w:t>
      </w:r>
      <w:r w:rsidRPr="00505A69">
        <w:rPr>
          <w:szCs w:val="22"/>
        </w:rPr>
        <w:t xml:space="preserve">.  Comments, reply comments, and </w:t>
      </w:r>
      <w:r w:rsidRPr="00505A69">
        <w:rPr>
          <w:i/>
          <w:szCs w:val="22"/>
        </w:rPr>
        <w:t>ex parte</w:t>
      </w:r>
      <w:r w:rsidRPr="00505A69">
        <w:rPr>
          <w:szCs w:val="22"/>
        </w:rPr>
        <w:t xml:space="preserve"> submissions will be publically available online via ECFS.</w:t>
      </w:r>
      <w:r w:rsidRPr="00505A69">
        <w:rPr>
          <w:szCs w:val="22"/>
          <w:vertAlign w:val="superscript"/>
        </w:rPr>
        <w:footnoteReference w:id="20"/>
      </w:r>
      <w:r w:rsidRPr="00505A69">
        <w:rPr>
          <w:szCs w:val="22"/>
        </w:rPr>
        <w:t xml:space="preserve">  These documents will also be available for public inspection during regular business hours in the FCC Reference Information Center, which is located in Room CY-A257 at FCC Headquarters, 445 12</w:t>
      </w:r>
      <w:r w:rsidRPr="00505A69">
        <w:rPr>
          <w:szCs w:val="22"/>
          <w:vertAlign w:val="superscript"/>
        </w:rPr>
        <w:t>th</w:t>
      </w:r>
      <w:r w:rsidRPr="00505A69">
        <w:rPr>
          <w:szCs w:val="22"/>
        </w:rPr>
        <w:t xml:space="preserve"> Street, SW, Washington, DC 20554.  The Reference Information Center is open to the public Monday through Thursday from 8:00 a.m. to 4:30 p.m. and Friday from 8:00 a.m. to 11:30 a.m.</w:t>
      </w:r>
    </w:p>
    <w:p w:rsidR="00505A69" w:rsidRPr="00505A69" w:rsidRDefault="00505A69" w:rsidP="00433609">
      <w:pPr>
        <w:autoSpaceDE w:val="0"/>
        <w:autoSpaceDN w:val="0"/>
        <w:adjustRightInd w:val="0"/>
        <w:spacing w:after="220"/>
        <w:ind w:firstLine="720"/>
        <w:rPr>
          <w:szCs w:val="22"/>
        </w:rPr>
      </w:pPr>
      <w:r w:rsidRPr="00505A69">
        <w:rPr>
          <w:szCs w:val="22"/>
        </w:rPr>
        <w:t xml:space="preserve">The proceeding this Notice initiates shall be treated as a “permit-but-disclose” proceeding in accordance with the Commission’s </w:t>
      </w:r>
      <w:r w:rsidRPr="00505A69">
        <w:rPr>
          <w:i/>
          <w:iCs/>
          <w:szCs w:val="22"/>
        </w:rPr>
        <w:t xml:space="preserve">ex parte </w:t>
      </w:r>
      <w:r w:rsidRPr="00505A69">
        <w:rPr>
          <w:szCs w:val="22"/>
        </w:rPr>
        <w:t>rules.</w:t>
      </w:r>
      <w:r w:rsidRPr="00505A69">
        <w:rPr>
          <w:szCs w:val="22"/>
          <w:vertAlign w:val="superscript"/>
        </w:rPr>
        <w:footnoteReference w:id="21"/>
      </w:r>
      <w:r w:rsidRPr="00505A69">
        <w:rPr>
          <w:szCs w:val="22"/>
        </w:rPr>
        <w:t xml:space="preserve">  Persons making </w:t>
      </w:r>
      <w:r w:rsidRPr="00505A69">
        <w:rPr>
          <w:i/>
          <w:szCs w:val="22"/>
        </w:rPr>
        <w:t xml:space="preserve">ex parte </w:t>
      </w:r>
      <w:r w:rsidRPr="00505A69">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505A69">
        <w:rPr>
          <w:i/>
          <w:iCs/>
          <w:szCs w:val="22"/>
        </w:rPr>
        <w:t xml:space="preserve">ex parte </w:t>
      </w:r>
      <w:r w:rsidRPr="00505A69">
        <w:rPr>
          <w:szCs w:val="22"/>
        </w:rPr>
        <w:t xml:space="preserve">presentations are reminded that memoranda summarizing the presentation must (1) list all persons attending or otherwise participating in the meeting at which the </w:t>
      </w:r>
      <w:r w:rsidRPr="00505A69">
        <w:rPr>
          <w:i/>
          <w:iCs/>
          <w:szCs w:val="22"/>
        </w:rPr>
        <w:t xml:space="preserve">ex parte </w:t>
      </w:r>
      <w:r w:rsidRPr="00505A69">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505A69">
        <w:rPr>
          <w:i/>
          <w:iCs/>
          <w:szCs w:val="22"/>
        </w:rPr>
        <w:t xml:space="preserve">ex parte </w:t>
      </w:r>
      <w:r w:rsidRPr="00505A69">
        <w:rPr>
          <w:szCs w:val="22"/>
        </w:rPr>
        <w:t xml:space="preserve">meetings are deemed to be written </w:t>
      </w:r>
      <w:r w:rsidRPr="00505A69">
        <w:rPr>
          <w:i/>
          <w:iCs/>
          <w:szCs w:val="22"/>
        </w:rPr>
        <w:t>ex parte</w:t>
      </w:r>
      <w:r w:rsidRPr="00505A69">
        <w:rPr>
          <w:szCs w:val="22"/>
        </w:rPr>
        <w:t xml:space="preserve"> presentations and must be filed consistent with rule 1.1206(b).  In proceedings governed by rule 1.49(f) or for which the Commission has made available a method of electronic filing, written </w:t>
      </w:r>
      <w:r w:rsidRPr="00505A69">
        <w:rPr>
          <w:i/>
          <w:iCs/>
          <w:szCs w:val="22"/>
        </w:rPr>
        <w:t xml:space="preserve">ex parte </w:t>
      </w:r>
      <w:r w:rsidRPr="00505A69">
        <w:rPr>
          <w:szCs w:val="22"/>
        </w:rPr>
        <w:t xml:space="preserve">presentations and memoranda summarizing oral </w:t>
      </w:r>
      <w:r w:rsidRPr="00505A69">
        <w:rPr>
          <w:i/>
          <w:iCs/>
          <w:szCs w:val="22"/>
        </w:rPr>
        <w:t xml:space="preserve">ex parte </w:t>
      </w:r>
      <w:r w:rsidRPr="00505A69">
        <w:rPr>
          <w:szCs w:val="22"/>
        </w:rPr>
        <w:t>presentations, and all attachments thereto, must be filed through the electronic comment filing system available for that proceeding, and must be filed in their native format (</w:t>
      </w:r>
      <w:r w:rsidRPr="00505A69">
        <w:rPr>
          <w:i/>
          <w:iCs/>
          <w:szCs w:val="22"/>
        </w:rPr>
        <w:t>e.g.</w:t>
      </w:r>
      <w:r w:rsidRPr="00505A69">
        <w:rPr>
          <w:szCs w:val="22"/>
        </w:rPr>
        <w:t xml:space="preserve">, .doc, .xml, .ppt, searchable .pdf).  Participants in this proceeding should familiarize themselves with the Commission’s </w:t>
      </w:r>
      <w:r w:rsidRPr="00505A69">
        <w:rPr>
          <w:i/>
          <w:iCs/>
          <w:szCs w:val="22"/>
        </w:rPr>
        <w:t xml:space="preserve">ex parte </w:t>
      </w:r>
      <w:r w:rsidRPr="00505A69">
        <w:rPr>
          <w:szCs w:val="22"/>
        </w:rPr>
        <w:t>rules.</w:t>
      </w:r>
    </w:p>
    <w:p w:rsidR="00505A69" w:rsidRPr="00505A69" w:rsidRDefault="00505A69" w:rsidP="00786E10">
      <w:pPr>
        <w:keepNext/>
        <w:spacing w:after="220"/>
        <w:rPr>
          <w:szCs w:val="22"/>
        </w:rPr>
      </w:pPr>
      <w:r w:rsidRPr="00505A69">
        <w:rPr>
          <w:szCs w:val="22"/>
        </w:rPr>
        <w:t>For further information, please contact Cara Voth</w:t>
      </w:r>
      <w:r w:rsidR="003767C2">
        <w:rPr>
          <w:szCs w:val="22"/>
        </w:rPr>
        <w:t xml:space="preserve"> or Charles Eberle</w:t>
      </w:r>
      <w:r w:rsidRPr="00505A69">
        <w:rPr>
          <w:szCs w:val="22"/>
        </w:rPr>
        <w:t>, Telecommunications Access Policy Division, Wireline Competition Bureau at (202) 418-7400 or TTY (202) 418-0484.</w:t>
      </w:r>
    </w:p>
    <w:p w:rsidR="001B4BEC" w:rsidRDefault="00505A69" w:rsidP="00786E10">
      <w:pPr>
        <w:keepNext/>
        <w:spacing w:before="120" w:after="240"/>
        <w:jc w:val="center"/>
        <w:rPr>
          <w:b/>
        </w:rPr>
      </w:pPr>
      <w:r w:rsidRPr="00505A69">
        <w:rPr>
          <w:b/>
        </w:rPr>
        <w:t>- FCC -</w:t>
      </w:r>
    </w:p>
    <w:p w:rsidR="001B4BEC" w:rsidRDefault="001B4BEC">
      <w:pPr>
        <w:rPr>
          <w:b/>
        </w:rPr>
      </w:pPr>
      <w:r>
        <w:rPr>
          <w:b/>
        </w:rPr>
        <w:br w:type="page"/>
      </w:r>
    </w:p>
    <w:p w:rsidR="006432BF" w:rsidRDefault="006432BF" w:rsidP="00184317">
      <w:pPr>
        <w:spacing w:before="120" w:after="240"/>
        <w:jc w:val="center"/>
        <w:rPr>
          <w:sz w:val="24"/>
        </w:rPr>
        <w:sectPr w:rsidR="006432BF" w:rsidSect="00FC624D">
          <w:footerReference w:type="default" r:id="rId20"/>
          <w:type w:val="continuous"/>
          <w:pgSz w:w="12240" w:h="15840" w:code="1"/>
          <w:pgMar w:top="1440" w:right="1440" w:bottom="720" w:left="1440" w:header="720" w:footer="720" w:gutter="0"/>
          <w:cols w:space="720"/>
          <w:titlePg/>
          <w:docGrid w:linePitch="299"/>
        </w:sectPr>
      </w:pPr>
    </w:p>
    <w:p w:rsidR="001B4BEC" w:rsidRDefault="001B4BEC">
      <w:pPr>
        <w:rPr>
          <w:sz w:val="24"/>
          <w:szCs w:val="24"/>
          <w:u w:val="single"/>
        </w:rPr>
      </w:pPr>
    </w:p>
    <w:p w:rsidR="006432BF" w:rsidRPr="00FC624D" w:rsidRDefault="00907E32" w:rsidP="00F01EF6">
      <w:pPr>
        <w:jc w:val="center"/>
        <w:rPr>
          <w:b/>
          <w:szCs w:val="22"/>
        </w:rPr>
      </w:pPr>
      <w:r w:rsidRPr="00FC624D">
        <w:rPr>
          <w:b/>
          <w:szCs w:val="22"/>
        </w:rPr>
        <w:t>ATTACHMENT</w:t>
      </w:r>
    </w:p>
    <w:p w:rsidR="006432BF" w:rsidRPr="00FF77C9" w:rsidRDefault="006432BF" w:rsidP="00F01EF6">
      <w:pPr>
        <w:rPr>
          <w:b/>
          <w:sz w:val="24"/>
          <w:szCs w:val="24"/>
        </w:rPr>
      </w:pPr>
    </w:p>
    <w:p w:rsidR="006432BF" w:rsidRPr="00FF77C9" w:rsidRDefault="006432BF" w:rsidP="00F01EF6">
      <w:pPr>
        <w:jc w:val="center"/>
        <w:rPr>
          <w:b/>
          <w:sz w:val="24"/>
          <w:szCs w:val="24"/>
        </w:rPr>
      </w:pPr>
      <w:r w:rsidRPr="00FF77C9">
        <w:rPr>
          <w:b/>
          <w:sz w:val="24"/>
          <w:szCs w:val="24"/>
        </w:rPr>
        <w:t xml:space="preserve">Schools and Libraries Universal Service Support Mechanism </w:t>
      </w:r>
      <w:r w:rsidR="00D37B7C">
        <w:rPr>
          <w:b/>
          <w:sz w:val="24"/>
          <w:szCs w:val="24"/>
        </w:rPr>
        <w:t>–</w:t>
      </w:r>
      <w:r w:rsidRPr="00FF77C9">
        <w:rPr>
          <w:b/>
          <w:sz w:val="24"/>
          <w:szCs w:val="24"/>
        </w:rPr>
        <w:t xml:space="preserve"> Eligible Services List</w:t>
      </w:r>
    </w:p>
    <w:p w:rsidR="006432BF" w:rsidRPr="00FC624D" w:rsidRDefault="00AD6396" w:rsidP="00F01EF6">
      <w:pPr>
        <w:jc w:val="center"/>
        <w:rPr>
          <w:b/>
          <w:szCs w:val="22"/>
        </w:rPr>
      </w:pPr>
      <w:r w:rsidRPr="00FC624D">
        <w:rPr>
          <w:b/>
          <w:szCs w:val="22"/>
        </w:rPr>
        <w:t>(DRAFT)</w:t>
      </w:r>
    </w:p>
    <w:p w:rsidR="00AD6396" w:rsidRDefault="00AD6396" w:rsidP="00F01EF6">
      <w:pPr>
        <w:jc w:val="center"/>
        <w:rPr>
          <w:szCs w:val="22"/>
          <w:u w:val="single"/>
        </w:rPr>
      </w:pPr>
    </w:p>
    <w:p w:rsidR="006432BF" w:rsidRDefault="006432BF" w:rsidP="00F01EF6">
      <w:pPr>
        <w:jc w:val="center"/>
        <w:rPr>
          <w:bCs/>
          <w:szCs w:val="22"/>
        </w:rPr>
      </w:pPr>
      <w:r>
        <w:rPr>
          <w:bCs/>
          <w:szCs w:val="22"/>
        </w:rPr>
        <w:t>(</w:t>
      </w:r>
      <w:r w:rsidRPr="00045A60">
        <w:rPr>
          <w:bCs/>
          <w:szCs w:val="22"/>
        </w:rPr>
        <w:t>WC Docket No. 13-184; CC Docket No. 02-6; GN Docket No. 09-51</w:t>
      </w:r>
      <w:r>
        <w:rPr>
          <w:bCs/>
          <w:szCs w:val="22"/>
        </w:rPr>
        <w:t>)</w:t>
      </w:r>
    </w:p>
    <w:p w:rsidR="006432BF" w:rsidRDefault="006432BF" w:rsidP="00F01EF6">
      <w:pPr>
        <w:jc w:val="center"/>
        <w:rPr>
          <w:bCs/>
          <w:szCs w:val="22"/>
        </w:rPr>
      </w:pPr>
    </w:p>
    <w:p w:rsidR="006432BF" w:rsidRDefault="006432BF" w:rsidP="00F01EF6">
      <w:pPr>
        <w:jc w:val="center"/>
        <w:rPr>
          <w:bCs/>
          <w:szCs w:val="22"/>
        </w:rPr>
      </w:pPr>
    </w:p>
    <w:p w:rsidR="006432BF" w:rsidRDefault="006432BF" w:rsidP="00F01EF6">
      <w:pPr>
        <w:jc w:val="center"/>
        <w:rPr>
          <w:bCs/>
          <w:szCs w:val="22"/>
        </w:rPr>
      </w:pPr>
    </w:p>
    <w:p w:rsidR="006432BF" w:rsidRDefault="006432BF" w:rsidP="00F01EF6">
      <w:pPr>
        <w:rPr>
          <w:szCs w:val="22"/>
        </w:rPr>
      </w:pPr>
      <w:r w:rsidRPr="00045A60">
        <w:rPr>
          <w:szCs w:val="22"/>
        </w:rPr>
        <w:t>The Federal Communications Commission’s (FCC’s) rules provide that all</w:t>
      </w:r>
      <w:r>
        <w:rPr>
          <w:szCs w:val="22"/>
        </w:rPr>
        <w:t xml:space="preserve"> services that are eligible </w:t>
      </w:r>
      <w:r w:rsidRPr="00045A60">
        <w:rPr>
          <w:szCs w:val="22"/>
        </w:rPr>
        <w:t>to receive discounts under the Schools and Libraries Universal Service Support Mechanism (otherwise known as the E-rate program or “E-rate”) are listed in this Eligible Services List (ESL).  The E-rate program is administered by the Universal Service Administrative Company (USAC).</w:t>
      </w:r>
      <w:r>
        <w:rPr>
          <w:szCs w:val="22"/>
        </w:rPr>
        <w:t xml:space="preserve"> </w:t>
      </w:r>
      <w:r w:rsidRPr="00045A60">
        <w:rPr>
          <w:snapToGrid w:val="0"/>
          <w:color w:val="000000"/>
          <w:kern w:val="28"/>
          <w:szCs w:val="22"/>
        </w:rPr>
        <w:t xml:space="preserve">The </w:t>
      </w:r>
      <w:r>
        <w:rPr>
          <w:snapToGrid w:val="0"/>
          <w:color w:val="000000"/>
          <w:kern w:val="28"/>
          <w:szCs w:val="22"/>
        </w:rPr>
        <w:t xml:space="preserve">E-rate program </w:t>
      </w:r>
      <w:r w:rsidRPr="00045A60">
        <w:rPr>
          <w:szCs w:val="22"/>
        </w:rPr>
        <w:t>provides eligible schools and libraries discounts fo</w:t>
      </w:r>
      <w:r>
        <w:rPr>
          <w:szCs w:val="22"/>
        </w:rPr>
        <w:t>r eligible services and internal connections</w:t>
      </w:r>
      <w:r w:rsidRPr="00045A60">
        <w:rPr>
          <w:szCs w:val="22"/>
        </w:rPr>
        <w:t xml:space="preserve">.  </w:t>
      </w:r>
      <w:r>
        <w:rPr>
          <w:szCs w:val="22"/>
        </w:rPr>
        <w:t xml:space="preserve">This ESL identifies those services and internal connections for which eligible applicants may seek E-rate support.  </w:t>
      </w:r>
    </w:p>
    <w:p w:rsidR="006432BF" w:rsidRDefault="006432BF" w:rsidP="00F01EF6">
      <w:pPr>
        <w:pStyle w:val="NormalWeb"/>
        <w:spacing w:before="0" w:beforeAutospacing="0" w:after="0" w:afterAutospacing="0"/>
        <w:rPr>
          <w:rFonts w:ascii="Times New Roman" w:hAnsi="Times New Roman"/>
          <w:sz w:val="22"/>
          <w:szCs w:val="22"/>
        </w:rPr>
      </w:pPr>
    </w:p>
    <w:p w:rsidR="006432BF" w:rsidRPr="00045A60" w:rsidRDefault="006432BF" w:rsidP="00F01EF6">
      <w:pPr>
        <w:pStyle w:val="NormalWeb"/>
        <w:spacing w:before="0" w:beforeAutospacing="0" w:after="0" w:afterAutospacing="0"/>
        <w:rPr>
          <w:rFonts w:ascii="Times New Roman" w:hAnsi="Times New Roman"/>
          <w:sz w:val="22"/>
          <w:szCs w:val="22"/>
        </w:rPr>
      </w:pPr>
      <w:r>
        <w:rPr>
          <w:rFonts w:ascii="Times New Roman" w:hAnsi="Times New Roman"/>
          <w:sz w:val="22"/>
          <w:szCs w:val="22"/>
        </w:rPr>
        <w:t xml:space="preserve">The first category of supported services, Category One, </w:t>
      </w:r>
      <w:r w:rsidRPr="00045A60">
        <w:rPr>
          <w:rFonts w:ascii="Times New Roman" w:hAnsi="Times New Roman"/>
          <w:sz w:val="22"/>
          <w:szCs w:val="22"/>
        </w:rPr>
        <w:t>includes the services needed to support broadband connec</w:t>
      </w:r>
      <w:r>
        <w:rPr>
          <w:rFonts w:ascii="Times New Roman" w:hAnsi="Times New Roman"/>
          <w:sz w:val="22"/>
          <w:szCs w:val="22"/>
        </w:rPr>
        <w:t>tivity to schools and libraries.  The second category of supported services, Category Two, includes the</w:t>
      </w:r>
      <w:r w:rsidRPr="00045A60">
        <w:rPr>
          <w:rFonts w:ascii="Times New Roman" w:hAnsi="Times New Roman"/>
          <w:sz w:val="22"/>
          <w:szCs w:val="22"/>
        </w:rPr>
        <w:t xml:space="preserve"> services </w:t>
      </w:r>
      <w:r>
        <w:rPr>
          <w:rFonts w:ascii="Times New Roman" w:hAnsi="Times New Roman"/>
          <w:sz w:val="22"/>
          <w:szCs w:val="22"/>
        </w:rPr>
        <w:t xml:space="preserve">and internal connections </w:t>
      </w:r>
      <w:r w:rsidRPr="00045A60">
        <w:rPr>
          <w:rFonts w:ascii="Times New Roman" w:hAnsi="Times New Roman"/>
          <w:sz w:val="22"/>
          <w:szCs w:val="22"/>
        </w:rPr>
        <w:t>needed for broadband connectivity within schools and libraries</w:t>
      </w:r>
      <w:r w:rsidRPr="00045A60">
        <w:rPr>
          <w:rFonts w:ascii="Times New Roman" w:hAnsi="Times New Roman"/>
          <w:snapToGrid w:val="0"/>
          <w:kern w:val="28"/>
          <w:sz w:val="22"/>
          <w:szCs w:val="22"/>
        </w:rPr>
        <w:t xml:space="preserve">.  </w:t>
      </w:r>
      <w:r w:rsidRPr="001A07A6">
        <w:rPr>
          <w:rFonts w:ascii="Times New Roman" w:hAnsi="Times New Roman"/>
          <w:sz w:val="22"/>
          <w:szCs w:val="22"/>
        </w:rPr>
        <w:t>Services and components not listed on the ESL are not eligible for funding</w:t>
      </w:r>
      <w:r w:rsidRPr="00045A60">
        <w:rPr>
          <w:rFonts w:ascii="Times New Roman" w:hAnsi="Times New Roman"/>
          <w:sz w:val="22"/>
          <w:szCs w:val="22"/>
        </w:rPr>
        <w:t xml:space="preserve">.  </w:t>
      </w:r>
    </w:p>
    <w:p w:rsidR="006432BF" w:rsidRPr="00045A60" w:rsidRDefault="006432BF" w:rsidP="00F01EF6">
      <w:pPr>
        <w:pStyle w:val="NormalWeb"/>
        <w:spacing w:before="0" w:beforeAutospacing="0" w:after="0" w:afterAutospacing="0"/>
        <w:rPr>
          <w:rFonts w:ascii="Times New Roman" w:hAnsi="Times New Roman"/>
          <w:sz w:val="22"/>
          <w:szCs w:val="22"/>
        </w:rPr>
      </w:pPr>
    </w:p>
    <w:p w:rsidR="006432BF" w:rsidRDefault="006432BF" w:rsidP="00F01EF6">
      <w:pPr>
        <w:rPr>
          <w:szCs w:val="22"/>
        </w:rPr>
      </w:pPr>
      <w:r>
        <w:rPr>
          <w:szCs w:val="22"/>
        </w:rPr>
        <w:t xml:space="preserve">Additional guidance from USAC about the E-rate application process and about eligible services is </w:t>
      </w:r>
      <w:r w:rsidRPr="00045A60">
        <w:rPr>
          <w:szCs w:val="22"/>
        </w:rPr>
        <w:t xml:space="preserve">available at USAC’s website at </w:t>
      </w:r>
      <w:hyperlink r:id="rId21" w:history="1">
        <w:r w:rsidRPr="00045A60">
          <w:rPr>
            <w:rStyle w:val="Hyperlink"/>
            <w:szCs w:val="22"/>
          </w:rPr>
          <w:t>http://www.usac.org/sl/</w:t>
        </w:r>
      </w:hyperlink>
      <w:r>
        <w:rPr>
          <w:szCs w:val="22"/>
        </w:rPr>
        <w:t xml:space="preserve"> including a glossary of terms</w:t>
      </w:r>
      <w:r w:rsidRPr="00045A60">
        <w:rPr>
          <w:szCs w:val="22"/>
        </w:rPr>
        <w:t xml:space="preserve">.  </w:t>
      </w:r>
      <w:r>
        <w:rPr>
          <w:szCs w:val="22"/>
        </w:rPr>
        <w:t>Those d</w:t>
      </w:r>
      <w:r w:rsidRPr="00045A60">
        <w:rPr>
          <w:szCs w:val="22"/>
        </w:rPr>
        <w:t>ocuments on USAC’s website are not incorporated by reference into the E</w:t>
      </w:r>
      <w:r>
        <w:rPr>
          <w:szCs w:val="22"/>
        </w:rPr>
        <w:t>SL and do not bind the Commission.  Thus, they will not be used to determine whether a service or product is eligible.  Applicants and service providers are free to refer to those documents, but just for informal guidance</w:t>
      </w:r>
      <w:r w:rsidRPr="00045A60">
        <w:rPr>
          <w:szCs w:val="22"/>
        </w:rPr>
        <w:t>.  This ESL,</w:t>
      </w:r>
      <w:r>
        <w:rPr>
          <w:szCs w:val="22"/>
        </w:rPr>
        <w:t xml:space="preserve"> </w:t>
      </w:r>
      <w:r w:rsidRPr="00045A60">
        <w:rPr>
          <w:szCs w:val="22"/>
        </w:rPr>
        <w:t xml:space="preserve">dated </w:t>
      </w:r>
      <w:r w:rsidR="00AD6396">
        <w:rPr>
          <w:szCs w:val="22"/>
        </w:rPr>
        <w:t>[[</w:t>
      </w:r>
      <w:r w:rsidRPr="00045A60">
        <w:rPr>
          <w:szCs w:val="22"/>
        </w:rPr>
        <w:t>Month xx, 2014</w:t>
      </w:r>
      <w:r w:rsidR="00AD6396">
        <w:rPr>
          <w:szCs w:val="22"/>
        </w:rPr>
        <w:t>]]</w:t>
      </w:r>
      <w:r w:rsidRPr="00045A60">
        <w:rPr>
          <w:szCs w:val="22"/>
        </w:rPr>
        <w:t xml:space="preserve">, </w:t>
      </w:r>
      <w:r>
        <w:rPr>
          <w:szCs w:val="22"/>
        </w:rPr>
        <w:t xml:space="preserve">implements changes adopted in the </w:t>
      </w:r>
      <w:r>
        <w:rPr>
          <w:i/>
          <w:szCs w:val="22"/>
        </w:rPr>
        <w:t xml:space="preserve">E-rate Modernization Order </w:t>
      </w:r>
      <w:r>
        <w:rPr>
          <w:szCs w:val="22"/>
        </w:rPr>
        <w:t xml:space="preserve">(FCC 14-99), and therefore </w:t>
      </w:r>
      <w:r w:rsidRPr="00045A60">
        <w:rPr>
          <w:szCs w:val="22"/>
        </w:rPr>
        <w:t>represents a change from prior funding years</w:t>
      </w:r>
      <w:r>
        <w:rPr>
          <w:szCs w:val="22"/>
        </w:rPr>
        <w:t xml:space="preserve">. </w:t>
      </w:r>
      <w:r w:rsidRPr="00045A60">
        <w:rPr>
          <w:szCs w:val="22"/>
        </w:rPr>
        <w:t xml:space="preserve"> </w:t>
      </w:r>
      <w:r>
        <w:rPr>
          <w:szCs w:val="22"/>
        </w:rPr>
        <w:t>This ESL</w:t>
      </w:r>
      <w:r w:rsidRPr="00045A60">
        <w:rPr>
          <w:szCs w:val="22"/>
        </w:rPr>
        <w:t xml:space="preserve"> applies to funding requests for Funding Year 2015.</w:t>
      </w:r>
    </w:p>
    <w:p w:rsidR="006432BF" w:rsidRDefault="006432BF" w:rsidP="00F01EF6">
      <w:pPr>
        <w:rPr>
          <w:szCs w:val="22"/>
        </w:rPr>
      </w:pPr>
    </w:p>
    <w:p w:rsidR="006432BF" w:rsidRDefault="006432BF">
      <w:pPr>
        <w:rPr>
          <w:szCs w:val="22"/>
        </w:rPr>
      </w:pPr>
      <w:r>
        <w:rPr>
          <w:szCs w:val="22"/>
        </w:rPr>
        <w:br w:type="page"/>
      </w:r>
    </w:p>
    <w:p w:rsidR="006432BF" w:rsidRPr="00FF77C9" w:rsidRDefault="006432BF" w:rsidP="00F01EF6">
      <w:pPr>
        <w:rPr>
          <w:b/>
          <w:szCs w:val="22"/>
          <w:u w:val="single"/>
        </w:rPr>
      </w:pPr>
      <w:r w:rsidRPr="00FF77C9">
        <w:rPr>
          <w:b/>
          <w:u w:val="single"/>
        </w:rPr>
        <w:t>Category One</w:t>
      </w:r>
    </w:p>
    <w:p w:rsidR="006432BF" w:rsidRDefault="006432BF" w:rsidP="00F01EF6">
      <w:pPr>
        <w:pStyle w:val="ListParagraph"/>
        <w:ind w:left="1080"/>
      </w:pPr>
    </w:p>
    <w:p w:rsidR="006432BF" w:rsidRDefault="006432BF" w:rsidP="00F01EF6">
      <w:pPr>
        <w:rPr>
          <w:bCs/>
        </w:rPr>
      </w:pPr>
      <w:r w:rsidRPr="00B415B5">
        <w:t>Category One includes the telecommunications services, telecommunications, and Internet access services for which E-rate applicants may seek discounts.</w:t>
      </w:r>
      <w:r>
        <w:t xml:space="preserve">  </w:t>
      </w:r>
      <w:r w:rsidRPr="00A95B42">
        <w:rPr>
          <w:bCs/>
        </w:rPr>
        <w:t>Th</w:t>
      </w:r>
      <w:r>
        <w:rPr>
          <w:bCs/>
        </w:rPr>
        <w:t xml:space="preserve">is category </w:t>
      </w:r>
      <w:r w:rsidRPr="00A95B42">
        <w:rPr>
          <w:bCs/>
        </w:rPr>
        <w:t>consist</w:t>
      </w:r>
      <w:r>
        <w:rPr>
          <w:bCs/>
        </w:rPr>
        <w:t>s</w:t>
      </w:r>
      <w:r w:rsidRPr="00A95B42">
        <w:rPr>
          <w:bCs/>
        </w:rPr>
        <w:t xml:space="preserve"> of </w:t>
      </w:r>
      <w:r>
        <w:rPr>
          <w:bCs/>
        </w:rPr>
        <w:t xml:space="preserve">the services that provide broadband to eligible locations including </w:t>
      </w:r>
      <w:r w:rsidRPr="00A95B42">
        <w:rPr>
          <w:bCs/>
        </w:rPr>
        <w:t xml:space="preserve">data links that connect multiple points, </w:t>
      </w:r>
      <w:r>
        <w:rPr>
          <w:bCs/>
        </w:rPr>
        <w:t xml:space="preserve">services used to </w:t>
      </w:r>
      <w:r>
        <w:t>connect eligible locations to the Internet, and services that provide basic conduit access to the Internet.  M</w:t>
      </w:r>
      <w:r>
        <w:rPr>
          <w:bCs/>
        </w:rPr>
        <w:t>aintenance and technical support appropriate to maintain reliable operation are eligible for support when provided as a component of these</w:t>
      </w:r>
      <w:r w:rsidRPr="00DC60A3">
        <w:rPr>
          <w:bCs/>
        </w:rPr>
        <w:t xml:space="preserve"> service</w:t>
      </w:r>
      <w:r>
        <w:rPr>
          <w:bCs/>
        </w:rPr>
        <w:t xml:space="preserve">s.  Voice services, as described below, </w:t>
      </w:r>
      <w:r>
        <w:t xml:space="preserve">are subject to a phase down of support beginning in funding year 2015.  </w:t>
      </w:r>
      <w:r w:rsidRPr="00C35EB6">
        <w:rPr>
          <w:rFonts w:eastAsia="Calibri"/>
          <w:bCs/>
          <w:szCs w:val="22"/>
        </w:rPr>
        <w:t xml:space="preserve">Applicants </w:t>
      </w:r>
      <w:r>
        <w:rPr>
          <w:rFonts w:eastAsia="Calibri"/>
          <w:bCs/>
          <w:szCs w:val="22"/>
        </w:rPr>
        <w:t xml:space="preserve">must </w:t>
      </w:r>
      <w:r w:rsidRPr="00C35EB6">
        <w:rPr>
          <w:rFonts w:eastAsia="Calibri"/>
          <w:bCs/>
          <w:szCs w:val="22"/>
        </w:rPr>
        <w:t xml:space="preserve">identify the </w:t>
      </w:r>
      <w:r>
        <w:rPr>
          <w:rFonts w:eastAsia="Calibri"/>
          <w:bCs/>
          <w:szCs w:val="22"/>
        </w:rPr>
        <w:t xml:space="preserve">Category One service type on the FCC Form 471, as </w:t>
      </w:r>
      <w:r w:rsidRPr="00C35EB6">
        <w:rPr>
          <w:rFonts w:eastAsia="Calibri"/>
          <w:bCs/>
          <w:szCs w:val="22"/>
        </w:rPr>
        <w:t>Telecommunications services, Internet access, or voice.</w:t>
      </w:r>
      <w:r>
        <w:rPr>
          <w:rFonts w:eastAsia="Calibri"/>
          <w:bCs/>
          <w:szCs w:val="22"/>
        </w:rPr>
        <w:t xml:space="preserve">  </w:t>
      </w:r>
      <w:r>
        <w:rPr>
          <w:bCs/>
        </w:rPr>
        <w:t xml:space="preserve">The eligible services in Category One are: </w:t>
      </w:r>
    </w:p>
    <w:p w:rsidR="006432BF" w:rsidRDefault="006432BF" w:rsidP="00F01EF6">
      <w:pPr>
        <w:rPr>
          <w:bCs/>
        </w:rPr>
      </w:pPr>
      <w:r>
        <w:rPr>
          <w:bCs/>
        </w:rPr>
        <w:tab/>
      </w:r>
    </w:p>
    <w:tbl>
      <w:tblPr>
        <w:tblStyle w:val="TableGrid"/>
        <w:tblW w:w="0" w:type="auto"/>
        <w:tblInd w:w="780" w:type="dxa"/>
        <w:tblLook w:val="04A0" w:firstRow="1" w:lastRow="0" w:firstColumn="1" w:lastColumn="0" w:noHBand="0" w:noVBand="1"/>
      </w:tblPr>
      <w:tblGrid>
        <w:gridCol w:w="5868"/>
      </w:tblGrid>
      <w:tr w:rsidR="006432BF" w:rsidTr="00F01EF6">
        <w:tc>
          <w:tcPr>
            <w:tcW w:w="5868" w:type="dxa"/>
          </w:tcPr>
          <w:p w:rsidR="006432BF" w:rsidRDefault="006432BF" w:rsidP="00F01EF6">
            <w:pPr>
              <w:rPr>
                <w:b/>
              </w:rPr>
            </w:pPr>
          </w:p>
          <w:p w:rsidR="006432BF" w:rsidRDefault="006432BF" w:rsidP="00F01EF6">
            <w:pPr>
              <w:rPr>
                <w:b/>
              </w:rPr>
            </w:pPr>
            <w:r>
              <w:rPr>
                <w:b/>
              </w:rPr>
              <w:t>Eligible D</w:t>
            </w:r>
            <w:r w:rsidRPr="00FF77C9">
              <w:rPr>
                <w:b/>
              </w:rPr>
              <w:t>ata transmission services and Internet access</w:t>
            </w:r>
          </w:p>
          <w:p w:rsidR="006432BF" w:rsidRDefault="006432BF" w:rsidP="00F01EF6">
            <w:r>
              <w:t xml:space="preserve">-Asynchronous Transfer Mode (ATM) </w:t>
            </w:r>
          </w:p>
          <w:p w:rsidR="006432BF" w:rsidRDefault="006432BF" w:rsidP="00F01EF6">
            <w:r>
              <w:t xml:space="preserve">-Broadband over Power Lines </w:t>
            </w:r>
          </w:p>
          <w:p w:rsidR="006432BF" w:rsidRDefault="006432BF" w:rsidP="00F01EF6">
            <w:r>
              <w:t>-Cable Modem</w:t>
            </w:r>
          </w:p>
          <w:p w:rsidR="006432BF" w:rsidRDefault="006432BF" w:rsidP="00F01EF6">
            <w:r>
              <w:t>-Digital Subscriber Line (DSL)</w:t>
            </w:r>
          </w:p>
          <w:p w:rsidR="006432BF" w:rsidRDefault="006432BF" w:rsidP="00F01EF6">
            <w:r>
              <w:t xml:space="preserve">-DS-1, DS-2, and DS-3 </w:t>
            </w:r>
          </w:p>
          <w:p w:rsidR="006432BF" w:rsidRDefault="006432BF" w:rsidP="00F01EF6">
            <w:r>
              <w:t xml:space="preserve">-Ethernet </w:t>
            </w:r>
          </w:p>
          <w:p w:rsidR="006432BF" w:rsidRDefault="006432BF" w:rsidP="00F01EF6">
            <w:r>
              <w:t xml:space="preserve">-Fiber (Lit and Dark) </w:t>
            </w:r>
          </w:p>
          <w:p w:rsidR="006432BF" w:rsidRDefault="006432BF" w:rsidP="00F01EF6">
            <w:r>
              <w:t xml:space="preserve">-Frame Relay </w:t>
            </w:r>
          </w:p>
          <w:p w:rsidR="006432BF" w:rsidRDefault="006432BF" w:rsidP="00F01EF6">
            <w:r>
              <w:t>-Integrated Services Digital Network</w:t>
            </w:r>
          </w:p>
          <w:p w:rsidR="006432BF" w:rsidRDefault="006432BF" w:rsidP="00F01EF6">
            <w:r>
              <w:t xml:space="preserve">-OC-1, OC-3, OC-12, OC-n </w:t>
            </w:r>
          </w:p>
          <w:p w:rsidR="006432BF" w:rsidRDefault="006432BF" w:rsidP="00F01EF6">
            <w:r>
              <w:t xml:space="preserve">-Satellite Service </w:t>
            </w:r>
          </w:p>
          <w:p w:rsidR="006432BF" w:rsidRDefault="006432BF" w:rsidP="00F01EF6">
            <w:r>
              <w:t xml:space="preserve">-Switched Multimegabit Data Service </w:t>
            </w:r>
          </w:p>
          <w:p w:rsidR="006432BF" w:rsidRDefault="006432BF" w:rsidP="00F01EF6">
            <w:r>
              <w:t>-Telephone dial-up</w:t>
            </w:r>
          </w:p>
          <w:p w:rsidR="006432BF" w:rsidRDefault="006432BF" w:rsidP="00F01EF6">
            <w:r>
              <w:t xml:space="preserve">-T-1, T-3, Fractional T-1 </w:t>
            </w:r>
          </w:p>
          <w:p w:rsidR="006432BF" w:rsidRDefault="006432BF" w:rsidP="00F01EF6">
            <w:r>
              <w:t>-Wireless services (e.g., microwave)</w:t>
            </w:r>
          </w:p>
          <w:p w:rsidR="006432BF" w:rsidRPr="00994245" w:rsidRDefault="006432BF" w:rsidP="00F01EF6">
            <w:r>
              <w:t xml:space="preserve">-Wireless Internet access and mobile hotspot service plans for portable devices are </w:t>
            </w:r>
            <w:r w:rsidDel="008839FB">
              <w:t xml:space="preserve">eligible if </w:t>
            </w:r>
            <w:r w:rsidRPr="0033242A" w:rsidDel="008839FB">
              <w:t>used for educational purposes</w:t>
            </w:r>
            <w:r w:rsidDel="008839FB">
              <w:t xml:space="preserve"> and cost effective as required in FCC 14-</w:t>
            </w:r>
            <w:r>
              <w:t>99</w:t>
            </w:r>
            <w:r w:rsidDel="008839FB">
              <w:t xml:space="preserve">. </w:t>
            </w:r>
            <w:r>
              <w:t xml:space="preserve"> </w:t>
            </w:r>
            <w:r w:rsidDel="008839FB">
              <w:t>Off-campus use</w:t>
            </w:r>
            <w:r>
              <w:t xml:space="preserve">, even if used for an educational purpose, </w:t>
            </w:r>
            <w:r w:rsidR="00DE3FF6">
              <w:t xml:space="preserve">is ineligible for support and </w:t>
            </w:r>
            <w:r w:rsidDel="008839FB">
              <w:t>must be cost allocated</w:t>
            </w:r>
            <w:r w:rsidR="00DE3FF6">
              <w:t xml:space="preserve"> out</w:t>
            </w:r>
            <w:r w:rsidR="0080476E">
              <w:t xml:space="preserve"> of any funding request</w:t>
            </w:r>
            <w:r w:rsidDel="008839FB">
              <w:t>.</w:t>
            </w:r>
          </w:p>
        </w:tc>
      </w:tr>
      <w:tr w:rsidR="006432BF" w:rsidTr="00F01EF6">
        <w:tc>
          <w:tcPr>
            <w:tcW w:w="5868" w:type="dxa"/>
          </w:tcPr>
          <w:p w:rsidR="006432BF" w:rsidRDefault="006432BF" w:rsidP="00F01EF6">
            <w:pPr>
              <w:rPr>
                <w:b/>
                <w:bCs/>
              </w:rPr>
            </w:pPr>
          </w:p>
          <w:p w:rsidR="006432BF" w:rsidRDefault="006432BF" w:rsidP="00F01EF6">
            <w:pPr>
              <w:rPr>
                <w:b/>
                <w:bCs/>
              </w:rPr>
            </w:pPr>
            <w:r>
              <w:rPr>
                <w:b/>
                <w:bCs/>
              </w:rPr>
              <w:t>Eligible voice services</w:t>
            </w:r>
          </w:p>
          <w:p w:rsidR="006432BF" w:rsidRDefault="006432BF" w:rsidP="00F01EF6">
            <w:r>
              <w:t>-Centrex</w:t>
            </w:r>
          </w:p>
          <w:p w:rsidR="006432BF" w:rsidRDefault="006432BF" w:rsidP="00F01EF6">
            <w:r>
              <w:t>-Circuit capacity dedicated to providing voice service</w:t>
            </w:r>
          </w:p>
          <w:p w:rsidR="006432BF" w:rsidRDefault="006432BF" w:rsidP="00F01EF6">
            <w:r>
              <w:t>-Interconnected voice over Internet protocol (VoIP)</w:t>
            </w:r>
          </w:p>
          <w:p w:rsidR="006432BF" w:rsidRDefault="006432BF" w:rsidP="00F01EF6">
            <w:r>
              <w:t xml:space="preserve">-Local, long distance, and 800 service, </w:t>
            </w:r>
            <w:r w:rsidRPr="004E64CC">
              <w:rPr>
                <w:szCs w:val="22"/>
              </w:rPr>
              <w:t xml:space="preserve">e.g., a </w:t>
            </w:r>
            <w:r>
              <w:t xml:space="preserve">toll-free </w:t>
            </w:r>
            <w:r w:rsidRPr="004E64CC">
              <w:rPr>
                <w:szCs w:val="22"/>
              </w:rPr>
              <w:t>telephone number for students to contact school regarding questions about homework</w:t>
            </w:r>
          </w:p>
          <w:p w:rsidR="006432BF" w:rsidRDefault="006432BF" w:rsidP="00F01EF6">
            <w:r>
              <w:t>-Plain old telephone service (POTS)</w:t>
            </w:r>
          </w:p>
          <w:p w:rsidR="006432BF" w:rsidRDefault="006432BF" w:rsidP="00F01EF6">
            <w:r>
              <w:t>-Radio loop</w:t>
            </w:r>
          </w:p>
          <w:p w:rsidR="006432BF" w:rsidRDefault="006432BF" w:rsidP="00F01EF6">
            <w:r>
              <w:t xml:space="preserve">-Satellite telephone service </w:t>
            </w:r>
          </w:p>
          <w:p w:rsidR="006432BF" w:rsidRDefault="006432BF" w:rsidP="00F01EF6">
            <w:r>
              <w:t>-Shared telephone service (only the portion of the shared services relating to the eligible use and location may receive discounts)</w:t>
            </w:r>
          </w:p>
          <w:p w:rsidR="006432BF" w:rsidRDefault="006432BF" w:rsidP="00F01EF6">
            <w:r>
              <w:t>-Wireless telephone service including cellular voice and excluding data and text messaging</w:t>
            </w:r>
          </w:p>
          <w:p w:rsidR="006432BF" w:rsidRPr="00FF77C9" w:rsidRDefault="006432BF" w:rsidP="00F01EF6">
            <w:pPr>
              <w:rPr>
                <w:b/>
                <w:bCs/>
              </w:rPr>
            </w:pPr>
            <w:r>
              <w:t>(Eligible voice services are subject to a phase down of support beginning in funding year 2015, as described in FCC 14-99).</w:t>
            </w:r>
          </w:p>
        </w:tc>
      </w:tr>
    </w:tbl>
    <w:p w:rsidR="006432BF" w:rsidRDefault="006432BF" w:rsidP="00F01EF6">
      <w:pPr>
        <w:rPr>
          <w:bCs/>
          <w:szCs w:val="22"/>
          <w:u w:val="single"/>
        </w:rPr>
      </w:pPr>
    </w:p>
    <w:p w:rsidR="006432BF" w:rsidRPr="00280A90" w:rsidRDefault="006432BF" w:rsidP="00F01EF6">
      <w:pPr>
        <w:rPr>
          <w:b/>
        </w:rPr>
      </w:pPr>
      <w:r w:rsidRPr="00280A90">
        <w:rPr>
          <w:b/>
          <w:bCs/>
          <w:szCs w:val="22"/>
        </w:rPr>
        <w:t xml:space="preserve">Eligibility limitations for certain Category One services: </w:t>
      </w:r>
    </w:p>
    <w:p w:rsidR="006432BF" w:rsidRDefault="006432BF" w:rsidP="00F01EF6">
      <w:pPr>
        <w:pStyle w:val="ListParagraph"/>
        <w:rPr>
          <w:bCs/>
          <w:szCs w:val="22"/>
          <w:u w:val="single"/>
        </w:rPr>
      </w:pPr>
    </w:p>
    <w:p w:rsidR="006432BF" w:rsidRDefault="006432BF" w:rsidP="00F01EF6">
      <w:pPr>
        <w:rPr>
          <w:color w:val="010101"/>
        </w:rPr>
      </w:pPr>
      <w:r w:rsidRPr="00536ED9">
        <w:rPr>
          <w:b/>
        </w:rPr>
        <w:t>Fiber</w:t>
      </w:r>
      <w:r>
        <w:t xml:space="preserve"> – </w:t>
      </w:r>
      <w:r w:rsidRPr="00536ED9">
        <w:rPr>
          <w:bCs/>
        </w:rPr>
        <w:t>E-rate s</w:t>
      </w:r>
      <w:r>
        <w:t>upport</w:t>
      </w:r>
      <w:r w:rsidRPr="00536ED9">
        <w:rPr>
          <w:bCs/>
        </w:rPr>
        <w:t xml:space="preserve"> is available for leased lit and dark</w:t>
      </w:r>
      <w:r w:rsidRPr="00536ED9">
        <w:rPr>
          <w:rFonts w:cs="Verdana"/>
          <w:bCs/>
        </w:rPr>
        <w:t xml:space="preserve"> fiber as described </w:t>
      </w:r>
      <w:r w:rsidRPr="00536ED9">
        <w:rPr>
          <w:color w:val="010101"/>
        </w:rPr>
        <w:t xml:space="preserve">in the </w:t>
      </w:r>
      <w:r w:rsidRPr="00536ED9">
        <w:rPr>
          <w:i/>
          <w:color w:val="010101"/>
        </w:rPr>
        <w:t xml:space="preserve">Schools and Libraries Sixth Report and Order </w:t>
      </w:r>
      <w:r w:rsidRPr="00536ED9">
        <w:rPr>
          <w:color w:val="010101"/>
        </w:rPr>
        <w:t>(FCC 10-175) and the subsequent “Frequently Asked Questions” (DA 10-2356).</w:t>
      </w:r>
    </w:p>
    <w:p w:rsidR="006432BF" w:rsidRDefault="006432BF" w:rsidP="006432BF">
      <w:pPr>
        <w:pStyle w:val="ListParagraph"/>
        <w:numPr>
          <w:ilvl w:val="0"/>
          <w:numId w:val="21"/>
        </w:numPr>
        <w:rPr>
          <w:rFonts w:cs="Verdana"/>
          <w:bCs/>
        </w:rPr>
      </w:pPr>
      <w:r w:rsidRPr="00536ED9">
        <w:rPr>
          <w:b/>
          <w:color w:val="010101"/>
        </w:rPr>
        <w:t xml:space="preserve">Leased Lit Fiber </w:t>
      </w:r>
      <w:r>
        <w:t>–</w:t>
      </w:r>
      <w:r w:rsidRPr="00536ED9">
        <w:rPr>
          <w:color w:val="010101"/>
        </w:rPr>
        <w:t xml:space="preserve"> Monthly charges, special construction and maintenance charges are eligible.  When lit fiber is leased as a Category One service, the modulating electronics can be included as a part of that eligible service.</w:t>
      </w:r>
      <w:r w:rsidRPr="00536ED9">
        <w:rPr>
          <w:rFonts w:cs="Verdana"/>
          <w:bCs/>
        </w:rPr>
        <w:t xml:space="preserve">  </w:t>
      </w:r>
    </w:p>
    <w:p w:rsidR="006432BF" w:rsidRPr="00536ED9" w:rsidRDefault="006432BF" w:rsidP="006432BF">
      <w:pPr>
        <w:pStyle w:val="ListParagraph"/>
        <w:numPr>
          <w:ilvl w:val="0"/>
          <w:numId w:val="21"/>
        </w:numPr>
        <w:rPr>
          <w:rFonts w:cs="Verdana"/>
          <w:bCs/>
        </w:rPr>
      </w:pPr>
      <w:r w:rsidRPr="00536ED9">
        <w:rPr>
          <w:b/>
        </w:rPr>
        <w:t>Leased Dark Fiber</w:t>
      </w:r>
      <w:r>
        <w:t xml:space="preserve"> – Within </w:t>
      </w:r>
      <w:r w:rsidRPr="00714A49">
        <w:t>the eligible entity</w:t>
      </w:r>
      <w:r>
        <w:t>’s</w:t>
      </w:r>
      <w:r w:rsidRPr="00714A49">
        <w:t xml:space="preserve"> p</w:t>
      </w:r>
      <w:r>
        <w:t xml:space="preserve">roperty line, maintenance </w:t>
      </w:r>
      <w:r w:rsidRPr="00714A49">
        <w:t xml:space="preserve">and special construction costs to connect the fiber </w:t>
      </w:r>
      <w:r>
        <w:t xml:space="preserve">to the eligible entity’s facilities </w:t>
      </w:r>
      <w:r w:rsidRPr="00714A49">
        <w:t xml:space="preserve">are eligible.  Beyond the eligible entity’s property line, </w:t>
      </w:r>
      <w:r>
        <w:t xml:space="preserve">special construction charges are not eligible, but </w:t>
      </w:r>
      <w:r w:rsidRPr="00714A49">
        <w:t xml:space="preserve">monthly charges and maintenance provided as a component of leased dark fiber to maintain reliable operation </w:t>
      </w:r>
      <w:r>
        <w:t xml:space="preserve">are </w:t>
      </w:r>
      <w:r w:rsidRPr="00714A49">
        <w:t>eligible.  Re-routing of fiber is considered construction</w:t>
      </w:r>
      <w:r>
        <w:t>,</w:t>
      </w:r>
      <w:r w:rsidRPr="00714A49">
        <w:t xml:space="preserve"> not maintenance.</w:t>
      </w:r>
      <w:r>
        <w:t xml:space="preserve">  </w:t>
      </w:r>
      <w:r w:rsidRPr="00714A49">
        <w:t xml:space="preserve">If other customers are served by the leased dark fiber, </w:t>
      </w:r>
      <w:r>
        <w:t xml:space="preserve">only the pro rata </w:t>
      </w:r>
      <w:r w:rsidRPr="00714A49">
        <w:t xml:space="preserve">costs of maintenance </w:t>
      </w:r>
      <w:r>
        <w:t>incurred by the eligible entity will be eligible for E-rate support.</w:t>
      </w:r>
      <w:r w:rsidRPr="00714A49">
        <w:t xml:space="preserve">  </w:t>
      </w:r>
      <w:r w:rsidRPr="00536ED9">
        <w:rPr>
          <w:bCs/>
        </w:rPr>
        <w:t xml:space="preserve">The purchase and ownership of modulating electronics associated with lighting dark fiber and modulating electronics on applicant-leased dark fiber leaving the </w:t>
      </w:r>
      <w:r>
        <w:t>eligible entity</w:t>
      </w:r>
      <w:r w:rsidRPr="00536ED9">
        <w:rPr>
          <w:bCs/>
        </w:rPr>
        <w:t>’s premises are not eligible.</w:t>
      </w:r>
      <w:r w:rsidRPr="00714A49">
        <w:t xml:space="preserve"> </w:t>
      </w:r>
    </w:p>
    <w:p w:rsidR="006432BF" w:rsidRDefault="006432BF" w:rsidP="006432BF">
      <w:pPr>
        <w:pStyle w:val="ListParagraph"/>
        <w:numPr>
          <w:ilvl w:val="0"/>
          <w:numId w:val="19"/>
        </w:numPr>
      </w:pPr>
      <w:r w:rsidRPr="0031102E">
        <w:rPr>
          <w:b/>
        </w:rPr>
        <w:t>IRUs</w:t>
      </w:r>
      <w:r>
        <w:t xml:space="preserve"> – </w:t>
      </w:r>
      <w:r w:rsidRPr="0031102E">
        <w:t>An</w:t>
      </w:r>
      <w:r w:rsidRPr="00714A49">
        <w:t xml:space="preserve"> Indefeasible Righ</w:t>
      </w:r>
      <w:r>
        <w:t>ts of Use (IRU</w:t>
      </w:r>
      <w:r w:rsidRPr="00714A49">
        <w:t>) purchase arrangement will be considered a lease of dark fiber for E-rate program purposes.  If the IRU contains significant upfront charges, the charges may need to be amortized.</w:t>
      </w:r>
    </w:p>
    <w:p w:rsidR="006432BF" w:rsidRDefault="006432BF" w:rsidP="00F01EF6"/>
    <w:p w:rsidR="006432BF" w:rsidRDefault="006432BF" w:rsidP="00F01EF6">
      <w:r w:rsidRPr="00FF77C9">
        <w:rPr>
          <w:b/>
        </w:rPr>
        <w:t>Internet access</w:t>
      </w:r>
      <w:r>
        <w:t xml:space="preserve"> – Eligible Internet access may include basic firewall protection, domain name service and dynamic host configuration when these features are provided as a standard component of a vendor’s Internet access service.  </w:t>
      </w:r>
      <w:r>
        <w:rPr>
          <w:color w:val="010101"/>
        </w:rPr>
        <w:t xml:space="preserve">Firewall protection may not be provided by a vendor other than the Internet access provider and may not be priced out separately. </w:t>
      </w:r>
      <w:r>
        <w:rPr>
          <w:b/>
          <w:color w:val="010101"/>
        </w:rPr>
        <w:t xml:space="preserve"> </w:t>
      </w:r>
      <w:r>
        <w:t>Examples of items that are ineligible components of Internet access include applications, filtering, content, e-mail, and equipment such as computers, laptops, tablets and all other end-user devices.</w:t>
      </w:r>
    </w:p>
    <w:p w:rsidR="006432BF" w:rsidRDefault="006432BF" w:rsidP="00F01EF6"/>
    <w:p w:rsidR="006432BF" w:rsidRDefault="006432BF" w:rsidP="00F01EF6">
      <w:r w:rsidRPr="00A55E31">
        <w:rPr>
          <w:b/>
        </w:rPr>
        <w:t>Wireless services</w:t>
      </w:r>
      <w:r>
        <w:t xml:space="preserve"> </w:t>
      </w:r>
      <w:r>
        <w:rPr>
          <w:b/>
        </w:rPr>
        <w:t>and wireless Internet access services</w:t>
      </w:r>
      <w:r>
        <w:t xml:space="preserve"> – For clarification, wireless services and wireless Internet access services in Category One do not include managed internal broadband services, such as managed Wi-Fi.  Managed internal broadband services distribute bandwidth wirelessly throughout a school or library building, and as described below, are eligible only for Category Two support.  </w:t>
      </w:r>
    </w:p>
    <w:p w:rsidR="006432BF" w:rsidRDefault="006432BF" w:rsidP="00F01EF6">
      <w:r>
        <w:br w:type="page"/>
      </w:r>
    </w:p>
    <w:p w:rsidR="006432BF" w:rsidRPr="00FF77C9" w:rsidRDefault="006432BF" w:rsidP="00F01EF6">
      <w:pPr>
        <w:contextualSpacing/>
        <w:rPr>
          <w:b/>
        </w:rPr>
      </w:pPr>
      <w:r w:rsidRPr="00FF77C9">
        <w:rPr>
          <w:b/>
          <w:u w:val="single"/>
        </w:rPr>
        <w:t>Category Two</w:t>
      </w:r>
    </w:p>
    <w:p w:rsidR="006432BF" w:rsidRPr="006410C1" w:rsidRDefault="006432BF" w:rsidP="00F01EF6">
      <w:pPr>
        <w:ind w:left="1080"/>
        <w:contextualSpacing/>
      </w:pPr>
    </w:p>
    <w:p w:rsidR="006432BF" w:rsidRPr="00536ED9" w:rsidRDefault="006432BF" w:rsidP="00F01EF6">
      <w:pPr>
        <w:rPr>
          <w:rFonts w:ascii="Verdana" w:hAnsi="Verdana"/>
          <w:bCs/>
          <w:szCs w:val="22"/>
        </w:rPr>
      </w:pPr>
      <w:r>
        <w:t>The second category of equipment and services eligible for E-rate support is Category Two.  C</w:t>
      </w:r>
      <w:r w:rsidRPr="006410C1">
        <w:t xml:space="preserve">ategory </w:t>
      </w:r>
      <w:r>
        <w:t>T</w:t>
      </w:r>
      <w:r w:rsidRPr="006410C1">
        <w:t xml:space="preserve">wo </w:t>
      </w:r>
      <w:r>
        <w:t xml:space="preserve">support is limited </w:t>
      </w:r>
      <w:r w:rsidRPr="006410C1">
        <w:t xml:space="preserve">to the </w:t>
      </w:r>
      <w:r w:rsidRPr="006410C1">
        <w:rPr>
          <w:bCs/>
        </w:rPr>
        <w:t xml:space="preserve">internal </w:t>
      </w:r>
      <w:r w:rsidRPr="006410C1">
        <w:rPr>
          <w:snapToGrid w:val="0"/>
          <w:kern w:val="28"/>
        </w:rPr>
        <w:t xml:space="preserve">connections </w:t>
      </w:r>
      <w:r w:rsidRPr="006410C1">
        <w:t xml:space="preserve">equipment or services necessary to </w:t>
      </w:r>
      <w:r w:rsidRPr="006410C1">
        <w:rPr>
          <w:snapToGrid w:val="0"/>
          <w:kern w:val="28"/>
        </w:rPr>
        <w:t>bring broadband into</w:t>
      </w:r>
      <w:r>
        <w:rPr>
          <w:snapToGrid w:val="0"/>
          <w:kern w:val="28"/>
        </w:rPr>
        <w:t>,</w:t>
      </w:r>
      <w:r w:rsidRPr="006410C1">
        <w:rPr>
          <w:snapToGrid w:val="0"/>
          <w:kern w:val="28"/>
        </w:rPr>
        <w:t xml:space="preserve"> and </w:t>
      </w:r>
      <w:r>
        <w:rPr>
          <w:snapToGrid w:val="0"/>
          <w:kern w:val="28"/>
        </w:rPr>
        <w:t>provide it</w:t>
      </w:r>
      <w:r w:rsidRPr="006410C1">
        <w:rPr>
          <w:snapToGrid w:val="0"/>
          <w:kern w:val="28"/>
        </w:rPr>
        <w:t xml:space="preserve"> throughout</w:t>
      </w:r>
      <w:r>
        <w:rPr>
          <w:snapToGrid w:val="0"/>
          <w:kern w:val="28"/>
        </w:rPr>
        <w:t>,</w:t>
      </w:r>
      <w:r w:rsidRPr="006410C1">
        <w:rPr>
          <w:snapToGrid w:val="0"/>
          <w:kern w:val="28"/>
        </w:rPr>
        <w:t xml:space="preserve"> schools and libraries</w:t>
      </w:r>
      <w:r w:rsidRPr="006410C1">
        <w:t xml:space="preserve">.  Connections are limited to broadband connections used for educational purposes within, between or among instructional buildings that comprise a school campus or library branch, and basic maintenance of these connections, as well as </w:t>
      </w:r>
      <w:r>
        <w:t>s</w:t>
      </w:r>
      <w:r>
        <w:rPr>
          <w:snapToGrid w:val="0"/>
          <w:kern w:val="28"/>
        </w:rPr>
        <w:t xml:space="preserve">ervices that manage and operate owned or leased </w:t>
      </w:r>
      <w:r w:rsidRPr="006410C1">
        <w:rPr>
          <w:snapToGrid w:val="0"/>
          <w:kern w:val="28"/>
        </w:rPr>
        <w:t>broadband</w:t>
      </w:r>
      <w:r>
        <w:rPr>
          <w:snapToGrid w:val="0"/>
          <w:kern w:val="28"/>
        </w:rPr>
        <w:t xml:space="preserve"> internal connections</w:t>
      </w:r>
      <w:r w:rsidRPr="006410C1">
        <w:rPr>
          <w:snapToGrid w:val="0"/>
          <w:kern w:val="28"/>
        </w:rPr>
        <w:t xml:space="preserve"> (</w:t>
      </w:r>
      <w:r w:rsidRPr="00A37877">
        <w:rPr>
          <w:snapToGrid w:val="0"/>
          <w:kern w:val="28"/>
        </w:rPr>
        <w:t>e.g.</w:t>
      </w:r>
      <w:r>
        <w:rPr>
          <w:snapToGrid w:val="0"/>
          <w:kern w:val="28"/>
        </w:rPr>
        <w:t>,</w:t>
      </w:r>
      <w:r w:rsidRPr="006410C1">
        <w:rPr>
          <w:i/>
          <w:snapToGrid w:val="0"/>
          <w:kern w:val="28"/>
        </w:rPr>
        <w:t xml:space="preserve"> </w:t>
      </w:r>
      <w:r>
        <w:rPr>
          <w:snapToGrid w:val="0"/>
          <w:kern w:val="28"/>
        </w:rPr>
        <w:t xml:space="preserve">managed internal broadband services or managed </w:t>
      </w:r>
      <w:r w:rsidRPr="006410C1">
        <w:rPr>
          <w:snapToGrid w:val="0"/>
          <w:kern w:val="28"/>
        </w:rPr>
        <w:t xml:space="preserve">Wi-Fi).  </w:t>
      </w:r>
      <w:r w:rsidRPr="006410C1">
        <w:rPr>
          <w:szCs w:val="22"/>
        </w:rPr>
        <w:t xml:space="preserve">Support for components and services in this category </w:t>
      </w:r>
      <w:r>
        <w:rPr>
          <w:szCs w:val="22"/>
        </w:rPr>
        <w:t xml:space="preserve">are subject to the funding, budgetary, and other requirements and limitations set forth in the </w:t>
      </w:r>
      <w:r>
        <w:rPr>
          <w:i/>
          <w:szCs w:val="22"/>
        </w:rPr>
        <w:t xml:space="preserve">E-rate Modernization Order </w:t>
      </w:r>
      <w:r>
        <w:rPr>
          <w:szCs w:val="22"/>
        </w:rPr>
        <w:t xml:space="preserve">(FCC 14-99) and </w:t>
      </w:r>
      <w:r w:rsidRPr="006410C1">
        <w:rPr>
          <w:szCs w:val="22"/>
        </w:rPr>
        <w:t>the Commission’s rules.</w:t>
      </w:r>
      <w:r>
        <w:rPr>
          <w:rFonts w:ascii="Verdana" w:hAnsi="Verdana"/>
          <w:bCs/>
          <w:szCs w:val="22"/>
        </w:rPr>
        <w:t xml:space="preserve">  </w:t>
      </w:r>
      <w:r w:rsidRPr="006410C1">
        <w:rPr>
          <w:szCs w:val="22"/>
        </w:rPr>
        <w:t xml:space="preserve">The </w:t>
      </w:r>
      <w:r>
        <w:rPr>
          <w:szCs w:val="22"/>
        </w:rPr>
        <w:t>eligible components and services</w:t>
      </w:r>
      <w:r w:rsidRPr="006410C1">
        <w:rPr>
          <w:szCs w:val="22"/>
        </w:rPr>
        <w:t xml:space="preserve"> in this category are:</w:t>
      </w:r>
    </w:p>
    <w:p w:rsidR="006432BF" w:rsidRDefault="006432BF" w:rsidP="00F01EF6">
      <w:pPr>
        <w:ind w:left="720"/>
        <w:rPr>
          <w:szCs w:val="22"/>
        </w:rPr>
      </w:pPr>
    </w:p>
    <w:tbl>
      <w:tblPr>
        <w:tblStyle w:val="TableGrid"/>
        <w:tblW w:w="0" w:type="auto"/>
        <w:tblInd w:w="795" w:type="dxa"/>
        <w:tblLook w:val="04A0" w:firstRow="1" w:lastRow="0" w:firstColumn="1" w:lastColumn="0" w:noHBand="0" w:noVBand="1"/>
      </w:tblPr>
      <w:tblGrid>
        <w:gridCol w:w="5868"/>
      </w:tblGrid>
      <w:tr w:rsidR="006432BF" w:rsidTr="00F01EF6">
        <w:tc>
          <w:tcPr>
            <w:tcW w:w="5868" w:type="dxa"/>
          </w:tcPr>
          <w:p w:rsidR="006432BF" w:rsidRDefault="006432BF" w:rsidP="00F01EF6">
            <w:pPr>
              <w:rPr>
                <w:b/>
                <w:szCs w:val="22"/>
              </w:rPr>
            </w:pPr>
          </w:p>
          <w:p w:rsidR="006432BF" w:rsidRDefault="006432BF" w:rsidP="00F01EF6">
            <w:pPr>
              <w:rPr>
                <w:b/>
                <w:szCs w:val="22"/>
              </w:rPr>
            </w:pPr>
            <w:r>
              <w:rPr>
                <w:b/>
                <w:szCs w:val="22"/>
              </w:rPr>
              <w:t>Eligible Broadband Internal Connections Components</w:t>
            </w:r>
          </w:p>
          <w:p w:rsidR="006432BF" w:rsidRPr="006410C1" w:rsidRDefault="006432BF" w:rsidP="00F01EF6">
            <w:pPr>
              <w:rPr>
                <w:rFonts w:ascii="Verdana" w:hAnsi="Verdana"/>
                <w:bCs/>
                <w:szCs w:val="22"/>
              </w:rPr>
            </w:pPr>
            <w:r>
              <w:rPr>
                <w:szCs w:val="22"/>
              </w:rPr>
              <w:t>-</w:t>
            </w:r>
            <w:r w:rsidRPr="006410C1">
              <w:rPr>
                <w:szCs w:val="22"/>
              </w:rPr>
              <w:t>Access points used in a local area network (LAN) or wireless local area network (WLAN) environment</w:t>
            </w:r>
          </w:p>
          <w:p w:rsidR="006432BF" w:rsidRDefault="006432BF" w:rsidP="00F01EF6">
            <w:pPr>
              <w:rPr>
                <w:szCs w:val="22"/>
              </w:rPr>
            </w:pPr>
            <w:r>
              <w:rPr>
                <w:szCs w:val="22"/>
              </w:rPr>
              <w:t>-</w:t>
            </w:r>
            <w:r w:rsidRPr="006410C1">
              <w:rPr>
                <w:szCs w:val="22"/>
              </w:rPr>
              <w:t xml:space="preserve">Cabling, connectors, and related components </w:t>
            </w:r>
            <w:r>
              <w:rPr>
                <w:szCs w:val="22"/>
              </w:rPr>
              <w:t>used for internal broadband connections</w:t>
            </w:r>
          </w:p>
          <w:p w:rsidR="006432BF" w:rsidRPr="006410C1" w:rsidRDefault="006432BF" w:rsidP="00F01EF6">
            <w:pPr>
              <w:rPr>
                <w:rFonts w:ascii="Verdana" w:hAnsi="Verdana"/>
                <w:bCs/>
                <w:szCs w:val="22"/>
              </w:rPr>
            </w:pPr>
            <w:r>
              <w:rPr>
                <w:szCs w:val="22"/>
              </w:rPr>
              <w:t xml:space="preserve">-Caching </w:t>
            </w:r>
          </w:p>
          <w:p w:rsidR="006432BF" w:rsidRPr="00DD6BF2" w:rsidRDefault="006432BF" w:rsidP="00F01EF6">
            <w:pPr>
              <w:rPr>
                <w:rFonts w:ascii="Verdana" w:hAnsi="Verdana"/>
                <w:bCs/>
                <w:szCs w:val="22"/>
              </w:rPr>
            </w:pPr>
            <w:r>
              <w:rPr>
                <w:szCs w:val="22"/>
              </w:rPr>
              <w:t>-</w:t>
            </w:r>
            <w:r w:rsidRPr="006410C1">
              <w:rPr>
                <w:szCs w:val="22"/>
              </w:rPr>
              <w:t>Firewalls used to ensure the continued operation of eligible equipment by protecting equipment from security hazards</w:t>
            </w:r>
          </w:p>
          <w:p w:rsidR="006432BF" w:rsidRPr="006410C1" w:rsidRDefault="006432BF" w:rsidP="00F01EF6">
            <w:pPr>
              <w:rPr>
                <w:rFonts w:ascii="Verdana" w:hAnsi="Verdana"/>
                <w:bCs/>
                <w:szCs w:val="22"/>
              </w:rPr>
            </w:pPr>
            <w:r>
              <w:rPr>
                <w:szCs w:val="22"/>
              </w:rPr>
              <w:t>-</w:t>
            </w:r>
            <w:r w:rsidRPr="006410C1">
              <w:rPr>
                <w:szCs w:val="22"/>
              </w:rPr>
              <w:t>Network switches</w:t>
            </w:r>
          </w:p>
          <w:p w:rsidR="006432BF" w:rsidRPr="005D7B3D" w:rsidRDefault="006432BF" w:rsidP="00F01EF6">
            <w:pPr>
              <w:rPr>
                <w:rFonts w:ascii="Verdana" w:hAnsi="Verdana"/>
                <w:bCs/>
                <w:szCs w:val="22"/>
              </w:rPr>
            </w:pPr>
            <w:r>
              <w:rPr>
                <w:szCs w:val="22"/>
              </w:rPr>
              <w:t>-</w:t>
            </w:r>
            <w:r w:rsidRPr="006410C1">
              <w:rPr>
                <w:szCs w:val="22"/>
              </w:rPr>
              <w:t>Routers</w:t>
            </w:r>
          </w:p>
          <w:p w:rsidR="006432BF" w:rsidRPr="004E1463" w:rsidRDefault="006432BF" w:rsidP="00F01EF6">
            <w:pPr>
              <w:rPr>
                <w:rFonts w:ascii="Verdana" w:hAnsi="Verdana"/>
                <w:bCs/>
                <w:szCs w:val="22"/>
              </w:rPr>
            </w:pPr>
            <w:r>
              <w:rPr>
                <w:szCs w:val="22"/>
              </w:rPr>
              <w:t>-Racks that support eligible internal connections c</w:t>
            </w:r>
            <w:r w:rsidRPr="00DD4EB9">
              <w:rPr>
                <w:szCs w:val="22"/>
              </w:rPr>
              <w:t>omponents</w:t>
            </w:r>
          </w:p>
          <w:p w:rsidR="006432BF" w:rsidRPr="004E1463" w:rsidRDefault="006432BF" w:rsidP="00F01EF6">
            <w:pPr>
              <w:rPr>
                <w:rFonts w:ascii="Verdana" w:hAnsi="Verdana"/>
                <w:bCs/>
                <w:szCs w:val="22"/>
              </w:rPr>
            </w:pPr>
            <w:r>
              <w:rPr>
                <w:szCs w:val="22"/>
              </w:rPr>
              <w:t>-</w:t>
            </w:r>
            <w:r w:rsidRPr="00DD4EB9">
              <w:rPr>
                <w:szCs w:val="22"/>
              </w:rPr>
              <w:t>Uninterruptible Power Supply (UPS)/Battery Backup necessary for basic power protection</w:t>
            </w:r>
            <w:r w:rsidRPr="00265BD9">
              <w:rPr>
                <w:szCs w:val="22"/>
              </w:rPr>
              <w:t xml:space="preserve"> </w:t>
            </w:r>
            <w:r>
              <w:rPr>
                <w:szCs w:val="22"/>
              </w:rPr>
              <w:t xml:space="preserve">for </w:t>
            </w:r>
            <w:r w:rsidRPr="00DD4EB9">
              <w:rPr>
                <w:szCs w:val="22"/>
              </w:rPr>
              <w:t>eligible equipment</w:t>
            </w:r>
          </w:p>
          <w:p w:rsidR="006432BF" w:rsidRPr="006410C1" w:rsidRDefault="006432BF" w:rsidP="00F01EF6">
            <w:pPr>
              <w:rPr>
                <w:rFonts w:ascii="Verdana" w:hAnsi="Verdana"/>
                <w:bCs/>
                <w:szCs w:val="22"/>
              </w:rPr>
            </w:pPr>
            <w:r>
              <w:rPr>
                <w:szCs w:val="22"/>
              </w:rPr>
              <w:t>-</w:t>
            </w:r>
            <w:r w:rsidRPr="006410C1">
              <w:rPr>
                <w:szCs w:val="22"/>
              </w:rPr>
              <w:t>Wireless LAN Controllers</w:t>
            </w:r>
          </w:p>
          <w:p w:rsidR="006432BF" w:rsidRPr="006410C1" w:rsidRDefault="006432BF" w:rsidP="00F01EF6">
            <w:pPr>
              <w:rPr>
                <w:rFonts w:ascii="Verdana" w:hAnsi="Verdana"/>
                <w:bCs/>
                <w:szCs w:val="22"/>
              </w:rPr>
            </w:pPr>
            <w:r>
              <w:rPr>
                <w:szCs w:val="22"/>
              </w:rPr>
              <w:t>-</w:t>
            </w:r>
            <w:r w:rsidRPr="006410C1">
              <w:rPr>
                <w:szCs w:val="22"/>
              </w:rPr>
              <w:t xml:space="preserve">Software necessary to support this list of </w:t>
            </w:r>
            <w:r>
              <w:rPr>
                <w:szCs w:val="22"/>
              </w:rPr>
              <w:t>e</w:t>
            </w:r>
            <w:r w:rsidRPr="00DD372F">
              <w:rPr>
                <w:szCs w:val="22"/>
              </w:rPr>
              <w:t xml:space="preserve">ligible </w:t>
            </w:r>
            <w:r>
              <w:rPr>
                <w:szCs w:val="22"/>
              </w:rPr>
              <w:t>b</w:t>
            </w:r>
            <w:r w:rsidRPr="005B7BCD">
              <w:rPr>
                <w:szCs w:val="22"/>
              </w:rPr>
              <w:t xml:space="preserve">roadband </w:t>
            </w:r>
            <w:r>
              <w:rPr>
                <w:szCs w:val="22"/>
              </w:rPr>
              <w:t>i</w:t>
            </w:r>
            <w:r w:rsidRPr="005B7BCD">
              <w:rPr>
                <w:szCs w:val="22"/>
              </w:rPr>
              <w:t xml:space="preserve">nternal </w:t>
            </w:r>
            <w:r>
              <w:rPr>
                <w:szCs w:val="22"/>
              </w:rPr>
              <w:t>c</w:t>
            </w:r>
            <w:r w:rsidRPr="005B7BCD">
              <w:rPr>
                <w:szCs w:val="22"/>
              </w:rPr>
              <w:t xml:space="preserve">onnections </w:t>
            </w:r>
            <w:r w:rsidRPr="006410C1">
              <w:rPr>
                <w:szCs w:val="22"/>
              </w:rPr>
              <w:t>components, including Client Access Licenses</w:t>
            </w:r>
            <w:r w:rsidRPr="006410C1">
              <w:rPr>
                <w:bCs/>
                <w:szCs w:val="22"/>
              </w:rPr>
              <w:t xml:space="preserve"> for LAN/WLAN networks</w:t>
            </w:r>
          </w:p>
          <w:p w:rsidR="006432BF" w:rsidRDefault="006432BF" w:rsidP="00F01EF6">
            <w:pPr>
              <w:rPr>
                <w:bCs/>
                <w:szCs w:val="22"/>
              </w:rPr>
            </w:pPr>
            <w:r>
              <w:rPr>
                <w:bCs/>
                <w:szCs w:val="22"/>
              </w:rPr>
              <w:t>-I</w:t>
            </w:r>
            <w:r w:rsidRPr="006410C1">
              <w:rPr>
                <w:bCs/>
                <w:szCs w:val="22"/>
              </w:rPr>
              <w:t>mprovements and upgrades</w:t>
            </w:r>
            <w:r>
              <w:rPr>
                <w:bCs/>
                <w:szCs w:val="22"/>
              </w:rPr>
              <w:t xml:space="preserve"> to components on this list of </w:t>
            </w:r>
            <w:r>
              <w:rPr>
                <w:szCs w:val="22"/>
              </w:rPr>
              <w:t>e</w:t>
            </w:r>
            <w:r w:rsidRPr="00541694">
              <w:rPr>
                <w:szCs w:val="22"/>
              </w:rPr>
              <w:t xml:space="preserve">ligible </w:t>
            </w:r>
            <w:r>
              <w:rPr>
                <w:szCs w:val="22"/>
              </w:rPr>
              <w:t>b</w:t>
            </w:r>
            <w:r w:rsidRPr="005B7BCD">
              <w:rPr>
                <w:szCs w:val="22"/>
              </w:rPr>
              <w:t xml:space="preserve">roadband </w:t>
            </w:r>
            <w:r>
              <w:rPr>
                <w:szCs w:val="22"/>
              </w:rPr>
              <w:t>i</w:t>
            </w:r>
            <w:r w:rsidRPr="005B7BCD">
              <w:rPr>
                <w:szCs w:val="22"/>
              </w:rPr>
              <w:t xml:space="preserve">nternal </w:t>
            </w:r>
            <w:r>
              <w:rPr>
                <w:szCs w:val="22"/>
              </w:rPr>
              <w:t>c</w:t>
            </w:r>
            <w:r w:rsidRPr="005B7BCD">
              <w:rPr>
                <w:szCs w:val="22"/>
              </w:rPr>
              <w:t xml:space="preserve">onnections </w:t>
            </w:r>
          </w:p>
          <w:p w:rsidR="006432BF" w:rsidRDefault="006432BF" w:rsidP="00F01EF6">
            <w:pPr>
              <w:rPr>
                <w:bCs/>
                <w:szCs w:val="22"/>
              </w:rPr>
            </w:pPr>
          </w:p>
          <w:p w:rsidR="006432BF" w:rsidRPr="006410C1" w:rsidRDefault="006432BF" w:rsidP="00F01EF6">
            <w:pPr>
              <w:rPr>
                <w:szCs w:val="22"/>
              </w:rPr>
            </w:pPr>
            <w:r w:rsidRPr="006410C1">
              <w:rPr>
                <w:i/>
                <w:szCs w:val="22"/>
              </w:rPr>
              <w:t>Notes</w:t>
            </w:r>
            <w:r w:rsidRPr="006410C1">
              <w:rPr>
                <w:szCs w:val="22"/>
              </w:rPr>
              <w:t xml:space="preserve">: </w:t>
            </w:r>
            <w:r w:rsidRPr="006410C1">
              <w:rPr>
                <w:szCs w:val="22"/>
              </w:rPr>
              <w:tab/>
              <w:t xml:space="preserve">(1) Functionalities listed above that can be virtualized, and equipment that combines </w:t>
            </w:r>
            <w:r>
              <w:rPr>
                <w:szCs w:val="22"/>
              </w:rPr>
              <w:t xml:space="preserve">eligible </w:t>
            </w:r>
            <w:r w:rsidRPr="006410C1">
              <w:rPr>
                <w:szCs w:val="22"/>
              </w:rPr>
              <w:t>functionalit</w:t>
            </w:r>
            <w:r>
              <w:rPr>
                <w:szCs w:val="22"/>
              </w:rPr>
              <w:t>ies</w:t>
            </w:r>
            <w:r w:rsidRPr="006410C1">
              <w:rPr>
                <w:szCs w:val="22"/>
              </w:rPr>
              <w:t>, like routing and switching, are also eligible.</w:t>
            </w:r>
          </w:p>
          <w:p w:rsidR="006432BF" w:rsidRPr="00FF77C9" w:rsidRDefault="006432BF" w:rsidP="00F01EF6">
            <w:pPr>
              <w:rPr>
                <w:b/>
                <w:szCs w:val="22"/>
              </w:rPr>
            </w:pPr>
            <w:r w:rsidRPr="006410C1">
              <w:rPr>
                <w:szCs w:val="22"/>
              </w:rPr>
              <w:t xml:space="preserve">(2) </w:t>
            </w:r>
            <w:r w:rsidRPr="006410C1">
              <w:rPr>
                <w:bCs/>
                <w:szCs w:val="22"/>
              </w:rPr>
              <w:t>A manufacturer’s multi-year warranty for a period up to three years and provided as an integral part of an eligible component, without a s</w:t>
            </w:r>
            <w:r>
              <w:rPr>
                <w:bCs/>
                <w:szCs w:val="22"/>
              </w:rPr>
              <w:t>eparately identifiable cost, may</w:t>
            </w:r>
            <w:r w:rsidRPr="006410C1">
              <w:rPr>
                <w:bCs/>
                <w:szCs w:val="22"/>
              </w:rPr>
              <w:t xml:space="preserve"> be incl</w:t>
            </w:r>
            <w:r w:rsidRPr="006410C1">
              <w:rPr>
                <w:szCs w:val="22"/>
              </w:rPr>
              <w:t>uded in the cost of the component.</w:t>
            </w:r>
          </w:p>
        </w:tc>
      </w:tr>
    </w:tbl>
    <w:p w:rsidR="006432BF" w:rsidRDefault="006432BF" w:rsidP="00F01EF6">
      <w:pPr>
        <w:rPr>
          <w:szCs w:val="22"/>
        </w:rPr>
      </w:pPr>
    </w:p>
    <w:p w:rsidR="006432BF" w:rsidRPr="006410C1" w:rsidRDefault="006432BF" w:rsidP="00F01EF6">
      <w:pPr>
        <w:contextualSpacing/>
        <w:rPr>
          <w:rFonts w:ascii="Verdana" w:hAnsi="Verdana"/>
          <w:bCs/>
          <w:szCs w:val="22"/>
        </w:rPr>
      </w:pPr>
      <w:r w:rsidRPr="00F07B08">
        <w:rPr>
          <w:b/>
          <w:bCs/>
          <w:szCs w:val="22"/>
        </w:rPr>
        <w:t>Eligibility limitations for broadband internal connections</w:t>
      </w:r>
      <w:r>
        <w:rPr>
          <w:bCs/>
          <w:szCs w:val="22"/>
        </w:rPr>
        <w:t xml:space="preserve"> -</w:t>
      </w:r>
      <w:r w:rsidRPr="006410C1">
        <w:rPr>
          <w:bCs/>
          <w:szCs w:val="22"/>
        </w:rPr>
        <w:t xml:space="preserve"> </w:t>
      </w:r>
      <w:r w:rsidRPr="006410C1">
        <w:rPr>
          <w:szCs w:val="22"/>
        </w:rPr>
        <w:t>When eligible components have modules or features that are not eligible, (</w:t>
      </w:r>
      <w:r w:rsidRPr="00A37877">
        <w:rPr>
          <w:szCs w:val="22"/>
        </w:rPr>
        <w:t>e.g</w:t>
      </w:r>
      <w:r w:rsidRPr="006410C1">
        <w:rPr>
          <w:i/>
          <w:szCs w:val="22"/>
        </w:rPr>
        <w:t>.</w:t>
      </w:r>
      <w:r w:rsidRPr="006410C1">
        <w:rPr>
          <w:szCs w:val="22"/>
        </w:rPr>
        <w:t xml:space="preserve">, content filtering), the cost of the ineligible </w:t>
      </w:r>
      <w:r>
        <w:rPr>
          <w:szCs w:val="22"/>
        </w:rPr>
        <w:t xml:space="preserve">feature </w:t>
      </w:r>
      <w:r w:rsidRPr="006410C1">
        <w:rPr>
          <w:szCs w:val="22"/>
        </w:rPr>
        <w:t xml:space="preserve">must be subtracted from the amount eligible for </w:t>
      </w:r>
      <w:r>
        <w:rPr>
          <w:szCs w:val="22"/>
        </w:rPr>
        <w:t>E-rate support</w:t>
      </w:r>
      <w:r w:rsidRPr="006410C1">
        <w:rPr>
          <w:szCs w:val="22"/>
        </w:rPr>
        <w:t>.  Similarly, if eligible components are used for both eligible and ineligible purposes, the cost of the ineligible portion of use must be cost allocated.</w:t>
      </w:r>
    </w:p>
    <w:p w:rsidR="006432BF" w:rsidRDefault="006432BF" w:rsidP="00F01EF6">
      <w:pPr>
        <w:rPr>
          <w:szCs w:val="22"/>
        </w:rPr>
      </w:pPr>
      <w:r>
        <w:rPr>
          <w:szCs w:val="22"/>
        </w:rPr>
        <w:tab/>
      </w:r>
    </w:p>
    <w:p w:rsidR="006432BF" w:rsidRDefault="006432BF">
      <w:pPr>
        <w:rPr>
          <w:szCs w:val="22"/>
        </w:rPr>
      </w:pPr>
      <w:r>
        <w:rPr>
          <w:szCs w:val="22"/>
        </w:rPr>
        <w:br w:type="page"/>
      </w:r>
    </w:p>
    <w:p w:rsidR="006432BF" w:rsidRPr="006410C1" w:rsidRDefault="006432BF" w:rsidP="00F01EF6">
      <w:pPr>
        <w:ind w:left="360"/>
        <w:rPr>
          <w:rFonts w:eastAsia="Calibri"/>
          <w:szCs w:val="22"/>
        </w:rPr>
      </w:pPr>
    </w:p>
    <w:tbl>
      <w:tblPr>
        <w:tblStyle w:val="TableGrid"/>
        <w:tblW w:w="0" w:type="auto"/>
        <w:tblInd w:w="770" w:type="dxa"/>
        <w:tblLook w:val="04A0" w:firstRow="1" w:lastRow="0" w:firstColumn="1" w:lastColumn="0" w:noHBand="0" w:noVBand="1"/>
      </w:tblPr>
      <w:tblGrid>
        <w:gridCol w:w="5958"/>
      </w:tblGrid>
      <w:tr w:rsidR="006432BF" w:rsidTr="00907E32">
        <w:tc>
          <w:tcPr>
            <w:tcW w:w="5958" w:type="dxa"/>
          </w:tcPr>
          <w:p w:rsidR="006432BF" w:rsidRDefault="006432BF" w:rsidP="00F01EF6">
            <w:pPr>
              <w:rPr>
                <w:b/>
                <w:snapToGrid w:val="0"/>
                <w:kern w:val="28"/>
              </w:rPr>
            </w:pPr>
          </w:p>
          <w:p w:rsidR="006432BF" w:rsidRDefault="006432BF" w:rsidP="00F01EF6">
            <w:pPr>
              <w:rPr>
                <w:b/>
                <w:snapToGrid w:val="0"/>
                <w:kern w:val="28"/>
              </w:rPr>
            </w:pPr>
            <w:r>
              <w:rPr>
                <w:b/>
                <w:snapToGrid w:val="0"/>
                <w:kern w:val="28"/>
              </w:rPr>
              <w:t xml:space="preserve">Eligible </w:t>
            </w:r>
            <w:r w:rsidRPr="00536ED9">
              <w:rPr>
                <w:b/>
                <w:snapToGrid w:val="0"/>
                <w:kern w:val="28"/>
              </w:rPr>
              <w:t xml:space="preserve">Managed Internal Broadband Services </w:t>
            </w:r>
            <w:r>
              <w:rPr>
                <w:snapToGrid w:val="0"/>
                <w:kern w:val="28"/>
              </w:rPr>
              <w:t>(e.g., managed Wi-Fi)</w:t>
            </w:r>
          </w:p>
          <w:p w:rsidR="006432BF" w:rsidRDefault="006432BF" w:rsidP="00F01EF6">
            <w:pPr>
              <w:rPr>
                <w:snapToGrid w:val="0"/>
                <w:kern w:val="28"/>
              </w:rPr>
            </w:pPr>
            <w:r>
              <w:rPr>
                <w:snapToGrid w:val="0"/>
                <w:kern w:val="28"/>
              </w:rPr>
              <w:t>-Services provided by a third party for the operation, management, and/or monitoring of eligible broadband internal connections components.</w:t>
            </w:r>
          </w:p>
          <w:p w:rsidR="006432BF" w:rsidRDefault="006432BF" w:rsidP="00F01EF6">
            <w:r>
              <w:rPr>
                <w:snapToGrid w:val="0"/>
                <w:kern w:val="28"/>
              </w:rPr>
              <w:t xml:space="preserve">For example, managed internal broadband services may include </w:t>
            </w:r>
            <w:r w:rsidRPr="006410C1">
              <w:rPr>
                <w:snapToGrid w:val="0"/>
                <w:kern w:val="28"/>
              </w:rPr>
              <w:t>services necessary to manage and repair the LAN/WLAN network, such as d</w:t>
            </w:r>
            <w:r w:rsidRPr="006410C1">
              <w:t xml:space="preserve">iagnostic services, 24-hour network </w:t>
            </w:r>
            <w:r>
              <w:t>monitoring, or helpdesk support</w:t>
            </w:r>
            <w:r w:rsidRPr="006410C1">
              <w:t xml:space="preserve">.  </w:t>
            </w:r>
          </w:p>
          <w:p w:rsidR="006432BF" w:rsidRDefault="006432BF" w:rsidP="00F01EF6"/>
          <w:p w:rsidR="006432BF" w:rsidRPr="00280A90" w:rsidRDefault="006432BF" w:rsidP="00F01EF6">
            <w:pPr>
              <w:rPr>
                <w:snapToGrid w:val="0"/>
                <w:kern w:val="28"/>
              </w:rPr>
            </w:pPr>
            <w:r>
              <w:rPr>
                <w:snapToGrid w:val="0"/>
                <w:kern w:val="28"/>
                <w:szCs w:val="22"/>
              </w:rPr>
              <w:t>-</w:t>
            </w:r>
            <w:r w:rsidRPr="0006033C">
              <w:rPr>
                <w:snapToGrid w:val="0"/>
                <w:kern w:val="28"/>
                <w:szCs w:val="22"/>
              </w:rPr>
              <w:t xml:space="preserve">In some managed services models, the third party manager owns and installs the equipment and school and library applicants lease the equipment as part of the managed services contract.  </w:t>
            </w:r>
            <w:r w:rsidRPr="00FC624D">
              <w:t>In other cases, the school or library may own the equipment, but have a third party manage it for them.</w:t>
            </w:r>
          </w:p>
        </w:tc>
      </w:tr>
    </w:tbl>
    <w:p w:rsidR="006432BF" w:rsidRPr="006410C1" w:rsidRDefault="006432BF" w:rsidP="00F01EF6">
      <w:pPr>
        <w:rPr>
          <w:szCs w:val="22"/>
          <w:u w:val="single"/>
        </w:rPr>
      </w:pPr>
    </w:p>
    <w:p w:rsidR="006432BF" w:rsidRPr="001710A1" w:rsidRDefault="006432BF" w:rsidP="00F01EF6">
      <w:pPr>
        <w:rPr>
          <w:rFonts w:ascii="Verdana" w:hAnsi="Verdana"/>
          <w:bCs/>
          <w:szCs w:val="22"/>
        </w:rPr>
      </w:pPr>
      <w:r w:rsidRPr="00280A90">
        <w:rPr>
          <w:b/>
          <w:bCs/>
          <w:szCs w:val="22"/>
        </w:rPr>
        <w:t xml:space="preserve">Eligibility limitations for managed </w:t>
      </w:r>
      <w:r>
        <w:rPr>
          <w:b/>
          <w:bCs/>
          <w:szCs w:val="22"/>
        </w:rPr>
        <w:t xml:space="preserve">internal broadband </w:t>
      </w:r>
      <w:r w:rsidRPr="00280A90">
        <w:rPr>
          <w:b/>
          <w:bCs/>
          <w:szCs w:val="22"/>
        </w:rPr>
        <w:t>services</w:t>
      </w:r>
      <w:r w:rsidRPr="001710A1">
        <w:rPr>
          <w:bCs/>
          <w:szCs w:val="22"/>
        </w:rPr>
        <w:t xml:space="preserve"> - </w:t>
      </w:r>
      <w:r w:rsidRPr="001710A1">
        <w:rPr>
          <w:snapToGrid w:val="0"/>
          <w:kern w:val="28"/>
          <w:szCs w:val="22"/>
        </w:rPr>
        <w:t xml:space="preserve">The equipment eligible for support as part of a managed </w:t>
      </w:r>
      <w:r>
        <w:rPr>
          <w:snapToGrid w:val="0"/>
          <w:kern w:val="28"/>
          <w:szCs w:val="22"/>
        </w:rPr>
        <w:t xml:space="preserve">internal broadband </w:t>
      </w:r>
      <w:r w:rsidRPr="001710A1">
        <w:rPr>
          <w:snapToGrid w:val="0"/>
          <w:kern w:val="28"/>
          <w:szCs w:val="22"/>
        </w:rPr>
        <w:t xml:space="preserve">service may include only </w:t>
      </w:r>
      <w:r>
        <w:rPr>
          <w:snapToGrid w:val="0"/>
          <w:kern w:val="28"/>
          <w:szCs w:val="22"/>
        </w:rPr>
        <w:t xml:space="preserve">equipment </w:t>
      </w:r>
      <w:r w:rsidRPr="001710A1">
        <w:rPr>
          <w:snapToGrid w:val="0"/>
          <w:kern w:val="28"/>
          <w:szCs w:val="22"/>
        </w:rPr>
        <w:t>listed as a broadband internal connections component above.</w:t>
      </w:r>
      <w:r w:rsidRPr="001710A1">
        <w:rPr>
          <w:szCs w:val="22"/>
        </w:rPr>
        <w:t xml:space="preserve">  </w:t>
      </w:r>
      <w:r w:rsidR="006E2CDC">
        <w:rPr>
          <w:szCs w:val="22"/>
        </w:rPr>
        <w:t>Upfront charges that are part of a</w:t>
      </w:r>
      <w:r w:rsidR="003B3CBA">
        <w:rPr>
          <w:szCs w:val="22"/>
        </w:rPr>
        <w:t xml:space="preserve"> </w:t>
      </w:r>
      <w:r w:rsidRPr="001710A1">
        <w:rPr>
          <w:szCs w:val="22"/>
        </w:rPr>
        <w:t>managed service</w:t>
      </w:r>
      <w:r w:rsidR="006E2CDC">
        <w:rPr>
          <w:szCs w:val="22"/>
        </w:rPr>
        <w:t xml:space="preserve"> contract</w:t>
      </w:r>
      <w:r w:rsidRPr="001710A1">
        <w:rPr>
          <w:szCs w:val="22"/>
        </w:rPr>
        <w:t xml:space="preserve"> are </w:t>
      </w:r>
      <w:r>
        <w:rPr>
          <w:szCs w:val="22"/>
        </w:rPr>
        <w:t>eligible for E-rate support</w:t>
      </w:r>
      <w:r w:rsidRPr="001710A1">
        <w:rPr>
          <w:szCs w:val="22"/>
        </w:rPr>
        <w:t xml:space="preserve"> except </w:t>
      </w:r>
      <w:r w:rsidR="006E2CDC">
        <w:rPr>
          <w:szCs w:val="22"/>
        </w:rPr>
        <w:t xml:space="preserve">to the extent that the upfront charges are </w:t>
      </w:r>
      <w:r w:rsidRPr="001710A1">
        <w:rPr>
          <w:szCs w:val="22"/>
        </w:rPr>
        <w:t>for any ineligible internal connections components</w:t>
      </w:r>
      <w:r w:rsidR="006E2CDC">
        <w:rPr>
          <w:szCs w:val="22"/>
        </w:rPr>
        <w:t xml:space="preserve"> </w:t>
      </w:r>
      <w:r w:rsidR="006E2CDC" w:rsidRPr="001710A1">
        <w:rPr>
          <w:szCs w:val="22"/>
        </w:rPr>
        <w:t>(</w:t>
      </w:r>
      <w:r w:rsidR="006E2CDC" w:rsidRPr="00A37877">
        <w:rPr>
          <w:szCs w:val="22"/>
        </w:rPr>
        <w:t>e.g.</w:t>
      </w:r>
      <w:r w:rsidR="006E2CDC" w:rsidRPr="001710A1">
        <w:rPr>
          <w:i/>
          <w:szCs w:val="22"/>
        </w:rPr>
        <w:t xml:space="preserve">, </w:t>
      </w:r>
      <w:r w:rsidR="006E2CDC" w:rsidRPr="001710A1">
        <w:rPr>
          <w:szCs w:val="22"/>
        </w:rPr>
        <w:t>content filtering)</w:t>
      </w:r>
      <w:r w:rsidRPr="001710A1">
        <w:rPr>
          <w:szCs w:val="22"/>
        </w:rPr>
        <w:t xml:space="preserve"> which, if included in the contract, must be cost allocated</w:t>
      </w:r>
      <w:r w:rsidR="006E2CDC">
        <w:rPr>
          <w:szCs w:val="22"/>
        </w:rPr>
        <w:t xml:space="preserve"> out of any funding request</w:t>
      </w:r>
      <w:r w:rsidRPr="001710A1">
        <w:rPr>
          <w:szCs w:val="22"/>
        </w:rPr>
        <w:t>.</w:t>
      </w:r>
    </w:p>
    <w:p w:rsidR="006432BF" w:rsidRDefault="006432BF">
      <w:pPr>
        <w:rPr>
          <w:szCs w:val="22"/>
        </w:rPr>
      </w:pPr>
    </w:p>
    <w:p w:rsidR="006432BF" w:rsidRPr="00301942" w:rsidRDefault="006432BF" w:rsidP="00F01EF6">
      <w:pPr>
        <w:rPr>
          <w:szCs w:val="22"/>
        </w:rPr>
      </w:pPr>
    </w:p>
    <w:tbl>
      <w:tblPr>
        <w:tblStyle w:val="TableGrid"/>
        <w:tblW w:w="0" w:type="auto"/>
        <w:tblInd w:w="760" w:type="dxa"/>
        <w:tblLook w:val="04A0" w:firstRow="1" w:lastRow="0" w:firstColumn="1" w:lastColumn="0" w:noHBand="0" w:noVBand="1"/>
      </w:tblPr>
      <w:tblGrid>
        <w:gridCol w:w="5868"/>
      </w:tblGrid>
      <w:tr w:rsidR="006432BF" w:rsidTr="00907E32">
        <w:tc>
          <w:tcPr>
            <w:tcW w:w="5868" w:type="dxa"/>
          </w:tcPr>
          <w:p w:rsidR="006432BF" w:rsidRDefault="006432BF" w:rsidP="00F01EF6">
            <w:pPr>
              <w:rPr>
                <w:b/>
                <w:szCs w:val="22"/>
              </w:rPr>
            </w:pPr>
          </w:p>
          <w:p w:rsidR="006432BF" w:rsidRDefault="006432BF" w:rsidP="00F01EF6">
            <w:pPr>
              <w:rPr>
                <w:b/>
                <w:szCs w:val="22"/>
              </w:rPr>
            </w:pPr>
            <w:r w:rsidRPr="00FF77C9">
              <w:rPr>
                <w:b/>
                <w:szCs w:val="22"/>
              </w:rPr>
              <w:t>Basic Maintenance of Eligible Broadband Internal Connections Components</w:t>
            </w:r>
          </w:p>
          <w:p w:rsidR="006432BF" w:rsidRDefault="006432BF" w:rsidP="00F01EF6">
            <w:pPr>
              <w:rPr>
                <w:bCs/>
                <w:szCs w:val="22"/>
              </w:rPr>
            </w:pPr>
            <w:r>
              <w:rPr>
                <w:szCs w:val="22"/>
              </w:rPr>
              <w:t>E-rate s</w:t>
            </w:r>
            <w:r w:rsidRPr="006410C1">
              <w:rPr>
                <w:szCs w:val="22"/>
              </w:rPr>
              <w:t>upport is available for basic m</w:t>
            </w:r>
            <w:r w:rsidRPr="006410C1">
              <w:rPr>
                <w:bCs/>
                <w:szCs w:val="22"/>
              </w:rPr>
              <w:t>aintenance and technical support appropriate to maintain reliable operation when prov</w:t>
            </w:r>
            <w:r>
              <w:rPr>
                <w:bCs/>
                <w:szCs w:val="22"/>
              </w:rPr>
              <w:t>ided as a component of eligible broadband internal connections</w:t>
            </w:r>
            <w:r w:rsidRPr="006410C1">
              <w:rPr>
                <w:bCs/>
                <w:szCs w:val="22"/>
              </w:rPr>
              <w:t xml:space="preserve">.  </w:t>
            </w:r>
          </w:p>
          <w:p w:rsidR="006432BF" w:rsidRDefault="006432BF" w:rsidP="00F01EF6">
            <w:pPr>
              <w:rPr>
                <w:bCs/>
                <w:szCs w:val="22"/>
              </w:rPr>
            </w:pPr>
            <w:r w:rsidRPr="006410C1">
              <w:rPr>
                <w:bCs/>
                <w:szCs w:val="22"/>
              </w:rPr>
              <w:t>The following basic maintenance services are eligible:</w:t>
            </w:r>
          </w:p>
          <w:p w:rsidR="006432BF" w:rsidRPr="006410C1" w:rsidRDefault="006432BF" w:rsidP="00F01EF6">
            <w:pPr>
              <w:rPr>
                <w:szCs w:val="22"/>
              </w:rPr>
            </w:pPr>
            <w:r>
              <w:rPr>
                <w:szCs w:val="22"/>
              </w:rPr>
              <w:t>-</w:t>
            </w:r>
            <w:r w:rsidRPr="006410C1">
              <w:rPr>
                <w:szCs w:val="22"/>
              </w:rPr>
              <w:t>Repair and upkeep of eligible hardware</w:t>
            </w:r>
          </w:p>
          <w:p w:rsidR="006432BF" w:rsidRPr="006410C1" w:rsidRDefault="006432BF" w:rsidP="00F01EF6">
            <w:pPr>
              <w:rPr>
                <w:szCs w:val="22"/>
              </w:rPr>
            </w:pPr>
            <w:r>
              <w:rPr>
                <w:szCs w:val="22"/>
              </w:rPr>
              <w:t>-</w:t>
            </w:r>
            <w:r w:rsidRPr="006410C1">
              <w:rPr>
                <w:szCs w:val="22"/>
              </w:rPr>
              <w:t>Wire and cable maintenance</w:t>
            </w:r>
          </w:p>
          <w:p w:rsidR="006432BF" w:rsidRPr="006410C1" w:rsidRDefault="006432BF" w:rsidP="00F01EF6">
            <w:pPr>
              <w:rPr>
                <w:szCs w:val="22"/>
              </w:rPr>
            </w:pPr>
            <w:r>
              <w:rPr>
                <w:szCs w:val="22"/>
              </w:rPr>
              <w:t>-</w:t>
            </w:r>
            <w:r w:rsidRPr="006410C1">
              <w:rPr>
                <w:szCs w:val="22"/>
              </w:rPr>
              <w:t xml:space="preserve">Configuration changes </w:t>
            </w:r>
          </w:p>
          <w:p w:rsidR="006432BF" w:rsidRPr="006410C1" w:rsidRDefault="006432BF" w:rsidP="00F01EF6">
            <w:pPr>
              <w:rPr>
                <w:szCs w:val="22"/>
              </w:rPr>
            </w:pPr>
            <w:r>
              <w:rPr>
                <w:szCs w:val="22"/>
              </w:rPr>
              <w:t>-</w:t>
            </w:r>
            <w:r w:rsidRPr="006410C1">
              <w:rPr>
                <w:szCs w:val="22"/>
              </w:rPr>
              <w:t xml:space="preserve">Basic technical support including online and telephone based technical support </w:t>
            </w:r>
          </w:p>
          <w:p w:rsidR="006432BF" w:rsidRPr="00FF77C9" w:rsidRDefault="006432BF" w:rsidP="00F01EF6">
            <w:pPr>
              <w:rPr>
                <w:b/>
                <w:szCs w:val="22"/>
              </w:rPr>
            </w:pPr>
            <w:r>
              <w:rPr>
                <w:rFonts w:eastAsia="Calibri"/>
                <w:szCs w:val="22"/>
              </w:rPr>
              <w:t>-</w:t>
            </w:r>
            <w:r w:rsidRPr="006410C1">
              <w:rPr>
                <w:rFonts w:eastAsia="Calibri"/>
                <w:szCs w:val="22"/>
              </w:rPr>
              <w:t>Software upgrades and patches</w:t>
            </w:r>
            <w:r w:rsidRPr="006410C1">
              <w:rPr>
                <w:szCs w:val="22"/>
              </w:rPr>
              <w:t xml:space="preserve"> including b</w:t>
            </w:r>
            <w:r w:rsidRPr="006410C1">
              <w:rPr>
                <w:rFonts w:eastAsia="Calibri"/>
                <w:szCs w:val="22"/>
              </w:rPr>
              <w:t>ug fixes and security patches</w:t>
            </w:r>
          </w:p>
        </w:tc>
      </w:tr>
    </w:tbl>
    <w:p w:rsidR="006432BF" w:rsidRPr="006410C1" w:rsidRDefault="006432BF" w:rsidP="00F01EF6">
      <w:pPr>
        <w:rPr>
          <w:szCs w:val="22"/>
          <w:u w:val="single"/>
        </w:rPr>
      </w:pPr>
    </w:p>
    <w:p w:rsidR="006432BF" w:rsidRPr="006410C1" w:rsidRDefault="006432BF" w:rsidP="00F01EF6">
      <w:pPr>
        <w:contextualSpacing/>
        <w:rPr>
          <w:rFonts w:ascii="Verdana" w:hAnsi="Verdana"/>
          <w:bCs/>
          <w:szCs w:val="22"/>
        </w:rPr>
      </w:pPr>
      <w:r w:rsidRPr="00F07B08">
        <w:rPr>
          <w:b/>
          <w:szCs w:val="22"/>
        </w:rPr>
        <w:t>Eligibility limitations for basic maintenance</w:t>
      </w:r>
      <w:r>
        <w:rPr>
          <w:szCs w:val="22"/>
        </w:rPr>
        <w:t xml:space="preserve"> </w:t>
      </w:r>
      <w:r>
        <w:t>–</w:t>
      </w:r>
      <w:r w:rsidRPr="006410C1">
        <w:rPr>
          <w:szCs w:val="22"/>
        </w:rPr>
        <w:t xml:space="preserve"> Basic maintenance is eligible for </w:t>
      </w:r>
      <w:r>
        <w:rPr>
          <w:szCs w:val="22"/>
        </w:rPr>
        <w:t>support</w:t>
      </w:r>
      <w:r w:rsidRPr="006410C1">
        <w:rPr>
          <w:szCs w:val="22"/>
        </w:rPr>
        <w:t xml:space="preserve"> only if it is a component of a maintenance agreement or contract for eligible</w:t>
      </w:r>
      <w:r>
        <w:rPr>
          <w:szCs w:val="22"/>
        </w:rPr>
        <w:t xml:space="preserve"> broadband internal connections components</w:t>
      </w:r>
      <w:r w:rsidRPr="006410C1">
        <w:rPr>
          <w:szCs w:val="22"/>
        </w:rPr>
        <w:t xml:space="preserve">.  The agreement or contract must specifically identify the eligible components covered, including product name, model number, and location.  </w:t>
      </w:r>
      <w:r>
        <w:rPr>
          <w:szCs w:val="22"/>
        </w:rPr>
        <w:t>Support</w:t>
      </w:r>
      <w:r w:rsidRPr="006410C1">
        <w:rPr>
          <w:szCs w:val="22"/>
        </w:rPr>
        <w:t xml:space="preserve"> for basic maintenance will be paid for the actual work performed under the agreement or contract.  Basic maintenance does not include:</w:t>
      </w:r>
    </w:p>
    <w:p w:rsidR="006432BF" w:rsidRPr="006410C1" w:rsidRDefault="006432BF" w:rsidP="006432BF">
      <w:pPr>
        <w:numPr>
          <w:ilvl w:val="0"/>
          <w:numId w:val="20"/>
        </w:numPr>
        <w:contextualSpacing/>
        <w:rPr>
          <w:rFonts w:ascii="Verdana" w:hAnsi="Verdana"/>
          <w:bCs/>
          <w:szCs w:val="22"/>
        </w:rPr>
      </w:pPr>
      <w:r w:rsidRPr="006410C1">
        <w:rPr>
          <w:szCs w:val="22"/>
        </w:rPr>
        <w:t>Services that maintain ineligible equipment</w:t>
      </w:r>
    </w:p>
    <w:p w:rsidR="006432BF" w:rsidRPr="00280A90" w:rsidRDefault="006432BF" w:rsidP="006432BF">
      <w:pPr>
        <w:numPr>
          <w:ilvl w:val="0"/>
          <w:numId w:val="20"/>
        </w:numPr>
        <w:contextualSpacing/>
        <w:rPr>
          <w:rFonts w:ascii="Verdana" w:hAnsi="Verdana"/>
          <w:bCs/>
          <w:szCs w:val="22"/>
        </w:rPr>
      </w:pPr>
      <w:r w:rsidRPr="006410C1">
        <w:rPr>
          <w:szCs w:val="22"/>
        </w:rPr>
        <w:t>Upfront estimate</w:t>
      </w:r>
      <w:r>
        <w:rPr>
          <w:szCs w:val="22"/>
        </w:rPr>
        <w:t>s</w:t>
      </w:r>
      <w:r w:rsidRPr="006410C1">
        <w:rPr>
          <w:szCs w:val="22"/>
        </w:rPr>
        <w:t xml:space="preserve"> that cover the full cost of every piece of eligible equipment</w:t>
      </w:r>
      <w:r>
        <w:rPr>
          <w:szCs w:val="22"/>
        </w:rPr>
        <w:t xml:space="preserve">  </w:t>
      </w:r>
    </w:p>
    <w:p w:rsidR="006432BF" w:rsidRPr="007C030E" w:rsidRDefault="006432BF" w:rsidP="006432BF">
      <w:pPr>
        <w:numPr>
          <w:ilvl w:val="0"/>
          <w:numId w:val="20"/>
        </w:numPr>
        <w:contextualSpacing/>
        <w:rPr>
          <w:rFonts w:ascii="Verdana" w:hAnsi="Verdana"/>
          <w:bCs/>
          <w:szCs w:val="22"/>
        </w:rPr>
      </w:pPr>
      <w:r w:rsidRPr="007C030E">
        <w:rPr>
          <w:szCs w:val="22"/>
        </w:rPr>
        <w:t>Services that enhance the utility of equipment beyond the transport of information, or diagnostic services in excess of those necessary to maintain the equipment’s ability to transport information</w:t>
      </w:r>
    </w:p>
    <w:p w:rsidR="006432BF" w:rsidRPr="006410C1" w:rsidRDefault="006432BF" w:rsidP="006432BF">
      <w:pPr>
        <w:numPr>
          <w:ilvl w:val="0"/>
          <w:numId w:val="20"/>
        </w:numPr>
        <w:contextualSpacing/>
        <w:rPr>
          <w:rFonts w:ascii="Verdana" w:hAnsi="Verdana"/>
          <w:bCs/>
          <w:szCs w:val="22"/>
        </w:rPr>
      </w:pPr>
      <w:r>
        <w:rPr>
          <w:szCs w:val="22"/>
        </w:rPr>
        <w:t>N</w:t>
      </w:r>
      <w:r w:rsidRPr="006410C1">
        <w:rPr>
          <w:szCs w:val="22"/>
        </w:rPr>
        <w:t xml:space="preserve">etwork management </w:t>
      </w:r>
      <w:r>
        <w:rPr>
          <w:szCs w:val="22"/>
        </w:rPr>
        <w:t xml:space="preserve">services, </w:t>
      </w:r>
      <w:r w:rsidRPr="006410C1">
        <w:rPr>
          <w:szCs w:val="22"/>
        </w:rPr>
        <w:t>including 24-hour network monitoring</w:t>
      </w:r>
    </w:p>
    <w:p w:rsidR="006432BF" w:rsidRPr="006410C1" w:rsidRDefault="006432BF" w:rsidP="006432BF">
      <w:pPr>
        <w:numPr>
          <w:ilvl w:val="0"/>
          <w:numId w:val="20"/>
        </w:numPr>
        <w:contextualSpacing/>
        <w:rPr>
          <w:rFonts w:ascii="Verdana" w:hAnsi="Verdana"/>
          <w:bCs/>
          <w:szCs w:val="22"/>
        </w:rPr>
      </w:pPr>
      <w:r w:rsidRPr="006410C1">
        <w:rPr>
          <w:bCs/>
          <w:szCs w:val="22"/>
        </w:rPr>
        <w:t>On</w:t>
      </w:r>
      <w:r w:rsidRPr="006410C1">
        <w:rPr>
          <w:szCs w:val="22"/>
        </w:rPr>
        <w:t>-site technical support (</w:t>
      </w:r>
      <w:r w:rsidRPr="00A37877">
        <w:rPr>
          <w:szCs w:val="22"/>
        </w:rPr>
        <w:t>i.e.</w:t>
      </w:r>
      <w:r w:rsidRPr="006410C1">
        <w:rPr>
          <w:szCs w:val="22"/>
        </w:rPr>
        <w:t>, contractor duty station at the applicant site) unless applicants present sufficient evidence of cost-effectiveness</w:t>
      </w:r>
    </w:p>
    <w:p w:rsidR="006432BF" w:rsidRPr="006410C1" w:rsidRDefault="006432BF" w:rsidP="006432BF">
      <w:pPr>
        <w:numPr>
          <w:ilvl w:val="0"/>
          <w:numId w:val="20"/>
        </w:numPr>
        <w:contextualSpacing/>
        <w:rPr>
          <w:rFonts w:ascii="Verdana" w:hAnsi="Verdana"/>
          <w:bCs/>
          <w:szCs w:val="22"/>
        </w:rPr>
      </w:pPr>
      <w:r w:rsidRPr="006410C1">
        <w:rPr>
          <w:szCs w:val="22"/>
        </w:rPr>
        <w:t>Unbundled warranties</w:t>
      </w:r>
    </w:p>
    <w:p w:rsidR="006432BF" w:rsidRDefault="006432BF" w:rsidP="00F01EF6">
      <w:pPr>
        <w:pStyle w:val="ListParagraph"/>
        <w:rPr>
          <w:bCs/>
          <w:szCs w:val="22"/>
          <w:u w:val="single"/>
        </w:rPr>
      </w:pPr>
    </w:p>
    <w:p w:rsidR="006432BF" w:rsidRPr="00FF77C9" w:rsidRDefault="006432BF" w:rsidP="00F01EF6">
      <w:pPr>
        <w:rPr>
          <w:b/>
          <w:bCs/>
          <w:szCs w:val="22"/>
          <w:u w:val="single"/>
        </w:rPr>
      </w:pPr>
      <w:r w:rsidRPr="00FF77C9">
        <w:rPr>
          <w:b/>
          <w:bCs/>
          <w:szCs w:val="22"/>
          <w:u w:val="single"/>
        </w:rPr>
        <w:t xml:space="preserve">Miscellaneous </w:t>
      </w:r>
    </w:p>
    <w:p w:rsidR="006432BF" w:rsidRDefault="006432BF" w:rsidP="00F01EF6">
      <w:pPr>
        <w:ind w:left="360"/>
        <w:rPr>
          <w:bCs/>
          <w:szCs w:val="22"/>
          <w:u w:val="single"/>
        </w:rPr>
      </w:pPr>
    </w:p>
    <w:p w:rsidR="006432BF" w:rsidRDefault="006432BF" w:rsidP="00F01EF6">
      <w:pPr>
        <w:ind w:left="360"/>
      </w:pPr>
      <w:r>
        <w:t>As described below, various miscellaneous services associated with the eligible services and components above are eligible for support.  Applicants should request miscellaneous services in the same category as the associated service being obtained or installed.</w:t>
      </w:r>
    </w:p>
    <w:p w:rsidR="006432BF" w:rsidRDefault="006432BF" w:rsidP="00F01EF6">
      <w:pPr>
        <w:rPr>
          <w:bCs/>
        </w:rPr>
      </w:pPr>
      <w:r>
        <w:rPr>
          <w:bCs/>
        </w:rPr>
        <w:tab/>
      </w:r>
    </w:p>
    <w:tbl>
      <w:tblPr>
        <w:tblStyle w:val="TableGrid"/>
        <w:tblW w:w="0" w:type="auto"/>
        <w:tblInd w:w="795" w:type="dxa"/>
        <w:tblLook w:val="04A0" w:firstRow="1" w:lastRow="0" w:firstColumn="1" w:lastColumn="0" w:noHBand="0" w:noVBand="1"/>
      </w:tblPr>
      <w:tblGrid>
        <w:gridCol w:w="5868"/>
      </w:tblGrid>
      <w:tr w:rsidR="006432BF" w:rsidTr="00F01EF6">
        <w:tc>
          <w:tcPr>
            <w:tcW w:w="5868" w:type="dxa"/>
          </w:tcPr>
          <w:p w:rsidR="006432BF" w:rsidRDefault="006432BF" w:rsidP="00F01EF6">
            <w:pPr>
              <w:rPr>
                <w:b/>
              </w:rPr>
            </w:pPr>
          </w:p>
          <w:p w:rsidR="006432BF" w:rsidRDefault="006432BF" w:rsidP="00F01EF6">
            <w:pPr>
              <w:rPr>
                <w:b/>
              </w:rPr>
            </w:pPr>
            <w:r>
              <w:rPr>
                <w:b/>
              </w:rPr>
              <w:t>Fees</w:t>
            </w:r>
          </w:p>
          <w:p w:rsidR="006432BF" w:rsidRDefault="006432BF" w:rsidP="00F01EF6">
            <w:pPr>
              <w:rPr>
                <w:rFonts w:eastAsiaTheme="minorHAnsi"/>
                <w:bCs/>
                <w:szCs w:val="22"/>
              </w:rPr>
            </w:pPr>
            <w:r>
              <w:rPr>
                <w:bCs/>
              </w:rPr>
              <w:t>Fees and charges that are a necessary component of an eligible product or service are eligible including:</w:t>
            </w:r>
          </w:p>
          <w:p w:rsidR="006432BF" w:rsidRDefault="006432BF" w:rsidP="00F01EF6">
            <w:pPr>
              <w:rPr>
                <w:rFonts w:eastAsiaTheme="minorHAnsi"/>
                <w:bCs/>
                <w:szCs w:val="22"/>
              </w:rPr>
            </w:pPr>
            <w:r>
              <w:rPr>
                <w:rFonts w:eastAsiaTheme="minorHAnsi"/>
                <w:bCs/>
                <w:szCs w:val="22"/>
              </w:rPr>
              <w:t>-</w:t>
            </w:r>
            <w:r w:rsidRPr="00780796">
              <w:rPr>
                <w:rFonts w:eastAsiaTheme="minorHAnsi"/>
                <w:bCs/>
                <w:szCs w:val="22"/>
              </w:rPr>
              <w:t>Change fees</w:t>
            </w:r>
          </w:p>
          <w:p w:rsidR="006432BF" w:rsidRPr="00780796" w:rsidRDefault="006432BF" w:rsidP="00F01EF6">
            <w:pPr>
              <w:rPr>
                <w:rFonts w:eastAsiaTheme="minorHAnsi"/>
                <w:bCs/>
                <w:szCs w:val="22"/>
              </w:rPr>
            </w:pPr>
            <w:r>
              <w:rPr>
                <w:rFonts w:eastAsiaTheme="minorHAnsi"/>
                <w:bCs/>
                <w:szCs w:val="22"/>
              </w:rPr>
              <w:t>-Contingency fees are eligible if they are reasonable and a regular business practice of the service provider.  Contingency fees will be reimbursed only if the work is performed.</w:t>
            </w:r>
          </w:p>
          <w:p w:rsidR="006432BF" w:rsidRPr="00780796" w:rsidRDefault="006432BF" w:rsidP="00F01EF6">
            <w:pPr>
              <w:rPr>
                <w:rFonts w:eastAsiaTheme="minorHAnsi"/>
                <w:bCs/>
                <w:szCs w:val="22"/>
              </w:rPr>
            </w:pPr>
            <w:r>
              <w:rPr>
                <w:rFonts w:eastAsiaTheme="minorHAnsi"/>
                <w:bCs/>
                <w:szCs w:val="22"/>
              </w:rPr>
              <w:t>-</w:t>
            </w:r>
            <w:r w:rsidRPr="00780796">
              <w:rPr>
                <w:rFonts w:eastAsiaTheme="minorHAnsi"/>
                <w:bCs/>
                <w:szCs w:val="22"/>
              </w:rPr>
              <w:t>Freight assurance fees</w:t>
            </w:r>
          </w:p>
          <w:p w:rsidR="006432BF" w:rsidRPr="00780796" w:rsidRDefault="006432BF" w:rsidP="00F01EF6">
            <w:pPr>
              <w:rPr>
                <w:rFonts w:eastAsiaTheme="minorHAnsi"/>
                <w:bCs/>
                <w:szCs w:val="22"/>
              </w:rPr>
            </w:pPr>
            <w:r>
              <w:rPr>
                <w:rFonts w:eastAsiaTheme="minorHAnsi"/>
                <w:bCs/>
                <w:szCs w:val="22"/>
              </w:rPr>
              <w:t>-</w:t>
            </w:r>
            <w:r w:rsidRPr="00780796">
              <w:rPr>
                <w:rFonts w:eastAsiaTheme="minorHAnsi"/>
                <w:bCs/>
                <w:szCs w:val="22"/>
              </w:rPr>
              <w:t xml:space="preserve">Lease fees to rent or lease eligible components </w:t>
            </w:r>
          </w:p>
          <w:p w:rsidR="006432BF" w:rsidRPr="00780796" w:rsidRDefault="006432BF" w:rsidP="00F01EF6">
            <w:pPr>
              <w:rPr>
                <w:rFonts w:eastAsiaTheme="minorHAnsi"/>
                <w:bCs/>
                <w:szCs w:val="22"/>
              </w:rPr>
            </w:pPr>
            <w:r>
              <w:rPr>
                <w:rFonts w:eastAsiaTheme="minorHAnsi"/>
                <w:bCs/>
                <w:szCs w:val="22"/>
              </w:rPr>
              <w:t>-</w:t>
            </w:r>
            <w:r w:rsidRPr="00780796">
              <w:rPr>
                <w:rFonts w:eastAsiaTheme="minorHAnsi"/>
                <w:bCs/>
                <w:szCs w:val="22"/>
              </w:rPr>
              <w:t xml:space="preserve">Per diem </w:t>
            </w:r>
            <w:r>
              <w:rPr>
                <w:rFonts w:eastAsiaTheme="minorHAnsi"/>
                <w:bCs/>
                <w:szCs w:val="22"/>
              </w:rPr>
              <w:t xml:space="preserve">and, or travel time costs are eligible only </w:t>
            </w:r>
            <w:r w:rsidRPr="00780796">
              <w:rPr>
                <w:rFonts w:eastAsiaTheme="minorHAnsi"/>
                <w:bCs/>
                <w:szCs w:val="22"/>
              </w:rPr>
              <w:t xml:space="preserve">if a contract with a vendor for </w:t>
            </w:r>
            <w:r>
              <w:rPr>
                <w:rFonts w:eastAsiaTheme="minorHAnsi"/>
                <w:bCs/>
                <w:szCs w:val="22"/>
              </w:rPr>
              <w:t xml:space="preserve">the </w:t>
            </w:r>
            <w:r w:rsidRPr="00780796">
              <w:rPr>
                <w:rFonts w:eastAsiaTheme="minorHAnsi"/>
                <w:bCs/>
                <w:szCs w:val="22"/>
              </w:rPr>
              <w:t>eligible product or services specifically provides for th</w:t>
            </w:r>
            <w:r>
              <w:rPr>
                <w:rFonts w:eastAsiaTheme="minorHAnsi"/>
                <w:bCs/>
                <w:szCs w:val="22"/>
              </w:rPr>
              <w:t>ese</w:t>
            </w:r>
            <w:r w:rsidRPr="00780796">
              <w:rPr>
                <w:rFonts w:eastAsiaTheme="minorHAnsi"/>
                <w:bCs/>
                <w:szCs w:val="22"/>
              </w:rPr>
              <w:t xml:space="preserve"> cost</w:t>
            </w:r>
            <w:r>
              <w:rPr>
                <w:rFonts w:eastAsiaTheme="minorHAnsi"/>
                <w:bCs/>
                <w:szCs w:val="22"/>
              </w:rPr>
              <w:t>s</w:t>
            </w:r>
          </w:p>
          <w:p w:rsidR="006432BF" w:rsidRPr="00780796" w:rsidRDefault="006432BF" w:rsidP="00F01EF6">
            <w:pPr>
              <w:rPr>
                <w:rFonts w:eastAsiaTheme="minorHAnsi"/>
                <w:bCs/>
                <w:szCs w:val="22"/>
              </w:rPr>
            </w:pPr>
            <w:r>
              <w:rPr>
                <w:rFonts w:eastAsiaTheme="minorHAnsi"/>
                <w:bCs/>
                <w:szCs w:val="22"/>
              </w:rPr>
              <w:t>-</w:t>
            </w:r>
            <w:r w:rsidRPr="00780796">
              <w:rPr>
                <w:rFonts w:eastAsiaTheme="minorHAnsi"/>
                <w:bCs/>
                <w:szCs w:val="22"/>
              </w:rPr>
              <w:t>Shipping charges</w:t>
            </w:r>
          </w:p>
          <w:p w:rsidR="006432BF" w:rsidRPr="00780796" w:rsidRDefault="006432BF" w:rsidP="00F01EF6">
            <w:pPr>
              <w:rPr>
                <w:b/>
                <w:bCs/>
              </w:rPr>
            </w:pPr>
            <w:r>
              <w:rPr>
                <w:rFonts w:eastAsiaTheme="minorHAnsi"/>
                <w:bCs/>
                <w:szCs w:val="22"/>
              </w:rPr>
              <w:t>-</w:t>
            </w:r>
            <w:r w:rsidRPr="00780796">
              <w:rPr>
                <w:rFonts w:eastAsiaTheme="minorHAnsi"/>
                <w:bCs/>
                <w:szCs w:val="22"/>
              </w:rPr>
              <w:t>Taxes, surcharges, and other similar, reasonable charges incurred in obtaining an eligible product or service are eligible.  This includes customer charges for universal service fees, but does not include additional charges for universal service administration.</w:t>
            </w:r>
          </w:p>
        </w:tc>
      </w:tr>
      <w:tr w:rsidR="006432BF" w:rsidTr="006432BF">
        <w:trPr>
          <w:trHeight w:val="3554"/>
        </w:trPr>
        <w:tc>
          <w:tcPr>
            <w:tcW w:w="5868" w:type="dxa"/>
          </w:tcPr>
          <w:p w:rsidR="006432BF" w:rsidRDefault="006432BF" w:rsidP="00F01EF6">
            <w:pPr>
              <w:rPr>
                <w:b/>
                <w:bCs/>
              </w:rPr>
            </w:pPr>
          </w:p>
          <w:p w:rsidR="006432BF" w:rsidRDefault="006432BF" w:rsidP="00F01EF6">
            <w:pPr>
              <w:rPr>
                <w:b/>
                <w:bCs/>
              </w:rPr>
            </w:pPr>
            <w:r w:rsidRPr="00FF77C9">
              <w:rPr>
                <w:b/>
                <w:bCs/>
              </w:rPr>
              <w:t>Installation, activation, and initial configuration</w:t>
            </w:r>
          </w:p>
          <w:p w:rsidR="006432BF" w:rsidRDefault="006432BF" w:rsidP="00F01EF6">
            <w:pPr>
              <w:rPr>
                <w:bCs/>
              </w:rPr>
            </w:pPr>
            <w:r w:rsidRPr="00485D97">
              <w:rPr>
                <w:bCs/>
              </w:rPr>
              <w:t>Installation, activation, and initial configuration</w:t>
            </w:r>
            <w:r>
              <w:rPr>
                <w:bCs/>
              </w:rPr>
              <w:t xml:space="preserve"> of eligible components are eligible.  These services may include:</w:t>
            </w:r>
          </w:p>
          <w:p w:rsidR="006432BF" w:rsidRDefault="006432BF" w:rsidP="00F01EF6">
            <w:pPr>
              <w:rPr>
                <w:bCs/>
              </w:rPr>
            </w:pPr>
            <w:r>
              <w:rPr>
                <w:bCs/>
              </w:rPr>
              <w:t>-Basic design and engineering costs if these services are provided as an integral component of the installation of the relevant services</w:t>
            </w:r>
          </w:p>
          <w:p w:rsidR="006432BF" w:rsidRDefault="006432BF" w:rsidP="00F01EF6">
            <w:pPr>
              <w:rPr>
                <w:bCs/>
              </w:rPr>
            </w:pPr>
            <w:r>
              <w:rPr>
                <w:bCs/>
              </w:rPr>
              <w:t>-Basic project management costs if these services are provided as an integral component of the installation of the relevant services</w:t>
            </w:r>
          </w:p>
          <w:p w:rsidR="006432BF" w:rsidRPr="00F07B08" w:rsidRDefault="006432BF" w:rsidP="00F01EF6">
            <w:pPr>
              <w:rPr>
                <w:bCs/>
              </w:rPr>
            </w:pPr>
            <w:r>
              <w:rPr>
                <w:bCs/>
              </w:rPr>
              <w:t>-On-site</w:t>
            </w:r>
            <w:r w:rsidRPr="00F66FE7">
              <w:rPr>
                <w:bCs/>
              </w:rPr>
              <w:t xml:space="preserve"> training is eligible as a part of installation services</w:t>
            </w:r>
            <w:r>
              <w:t xml:space="preserve"> but only if it is basic instruction on the use of eligible equipment, directly associated with equipment installation, and is part of the contract or agreement for the equipment.</w:t>
            </w:r>
            <w:r w:rsidRPr="00F66FE7">
              <w:rPr>
                <w:bCs/>
              </w:rPr>
              <w:t xml:space="preserve">  Training must occur coincidently or </w:t>
            </w:r>
            <w:r>
              <w:t>within a reasonable time after installation.</w:t>
            </w:r>
          </w:p>
        </w:tc>
      </w:tr>
    </w:tbl>
    <w:p w:rsidR="00505A69" w:rsidRDefault="00505A69" w:rsidP="00184317">
      <w:pPr>
        <w:spacing w:before="120" w:after="240"/>
        <w:rPr>
          <w:sz w:val="24"/>
        </w:rPr>
      </w:pPr>
    </w:p>
    <w:sectPr w:rsidR="00505A69" w:rsidSect="00FC624D">
      <w:headerReference w:type="even" r:id="rId22"/>
      <w:headerReference w:type="default" r:id="rId23"/>
      <w:footerReference w:type="even" r:id="rId24"/>
      <w:footerReference w:type="default" r:id="rId25"/>
      <w:headerReference w:type="first" r:id="rId26"/>
      <w:footerReference w:type="first" r:id="rId27"/>
      <w:type w:val="continuous"/>
      <w:pgSz w:w="12240" w:h="15840" w:code="1"/>
      <w:pgMar w:top="720" w:right="1440" w:bottom="1440" w:left="1440" w:header="720" w:footer="720" w:gutter="0"/>
      <w:pgNumType w:start="1"/>
      <w:cols w:space="720"/>
      <w:titlePg/>
      <w:docGrid w:linePitch="299"/>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gBQAGEAcgBhAG4AdQBt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6E5" w:rsidRDefault="00D806E5">
      <w:r>
        <w:separator/>
      </w:r>
    </w:p>
    <w:p w:rsidR="00D806E5" w:rsidRDefault="00D806E5"/>
  </w:endnote>
  <w:endnote w:type="continuationSeparator" w:id="0">
    <w:p w:rsidR="00D806E5" w:rsidRDefault="00D806E5">
      <w:r>
        <w:continuationSeparator/>
      </w:r>
    </w:p>
    <w:p w:rsidR="00D806E5" w:rsidRDefault="00D806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s Gothic M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E93" w:rsidRDefault="00C11E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824905"/>
      <w:docPartObj>
        <w:docPartGallery w:val="Page Numbers (Bottom of Page)"/>
        <w:docPartUnique/>
      </w:docPartObj>
    </w:sdtPr>
    <w:sdtEndPr>
      <w:rPr>
        <w:noProof/>
      </w:rPr>
    </w:sdtEndPr>
    <w:sdtContent>
      <w:p w:rsidR="00F01EF6" w:rsidRDefault="00F01EF6">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F01EF6" w:rsidRDefault="00F01E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E93" w:rsidRDefault="00C11E9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103489"/>
      <w:docPartObj>
        <w:docPartGallery w:val="Page Numbers (Bottom of Page)"/>
        <w:docPartUnique/>
      </w:docPartObj>
    </w:sdtPr>
    <w:sdtEndPr>
      <w:rPr>
        <w:noProof/>
      </w:rPr>
    </w:sdtEndPr>
    <w:sdtContent>
      <w:p w:rsidR="00F01EF6" w:rsidRDefault="00F01EF6" w:rsidP="007E13C1">
        <w:pPr>
          <w:pStyle w:val="Footer"/>
          <w:jc w:val="center"/>
        </w:pPr>
        <w:r>
          <w:fldChar w:fldCharType="begin"/>
        </w:r>
        <w:r>
          <w:instrText xml:space="preserve"> PAGE   \* MERGEFORMAT </w:instrText>
        </w:r>
        <w:r>
          <w:fldChar w:fldCharType="separate"/>
        </w:r>
        <w:r w:rsidR="001A07A6">
          <w:rPr>
            <w:noProof/>
          </w:rPr>
          <w:t>6</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6" w:rsidRDefault="00F01EF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6" w:rsidRDefault="00F01EF6">
    <w:pPr>
      <w:pStyle w:val="Footer"/>
      <w:jc w:val="center"/>
      <w:rPr>
        <w:sz w:val="20"/>
      </w:rPr>
    </w:pPr>
    <w:r w:rsidRPr="00557EAB">
      <w:rPr>
        <w:sz w:val="20"/>
      </w:rPr>
      <w:t>(Draft) Schools and Libraries Eligible Services List – Funding Year 2015</w:t>
    </w:r>
  </w:p>
  <w:p w:rsidR="00F01EF6" w:rsidRPr="00557EAB" w:rsidRDefault="00F01EF6">
    <w:pPr>
      <w:pStyle w:val="Footer"/>
      <w:jc w:val="center"/>
      <w:rPr>
        <w:sz w:val="20"/>
      </w:rPr>
    </w:pPr>
    <w:r w:rsidRPr="00557EAB">
      <w:rPr>
        <w:sz w:val="20"/>
      </w:rPr>
      <w:fldChar w:fldCharType="begin"/>
    </w:r>
    <w:r w:rsidRPr="00557EAB">
      <w:rPr>
        <w:sz w:val="20"/>
      </w:rPr>
      <w:instrText xml:space="preserve"> PAGE   \* MERGEFORMAT </w:instrText>
    </w:r>
    <w:r w:rsidRPr="00557EAB">
      <w:rPr>
        <w:sz w:val="20"/>
      </w:rPr>
      <w:fldChar w:fldCharType="separate"/>
    </w:r>
    <w:r w:rsidR="001A07A6">
      <w:rPr>
        <w:noProof/>
        <w:sz w:val="20"/>
      </w:rPr>
      <w:t>2</w:t>
    </w:r>
    <w:r w:rsidRPr="00557EAB">
      <w:rPr>
        <w:noProof/>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6" w:rsidRPr="00557EAB" w:rsidRDefault="00F01EF6" w:rsidP="00F01EF6">
    <w:pPr>
      <w:pStyle w:val="Footer"/>
      <w:jc w:val="center"/>
      <w:rPr>
        <w:sz w:val="20"/>
      </w:rPr>
    </w:pPr>
    <w:r w:rsidRPr="00557EAB">
      <w:rPr>
        <w:sz w:val="20"/>
      </w:rPr>
      <w:t>(Draft) Schools and Libraries Eligible Services List – Funding Year 2015</w:t>
    </w:r>
  </w:p>
  <w:p w:rsidR="00F01EF6" w:rsidRPr="00557EAB" w:rsidRDefault="00F01EF6" w:rsidP="00F01EF6">
    <w:pPr>
      <w:pStyle w:val="Footer"/>
      <w:jc w:val="center"/>
      <w:rPr>
        <w:sz w:val="20"/>
      </w:rPr>
    </w:pPr>
    <w:r w:rsidRPr="00557EAB">
      <w:rPr>
        <w:sz w:val="20"/>
      </w:rPr>
      <w:fldChar w:fldCharType="begin"/>
    </w:r>
    <w:r w:rsidRPr="00557EAB">
      <w:rPr>
        <w:sz w:val="20"/>
      </w:rPr>
      <w:instrText xml:space="preserve"> PAGE   \* MERGEFORMAT </w:instrText>
    </w:r>
    <w:r w:rsidRPr="00557EAB">
      <w:rPr>
        <w:sz w:val="20"/>
      </w:rPr>
      <w:fldChar w:fldCharType="separate"/>
    </w:r>
    <w:r w:rsidR="001A07A6">
      <w:rPr>
        <w:noProof/>
        <w:sz w:val="20"/>
      </w:rPr>
      <w:t>1</w:t>
    </w:r>
    <w:r w:rsidRPr="00557EAB">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6E5" w:rsidRDefault="00D806E5">
      <w:r>
        <w:separator/>
      </w:r>
    </w:p>
  </w:footnote>
  <w:footnote w:type="continuationSeparator" w:id="0">
    <w:p w:rsidR="00D806E5" w:rsidRDefault="00D806E5">
      <w:r>
        <w:continuationSeparator/>
      </w:r>
    </w:p>
  </w:footnote>
  <w:footnote w:type="continuationNotice" w:id="1">
    <w:p w:rsidR="00D806E5" w:rsidRDefault="00D806E5"/>
  </w:footnote>
  <w:footnote w:id="2">
    <w:p w:rsidR="00F01EF6" w:rsidRPr="0054746E" w:rsidRDefault="00F01EF6" w:rsidP="001E6A7E">
      <w:pPr>
        <w:pStyle w:val="FootnoteText"/>
        <w:spacing w:after="120"/>
        <w:rPr>
          <w:sz w:val="20"/>
        </w:rPr>
      </w:pPr>
      <w:r w:rsidRPr="0054746E">
        <w:rPr>
          <w:rStyle w:val="FootnoteReference"/>
          <w:sz w:val="20"/>
        </w:rPr>
        <w:footnoteRef/>
      </w:r>
      <w:r w:rsidRPr="0054746E">
        <w:rPr>
          <w:sz w:val="20"/>
        </w:rPr>
        <w:t xml:space="preserve"> </w:t>
      </w:r>
      <w:r w:rsidRPr="0054746E">
        <w:rPr>
          <w:i/>
          <w:sz w:val="20"/>
        </w:rPr>
        <w:t xml:space="preserve">See </w:t>
      </w:r>
      <w:r w:rsidRPr="0054746E">
        <w:rPr>
          <w:sz w:val="20"/>
        </w:rPr>
        <w:t xml:space="preserve">47 C.F.R. § 54.502 (detailing the procedures for seeking comment on a draft ESL for the E-rate program for the upcoming funding year).  The E-rate program was established </w:t>
      </w:r>
      <w:r w:rsidRPr="0054746E">
        <w:rPr>
          <w:rFonts w:cs="Arial"/>
          <w:sz w:val="20"/>
        </w:rPr>
        <w:t xml:space="preserve">pursuant to section 254 of the Communications Act of 1934, as amended.  </w:t>
      </w:r>
      <w:r w:rsidRPr="0054746E">
        <w:rPr>
          <w:sz w:val="20"/>
        </w:rPr>
        <w:t xml:space="preserve">47 U.S.C. § 254.  </w:t>
      </w:r>
      <w:r w:rsidRPr="0054746E">
        <w:rPr>
          <w:i/>
          <w:sz w:val="20"/>
        </w:rPr>
        <w:t xml:space="preserve">See </w:t>
      </w:r>
      <w:r>
        <w:rPr>
          <w:sz w:val="20"/>
        </w:rPr>
        <w:t xml:space="preserve">Attachment, </w:t>
      </w:r>
      <w:r w:rsidRPr="0054746E">
        <w:rPr>
          <w:sz w:val="20"/>
        </w:rPr>
        <w:t>Draft Schools and Libraries Eligible Ser</w:t>
      </w:r>
      <w:r>
        <w:rPr>
          <w:sz w:val="20"/>
        </w:rPr>
        <w:t>vices List for Funding Year 2015</w:t>
      </w:r>
      <w:r w:rsidRPr="0054746E">
        <w:rPr>
          <w:sz w:val="20"/>
        </w:rPr>
        <w:t>.</w:t>
      </w:r>
    </w:p>
  </w:footnote>
  <w:footnote w:id="3">
    <w:p w:rsidR="00F01EF6" w:rsidRPr="0054746E" w:rsidRDefault="00F01EF6" w:rsidP="001E6A7E">
      <w:pPr>
        <w:pStyle w:val="FootnoteText"/>
        <w:spacing w:after="120"/>
        <w:rPr>
          <w:sz w:val="20"/>
        </w:rPr>
      </w:pPr>
      <w:r w:rsidRPr="0054746E">
        <w:rPr>
          <w:rStyle w:val="FootnoteReference"/>
          <w:sz w:val="20"/>
        </w:rPr>
        <w:footnoteRef/>
      </w:r>
      <w:r w:rsidRPr="0054746E">
        <w:rPr>
          <w:sz w:val="20"/>
        </w:rPr>
        <w:t xml:space="preserve"> </w:t>
      </w:r>
      <w:r w:rsidRPr="0054746E">
        <w:rPr>
          <w:i/>
          <w:sz w:val="20"/>
        </w:rPr>
        <w:t>Modernizing the E-rate Program for Schools and Libraries</w:t>
      </w:r>
      <w:r w:rsidRPr="0054746E">
        <w:rPr>
          <w:sz w:val="20"/>
        </w:rPr>
        <w:t>, WC Docket No. 13-184, Order</w:t>
      </w:r>
      <w:r>
        <w:rPr>
          <w:sz w:val="20"/>
        </w:rPr>
        <w:t xml:space="preserve">, </w:t>
      </w:r>
      <w:r w:rsidRPr="0054746E">
        <w:rPr>
          <w:sz w:val="20"/>
        </w:rPr>
        <w:t>FCC 14-</w:t>
      </w:r>
      <w:r>
        <w:rPr>
          <w:sz w:val="20"/>
        </w:rPr>
        <w:t xml:space="preserve">99, paras. 67-75, 77, 119-124, 130, 135-153 </w:t>
      </w:r>
      <w:r w:rsidRPr="0054746E">
        <w:rPr>
          <w:sz w:val="20"/>
        </w:rPr>
        <w:t xml:space="preserve">(rel. </w:t>
      </w:r>
      <w:r>
        <w:rPr>
          <w:sz w:val="20"/>
        </w:rPr>
        <w:t>Jul. 23</w:t>
      </w:r>
      <w:r w:rsidRPr="0054746E">
        <w:rPr>
          <w:sz w:val="20"/>
        </w:rPr>
        <w:t>, 2014) (</w:t>
      </w:r>
      <w:r w:rsidRPr="0054746E">
        <w:rPr>
          <w:i/>
          <w:sz w:val="20"/>
        </w:rPr>
        <w:t>E-rate Modernization Order</w:t>
      </w:r>
      <w:r w:rsidRPr="0054746E">
        <w:rPr>
          <w:sz w:val="20"/>
        </w:rPr>
        <w:t>).</w:t>
      </w:r>
    </w:p>
  </w:footnote>
  <w:footnote w:id="4">
    <w:p w:rsidR="00F01EF6" w:rsidRDefault="00F01EF6" w:rsidP="001E6A7E">
      <w:pPr>
        <w:pStyle w:val="FootnoteText"/>
        <w:spacing w:after="120"/>
      </w:pPr>
      <w:r>
        <w:rPr>
          <w:rStyle w:val="FootnoteReference"/>
        </w:rPr>
        <w:footnoteRef/>
      </w:r>
      <w:r>
        <w:t xml:space="preserve"> </w:t>
      </w:r>
      <w:r>
        <w:rPr>
          <w:sz w:val="20"/>
        </w:rPr>
        <w:t>T</w:t>
      </w:r>
      <w:r w:rsidRPr="00AE21F6">
        <w:rPr>
          <w:sz w:val="20"/>
        </w:rPr>
        <w:t xml:space="preserve">he Commission’s first goal in the </w:t>
      </w:r>
      <w:r w:rsidRPr="00AE21F6">
        <w:rPr>
          <w:rFonts w:eastAsia="Calibri"/>
          <w:bCs/>
          <w:i/>
          <w:sz w:val="20"/>
        </w:rPr>
        <w:t>E-rate Modernization Order</w:t>
      </w:r>
      <w:r w:rsidRPr="00AE21F6">
        <w:rPr>
          <w:rStyle w:val="stylenumberedparagraphs11ptchar"/>
          <w:snapToGrid w:val="0"/>
          <w:sz w:val="20"/>
        </w:rPr>
        <w:t xml:space="preserve"> is </w:t>
      </w:r>
      <w:r>
        <w:rPr>
          <w:rStyle w:val="stylenumberedparagraphs11ptchar"/>
          <w:snapToGrid w:val="0"/>
          <w:sz w:val="20"/>
        </w:rPr>
        <w:t xml:space="preserve">to </w:t>
      </w:r>
      <w:r w:rsidRPr="00AE21F6">
        <w:rPr>
          <w:rStyle w:val="stylenumberedparagraphs11ptchar"/>
          <w:snapToGrid w:val="0"/>
          <w:sz w:val="20"/>
        </w:rPr>
        <w:t>e</w:t>
      </w:r>
      <w:r>
        <w:rPr>
          <w:rStyle w:val="stylenumberedparagraphs11ptchar"/>
          <w:snapToGrid w:val="0"/>
          <w:sz w:val="20"/>
        </w:rPr>
        <w:t>nsure</w:t>
      </w:r>
      <w:r w:rsidRPr="00AE21F6">
        <w:rPr>
          <w:rStyle w:val="stylenumberedparagraphs11ptchar"/>
          <w:snapToGrid w:val="0"/>
          <w:sz w:val="20"/>
        </w:rPr>
        <w:t xml:space="preserve"> </w:t>
      </w:r>
      <w:r w:rsidRPr="00AE21F6">
        <w:rPr>
          <w:snapToGrid w:val="0"/>
          <w:sz w:val="20"/>
        </w:rPr>
        <w:t>affordable access to high-speed broadband sufficient to support digital learning in schools and robust connectivity for all libraries</w:t>
      </w:r>
      <w:r w:rsidRPr="00AE21F6">
        <w:rPr>
          <w:rFonts w:eastAsia="Calibri"/>
          <w:bCs/>
          <w:sz w:val="20"/>
        </w:rPr>
        <w:t xml:space="preserve">.  </w:t>
      </w:r>
      <w:r w:rsidR="00AD7B71">
        <w:rPr>
          <w:i/>
          <w:sz w:val="20"/>
        </w:rPr>
        <w:t>Id.</w:t>
      </w:r>
      <w:r w:rsidRPr="002E788C">
        <w:rPr>
          <w:i/>
          <w:sz w:val="20"/>
        </w:rPr>
        <w:t xml:space="preserve"> </w:t>
      </w:r>
      <w:r w:rsidRPr="002E788C">
        <w:rPr>
          <w:sz w:val="20"/>
        </w:rPr>
        <w:t xml:space="preserve">at para. </w:t>
      </w:r>
      <w:r>
        <w:rPr>
          <w:sz w:val="20"/>
        </w:rPr>
        <w:t>26</w:t>
      </w:r>
      <w:r w:rsidRPr="002E788C">
        <w:rPr>
          <w:sz w:val="20"/>
        </w:rPr>
        <w:t xml:space="preserve">.  </w:t>
      </w:r>
    </w:p>
  </w:footnote>
  <w:footnote w:id="5">
    <w:p w:rsidR="00F01EF6" w:rsidRDefault="00F01EF6" w:rsidP="001E6A7E">
      <w:pPr>
        <w:pStyle w:val="FootnoteText"/>
        <w:spacing w:after="120"/>
      </w:pPr>
      <w:r>
        <w:rPr>
          <w:rStyle w:val="FootnoteReference"/>
        </w:rPr>
        <w:footnoteRef/>
      </w:r>
      <w:r>
        <w:t xml:space="preserve"> </w:t>
      </w:r>
      <w:r>
        <w:rPr>
          <w:i/>
          <w:sz w:val="20"/>
        </w:rPr>
        <w:t xml:space="preserve">Id. </w:t>
      </w:r>
      <w:r>
        <w:rPr>
          <w:sz w:val="20"/>
        </w:rPr>
        <w:t xml:space="preserve">at para. 150 </w:t>
      </w:r>
      <w:r w:rsidRPr="006E070F">
        <w:rPr>
          <w:sz w:val="20"/>
        </w:rPr>
        <w:t>(</w:t>
      </w:r>
      <w:r w:rsidRPr="006F410F">
        <w:rPr>
          <w:sz w:val="20"/>
        </w:rPr>
        <w:t>eliminating E-rate support for e-mail, web hosting, and voicemail beginning in funding year 2015 and deleting the reference to “electronic mail services” in section 54.5).</w:t>
      </w:r>
    </w:p>
  </w:footnote>
  <w:footnote w:id="6">
    <w:p w:rsidR="00F01EF6" w:rsidRPr="006F410F" w:rsidRDefault="00F01EF6" w:rsidP="001E6A7E">
      <w:pPr>
        <w:pStyle w:val="FootnoteText"/>
        <w:spacing w:after="120"/>
        <w:rPr>
          <w:sz w:val="20"/>
        </w:rPr>
      </w:pPr>
      <w:r w:rsidRPr="006F410F">
        <w:rPr>
          <w:rStyle w:val="FootnoteReference"/>
          <w:sz w:val="20"/>
        </w:rPr>
        <w:footnoteRef/>
      </w:r>
      <w:r w:rsidRPr="006F410F">
        <w:rPr>
          <w:sz w:val="20"/>
        </w:rPr>
        <w:t xml:space="preserve"> </w:t>
      </w:r>
      <w:r w:rsidRPr="006F410F">
        <w:rPr>
          <w:i/>
          <w:sz w:val="20"/>
        </w:rPr>
        <w:t xml:space="preserve">Id. </w:t>
      </w:r>
      <w:r w:rsidRPr="006F410F">
        <w:rPr>
          <w:sz w:val="20"/>
        </w:rPr>
        <w:t>at</w:t>
      </w:r>
      <w:r>
        <w:rPr>
          <w:sz w:val="20"/>
        </w:rPr>
        <w:t xml:space="preserve"> paras</w:t>
      </w:r>
      <w:r w:rsidRPr="006F410F">
        <w:rPr>
          <w:sz w:val="20"/>
        </w:rPr>
        <w:t xml:space="preserve"> </w:t>
      </w:r>
      <w:r>
        <w:rPr>
          <w:sz w:val="20"/>
        </w:rPr>
        <w:t>146-147</w:t>
      </w:r>
      <w:r w:rsidRPr="006F410F">
        <w:rPr>
          <w:sz w:val="20"/>
        </w:rPr>
        <w:t>.</w:t>
      </w:r>
    </w:p>
  </w:footnote>
  <w:footnote w:id="7">
    <w:p w:rsidR="00F01EF6" w:rsidRPr="00061243" w:rsidRDefault="00F01EF6" w:rsidP="00F7025A">
      <w:pPr>
        <w:pStyle w:val="FootnoteText"/>
        <w:spacing w:after="120"/>
      </w:pPr>
      <w:r w:rsidRPr="00CB4FFE">
        <w:rPr>
          <w:rStyle w:val="FootnoteReference"/>
          <w:sz w:val="20"/>
        </w:rPr>
        <w:footnoteRef/>
      </w:r>
      <w:r w:rsidRPr="00CB4FFE">
        <w:rPr>
          <w:sz w:val="20"/>
        </w:rPr>
        <w:t xml:space="preserve"> </w:t>
      </w:r>
      <w:r>
        <w:rPr>
          <w:i/>
          <w:sz w:val="20"/>
        </w:rPr>
        <w:t xml:space="preserve">Id. </w:t>
      </w:r>
      <w:r w:rsidRPr="00CB4FFE">
        <w:rPr>
          <w:sz w:val="20"/>
        </w:rPr>
        <w:t xml:space="preserve">at paras. </w:t>
      </w:r>
      <w:r>
        <w:rPr>
          <w:sz w:val="20"/>
        </w:rPr>
        <w:t xml:space="preserve">135-143 and 151-153 (describing the voice phase down and deciding that E-rate </w:t>
      </w:r>
      <w:r w:rsidRPr="00CB4FFE">
        <w:rPr>
          <w:sz w:val="20"/>
        </w:rPr>
        <w:t xml:space="preserve">funding for individual data plans or air cards for individual users </w:t>
      </w:r>
      <w:r>
        <w:rPr>
          <w:sz w:val="20"/>
        </w:rPr>
        <w:t xml:space="preserve">is not </w:t>
      </w:r>
      <w:r w:rsidRPr="00CB4FFE">
        <w:rPr>
          <w:sz w:val="20"/>
        </w:rPr>
        <w:t xml:space="preserve">cost effective when users </w:t>
      </w:r>
      <w:r>
        <w:rPr>
          <w:sz w:val="20"/>
        </w:rPr>
        <w:t xml:space="preserve">of those services </w:t>
      </w:r>
      <w:r w:rsidRPr="00CB4FFE">
        <w:rPr>
          <w:sz w:val="20"/>
        </w:rPr>
        <w:t xml:space="preserve">can already access the Internet through internal wireless broadband networks on wireless-enabled devices without the help of stand-alone data plans or air cards).  </w:t>
      </w:r>
    </w:p>
  </w:footnote>
  <w:footnote w:id="8">
    <w:p w:rsidR="00F01EF6" w:rsidRPr="00CB4FFE" w:rsidRDefault="00F01EF6" w:rsidP="001E6A7E">
      <w:pPr>
        <w:pStyle w:val="FootnoteText"/>
        <w:spacing w:after="120"/>
        <w:rPr>
          <w:sz w:val="20"/>
        </w:rPr>
      </w:pPr>
      <w:r w:rsidRPr="00E24CAE">
        <w:rPr>
          <w:rStyle w:val="FootnoteReference"/>
          <w:sz w:val="20"/>
        </w:rPr>
        <w:footnoteRef/>
      </w:r>
      <w:r w:rsidRPr="00E24CAE">
        <w:rPr>
          <w:sz w:val="20"/>
        </w:rPr>
        <w:t xml:space="preserve"> </w:t>
      </w:r>
      <w:r>
        <w:rPr>
          <w:i/>
          <w:sz w:val="20"/>
        </w:rPr>
        <w:t xml:space="preserve">Id. </w:t>
      </w:r>
      <w:r w:rsidRPr="00E24CAE">
        <w:rPr>
          <w:sz w:val="20"/>
        </w:rPr>
        <w:t>at paras.</w:t>
      </w:r>
      <w:r>
        <w:rPr>
          <w:sz w:val="20"/>
        </w:rPr>
        <w:t>119-121</w:t>
      </w:r>
      <w:r w:rsidRPr="00E24CAE">
        <w:rPr>
          <w:sz w:val="20"/>
        </w:rPr>
        <w:t xml:space="preserve"> (deciding that the following internal connections components will no longer be eligible for E-rate funding: Circuit Cards/Components; Interfaces, Gateways, Antennas; Servers; Software; Storage Devices; Telephone Components; Video </w:t>
      </w:r>
      <w:r w:rsidRPr="00CB4FFE">
        <w:rPr>
          <w:sz w:val="20"/>
        </w:rPr>
        <w:t>Components; Voice over IP or video over IP components).</w:t>
      </w:r>
    </w:p>
  </w:footnote>
  <w:footnote w:id="9">
    <w:p w:rsidR="00F01EF6" w:rsidRDefault="00F01EF6" w:rsidP="001E6A7E">
      <w:pPr>
        <w:pStyle w:val="FootnoteText"/>
        <w:spacing w:after="120"/>
      </w:pPr>
      <w:r>
        <w:rPr>
          <w:rStyle w:val="FootnoteReference"/>
        </w:rPr>
        <w:footnoteRef/>
      </w:r>
      <w:r>
        <w:t xml:space="preserve"> </w:t>
      </w:r>
      <w:r w:rsidRPr="006F410F">
        <w:rPr>
          <w:i/>
          <w:sz w:val="20"/>
        </w:rPr>
        <w:t>Id.</w:t>
      </w:r>
      <w:r>
        <w:rPr>
          <w:i/>
        </w:rPr>
        <w:t xml:space="preserve"> </w:t>
      </w:r>
      <w:r w:rsidRPr="00E24CAE">
        <w:rPr>
          <w:sz w:val="20"/>
        </w:rPr>
        <w:t>at paras.</w:t>
      </w:r>
      <w:r>
        <w:rPr>
          <w:sz w:val="20"/>
        </w:rPr>
        <w:t>130-131 (designating caching functionality as a supported service for funding years 2015 and 2016).</w:t>
      </w:r>
    </w:p>
  </w:footnote>
  <w:footnote w:id="10">
    <w:p w:rsidR="00F01EF6" w:rsidRDefault="00F01EF6" w:rsidP="000719B2">
      <w:pPr>
        <w:pStyle w:val="FootnoteText"/>
        <w:spacing w:after="120"/>
      </w:pPr>
      <w:r>
        <w:rPr>
          <w:rStyle w:val="FootnoteReference"/>
        </w:rPr>
        <w:footnoteRef/>
      </w:r>
      <w:r>
        <w:t xml:space="preserve"> </w:t>
      </w:r>
      <w:r>
        <w:rPr>
          <w:i/>
          <w:sz w:val="20"/>
        </w:rPr>
        <w:t xml:space="preserve">See, e.g., </w:t>
      </w:r>
      <w:r w:rsidRPr="00D341A4">
        <w:rPr>
          <w:sz w:val="20"/>
        </w:rPr>
        <w:t>Comments of State E-rate Coordinators Alliance to Public Notice (DA 13-1513) Draft Eligible Services List for Schools and Libraries Universal Service Program</w:t>
      </w:r>
      <w:r w:rsidR="00AD7B71">
        <w:rPr>
          <w:sz w:val="20"/>
        </w:rPr>
        <w:t>, CC Docket No. 02-6,</w:t>
      </w:r>
      <w:r>
        <w:rPr>
          <w:sz w:val="20"/>
        </w:rPr>
        <w:t xml:space="preserve"> at </w:t>
      </w:r>
      <w:r w:rsidRPr="00756AE0">
        <w:rPr>
          <w:sz w:val="20"/>
        </w:rPr>
        <w:t>5</w:t>
      </w:r>
      <w:r w:rsidR="00AD7B71">
        <w:rPr>
          <w:sz w:val="20"/>
        </w:rPr>
        <w:t xml:space="preserve"> (filed Aug. 2, 2013)</w:t>
      </w:r>
      <w:r>
        <w:t xml:space="preserve"> (</w:t>
      </w:r>
      <w:r w:rsidRPr="00756AE0">
        <w:rPr>
          <w:sz w:val="20"/>
        </w:rPr>
        <w:t>stating that schools</w:t>
      </w:r>
      <w:r w:rsidRPr="009C63C7">
        <w:rPr>
          <w:sz w:val="20"/>
        </w:rPr>
        <w:t xml:space="preserve"> and libraries </w:t>
      </w:r>
      <w:r>
        <w:rPr>
          <w:sz w:val="20"/>
        </w:rPr>
        <w:t xml:space="preserve">often </w:t>
      </w:r>
      <w:r w:rsidRPr="009C63C7">
        <w:rPr>
          <w:sz w:val="20"/>
        </w:rPr>
        <w:t>purchase the equipment from the manufacturer or reseller o</w:t>
      </w:r>
      <w:r>
        <w:rPr>
          <w:sz w:val="20"/>
        </w:rPr>
        <w:t xml:space="preserve">nline and have it drop-shipped, and then contract with </w:t>
      </w:r>
      <w:r w:rsidRPr="009C63C7">
        <w:rPr>
          <w:sz w:val="20"/>
        </w:rPr>
        <w:t>a local firm to perform the installation</w:t>
      </w:r>
      <w:r>
        <w:rPr>
          <w:sz w:val="20"/>
        </w:rPr>
        <w:t>).</w:t>
      </w:r>
    </w:p>
  </w:footnote>
  <w:footnote w:id="11">
    <w:p w:rsidR="00F01EF6" w:rsidRDefault="00F01EF6" w:rsidP="000719B2">
      <w:pPr>
        <w:pStyle w:val="FootnoteText"/>
        <w:spacing w:after="120"/>
      </w:pPr>
      <w:r>
        <w:rPr>
          <w:rStyle w:val="FootnoteReference"/>
        </w:rPr>
        <w:footnoteRef/>
      </w:r>
      <w:r>
        <w:t xml:space="preserve"> </w:t>
      </w:r>
      <w:r w:rsidRPr="00AE21F6">
        <w:rPr>
          <w:sz w:val="20"/>
        </w:rPr>
        <w:t>The Commission’</w:t>
      </w:r>
      <w:r>
        <w:rPr>
          <w:sz w:val="20"/>
        </w:rPr>
        <w:t>s third</w:t>
      </w:r>
      <w:r w:rsidRPr="00AE21F6">
        <w:rPr>
          <w:sz w:val="20"/>
        </w:rPr>
        <w:t xml:space="preserve"> goal in the </w:t>
      </w:r>
      <w:r w:rsidRPr="00AE21F6">
        <w:rPr>
          <w:rFonts w:eastAsia="Calibri"/>
          <w:bCs/>
          <w:i/>
          <w:sz w:val="20"/>
        </w:rPr>
        <w:t xml:space="preserve">E-rate Modernization </w:t>
      </w:r>
      <w:r w:rsidRPr="007644E3">
        <w:rPr>
          <w:rFonts w:eastAsia="Calibri"/>
          <w:bCs/>
          <w:i/>
          <w:sz w:val="20"/>
        </w:rPr>
        <w:t>Order</w:t>
      </w:r>
      <w:r w:rsidRPr="007644E3">
        <w:rPr>
          <w:rStyle w:val="stylenumberedparagraphs11ptchar"/>
          <w:snapToGrid w:val="0"/>
          <w:sz w:val="20"/>
        </w:rPr>
        <w:t xml:space="preserve"> is </w:t>
      </w:r>
      <w:r w:rsidRPr="007644E3">
        <w:rPr>
          <w:sz w:val="20"/>
        </w:rPr>
        <w:t xml:space="preserve">to </w:t>
      </w:r>
      <w:r w:rsidRPr="007644E3">
        <w:rPr>
          <w:rStyle w:val="stylenumberedparagraphs11ptchar"/>
          <w:sz w:val="20"/>
        </w:rPr>
        <w:t>m</w:t>
      </w:r>
      <w:r w:rsidRPr="007644E3">
        <w:rPr>
          <w:sz w:val="20"/>
        </w:rPr>
        <w:t>ake the E-rate application process and other E-rate processes fast, simple and efficient.</w:t>
      </w:r>
      <w:r>
        <w:rPr>
          <w:szCs w:val="22"/>
        </w:rPr>
        <w:t xml:space="preserve">  </w:t>
      </w:r>
      <w:r w:rsidRPr="002E788C">
        <w:rPr>
          <w:i/>
          <w:sz w:val="20"/>
        </w:rPr>
        <w:t>E-rate Modernization Order</w:t>
      </w:r>
      <w:r>
        <w:rPr>
          <w:sz w:val="20"/>
        </w:rPr>
        <w:t>, FCC 14-99,</w:t>
      </w:r>
      <w:r w:rsidRPr="002E788C">
        <w:rPr>
          <w:i/>
          <w:sz w:val="20"/>
        </w:rPr>
        <w:t xml:space="preserve"> </w:t>
      </w:r>
      <w:r w:rsidRPr="002E788C">
        <w:rPr>
          <w:sz w:val="20"/>
        </w:rPr>
        <w:t xml:space="preserve">at para. </w:t>
      </w:r>
      <w:r>
        <w:rPr>
          <w:sz w:val="20"/>
        </w:rPr>
        <w:t>187</w:t>
      </w:r>
      <w:r w:rsidRPr="002E788C">
        <w:rPr>
          <w:sz w:val="20"/>
        </w:rPr>
        <w:t xml:space="preserve">.  </w:t>
      </w:r>
    </w:p>
  </w:footnote>
  <w:footnote w:id="12">
    <w:p w:rsidR="00F01EF6" w:rsidRPr="000F0323" w:rsidRDefault="00F01EF6" w:rsidP="000719B2">
      <w:pPr>
        <w:pStyle w:val="FootnoteText"/>
        <w:spacing w:after="120"/>
      </w:pPr>
      <w:r>
        <w:rPr>
          <w:rStyle w:val="FootnoteReference"/>
        </w:rPr>
        <w:footnoteRef/>
      </w:r>
      <w:r>
        <w:t xml:space="preserve"> </w:t>
      </w:r>
      <w:r w:rsidRPr="006F410F">
        <w:rPr>
          <w:i/>
          <w:sz w:val="20"/>
        </w:rPr>
        <w:t xml:space="preserve">See </w:t>
      </w:r>
      <w:r w:rsidRPr="006F410F">
        <w:rPr>
          <w:sz w:val="20"/>
        </w:rPr>
        <w:t>USAC, Schools and Libraries Universal Service Support Mechanism, Eligible Services List</w:t>
      </w:r>
      <w:r w:rsidR="00AD7B71">
        <w:rPr>
          <w:sz w:val="20"/>
        </w:rPr>
        <w:t xml:space="preserve"> (rel. </w:t>
      </w:r>
      <w:r w:rsidR="00AD7B71" w:rsidRPr="00AD7B71">
        <w:rPr>
          <w:sz w:val="20"/>
        </w:rPr>
        <w:t>Oct</w:t>
      </w:r>
      <w:r w:rsidR="00AD7B71">
        <w:rPr>
          <w:sz w:val="20"/>
        </w:rPr>
        <w:t>.</w:t>
      </w:r>
      <w:r w:rsidR="00AD7B71" w:rsidRPr="00AD7B71">
        <w:rPr>
          <w:sz w:val="20"/>
        </w:rPr>
        <w:t xml:space="preserve"> 22, 2013</w:t>
      </w:r>
      <w:r w:rsidR="00AD7B71">
        <w:rPr>
          <w:sz w:val="20"/>
        </w:rPr>
        <w:t>)</w:t>
      </w:r>
      <w:r w:rsidRPr="006F410F">
        <w:rPr>
          <w:sz w:val="20"/>
        </w:rPr>
        <w:t>, http://www.usac.org/_res/documents/sl/pdf/ESL_archive/EligibleServicesList-2014.pdf</w:t>
      </w:r>
      <w:r>
        <w:rPr>
          <w:sz w:val="20"/>
        </w:rPr>
        <w:t>,</w:t>
      </w:r>
      <w:r w:rsidRPr="006F410F">
        <w:rPr>
          <w:sz w:val="20"/>
        </w:rPr>
        <w:t xml:space="preserve"> at 2-4 </w:t>
      </w:r>
      <w:r>
        <w:rPr>
          <w:sz w:val="20"/>
        </w:rPr>
        <w:t>(</w:t>
      </w:r>
      <w:r>
        <w:rPr>
          <w:i/>
          <w:sz w:val="20"/>
        </w:rPr>
        <w:t>2014 ESL</w:t>
      </w:r>
      <w:r>
        <w:rPr>
          <w:sz w:val="20"/>
        </w:rPr>
        <w:t>)</w:t>
      </w:r>
      <w:r w:rsidRPr="006F410F">
        <w:rPr>
          <w:sz w:val="20"/>
        </w:rPr>
        <w:t>.</w:t>
      </w:r>
    </w:p>
  </w:footnote>
  <w:footnote w:id="13">
    <w:p w:rsidR="00F01EF6" w:rsidRPr="00055299" w:rsidRDefault="00F01EF6" w:rsidP="000719B2">
      <w:pPr>
        <w:pStyle w:val="FootnoteText"/>
        <w:spacing w:after="120"/>
        <w:rPr>
          <w:sz w:val="20"/>
        </w:rPr>
      </w:pPr>
      <w:r w:rsidRPr="00055299">
        <w:rPr>
          <w:rStyle w:val="FootnoteReference"/>
          <w:sz w:val="20"/>
        </w:rPr>
        <w:footnoteRef/>
      </w:r>
      <w:r>
        <w:rPr>
          <w:sz w:val="20"/>
        </w:rPr>
        <w:t xml:space="preserve"> </w:t>
      </w:r>
      <w:r w:rsidRPr="0054746E">
        <w:rPr>
          <w:sz w:val="20"/>
        </w:rPr>
        <w:t>47 C.F.R. § 54.502</w:t>
      </w:r>
      <w:r>
        <w:rPr>
          <w:sz w:val="20"/>
        </w:rPr>
        <w:t>(a) (stating that all supported services are listed in the ESL).</w:t>
      </w:r>
    </w:p>
  </w:footnote>
  <w:footnote w:id="14">
    <w:p w:rsidR="00F01EF6" w:rsidRPr="000719B2" w:rsidRDefault="00F01EF6" w:rsidP="000719B2">
      <w:pPr>
        <w:pStyle w:val="FootnoteText"/>
        <w:spacing w:after="120"/>
        <w:rPr>
          <w:sz w:val="20"/>
        </w:rPr>
      </w:pPr>
      <w:r>
        <w:rPr>
          <w:rStyle w:val="FootnoteReference"/>
        </w:rPr>
        <w:footnoteRef/>
      </w:r>
      <w:r>
        <w:t xml:space="preserve"> </w:t>
      </w:r>
      <w:r>
        <w:rPr>
          <w:i/>
          <w:sz w:val="20"/>
        </w:rPr>
        <w:t xml:space="preserve">2014 ESL </w:t>
      </w:r>
      <w:r>
        <w:rPr>
          <w:sz w:val="20"/>
        </w:rPr>
        <w:t>at 2-5.</w:t>
      </w:r>
    </w:p>
  </w:footnote>
  <w:footnote w:id="15">
    <w:p w:rsidR="00F01EF6" w:rsidRPr="000719B2" w:rsidRDefault="00F01EF6" w:rsidP="000719B2">
      <w:pPr>
        <w:pStyle w:val="FootnoteText"/>
        <w:spacing w:after="120"/>
      </w:pPr>
      <w:r>
        <w:rPr>
          <w:rStyle w:val="FootnoteReference"/>
        </w:rPr>
        <w:footnoteRef/>
      </w:r>
      <w:r>
        <w:t xml:space="preserve"> </w:t>
      </w:r>
      <w:r w:rsidRPr="000719B2">
        <w:rPr>
          <w:i/>
          <w:sz w:val="20"/>
        </w:rPr>
        <w:t xml:space="preserve">Id. </w:t>
      </w:r>
      <w:r w:rsidRPr="000719B2">
        <w:rPr>
          <w:sz w:val="20"/>
        </w:rPr>
        <w:t>at 2-3, 6.</w:t>
      </w:r>
    </w:p>
  </w:footnote>
  <w:footnote w:id="16">
    <w:p w:rsidR="00F01EF6" w:rsidRPr="000050CB" w:rsidRDefault="00F01EF6" w:rsidP="001E6A7E">
      <w:pPr>
        <w:pStyle w:val="FootnoteText"/>
        <w:spacing w:after="120"/>
      </w:pPr>
      <w:r>
        <w:rPr>
          <w:rStyle w:val="FootnoteReference"/>
        </w:rPr>
        <w:footnoteRef/>
      </w:r>
      <w:r>
        <w:t xml:space="preserve"> </w:t>
      </w:r>
      <w:r w:rsidRPr="000050CB">
        <w:rPr>
          <w:i/>
          <w:sz w:val="20"/>
        </w:rPr>
        <w:t xml:space="preserve">See, e.g., </w:t>
      </w:r>
      <w:r w:rsidRPr="000050CB">
        <w:rPr>
          <w:sz w:val="20"/>
        </w:rPr>
        <w:t xml:space="preserve">USAC, Before You Begin, Cost Allocations for Services, </w:t>
      </w:r>
      <w:r w:rsidRPr="00AD7B71">
        <w:rPr>
          <w:sz w:val="20"/>
        </w:rPr>
        <w:t>http://www.usac.org/sl/applicants/beforeyoubegin/eligible-services/cost-allocations.aspx</w:t>
      </w:r>
      <w:r>
        <w:rPr>
          <w:sz w:val="20"/>
        </w:rPr>
        <w:t xml:space="preserve"> (last visited Jul. 29, 2014).  Other than the ESL, documents on USAC’s website </w:t>
      </w:r>
      <w:r w:rsidRPr="005217AE">
        <w:rPr>
          <w:sz w:val="20"/>
        </w:rPr>
        <w:t xml:space="preserve">should not be used to determine eligibility for E-rate discounts, </w:t>
      </w:r>
      <w:r>
        <w:rPr>
          <w:sz w:val="20"/>
        </w:rPr>
        <w:t xml:space="preserve">but such documents </w:t>
      </w:r>
      <w:r w:rsidRPr="005217AE">
        <w:rPr>
          <w:sz w:val="20"/>
        </w:rPr>
        <w:t>may be used for guidance.</w:t>
      </w:r>
    </w:p>
  </w:footnote>
  <w:footnote w:id="17">
    <w:p w:rsidR="00F01EF6" w:rsidRPr="00055299" w:rsidRDefault="00F01EF6" w:rsidP="001E6A7E">
      <w:pPr>
        <w:pStyle w:val="FootnoteText"/>
        <w:spacing w:after="120"/>
        <w:rPr>
          <w:sz w:val="20"/>
        </w:rPr>
      </w:pPr>
      <w:r w:rsidRPr="00055299">
        <w:rPr>
          <w:rStyle w:val="FootnoteReference"/>
          <w:sz w:val="20"/>
        </w:rPr>
        <w:footnoteRef/>
      </w:r>
      <w:r w:rsidRPr="00055299">
        <w:rPr>
          <w:sz w:val="20"/>
        </w:rPr>
        <w:t xml:space="preserve"> This is similar to what USAC does for its list of E-rate program “Acronyms and Terms” which is currently posted in the Reference Area of the Schools and Libraries portion of its website.  </w:t>
      </w:r>
      <w:r w:rsidRPr="00055299">
        <w:rPr>
          <w:i/>
          <w:sz w:val="20"/>
        </w:rPr>
        <w:t xml:space="preserve">See </w:t>
      </w:r>
      <w:r w:rsidRPr="00055299">
        <w:rPr>
          <w:sz w:val="20"/>
        </w:rPr>
        <w:t xml:space="preserve">USAC website, Reference Area, Acronyms and Terms, </w:t>
      </w:r>
      <w:r w:rsidRPr="00AD7B71">
        <w:rPr>
          <w:sz w:val="20"/>
        </w:rPr>
        <w:t>http://www.usac.org/_res/documents/sl/pdf/handouts/SL-Glossary-of-Terms.pdf</w:t>
      </w:r>
      <w:r w:rsidRPr="00055299">
        <w:rPr>
          <w:i/>
          <w:sz w:val="20"/>
        </w:rPr>
        <w:t xml:space="preserve"> </w:t>
      </w:r>
      <w:r w:rsidRPr="00055299">
        <w:rPr>
          <w:sz w:val="20"/>
        </w:rPr>
        <w:t>(last visited Ju</w:t>
      </w:r>
      <w:r>
        <w:rPr>
          <w:sz w:val="20"/>
        </w:rPr>
        <w:t>l</w:t>
      </w:r>
      <w:r w:rsidR="00163C4C">
        <w:rPr>
          <w:sz w:val="20"/>
        </w:rPr>
        <w:t>.</w:t>
      </w:r>
      <w:r>
        <w:rPr>
          <w:sz w:val="20"/>
        </w:rPr>
        <w:t xml:space="preserve"> 21</w:t>
      </w:r>
      <w:r w:rsidRPr="00055299">
        <w:rPr>
          <w:sz w:val="20"/>
        </w:rPr>
        <w:t>, 2014).</w:t>
      </w:r>
    </w:p>
  </w:footnote>
  <w:footnote w:id="18">
    <w:p w:rsidR="00F01EF6" w:rsidRPr="0054746E" w:rsidRDefault="00F01EF6" w:rsidP="001E6A7E">
      <w:pPr>
        <w:pStyle w:val="FootnoteText"/>
        <w:spacing w:after="120"/>
        <w:rPr>
          <w:sz w:val="20"/>
        </w:rPr>
      </w:pPr>
      <w:r w:rsidRPr="0054746E">
        <w:rPr>
          <w:rStyle w:val="FootnoteReference"/>
          <w:sz w:val="20"/>
        </w:rPr>
        <w:footnoteRef/>
      </w:r>
      <w:r w:rsidRPr="0054746E">
        <w:rPr>
          <w:sz w:val="20"/>
        </w:rPr>
        <w:t xml:space="preserve"> 47 C.F.R. §§ 1.415, 1.419.</w:t>
      </w:r>
    </w:p>
  </w:footnote>
  <w:footnote w:id="19">
    <w:p w:rsidR="00F01EF6" w:rsidRPr="0054746E" w:rsidRDefault="00F01EF6" w:rsidP="001E6A7E">
      <w:pPr>
        <w:pStyle w:val="FootnoteText"/>
        <w:spacing w:after="120"/>
        <w:rPr>
          <w:sz w:val="20"/>
        </w:rPr>
      </w:pPr>
      <w:r w:rsidRPr="0054746E">
        <w:rPr>
          <w:rStyle w:val="FootnoteReference"/>
          <w:sz w:val="20"/>
        </w:rPr>
        <w:footnoteRef/>
      </w:r>
      <w:r w:rsidRPr="0054746E">
        <w:rPr>
          <w:sz w:val="20"/>
        </w:rPr>
        <w:t xml:space="preserve"> </w:t>
      </w:r>
      <w:r w:rsidRPr="0054746E">
        <w:rPr>
          <w:i/>
          <w:sz w:val="20"/>
        </w:rPr>
        <w:t>See Electronic Filing of Documents in Rulemaking Proceedings</w:t>
      </w:r>
      <w:r w:rsidRPr="0054746E">
        <w:rPr>
          <w:sz w:val="20"/>
        </w:rPr>
        <w:t>, 63 FR 24121 (1998).</w:t>
      </w:r>
    </w:p>
  </w:footnote>
  <w:footnote w:id="20">
    <w:p w:rsidR="00F01EF6" w:rsidRPr="0054746E" w:rsidRDefault="00F01EF6" w:rsidP="001E6A7E">
      <w:pPr>
        <w:pStyle w:val="FootnoteText"/>
        <w:spacing w:after="120"/>
        <w:rPr>
          <w:sz w:val="20"/>
        </w:rPr>
      </w:pPr>
      <w:r w:rsidRPr="0054746E">
        <w:rPr>
          <w:rStyle w:val="FootnoteReference"/>
          <w:sz w:val="20"/>
        </w:rPr>
        <w:footnoteRef/>
      </w:r>
      <w:r w:rsidRPr="0054746E">
        <w:rPr>
          <w:sz w:val="20"/>
        </w:rPr>
        <w:t xml:space="preserve"> Documents will generally be available electronically in ASCII, Microsoft Word, and/or Adobe Acrobat.</w:t>
      </w:r>
    </w:p>
  </w:footnote>
  <w:footnote w:id="21">
    <w:p w:rsidR="00F01EF6" w:rsidRDefault="00F01EF6" w:rsidP="007E13C1">
      <w:pPr>
        <w:pStyle w:val="FootnoteText"/>
        <w:spacing w:after="120"/>
        <w:rPr>
          <w:i/>
          <w:iCs/>
        </w:rPr>
      </w:pPr>
      <w:r w:rsidRPr="0054746E">
        <w:rPr>
          <w:rStyle w:val="FootnoteReference"/>
          <w:sz w:val="20"/>
        </w:rPr>
        <w:footnoteRef/>
      </w:r>
      <w:r w:rsidRPr="0054746E">
        <w:rPr>
          <w:sz w:val="20"/>
        </w:rPr>
        <w:t xml:space="preserve"> 47 C.F.R. §§ 1.1200 </w:t>
      </w:r>
      <w:r w:rsidRPr="0054746E">
        <w:rPr>
          <w:i/>
          <w:iCs/>
          <w:sz w:val="20"/>
        </w:rPr>
        <w:t>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E93" w:rsidRDefault="00C11E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E93" w:rsidRDefault="00C11E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6" w:rsidRDefault="00F01EF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4DB1B136" wp14:editId="34E84BF2">
          <wp:simplePos x="0" y="0"/>
          <wp:positionH relativeFrom="column">
            <wp:posOffset>30480</wp:posOffset>
          </wp:positionH>
          <wp:positionV relativeFrom="paragraph">
            <wp:posOffset>107950</wp:posOffset>
          </wp:positionV>
          <wp:extent cx="530225" cy="530225"/>
          <wp:effectExtent l="0" t="0" r="3175" b="3175"/>
          <wp:wrapTopAndBottom/>
          <wp:docPr id="7"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4EB648E6" wp14:editId="42176C0F">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1EF6" w:rsidRDefault="00F01EF6">
                          <w:pPr>
                            <w:rPr>
                              <w:rFonts w:ascii="Arial" w:hAnsi="Arial"/>
                              <w:b/>
                            </w:rPr>
                          </w:pPr>
                          <w:r>
                            <w:rPr>
                              <w:rFonts w:ascii="Arial" w:hAnsi="Arial"/>
                              <w:b/>
                            </w:rPr>
                            <w:t>Federal Communications Commission</w:t>
                          </w:r>
                        </w:p>
                        <w:p w:rsidR="00F01EF6" w:rsidRDefault="00F01EF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01EF6" w:rsidRDefault="00F01EF6">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F01EF6" w:rsidRDefault="00F01EF6">
                    <w:pPr>
                      <w:rPr>
                        <w:rFonts w:ascii="Arial" w:hAnsi="Arial"/>
                        <w:b/>
                      </w:rPr>
                    </w:pPr>
                    <w:r>
                      <w:rPr>
                        <w:rFonts w:ascii="Arial" w:hAnsi="Arial"/>
                        <w:b/>
                      </w:rPr>
                      <w:t>Federal Communications Commission</w:t>
                    </w:r>
                  </w:p>
                  <w:p w:rsidR="00F01EF6" w:rsidRDefault="00F01EF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01EF6" w:rsidRDefault="00F01EF6">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F01EF6" w:rsidRDefault="00F01EF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17994063" wp14:editId="6D47CDA2">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76A8BE7A" wp14:editId="42A04D79">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1EF6" w:rsidRDefault="00F01EF6">
                          <w:pPr>
                            <w:spacing w:before="40"/>
                            <w:jc w:val="right"/>
                            <w:rPr>
                              <w:rFonts w:ascii="Arial" w:hAnsi="Arial"/>
                              <w:b/>
                              <w:sz w:val="16"/>
                            </w:rPr>
                          </w:pPr>
                          <w:r>
                            <w:rPr>
                              <w:rFonts w:ascii="Arial" w:hAnsi="Arial"/>
                              <w:b/>
                              <w:sz w:val="16"/>
                            </w:rPr>
                            <w:t>News Media Information 202 / 418-0500</w:t>
                          </w:r>
                        </w:p>
                        <w:p w:rsidR="00F01EF6" w:rsidRDefault="00F01EF6">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F01EF6" w:rsidRDefault="00F01EF6">
                          <w:pPr>
                            <w:jc w:val="right"/>
                            <w:rPr>
                              <w:rFonts w:ascii="Arial" w:hAnsi="Arial"/>
                              <w:b/>
                              <w:sz w:val="16"/>
                            </w:rPr>
                          </w:pPr>
                          <w:r>
                            <w:rPr>
                              <w:rFonts w:ascii="Arial" w:hAnsi="Arial"/>
                              <w:b/>
                              <w:sz w:val="16"/>
                            </w:rPr>
                            <w:t>TTY: 1-888-835-5322</w:t>
                          </w:r>
                        </w:p>
                        <w:p w:rsidR="00F01EF6" w:rsidRDefault="00F01EF6">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F01EF6" w:rsidRDefault="00F01EF6">
                    <w:pPr>
                      <w:spacing w:before="40"/>
                      <w:jc w:val="right"/>
                      <w:rPr>
                        <w:rFonts w:ascii="Arial" w:hAnsi="Arial"/>
                        <w:b/>
                        <w:sz w:val="16"/>
                      </w:rPr>
                    </w:pPr>
                    <w:r>
                      <w:rPr>
                        <w:rFonts w:ascii="Arial" w:hAnsi="Arial"/>
                        <w:b/>
                        <w:sz w:val="16"/>
                      </w:rPr>
                      <w:t>News Media Information 202 / 418-0500</w:t>
                    </w:r>
                  </w:p>
                  <w:p w:rsidR="00F01EF6" w:rsidRDefault="00F01EF6">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F01EF6" w:rsidRDefault="00F01EF6">
                    <w:pPr>
                      <w:jc w:val="right"/>
                      <w:rPr>
                        <w:rFonts w:ascii="Arial" w:hAnsi="Arial"/>
                        <w:b/>
                        <w:sz w:val="16"/>
                      </w:rPr>
                    </w:pPr>
                    <w:r>
                      <w:rPr>
                        <w:rFonts w:ascii="Arial" w:hAnsi="Arial"/>
                        <w:b/>
                        <w:sz w:val="16"/>
                      </w:rPr>
                      <w:t>TTY: 1-888-835-5322</w:t>
                    </w:r>
                  </w:p>
                  <w:p w:rsidR="00F01EF6" w:rsidRDefault="00F01EF6">
                    <w:pPr>
                      <w:jc w:val="right"/>
                    </w:pPr>
                  </w:p>
                </w:txbxContent>
              </v:textbox>
            </v:shape>
          </w:pict>
        </mc:Fallback>
      </mc:AlternateContent>
    </w:r>
  </w:p>
  <w:p w:rsidR="00F01EF6" w:rsidRDefault="00F01EF6">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6" w:rsidRDefault="00F01EF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6" w:rsidRDefault="00F01EF6" w:rsidP="0080476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6" w:rsidRPr="00FF7FC4" w:rsidRDefault="00F01EF6">
    <w:pPr>
      <w:pStyle w:val="Header"/>
      <w:tabs>
        <w:tab w:val="clear" w:pos="8640"/>
        <w:tab w:val="right" w:pos="9360"/>
      </w:tabs>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77C9"/>
    <w:multiLevelType w:val="hybridMultilevel"/>
    <w:tmpl w:val="6B3A12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D76407"/>
    <w:multiLevelType w:val="hybridMultilevel"/>
    <w:tmpl w:val="C47C6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BD2479"/>
    <w:multiLevelType w:val="hybridMultilevel"/>
    <w:tmpl w:val="5BC02C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B8D6F75"/>
    <w:multiLevelType w:val="hybridMultilevel"/>
    <w:tmpl w:val="D1B6B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60CC45D7"/>
    <w:multiLevelType w:val="hybridMultilevel"/>
    <w:tmpl w:val="FFDA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182925"/>
    <w:multiLevelType w:val="singleLevel"/>
    <w:tmpl w:val="2B582DA0"/>
    <w:lvl w:ilvl="0">
      <w:start w:val="1"/>
      <w:numFmt w:val="decimal"/>
      <w:pStyle w:val="ParaNumCharCharCharCharChar"/>
      <w:lvlText w:val="%1."/>
      <w:lvlJc w:val="left"/>
      <w:pPr>
        <w:tabs>
          <w:tab w:val="num" w:pos="990"/>
        </w:tabs>
        <w:ind w:left="-90" w:firstLine="720"/>
      </w:pPr>
      <w:rPr>
        <w:rFonts w:cs="Times New Roman"/>
        <w:b w:val="0"/>
        <w:sz w:val="24"/>
        <w:szCs w:val="24"/>
      </w:rPr>
    </w:lvl>
  </w:abstractNum>
  <w:abstractNum w:abstractNumId="14">
    <w:nsid w:val="758F490E"/>
    <w:multiLevelType w:val="hybridMultilevel"/>
    <w:tmpl w:val="C4882F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2"/>
  </w:num>
  <w:num w:numId="15">
    <w:abstractNumId w:val="1"/>
  </w:num>
  <w:num w:numId="16">
    <w:abstractNumId w:val="0"/>
  </w:num>
  <w:num w:numId="17">
    <w:abstractNumId w:val="13"/>
  </w:num>
  <w:num w:numId="18">
    <w:abstractNumId w:val="5"/>
  </w:num>
  <w:num w:numId="19">
    <w:abstractNumId w:val="4"/>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A69"/>
    <w:rsid w:val="000050CB"/>
    <w:rsid w:val="0002568E"/>
    <w:rsid w:val="00055299"/>
    <w:rsid w:val="0006033C"/>
    <w:rsid w:val="00060D7F"/>
    <w:rsid w:val="00061243"/>
    <w:rsid w:val="00064250"/>
    <w:rsid w:val="000719B2"/>
    <w:rsid w:val="00073935"/>
    <w:rsid w:val="000910D0"/>
    <w:rsid w:val="000A5416"/>
    <w:rsid w:val="000A5A9D"/>
    <w:rsid w:val="000D3F60"/>
    <w:rsid w:val="000E2B05"/>
    <w:rsid w:val="000E7DFD"/>
    <w:rsid w:val="000F0323"/>
    <w:rsid w:val="0011324D"/>
    <w:rsid w:val="0012043F"/>
    <w:rsid w:val="00121109"/>
    <w:rsid w:val="001239D8"/>
    <w:rsid w:val="0016223B"/>
    <w:rsid w:val="00163C4C"/>
    <w:rsid w:val="001745E4"/>
    <w:rsid w:val="00182E0F"/>
    <w:rsid w:val="00184317"/>
    <w:rsid w:val="001937A7"/>
    <w:rsid w:val="001A07A6"/>
    <w:rsid w:val="001B4BEC"/>
    <w:rsid w:val="001B742C"/>
    <w:rsid w:val="001D2209"/>
    <w:rsid w:val="001D370D"/>
    <w:rsid w:val="001D40CA"/>
    <w:rsid w:val="001E28C2"/>
    <w:rsid w:val="001E6A7E"/>
    <w:rsid w:val="00203954"/>
    <w:rsid w:val="00212E7D"/>
    <w:rsid w:val="00214758"/>
    <w:rsid w:val="00227C8B"/>
    <w:rsid w:val="002351E4"/>
    <w:rsid w:val="00237146"/>
    <w:rsid w:val="00242EB4"/>
    <w:rsid w:val="00244387"/>
    <w:rsid w:val="002478C4"/>
    <w:rsid w:val="002B0DF7"/>
    <w:rsid w:val="002C4DD0"/>
    <w:rsid w:val="002E43F6"/>
    <w:rsid w:val="00362120"/>
    <w:rsid w:val="003745C9"/>
    <w:rsid w:val="003767C2"/>
    <w:rsid w:val="003A06AF"/>
    <w:rsid w:val="003B3CBA"/>
    <w:rsid w:val="003E07F1"/>
    <w:rsid w:val="003F5290"/>
    <w:rsid w:val="004057AB"/>
    <w:rsid w:val="00415917"/>
    <w:rsid w:val="00421A0E"/>
    <w:rsid w:val="00433609"/>
    <w:rsid w:val="00437E60"/>
    <w:rsid w:val="0046264B"/>
    <w:rsid w:val="00462671"/>
    <w:rsid w:val="00471F9E"/>
    <w:rsid w:val="0047603D"/>
    <w:rsid w:val="00486333"/>
    <w:rsid w:val="00490D57"/>
    <w:rsid w:val="00492F13"/>
    <w:rsid w:val="004C5B63"/>
    <w:rsid w:val="004F324F"/>
    <w:rsid w:val="00505A69"/>
    <w:rsid w:val="005217AE"/>
    <w:rsid w:val="00530ED4"/>
    <w:rsid w:val="00536320"/>
    <w:rsid w:val="0054746E"/>
    <w:rsid w:val="005479B5"/>
    <w:rsid w:val="00581DFE"/>
    <w:rsid w:val="005A3B93"/>
    <w:rsid w:val="005B4E06"/>
    <w:rsid w:val="005F421E"/>
    <w:rsid w:val="00600DCF"/>
    <w:rsid w:val="00604E3F"/>
    <w:rsid w:val="00610A4B"/>
    <w:rsid w:val="00626E77"/>
    <w:rsid w:val="0063085C"/>
    <w:rsid w:val="00632B88"/>
    <w:rsid w:val="006432BF"/>
    <w:rsid w:val="00644301"/>
    <w:rsid w:val="00652147"/>
    <w:rsid w:val="0065724B"/>
    <w:rsid w:val="006756D9"/>
    <w:rsid w:val="00676EC6"/>
    <w:rsid w:val="00681E82"/>
    <w:rsid w:val="006A6817"/>
    <w:rsid w:val="006B72E7"/>
    <w:rsid w:val="006D5EBD"/>
    <w:rsid w:val="006D6959"/>
    <w:rsid w:val="006E070F"/>
    <w:rsid w:val="006E2CDC"/>
    <w:rsid w:val="006E75DD"/>
    <w:rsid w:val="006F410F"/>
    <w:rsid w:val="00704A4F"/>
    <w:rsid w:val="00706DF9"/>
    <w:rsid w:val="00715C0C"/>
    <w:rsid w:val="0073171B"/>
    <w:rsid w:val="00742349"/>
    <w:rsid w:val="00750DFB"/>
    <w:rsid w:val="00754168"/>
    <w:rsid w:val="00756AE0"/>
    <w:rsid w:val="007644E3"/>
    <w:rsid w:val="00767093"/>
    <w:rsid w:val="00774C1C"/>
    <w:rsid w:val="0077747A"/>
    <w:rsid w:val="00783C22"/>
    <w:rsid w:val="00786E10"/>
    <w:rsid w:val="007D14E8"/>
    <w:rsid w:val="007D4049"/>
    <w:rsid w:val="007E13C1"/>
    <w:rsid w:val="007E5806"/>
    <w:rsid w:val="007E75E5"/>
    <w:rsid w:val="007F226D"/>
    <w:rsid w:val="007F3262"/>
    <w:rsid w:val="0080476E"/>
    <w:rsid w:val="00815CB3"/>
    <w:rsid w:val="0081643C"/>
    <w:rsid w:val="0082274C"/>
    <w:rsid w:val="00823F0D"/>
    <w:rsid w:val="008602AA"/>
    <w:rsid w:val="008621AB"/>
    <w:rsid w:val="008633BC"/>
    <w:rsid w:val="0086562A"/>
    <w:rsid w:val="00886CDD"/>
    <w:rsid w:val="00893720"/>
    <w:rsid w:val="00893F8F"/>
    <w:rsid w:val="008A3B7B"/>
    <w:rsid w:val="008A6A23"/>
    <w:rsid w:val="008C540E"/>
    <w:rsid w:val="008C7A91"/>
    <w:rsid w:val="008D7D08"/>
    <w:rsid w:val="008E7B47"/>
    <w:rsid w:val="008F192F"/>
    <w:rsid w:val="00907E32"/>
    <w:rsid w:val="00955826"/>
    <w:rsid w:val="009644CF"/>
    <w:rsid w:val="00982E7A"/>
    <w:rsid w:val="0098349B"/>
    <w:rsid w:val="009A2932"/>
    <w:rsid w:val="009B41BB"/>
    <w:rsid w:val="009D1746"/>
    <w:rsid w:val="009E10CE"/>
    <w:rsid w:val="009F168B"/>
    <w:rsid w:val="00A03D75"/>
    <w:rsid w:val="00A12577"/>
    <w:rsid w:val="00A53FAF"/>
    <w:rsid w:val="00A64A78"/>
    <w:rsid w:val="00A71A6C"/>
    <w:rsid w:val="00A83E48"/>
    <w:rsid w:val="00A87336"/>
    <w:rsid w:val="00AA0A16"/>
    <w:rsid w:val="00AD19A9"/>
    <w:rsid w:val="00AD6396"/>
    <w:rsid w:val="00AD7B71"/>
    <w:rsid w:val="00AE21F6"/>
    <w:rsid w:val="00B07F2B"/>
    <w:rsid w:val="00B77ED4"/>
    <w:rsid w:val="00B956E7"/>
    <w:rsid w:val="00B97910"/>
    <w:rsid w:val="00B97CD4"/>
    <w:rsid w:val="00BA1AEE"/>
    <w:rsid w:val="00BB4401"/>
    <w:rsid w:val="00BF7AEE"/>
    <w:rsid w:val="00C11E93"/>
    <w:rsid w:val="00C31773"/>
    <w:rsid w:val="00C342B1"/>
    <w:rsid w:val="00C43BA9"/>
    <w:rsid w:val="00C542EC"/>
    <w:rsid w:val="00C5612B"/>
    <w:rsid w:val="00C623C1"/>
    <w:rsid w:val="00C70B2A"/>
    <w:rsid w:val="00C813A1"/>
    <w:rsid w:val="00CA7FCB"/>
    <w:rsid w:val="00CB4FFE"/>
    <w:rsid w:val="00CC712A"/>
    <w:rsid w:val="00CD32F5"/>
    <w:rsid w:val="00CF5F8F"/>
    <w:rsid w:val="00D059E8"/>
    <w:rsid w:val="00D257AA"/>
    <w:rsid w:val="00D341A4"/>
    <w:rsid w:val="00D37B7C"/>
    <w:rsid w:val="00D60FB1"/>
    <w:rsid w:val="00D806E5"/>
    <w:rsid w:val="00D84C5D"/>
    <w:rsid w:val="00D90F3B"/>
    <w:rsid w:val="00D96384"/>
    <w:rsid w:val="00DA3D11"/>
    <w:rsid w:val="00DC18EA"/>
    <w:rsid w:val="00DC7693"/>
    <w:rsid w:val="00DD1D0D"/>
    <w:rsid w:val="00DE3FF6"/>
    <w:rsid w:val="00DF4F02"/>
    <w:rsid w:val="00DF74C0"/>
    <w:rsid w:val="00E1143D"/>
    <w:rsid w:val="00E12C80"/>
    <w:rsid w:val="00E17FE1"/>
    <w:rsid w:val="00E21D72"/>
    <w:rsid w:val="00E24CAE"/>
    <w:rsid w:val="00E254D4"/>
    <w:rsid w:val="00E34566"/>
    <w:rsid w:val="00E46064"/>
    <w:rsid w:val="00E643FF"/>
    <w:rsid w:val="00E95606"/>
    <w:rsid w:val="00E9787E"/>
    <w:rsid w:val="00F01EF6"/>
    <w:rsid w:val="00F174F8"/>
    <w:rsid w:val="00F4229F"/>
    <w:rsid w:val="00F7025A"/>
    <w:rsid w:val="00F726E3"/>
    <w:rsid w:val="00FA5BA8"/>
    <w:rsid w:val="00FC1090"/>
    <w:rsid w:val="00FC624D"/>
    <w:rsid w:val="00FF3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Footnote Reference1"/>
    <w:basedOn w:val="DefaultParagraphFont"/>
    <w:uiPriority w:val="99"/>
    <w:rPr>
      <w:vertAlign w:val="superscript"/>
    </w:rPr>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ALTS FOOTNOTE,fn,fn Char"/>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stylenumberedparagraphs11ptchar">
    <w:name w:val="stylenumberedparagraphs11ptchar"/>
    <w:rsid w:val="00A03D75"/>
  </w:style>
  <w:style w:type="paragraph" w:customStyle="1" w:styleId="ParaNumCharCharCharCharChar">
    <w:name w:val="ParaNum Char Char Char Char Char"/>
    <w:basedOn w:val="Normal"/>
    <w:rsid w:val="00E1143D"/>
    <w:pPr>
      <w:widowControl w:val="0"/>
      <w:numPr>
        <w:numId w:val="17"/>
      </w:numPr>
      <w:spacing w:after="220"/>
      <w:jc w:val="both"/>
    </w:pPr>
    <w:rPr>
      <w:kern w:val="28"/>
    </w:rPr>
  </w:style>
  <w:style w:type="character" w:customStyle="1" w:styleId="FooterChar">
    <w:name w:val="Footer Char"/>
    <w:basedOn w:val="DefaultParagraphFont"/>
    <w:link w:val="Footer"/>
    <w:uiPriority w:val="99"/>
    <w:rsid w:val="000A5416"/>
    <w:rPr>
      <w:sz w:val="22"/>
    </w:rPr>
  </w:style>
  <w:style w:type="character" w:customStyle="1" w:styleId="FootnoteTextChar">
    <w:name w:val="Footnote Text Char"/>
    <w:aliases w:val="Footnote Text Char1 Char1,ALTS FOOTNOTE Char1 Char1,fn Char1 Char1,Footnote Text Char Char Char1,ALTS FOOTNOTE Char Char Char1,fn Char Char Char1,Footnote Text Char1 Char Char Char1,Footnote Text Char Char Char Char Char1,fn Char2"/>
    <w:basedOn w:val="DefaultParagraphFont"/>
    <w:link w:val="FootnoteText"/>
    <w:semiHidden/>
    <w:rsid w:val="00E24CAE"/>
    <w:rPr>
      <w:sz w:val="22"/>
    </w:rPr>
  </w:style>
  <w:style w:type="paragraph" w:styleId="BalloonText">
    <w:name w:val="Balloon Text"/>
    <w:basedOn w:val="Normal"/>
    <w:link w:val="BalloonTextChar"/>
    <w:uiPriority w:val="99"/>
    <w:semiHidden/>
    <w:unhideWhenUsed/>
    <w:rsid w:val="00AE21F6"/>
    <w:rPr>
      <w:rFonts w:ascii="Tahoma" w:hAnsi="Tahoma" w:cs="Tahoma"/>
      <w:sz w:val="16"/>
      <w:szCs w:val="16"/>
    </w:rPr>
  </w:style>
  <w:style w:type="character" w:customStyle="1" w:styleId="BalloonTextChar">
    <w:name w:val="Balloon Text Char"/>
    <w:basedOn w:val="DefaultParagraphFont"/>
    <w:link w:val="BalloonText"/>
    <w:uiPriority w:val="99"/>
    <w:semiHidden/>
    <w:rsid w:val="00AE21F6"/>
    <w:rPr>
      <w:rFonts w:ascii="Tahoma" w:hAnsi="Tahoma" w:cs="Tahoma"/>
      <w:sz w:val="16"/>
      <w:szCs w:val="16"/>
    </w:rPr>
  </w:style>
  <w:style w:type="character" w:styleId="CommentReference">
    <w:name w:val="annotation reference"/>
    <w:basedOn w:val="DefaultParagraphFont"/>
    <w:uiPriority w:val="99"/>
    <w:semiHidden/>
    <w:unhideWhenUsed/>
    <w:rsid w:val="00604E3F"/>
    <w:rPr>
      <w:sz w:val="16"/>
      <w:szCs w:val="16"/>
    </w:rPr>
  </w:style>
  <w:style w:type="paragraph" w:styleId="CommentText">
    <w:name w:val="annotation text"/>
    <w:basedOn w:val="Normal"/>
    <w:link w:val="CommentTextChar"/>
    <w:uiPriority w:val="99"/>
    <w:unhideWhenUsed/>
    <w:rsid w:val="00604E3F"/>
    <w:rPr>
      <w:sz w:val="20"/>
    </w:rPr>
  </w:style>
  <w:style w:type="character" w:customStyle="1" w:styleId="CommentTextChar">
    <w:name w:val="Comment Text Char"/>
    <w:basedOn w:val="DefaultParagraphFont"/>
    <w:link w:val="CommentText"/>
    <w:uiPriority w:val="99"/>
    <w:rsid w:val="00604E3F"/>
  </w:style>
  <w:style w:type="paragraph" w:styleId="CommentSubject">
    <w:name w:val="annotation subject"/>
    <w:basedOn w:val="CommentText"/>
    <w:next w:val="CommentText"/>
    <w:link w:val="CommentSubjectChar"/>
    <w:uiPriority w:val="99"/>
    <w:semiHidden/>
    <w:unhideWhenUsed/>
    <w:rsid w:val="00604E3F"/>
    <w:rPr>
      <w:b/>
      <w:bCs/>
    </w:rPr>
  </w:style>
  <w:style w:type="character" w:customStyle="1" w:styleId="CommentSubjectChar">
    <w:name w:val="Comment Subject Char"/>
    <w:basedOn w:val="CommentTextChar"/>
    <w:link w:val="CommentSubject"/>
    <w:uiPriority w:val="99"/>
    <w:semiHidden/>
    <w:rsid w:val="00604E3F"/>
    <w:rPr>
      <w:b/>
      <w:bCs/>
    </w:rPr>
  </w:style>
  <w:style w:type="character" w:customStyle="1" w:styleId="FootnoteTextChar2">
    <w:name w:val="Footnote Text Char2"/>
    <w:aliases w:val="Footnote Text Char1 Char,ALTS FOOTNOTE Char1 Char,fn Char1 Char,Footnote Text Char Char Char,ALTS FOOTNOTE Char Char Char,fn Char Char Char,Footnote Text Char1 Char Char Char,Footnote Text Char Char Char Char Char,ALTS FOOTNOTE Char"/>
    <w:locked/>
    <w:rsid w:val="007E75E5"/>
    <w:rPr>
      <w:rFonts w:ascii="Times New Roman" w:eastAsia="Times New Roman" w:hAnsi="Times New Roman" w:cs="Times New Roman"/>
      <w:sz w:val="20"/>
      <w:szCs w:val="20"/>
    </w:rPr>
  </w:style>
  <w:style w:type="paragraph" w:styleId="NormalWeb">
    <w:name w:val="Normal (Web)"/>
    <w:basedOn w:val="Normal"/>
    <w:rsid w:val="006432BF"/>
    <w:pPr>
      <w:spacing w:before="100" w:beforeAutospacing="1" w:after="100" w:afterAutospacing="1"/>
    </w:pPr>
    <w:rPr>
      <w:rFonts w:ascii="Verdana" w:hAnsi="Verdana"/>
      <w:sz w:val="20"/>
    </w:rPr>
  </w:style>
  <w:style w:type="paragraph" w:styleId="ListParagraph">
    <w:name w:val="List Paragraph"/>
    <w:basedOn w:val="Normal"/>
    <w:uiPriority w:val="34"/>
    <w:qFormat/>
    <w:rsid w:val="006432BF"/>
    <w:pPr>
      <w:ind w:left="720"/>
      <w:contextualSpacing/>
    </w:pPr>
  </w:style>
  <w:style w:type="table" w:styleId="TableGrid">
    <w:name w:val="Table Grid"/>
    <w:basedOn w:val="TableNormal"/>
    <w:uiPriority w:val="59"/>
    <w:rsid w:val="006432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Numberedparagraphs11ptChar0">
    <w:name w:val="Style Numbered paragraphs + 11 pt Char"/>
    <w:basedOn w:val="DefaultParagraphFont"/>
    <w:rsid w:val="002B0DF7"/>
    <w:rPr>
      <w:noProof w:val="0"/>
      <w:sz w:val="22"/>
      <w:lang w:val="en-US" w:eastAsia="en-US" w:bidi="ar-SA"/>
    </w:rPr>
  </w:style>
  <w:style w:type="paragraph" w:styleId="Revision">
    <w:name w:val="Revision"/>
    <w:hidden/>
    <w:uiPriority w:val="99"/>
    <w:semiHidden/>
    <w:rsid w:val="003B3CB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Footnote Reference1"/>
    <w:basedOn w:val="DefaultParagraphFont"/>
    <w:uiPriority w:val="99"/>
    <w:rPr>
      <w:vertAlign w:val="superscript"/>
    </w:rPr>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ALTS FOOTNOTE,fn,fn Char"/>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stylenumberedparagraphs11ptchar">
    <w:name w:val="stylenumberedparagraphs11ptchar"/>
    <w:rsid w:val="00A03D75"/>
  </w:style>
  <w:style w:type="paragraph" w:customStyle="1" w:styleId="ParaNumCharCharCharCharChar">
    <w:name w:val="ParaNum Char Char Char Char Char"/>
    <w:basedOn w:val="Normal"/>
    <w:rsid w:val="00E1143D"/>
    <w:pPr>
      <w:widowControl w:val="0"/>
      <w:numPr>
        <w:numId w:val="17"/>
      </w:numPr>
      <w:spacing w:after="220"/>
      <w:jc w:val="both"/>
    </w:pPr>
    <w:rPr>
      <w:kern w:val="28"/>
    </w:rPr>
  </w:style>
  <w:style w:type="character" w:customStyle="1" w:styleId="FooterChar">
    <w:name w:val="Footer Char"/>
    <w:basedOn w:val="DefaultParagraphFont"/>
    <w:link w:val="Footer"/>
    <w:uiPriority w:val="99"/>
    <w:rsid w:val="000A5416"/>
    <w:rPr>
      <w:sz w:val="22"/>
    </w:rPr>
  </w:style>
  <w:style w:type="character" w:customStyle="1" w:styleId="FootnoteTextChar">
    <w:name w:val="Footnote Text Char"/>
    <w:aliases w:val="Footnote Text Char1 Char1,ALTS FOOTNOTE Char1 Char1,fn Char1 Char1,Footnote Text Char Char Char1,ALTS FOOTNOTE Char Char Char1,fn Char Char Char1,Footnote Text Char1 Char Char Char1,Footnote Text Char Char Char Char Char1,fn Char2"/>
    <w:basedOn w:val="DefaultParagraphFont"/>
    <w:link w:val="FootnoteText"/>
    <w:semiHidden/>
    <w:rsid w:val="00E24CAE"/>
    <w:rPr>
      <w:sz w:val="22"/>
    </w:rPr>
  </w:style>
  <w:style w:type="paragraph" w:styleId="BalloonText">
    <w:name w:val="Balloon Text"/>
    <w:basedOn w:val="Normal"/>
    <w:link w:val="BalloonTextChar"/>
    <w:uiPriority w:val="99"/>
    <w:semiHidden/>
    <w:unhideWhenUsed/>
    <w:rsid w:val="00AE21F6"/>
    <w:rPr>
      <w:rFonts w:ascii="Tahoma" w:hAnsi="Tahoma" w:cs="Tahoma"/>
      <w:sz w:val="16"/>
      <w:szCs w:val="16"/>
    </w:rPr>
  </w:style>
  <w:style w:type="character" w:customStyle="1" w:styleId="BalloonTextChar">
    <w:name w:val="Balloon Text Char"/>
    <w:basedOn w:val="DefaultParagraphFont"/>
    <w:link w:val="BalloonText"/>
    <w:uiPriority w:val="99"/>
    <w:semiHidden/>
    <w:rsid w:val="00AE21F6"/>
    <w:rPr>
      <w:rFonts w:ascii="Tahoma" w:hAnsi="Tahoma" w:cs="Tahoma"/>
      <w:sz w:val="16"/>
      <w:szCs w:val="16"/>
    </w:rPr>
  </w:style>
  <w:style w:type="character" w:styleId="CommentReference">
    <w:name w:val="annotation reference"/>
    <w:basedOn w:val="DefaultParagraphFont"/>
    <w:uiPriority w:val="99"/>
    <w:semiHidden/>
    <w:unhideWhenUsed/>
    <w:rsid w:val="00604E3F"/>
    <w:rPr>
      <w:sz w:val="16"/>
      <w:szCs w:val="16"/>
    </w:rPr>
  </w:style>
  <w:style w:type="paragraph" w:styleId="CommentText">
    <w:name w:val="annotation text"/>
    <w:basedOn w:val="Normal"/>
    <w:link w:val="CommentTextChar"/>
    <w:uiPriority w:val="99"/>
    <w:unhideWhenUsed/>
    <w:rsid w:val="00604E3F"/>
    <w:rPr>
      <w:sz w:val="20"/>
    </w:rPr>
  </w:style>
  <w:style w:type="character" w:customStyle="1" w:styleId="CommentTextChar">
    <w:name w:val="Comment Text Char"/>
    <w:basedOn w:val="DefaultParagraphFont"/>
    <w:link w:val="CommentText"/>
    <w:uiPriority w:val="99"/>
    <w:rsid w:val="00604E3F"/>
  </w:style>
  <w:style w:type="paragraph" w:styleId="CommentSubject">
    <w:name w:val="annotation subject"/>
    <w:basedOn w:val="CommentText"/>
    <w:next w:val="CommentText"/>
    <w:link w:val="CommentSubjectChar"/>
    <w:uiPriority w:val="99"/>
    <w:semiHidden/>
    <w:unhideWhenUsed/>
    <w:rsid w:val="00604E3F"/>
    <w:rPr>
      <w:b/>
      <w:bCs/>
    </w:rPr>
  </w:style>
  <w:style w:type="character" w:customStyle="1" w:styleId="CommentSubjectChar">
    <w:name w:val="Comment Subject Char"/>
    <w:basedOn w:val="CommentTextChar"/>
    <w:link w:val="CommentSubject"/>
    <w:uiPriority w:val="99"/>
    <w:semiHidden/>
    <w:rsid w:val="00604E3F"/>
    <w:rPr>
      <w:b/>
      <w:bCs/>
    </w:rPr>
  </w:style>
  <w:style w:type="character" w:customStyle="1" w:styleId="FootnoteTextChar2">
    <w:name w:val="Footnote Text Char2"/>
    <w:aliases w:val="Footnote Text Char1 Char,ALTS FOOTNOTE Char1 Char,fn Char1 Char,Footnote Text Char Char Char,ALTS FOOTNOTE Char Char Char,fn Char Char Char,Footnote Text Char1 Char Char Char,Footnote Text Char Char Char Char Char,ALTS FOOTNOTE Char"/>
    <w:locked/>
    <w:rsid w:val="007E75E5"/>
    <w:rPr>
      <w:rFonts w:ascii="Times New Roman" w:eastAsia="Times New Roman" w:hAnsi="Times New Roman" w:cs="Times New Roman"/>
      <w:sz w:val="20"/>
      <w:szCs w:val="20"/>
    </w:rPr>
  </w:style>
  <w:style w:type="paragraph" w:styleId="NormalWeb">
    <w:name w:val="Normal (Web)"/>
    <w:basedOn w:val="Normal"/>
    <w:rsid w:val="006432BF"/>
    <w:pPr>
      <w:spacing w:before="100" w:beforeAutospacing="1" w:after="100" w:afterAutospacing="1"/>
    </w:pPr>
    <w:rPr>
      <w:rFonts w:ascii="Verdana" w:hAnsi="Verdana"/>
      <w:sz w:val="20"/>
    </w:rPr>
  </w:style>
  <w:style w:type="paragraph" w:styleId="ListParagraph">
    <w:name w:val="List Paragraph"/>
    <w:basedOn w:val="Normal"/>
    <w:uiPriority w:val="34"/>
    <w:qFormat/>
    <w:rsid w:val="006432BF"/>
    <w:pPr>
      <w:ind w:left="720"/>
      <w:contextualSpacing/>
    </w:pPr>
  </w:style>
  <w:style w:type="table" w:styleId="TableGrid">
    <w:name w:val="Table Grid"/>
    <w:basedOn w:val="TableNormal"/>
    <w:uiPriority w:val="59"/>
    <w:rsid w:val="006432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Numberedparagraphs11ptChar0">
    <w:name w:val="Style Numbered paragraphs + 11 pt Char"/>
    <w:basedOn w:val="DefaultParagraphFont"/>
    <w:rsid w:val="002B0DF7"/>
    <w:rPr>
      <w:noProof w:val="0"/>
      <w:sz w:val="22"/>
      <w:lang w:val="en-US" w:eastAsia="en-US" w:bidi="ar-SA"/>
    </w:rPr>
  </w:style>
  <w:style w:type="paragraph" w:styleId="Revision">
    <w:name w:val="Revision"/>
    <w:hidden/>
    <w:uiPriority w:val="99"/>
    <w:semiHidden/>
    <w:rsid w:val="003B3CB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Charles.Tyler@fcc.gov"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usac.org/s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Charles.Eberle@fcc.gov"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Cara.Voth@fcc.gov" TargetMode="External"/><Relationship Id="rId20" Type="http://schemas.openxmlformats.org/officeDocument/2006/relationships/footer" Target="footer4.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fjallfoss.fcc.gov/ecfs2/"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fcc504@fcc.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footer" Target="footer7.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3999</Words>
  <Characters>23477</Characters>
  <Application>Microsoft Office Word</Application>
  <DocSecurity>0</DocSecurity>
  <Lines>434</Lines>
  <Paragraphs>133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27512</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2014-08-04T17:11:00Z</dcterms:created>
  <dcterms:modified xsi:type="dcterms:W3CDTF">2014-08-04T17:11:00Z</dcterms:modified>
  <cp:category> </cp:category>
  <cp:contentStatus> </cp:contentStatus>
</cp:coreProperties>
</file>