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86" w:rsidRDefault="00DE5386">
      <w:pPr>
        <w:tabs>
          <w:tab w:val="center" w:pos="4680"/>
        </w:tabs>
        <w:suppressAutoHyphens/>
        <w:spacing w:line="240" w:lineRule="atLeast"/>
        <w:jc w:val="center"/>
        <w:outlineLvl w:val="0"/>
        <w:rPr>
          <w:b/>
        </w:rPr>
      </w:pPr>
      <w:bookmarkStart w:id="0" w:name="_GoBack"/>
      <w:bookmarkEnd w:id="0"/>
      <w:r>
        <w:rPr>
          <w:b/>
        </w:rPr>
        <w:t>Before the</w:t>
      </w:r>
    </w:p>
    <w:p w:rsidR="00DE5386" w:rsidRDefault="00DE5386">
      <w:pPr>
        <w:tabs>
          <w:tab w:val="center" w:pos="4680"/>
        </w:tabs>
        <w:suppressAutoHyphens/>
        <w:spacing w:line="240" w:lineRule="atLeast"/>
        <w:jc w:val="both"/>
        <w:outlineLvl w:val="0"/>
        <w:rPr>
          <w:b/>
        </w:rPr>
      </w:pPr>
      <w:r>
        <w:rPr>
          <w:b/>
        </w:rPr>
        <w:tab/>
        <w:t>Federal Communications Commission</w:t>
      </w:r>
    </w:p>
    <w:p w:rsidR="00DE5386" w:rsidRDefault="00DE5386">
      <w:pPr>
        <w:tabs>
          <w:tab w:val="center" w:pos="4680"/>
        </w:tabs>
        <w:suppressAutoHyphens/>
        <w:spacing w:line="240" w:lineRule="atLeast"/>
        <w:jc w:val="both"/>
        <w:outlineLvl w:val="0"/>
        <w:rPr>
          <w:b/>
        </w:rPr>
      </w:pPr>
      <w:r>
        <w:rPr>
          <w:b/>
        </w:rPr>
        <w:tab/>
      </w: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DE5386" w:rsidRDefault="00DE5386">
      <w:pPr>
        <w:tabs>
          <w:tab w:val="center" w:pos="4680"/>
        </w:tabs>
        <w:suppressAutoHyphens/>
        <w:spacing w:line="240" w:lineRule="atLeast"/>
        <w:jc w:val="both"/>
        <w:outlineLvl w:val="0"/>
        <w:rPr>
          <w:b/>
        </w:rPr>
      </w:pPr>
    </w:p>
    <w:tbl>
      <w:tblPr>
        <w:tblW w:w="0" w:type="auto"/>
        <w:tblLayout w:type="fixed"/>
        <w:tblLook w:val="0000" w:firstRow="0" w:lastRow="0" w:firstColumn="0" w:lastColumn="0" w:noHBand="0" w:noVBand="0"/>
      </w:tblPr>
      <w:tblGrid>
        <w:gridCol w:w="4698"/>
        <w:gridCol w:w="360"/>
        <w:gridCol w:w="4374"/>
      </w:tblGrid>
      <w:tr w:rsidR="00DE5386">
        <w:trPr>
          <w:trHeight w:val="1566"/>
        </w:trPr>
        <w:tc>
          <w:tcPr>
            <w:tcW w:w="4698" w:type="dxa"/>
          </w:tcPr>
          <w:p w:rsidR="00DE5386" w:rsidRDefault="00DE5386">
            <w:r>
              <w:rPr>
                <w:spacing w:val="-2"/>
              </w:rPr>
              <w:t>In the Matter of</w:t>
            </w:r>
            <w:r>
              <w:t xml:space="preserve"> </w:t>
            </w:r>
          </w:p>
          <w:p w:rsidR="00DE5386" w:rsidRDefault="00DE5386"/>
          <w:p w:rsidR="00981395" w:rsidRPr="00FC0257" w:rsidRDefault="0052667A" w:rsidP="00981395">
            <w:pPr>
              <w:rPr>
                <w:spacing w:val="-2"/>
              </w:rPr>
            </w:pPr>
            <w:r>
              <w:rPr>
                <w:spacing w:val="-2"/>
              </w:rPr>
              <w:t>Alpha &amp; Omega Communications, LLC</w:t>
            </w:r>
            <w:r w:rsidR="00981395" w:rsidRPr="00FC0257">
              <w:rPr>
                <w:spacing w:val="-2"/>
              </w:rPr>
              <w:t xml:space="preserve"> </w:t>
            </w:r>
          </w:p>
          <w:p w:rsidR="006F37EC" w:rsidRPr="00981395" w:rsidRDefault="006F37EC" w:rsidP="00981395">
            <w:pPr>
              <w:rPr>
                <w:spacing w:val="-2"/>
              </w:rPr>
            </w:pPr>
          </w:p>
          <w:p w:rsidR="00DE5386" w:rsidRDefault="0052667A">
            <w:r>
              <w:t xml:space="preserve">Owner of Antenna Structure No. 1040896 </w:t>
            </w:r>
          </w:p>
          <w:p w:rsidR="00981395" w:rsidRPr="00FC0257" w:rsidRDefault="0052667A" w:rsidP="00981395">
            <w:r>
              <w:t>West Valley City, Utah</w:t>
            </w:r>
          </w:p>
          <w:p w:rsidR="00DE5386" w:rsidRDefault="00DE5386">
            <w:pPr>
              <w:rPr>
                <w:spacing w:val="-2"/>
              </w:rPr>
            </w:pPr>
          </w:p>
        </w:tc>
        <w:tc>
          <w:tcPr>
            <w:tcW w:w="360" w:type="dxa"/>
          </w:tcPr>
          <w:p w:rsidR="00DE5386" w:rsidRDefault="00DE5386">
            <w:pPr>
              <w:tabs>
                <w:tab w:val="center" w:pos="4680"/>
              </w:tabs>
              <w:suppressAutoHyphens/>
              <w:spacing w:line="240" w:lineRule="atLeast"/>
              <w:jc w:val="both"/>
              <w:outlineLvl w:val="0"/>
            </w:pPr>
            <w:r>
              <w:t>)</w:t>
            </w:r>
          </w:p>
          <w:p w:rsidR="00DE5386" w:rsidRDefault="00DE5386">
            <w:pPr>
              <w:tabs>
                <w:tab w:val="center" w:pos="4680"/>
              </w:tabs>
              <w:suppressAutoHyphens/>
              <w:spacing w:line="240" w:lineRule="atLeast"/>
              <w:jc w:val="both"/>
              <w:outlineLvl w:val="0"/>
            </w:pPr>
            <w:r>
              <w:t>)</w:t>
            </w:r>
          </w:p>
          <w:p w:rsidR="00DE5386" w:rsidRDefault="00DE5386">
            <w:pPr>
              <w:tabs>
                <w:tab w:val="center" w:pos="4680"/>
              </w:tabs>
              <w:suppressAutoHyphens/>
              <w:spacing w:line="240" w:lineRule="atLeast"/>
              <w:jc w:val="both"/>
              <w:outlineLvl w:val="0"/>
            </w:pPr>
            <w:r>
              <w:t>)</w:t>
            </w:r>
          </w:p>
          <w:p w:rsidR="00DE5386" w:rsidRDefault="00DE5386">
            <w:pPr>
              <w:tabs>
                <w:tab w:val="center" w:pos="4680"/>
              </w:tabs>
              <w:suppressAutoHyphens/>
              <w:spacing w:line="240" w:lineRule="atLeast"/>
              <w:jc w:val="both"/>
              <w:outlineLvl w:val="0"/>
            </w:pPr>
            <w:r>
              <w:t>)</w:t>
            </w:r>
          </w:p>
          <w:p w:rsidR="00DE5386" w:rsidRDefault="00DE5386">
            <w:pPr>
              <w:tabs>
                <w:tab w:val="center" w:pos="4680"/>
              </w:tabs>
              <w:suppressAutoHyphens/>
              <w:spacing w:line="240" w:lineRule="atLeast"/>
              <w:jc w:val="both"/>
              <w:outlineLvl w:val="0"/>
            </w:pPr>
            <w:r>
              <w:t>)</w:t>
            </w:r>
          </w:p>
          <w:p w:rsidR="00DE5386" w:rsidRDefault="00DE5386">
            <w:pPr>
              <w:tabs>
                <w:tab w:val="center" w:pos="4680"/>
              </w:tabs>
              <w:suppressAutoHyphens/>
              <w:spacing w:line="240" w:lineRule="atLeast"/>
              <w:jc w:val="both"/>
              <w:outlineLvl w:val="0"/>
            </w:pPr>
            <w:r>
              <w:t>)</w:t>
            </w:r>
          </w:p>
        </w:tc>
        <w:tc>
          <w:tcPr>
            <w:tcW w:w="4374" w:type="dxa"/>
          </w:tcPr>
          <w:p w:rsidR="00DE5386" w:rsidRPr="00981395" w:rsidRDefault="00DE5386">
            <w:pPr>
              <w:rPr>
                <w:spacing w:val="-2"/>
                <w:lang w:val="es-ES"/>
              </w:rPr>
            </w:pPr>
          </w:p>
          <w:p w:rsidR="00DE5386" w:rsidRPr="00981395" w:rsidRDefault="00DE5386">
            <w:pPr>
              <w:ind w:left="702"/>
              <w:rPr>
                <w:spacing w:val="-2"/>
                <w:lang w:val="es-ES"/>
              </w:rPr>
            </w:pPr>
          </w:p>
          <w:p w:rsidR="00DE5386" w:rsidRPr="00981395" w:rsidRDefault="00DE5386">
            <w:pPr>
              <w:ind w:left="522"/>
              <w:rPr>
                <w:lang w:val="es-ES"/>
              </w:rPr>
            </w:pPr>
            <w:r w:rsidRPr="00981395">
              <w:rPr>
                <w:lang w:val="es-ES"/>
              </w:rPr>
              <w:t xml:space="preserve">File No.:  </w:t>
            </w:r>
            <w:r w:rsidR="002622B8" w:rsidRPr="00981395">
              <w:rPr>
                <w:color w:val="000000"/>
                <w:lang w:val="es-ES"/>
              </w:rPr>
              <w:t>EB-1</w:t>
            </w:r>
            <w:r w:rsidR="0052667A">
              <w:rPr>
                <w:color w:val="000000"/>
                <w:lang w:val="es-ES"/>
              </w:rPr>
              <w:t>1-DV-0102</w:t>
            </w:r>
          </w:p>
          <w:p w:rsidR="00DE5386" w:rsidRPr="00981395" w:rsidRDefault="00DE5386">
            <w:pPr>
              <w:ind w:left="522"/>
              <w:rPr>
                <w:lang w:val="es-ES"/>
              </w:rPr>
            </w:pPr>
            <w:r w:rsidRPr="00981395">
              <w:rPr>
                <w:lang w:val="es-ES"/>
              </w:rPr>
              <w:t>NAL/Acct. No.:  201</w:t>
            </w:r>
            <w:r w:rsidR="0052667A">
              <w:rPr>
                <w:lang w:val="es-ES"/>
              </w:rPr>
              <w:t>2328</w:t>
            </w:r>
            <w:r w:rsidR="00981395" w:rsidRPr="00981395">
              <w:rPr>
                <w:lang w:val="es-ES"/>
              </w:rPr>
              <w:t>0000</w:t>
            </w:r>
            <w:r w:rsidR="0052667A">
              <w:rPr>
                <w:lang w:val="es-ES"/>
              </w:rPr>
              <w:t>3</w:t>
            </w:r>
          </w:p>
          <w:p w:rsidR="00DE5386" w:rsidRDefault="00981395">
            <w:pPr>
              <w:ind w:left="522"/>
            </w:pPr>
            <w:r>
              <w:t>FRN:</w:t>
            </w:r>
            <w:r w:rsidR="0052667A">
              <w:t xml:space="preserve">  0005898093</w:t>
            </w:r>
          </w:p>
          <w:p w:rsidR="00DE5386" w:rsidRDefault="00DE5386">
            <w:pPr>
              <w:ind w:left="522"/>
            </w:pPr>
            <w:r>
              <w:t xml:space="preserve">    </w:t>
            </w:r>
          </w:p>
        </w:tc>
      </w:tr>
    </w:tbl>
    <w:p w:rsidR="00DE5386" w:rsidRDefault="00DE5386">
      <w:pPr>
        <w:pStyle w:val="Heading2"/>
        <w:rPr>
          <w:sz w:val="22"/>
          <w:szCs w:val="22"/>
        </w:rPr>
      </w:pPr>
      <w:r>
        <w:rPr>
          <w:sz w:val="22"/>
          <w:szCs w:val="22"/>
        </w:rPr>
        <w:t>FORFEITURE ORDER</w:t>
      </w:r>
    </w:p>
    <w:p w:rsidR="00DE5386" w:rsidRDefault="00DE5386">
      <w:pPr>
        <w:tabs>
          <w:tab w:val="left" w:pos="0"/>
        </w:tabs>
        <w:suppressAutoHyphens/>
        <w:spacing w:line="240" w:lineRule="atLeast"/>
        <w:jc w:val="center"/>
      </w:pPr>
    </w:p>
    <w:p w:rsidR="00DE5386" w:rsidRDefault="00DE5386" w:rsidP="00627660">
      <w:pPr>
        <w:tabs>
          <w:tab w:val="left" w:pos="0"/>
          <w:tab w:val="left" w:pos="720"/>
          <w:tab w:val="left" w:pos="5760"/>
        </w:tabs>
        <w:suppressAutoHyphens/>
        <w:spacing w:line="240" w:lineRule="atLeast"/>
      </w:pPr>
      <w:r>
        <w:rPr>
          <w:b/>
        </w:rPr>
        <w:t xml:space="preserve">Adopted:  </w:t>
      </w:r>
      <w:r w:rsidR="00604380">
        <w:rPr>
          <w:b/>
        </w:rPr>
        <w:t>August 4, 2014</w:t>
      </w:r>
      <w:r>
        <w:rPr>
          <w:b/>
        </w:rPr>
        <w:tab/>
      </w:r>
      <w:r>
        <w:rPr>
          <w:b/>
        </w:rPr>
        <w:tab/>
        <w:t xml:space="preserve">Released:  </w:t>
      </w:r>
      <w:r w:rsidR="00604380">
        <w:rPr>
          <w:b/>
        </w:rPr>
        <w:t>August 4, 2014</w:t>
      </w:r>
    </w:p>
    <w:p w:rsidR="00DE5386" w:rsidRDefault="00DE5386" w:rsidP="00627660">
      <w:pPr>
        <w:tabs>
          <w:tab w:val="left" w:pos="0"/>
          <w:tab w:val="left" w:pos="720"/>
          <w:tab w:val="left" w:pos="5760"/>
        </w:tabs>
        <w:suppressAutoHyphens/>
        <w:spacing w:line="240" w:lineRule="atLeast"/>
        <w:jc w:val="both"/>
      </w:pPr>
    </w:p>
    <w:p w:rsidR="00DE5386" w:rsidRPr="002A7814" w:rsidRDefault="001F0226" w:rsidP="00627660">
      <w:pPr>
        <w:tabs>
          <w:tab w:val="left" w:pos="0"/>
          <w:tab w:val="left" w:pos="720"/>
          <w:tab w:val="left" w:pos="5760"/>
        </w:tabs>
        <w:suppressAutoHyphens/>
        <w:spacing w:line="240" w:lineRule="atLeast"/>
        <w:jc w:val="both"/>
        <w:rPr>
          <w:color w:val="000000"/>
          <w:spacing w:val="-2"/>
        </w:rPr>
      </w:pPr>
      <w:r w:rsidRPr="002A7814">
        <w:rPr>
          <w:color w:val="000000"/>
          <w:spacing w:val="-2"/>
        </w:rPr>
        <w:t>By the Regional Director, Western</w:t>
      </w:r>
      <w:r w:rsidR="00DE5386" w:rsidRPr="002A7814">
        <w:rPr>
          <w:color w:val="000000"/>
          <w:spacing w:val="-2"/>
        </w:rPr>
        <w:t xml:space="preserve"> Region, Enforcement Bureau:</w:t>
      </w:r>
    </w:p>
    <w:p w:rsidR="00DE5386" w:rsidRPr="002A7814" w:rsidRDefault="00DE5386" w:rsidP="00627660">
      <w:pPr>
        <w:tabs>
          <w:tab w:val="left" w:pos="0"/>
        </w:tabs>
        <w:suppressAutoHyphens/>
        <w:spacing w:line="240" w:lineRule="atLeast"/>
        <w:rPr>
          <w:color w:val="000000"/>
          <w:spacing w:val="-2"/>
        </w:rPr>
      </w:pPr>
    </w:p>
    <w:p w:rsidR="00DE5386" w:rsidRPr="002A7814" w:rsidRDefault="00DE5386" w:rsidP="002F6742">
      <w:pPr>
        <w:tabs>
          <w:tab w:val="center" w:pos="720"/>
        </w:tabs>
        <w:suppressAutoHyphens/>
        <w:spacing w:after="120"/>
        <w:rPr>
          <w:b/>
          <w:color w:val="000000"/>
          <w:spacing w:val="-2"/>
        </w:rPr>
      </w:pPr>
      <w:r w:rsidRPr="002A7814">
        <w:rPr>
          <w:b/>
          <w:color w:val="000000"/>
          <w:spacing w:val="-2"/>
        </w:rPr>
        <w:t xml:space="preserve">I.  </w:t>
      </w:r>
      <w:r w:rsidRPr="002A7814">
        <w:rPr>
          <w:b/>
          <w:color w:val="000000"/>
          <w:spacing w:val="-2"/>
        </w:rPr>
        <w:tab/>
        <w:t xml:space="preserve">         INTRODUCTION</w:t>
      </w:r>
    </w:p>
    <w:p w:rsidR="00941A7C" w:rsidRPr="00941A7C" w:rsidRDefault="00A85CF1" w:rsidP="00A85CF1">
      <w:pPr>
        <w:numPr>
          <w:ilvl w:val="0"/>
          <w:numId w:val="1"/>
        </w:numPr>
        <w:tabs>
          <w:tab w:val="clear" w:pos="1080"/>
          <w:tab w:val="left" w:pos="0"/>
          <w:tab w:val="num" w:pos="1440"/>
        </w:tabs>
        <w:suppressAutoHyphens/>
        <w:autoSpaceDE w:val="0"/>
        <w:autoSpaceDN w:val="0"/>
        <w:adjustRightInd w:val="0"/>
        <w:spacing w:after="120"/>
        <w:rPr>
          <w:color w:val="000000"/>
          <w:spacing w:val="-2"/>
        </w:rPr>
      </w:pPr>
      <w:r>
        <w:rPr>
          <w:color w:val="000000"/>
          <w:spacing w:val="-2"/>
        </w:rPr>
        <w:t xml:space="preserve">We impose a penalty of $2,400 against </w:t>
      </w:r>
      <w:r w:rsidR="0052667A" w:rsidRPr="0052667A">
        <w:rPr>
          <w:color w:val="000000"/>
          <w:spacing w:val="-2"/>
        </w:rPr>
        <w:t>Alpha &amp; Omega Communications, LLC (A&amp;O)</w:t>
      </w:r>
      <w:r>
        <w:rPr>
          <w:color w:val="000000"/>
          <w:spacing w:val="-2"/>
        </w:rPr>
        <w:t xml:space="preserve"> for failing to notify the Commission about a change in ownership of an antenna structure.  </w:t>
      </w:r>
      <w:r w:rsidR="00941A7C">
        <w:rPr>
          <w:color w:val="000000"/>
          <w:spacing w:val="-2"/>
        </w:rPr>
        <w:t xml:space="preserve">Correct and accurate contact information in an antenna structure registration is necessary to ensure that the Commission can contact the structure’s owners in case of emergencies.  </w:t>
      </w:r>
      <w:r>
        <w:rPr>
          <w:color w:val="000000"/>
          <w:spacing w:val="-2"/>
        </w:rPr>
        <w:t xml:space="preserve">A&amp;O does not dispute the violation, but requests cancellation of the forfeiture </w:t>
      </w:r>
      <w:r w:rsidR="00941A7C">
        <w:rPr>
          <w:color w:val="000000"/>
          <w:spacing w:val="-2"/>
        </w:rPr>
        <w:t xml:space="preserve">alleging </w:t>
      </w:r>
      <w:r w:rsidR="005336CB">
        <w:rPr>
          <w:color w:val="000000"/>
          <w:spacing w:val="-2"/>
        </w:rPr>
        <w:t xml:space="preserve">that </w:t>
      </w:r>
      <w:r w:rsidR="00941A7C">
        <w:rPr>
          <w:color w:val="000000"/>
          <w:spacing w:val="-2"/>
        </w:rPr>
        <w:t xml:space="preserve">the violation was minor and based on its purported inability to pay the forfeiture and history of compliance with the Commission’s rules.  </w:t>
      </w:r>
      <w:r w:rsidR="00941A7C">
        <w:t>For the reasons stated below, we decline to cancel the forfeiture, but reduce it based on A&amp;O’s history of compliance.</w:t>
      </w:r>
    </w:p>
    <w:p w:rsidR="00DE5386" w:rsidRPr="00A85CF1" w:rsidRDefault="00941A7C" w:rsidP="002F6742">
      <w:pPr>
        <w:numPr>
          <w:ilvl w:val="0"/>
          <w:numId w:val="1"/>
        </w:numPr>
        <w:tabs>
          <w:tab w:val="clear" w:pos="1080"/>
          <w:tab w:val="left" w:pos="0"/>
          <w:tab w:val="num" w:pos="1440"/>
        </w:tabs>
        <w:suppressAutoHyphens/>
        <w:autoSpaceDE w:val="0"/>
        <w:autoSpaceDN w:val="0"/>
        <w:adjustRightInd w:val="0"/>
        <w:spacing w:after="120"/>
        <w:rPr>
          <w:color w:val="000000"/>
          <w:spacing w:val="-2"/>
        </w:rPr>
      </w:pPr>
      <w:r>
        <w:t>Specifically, we issue a monetary forfeiture to A&amp;O</w:t>
      </w:r>
      <w:r w:rsidR="0052667A" w:rsidRPr="0052667A">
        <w:rPr>
          <w:color w:val="000000"/>
          <w:spacing w:val="-2"/>
        </w:rPr>
        <w:t>, owner of antenna structure number 1040896 in West Valley City, Utah</w:t>
      </w:r>
      <w:r>
        <w:rPr>
          <w:color w:val="000000"/>
          <w:spacing w:val="-2"/>
        </w:rPr>
        <w:t xml:space="preserve"> </w:t>
      </w:r>
      <w:r w:rsidRPr="0052667A">
        <w:rPr>
          <w:color w:val="000000"/>
          <w:spacing w:val="-2"/>
        </w:rPr>
        <w:t>(Antenna Structure)</w:t>
      </w:r>
      <w:r w:rsidR="0052667A" w:rsidRPr="0052667A">
        <w:rPr>
          <w:color w:val="000000"/>
          <w:spacing w:val="-2"/>
        </w:rPr>
        <w:t>,</w:t>
      </w:r>
      <w:r w:rsidR="000672E6">
        <w:rPr>
          <w:color w:val="000000"/>
          <w:spacing w:val="-2"/>
        </w:rPr>
        <w:t xml:space="preserve"> for</w:t>
      </w:r>
      <w:r w:rsidR="0052667A" w:rsidRPr="0052667A">
        <w:rPr>
          <w:color w:val="000000"/>
          <w:spacing w:val="-2"/>
        </w:rPr>
        <w:t xml:space="preserve"> </w:t>
      </w:r>
      <w:r w:rsidR="000672E6">
        <w:rPr>
          <w:color w:val="000000"/>
          <w:spacing w:val="-2"/>
        </w:rPr>
        <w:t>willfully and repeatedly violating</w:t>
      </w:r>
      <w:r w:rsidR="0052667A" w:rsidRPr="0052667A">
        <w:rPr>
          <w:color w:val="000000"/>
          <w:spacing w:val="-2"/>
        </w:rPr>
        <w:t xml:space="preserve"> Section 17.57 of the Commission’s </w:t>
      </w:r>
      <w:r w:rsidR="007503C9">
        <w:rPr>
          <w:color w:val="000000"/>
          <w:spacing w:val="-2"/>
        </w:rPr>
        <w:t>r</w:t>
      </w:r>
      <w:r w:rsidR="0052667A" w:rsidRPr="0052667A">
        <w:rPr>
          <w:color w:val="000000"/>
          <w:spacing w:val="-2"/>
        </w:rPr>
        <w:t>ules (Rules)</w:t>
      </w:r>
      <w:r w:rsidR="000672E6">
        <w:rPr>
          <w:color w:val="000000"/>
          <w:spacing w:val="-2"/>
        </w:rPr>
        <w:t>.</w:t>
      </w:r>
      <w:r w:rsidR="0052667A" w:rsidRPr="0052667A">
        <w:rPr>
          <w:color w:val="000000"/>
          <w:spacing w:val="-2"/>
          <w:vertAlign w:val="superscript"/>
        </w:rPr>
        <w:footnoteReference w:id="2"/>
      </w:r>
    </w:p>
    <w:p w:rsidR="00DE5386" w:rsidRPr="002A7814" w:rsidRDefault="00DE5386" w:rsidP="00A85CF1">
      <w:pPr>
        <w:pStyle w:val="ParaNum"/>
        <w:numPr>
          <w:ilvl w:val="0"/>
          <w:numId w:val="0"/>
        </w:numPr>
        <w:spacing w:after="120"/>
        <w:rPr>
          <w:b/>
          <w:color w:val="000000"/>
          <w:spacing w:val="-2"/>
        </w:rPr>
      </w:pPr>
      <w:r w:rsidRPr="002A7814">
        <w:rPr>
          <w:b/>
          <w:color w:val="000000"/>
          <w:spacing w:val="-2"/>
        </w:rPr>
        <w:t xml:space="preserve">II.  </w:t>
      </w:r>
      <w:r w:rsidRPr="002A7814">
        <w:rPr>
          <w:b/>
          <w:color w:val="000000"/>
          <w:spacing w:val="-2"/>
        </w:rPr>
        <w:tab/>
        <w:t>BACKGROUND</w:t>
      </w:r>
    </w:p>
    <w:p w:rsidR="003C492B" w:rsidRDefault="00DE5386" w:rsidP="003C492B">
      <w:pPr>
        <w:numPr>
          <w:ilvl w:val="0"/>
          <w:numId w:val="1"/>
        </w:numPr>
        <w:tabs>
          <w:tab w:val="clear" w:pos="1080"/>
          <w:tab w:val="left" w:pos="0"/>
          <w:tab w:val="num" w:pos="1440"/>
        </w:tabs>
        <w:suppressAutoHyphens/>
        <w:autoSpaceDE w:val="0"/>
        <w:autoSpaceDN w:val="0"/>
        <w:adjustRightInd w:val="0"/>
        <w:spacing w:after="120"/>
        <w:rPr>
          <w:color w:val="000000"/>
          <w:spacing w:val="-2"/>
        </w:rPr>
      </w:pPr>
      <w:r w:rsidRPr="002A7814">
        <w:rPr>
          <w:color w:val="000000"/>
          <w:spacing w:val="-2"/>
        </w:rPr>
        <w:t xml:space="preserve">  On </w:t>
      </w:r>
      <w:r w:rsidR="00471764">
        <w:rPr>
          <w:color w:val="000000"/>
          <w:spacing w:val="-2"/>
        </w:rPr>
        <w:t>July 11</w:t>
      </w:r>
      <w:r w:rsidRPr="002A7814">
        <w:rPr>
          <w:color w:val="000000"/>
          <w:spacing w:val="-2"/>
        </w:rPr>
        <w:t>, 201</w:t>
      </w:r>
      <w:r w:rsidR="00471764">
        <w:rPr>
          <w:color w:val="000000"/>
          <w:spacing w:val="-2"/>
        </w:rPr>
        <w:t>2</w:t>
      </w:r>
      <w:r w:rsidRPr="002A7814">
        <w:rPr>
          <w:color w:val="000000"/>
          <w:spacing w:val="-2"/>
        </w:rPr>
        <w:t xml:space="preserve">, the Enforcement Bureau’s </w:t>
      </w:r>
      <w:r w:rsidR="00471764">
        <w:rPr>
          <w:color w:val="000000"/>
          <w:spacing w:val="-2"/>
        </w:rPr>
        <w:t>Denver</w:t>
      </w:r>
      <w:r w:rsidR="00895196" w:rsidRPr="002A7814">
        <w:rPr>
          <w:color w:val="000000"/>
          <w:spacing w:val="-2"/>
        </w:rPr>
        <w:t xml:space="preserve"> </w:t>
      </w:r>
      <w:r w:rsidRPr="002A7814">
        <w:rPr>
          <w:color w:val="000000"/>
          <w:spacing w:val="-2"/>
        </w:rPr>
        <w:t>Office (</w:t>
      </w:r>
      <w:r w:rsidR="00471764">
        <w:rPr>
          <w:color w:val="000000"/>
          <w:spacing w:val="-2"/>
        </w:rPr>
        <w:t>Denver</w:t>
      </w:r>
      <w:r w:rsidRPr="002A7814">
        <w:rPr>
          <w:color w:val="000000"/>
          <w:spacing w:val="-2"/>
        </w:rPr>
        <w:t xml:space="preserve"> Office) issued a Notice of Apparent Liability for Forfeiture (</w:t>
      </w:r>
      <w:r w:rsidRPr="00E26178">
        <w:rPr>
          <w:i/>
          <w:color w:val="000000"/>
          <w:spacing w:val="-2"/>
        </w:rPr>
        <w:t>NAL</w:t>
      </w:r>
      <w:r w:rsidR="00941A7C">
        <w:rPr>
          <w:color w:val="000000"/>
          <w:spacing w:val="-2"/>
        </w:rPr>
        <w:t xml:space="preserve">) to A&amp;O proposing a </w:t>
      </w:r>
      <w:r w:rsidRPr="002A7814">
        <w:rPr>
          <w:color w:val="000000"/>
          <w:spacing w:val="-2"/>
        </w:rPr>
        <w:t>$</w:t>
      </w:r>
      <w:r w:rsidR="00471764">
        <w:rPr>
          <w:color w:val="000000"/>
          <w:spacing w:val="-2"/>
        </w:rPr>
        <w:t>3</w:t>
      </w:r>
      <w:r w:rsidR="00941A7C">
        <w:rPr>
          <w:color w:val="000000"/>
          <w:spacing w:val="-2"/>
        </w:rPr>
        <w:t xml:space="preserve">,000 forfeiture against it </w:t>
      </w:r>
      <w:r w:rsidR="00981395">
        <w:rPr>
          <w:color w:val="000000"/>
          <w:spacing w:val="-2"/>
        </w:rPr>
        <w:t>for</w:t>
      </w:r>
      <w:r w:rsidR="00471764">
        <w:rPr>
          <w:color w:val="000000"/>
          <w:spacing w:val="-2"/>
        </w:rPr>
        <w:t xml:space="preserve"> failing</w:t>
      </w:r>
      <w:r w:rsidR="00941A7C">
        <w:rPr>
          <w:color w:val="000000"/>
          <w:spacing w:val="-2"/>
        </w:rPr>
        <w:t xml:space="preserve"> to notify the Commission of a</w:t>
      </w:r>
      <w:r w:rsidR="005336CB">
        <w:rPr>
          <w:color w:val="000000"/>
          <w:spacing w:val="-2"/>
        </w:rPr>
        <w:t xml:space="preserve"> change in </w:t>
      </w:r>
      <w:r w:rsidR="00471764">
        <w:rPr>
          <w:color w:val="000000"/>
          <w:spacing w:val="-2"/>
        </w:rPr>
        <w:t>ownership of the Antenna Structure</w:t>
      </w:r>
      <w:r w:rsidR="00981395">
        <w:t>.</w:t>
      </w:r>
      <w:r w:rsidR="00941A7C" w:rsidRPr="002A7814">
        <w:rPr>
          <w:rStyle w:val="FootnoteReference"/>
          <w:color w:val="000000"/>
          <w:spacing w:val="-2"/>
          <w:sz w:val="22"/>
        </w:rPr>
        <w:footnoteReference w:id="3"/>
      </w:r>
      <w:r w:rsidR="00941A7C" w:rsidRPr="002A7814">
        <w:rPr>
          <w:rStyle w:val="FootnoteReference"/>
          <w:color w:val="000000"/>
          <w:spacing w:val="-2"/>
          <w:sz w:val="22"/>
        </w:rPr>
        <w:t xml:space="preserve"> </w:t>
      </w:r>
      <w:r w:rsidR="00941A7C">
        <w:t xml:space="preserve"> </w:t>
      </w:r>
      <w:r w:rsidRPr="002A7814">
        <w:rPr>
          <w:color w:val="000000"/>
          <w:spacing w:val="-2"/>
        </w:rPr>
        <w:t xml:space="preserve">In </w:t>
      </w:r>
      <w:r w:rsidR="00941A7C">
        <w:rPr>
          <w:color w:val="000000"/>
          <w:spacing w:val="-2"/>
        </w:rPr>
        <w:t xml:space="preserve">its </w:t>
      </w:r>
      <w:r w:rsidR="00941A7C">
        <w:rPr>
          <w:i/>
          <w:color w:val="000000"/>
          <w:spacing w:val="-2"/>
        </w:rPr>
        <w:t>NAL Response</w:t>
      </w:r>
      <w:r w:rsidRPr="002A7814">
        <w:rPr>
          <w:color w:val="000000"/>
          <w:spacing w:val="-2"/>
        </w:rPr>
        <w:t>,</w:t>
      </w:r>
      <w:r w:rsidR="00471764">
        <w:rPr>
          <w:color w:val="000000"/>
          <w:spacing w:val="-2"/>
        </w:rPr>
        <w:t xml:space="preserve"> A&amp;O</w:t>
      </w:r>
      <w:r w:rsidRPr="002A7814">
        <w:rPr>
          <w:color w:val="000000"/>
          <w:spacing w:val="-2"/>
        </w:rPr>
        <w:t xml:space="preserve"> does not deny the violations, but requests cancellation of the forfeiture </w:t>
      </w:r>
      <w:r w:rsidR="00941A7C">
        <w:rPr>
          <w:color w:val="000000"/>
          <w:spacing w:val="-2"/>
        </w:rPr>
        <w:t xml:space="preserve">alleging </w:t>
      </w:r>
      <w:r w:rsidR="005336CB">
        <w:rPr>
          <w:color w:val="000000"/>
          <w:spacing w:val="-2"/>
        </w:rPr>
        <w:t xml:space="preserve">that </w:t>
      </w:r>
      <w:r w:rsidR="00941A7C">
        <w:rPr>
          <w:color w:val="000000"/>
          <w:spacing w:val="-2"/>
        </w:rPr>
        <w:t>the violation was minor and based on its purported inability to pay the forfeiture and history o</w:t>
      </w:r>
      <w:r w:rsidR="0023396A">
        <w:rPr>
          <w:color w:val="000000"/>
          <w:spacing w:val="-2"/>
        </w:rPr>
        <w:t>f compliance with the R</w:t>
      </w:r>
      <w:r w:rsidR="00941A7C">
        <w:rPr>
          <w:color w:val="000000"/>
          <w:spacing w:val="-2"/>
        </w:rPr>
        <w:t>ules</w:t>
      </w:r>
      <w:r w:rsidRPr="002A7814">
        <w:rPr>
          <w:color w:val="000000"/>
          <w:spacing w:val="-2"/>
        </w:rPr>
        <w:t>.</w:t>
      </w:r>
      <w:r w:rsidRPr="002A7814">
        <w:rPr>
          <w:rStyle w:val="FootnoteReference"/>
          <w:color w:val="000000"/>
          <w:spacing w:val="-2"/>
          <w:sz w:val="22"/>
        </w:rPr>
        <w:footnoteReference w:id="4"/>
      </w:r>
      <w:r w:rsidRPr="004D5B83">
        <w:rPr>
          <w:color w:val="000000"/>
          <w:spacing w:val="-2"/>
        </w:rPr>
        <w:t xml:space="preserve"> </w:t>
      </w:r>
    </w:p>
    <w:p w:rsidR="003C492B" w:rsidRDefault="003C492B" w:rsidP="003C492B">
      <w:pPr>
        <w:tabs>
          <w:tab w:val="left" w:pos="0"/>
          <w:tab w:val="num" w:pos="1440"/>
        </w:tabs>
        <w:suppressAutoHyphens/>
        <w:autoSpaceDE w:val="0"/>
        <w:autoSpaceDN w:val="0"/>
        <w:adjustRightInd w:val="0"/>
        <w:spacing w:after="120"/>
        <w:rPr>
          <w:b/>
          <w:color w:val="000000"/>
          <w:spacing w:val="-2"/>
        </w:rPr>
      </w:pPr>
    </w:p>
    <w:p w:rsidR="004D5B83" w:rsidRPr="005336CB" w:rsidRDefault="00DE5386" w:rsidP="002F6742">
      <w:pPr>
        <w:tabs>
          <w:tab w:val="left" w:pos="0"/>
          <w:tab w:val="num" w:pos="1440"/>
        </w:tabs>
        <w:suppressAutoHyphens/>
        <w:autoSpaceDE w:val="0"/>
        <w:autoSpaceDN w:val="0"/>
        <w:adjustRightInd w:val="0"/>
        <w:spacing w:after="120"/>
        <w:rPr>
          <w:color w:val="000000"/>
          <w:spacing w:val="-2"/>
        </w:rPr>
      </w:pPr>
      <w:r w:rsidRPr="005336CB">
        <w:rPr>
          <w:b/>
          <w:color w:val="000000"/>
          <w:spacing w:val="-2"/>
        </w:rPr>
        <w:tab/>
      </w:r>
    </w:p>
    <w:p w:rsidR="00DE5386" w:rsidRPr="002A7814" w:rsidRDefault="003C492B" w:rsidP="002F6742">
      <w:pPr>
        <w:numPr>
          <w:ilvl w:val="0"/>
          <w:numId w:val="14"/>
        </w:numPr>
        <w:suppressAutoHyphens/>
        <w:autoSpaceDE w:val="0"/>
        <w:autoSpaceDN w:val="0"/>
        <w:adjustRightInd w:val="0"/>
        <w:spacing w:after="120"/>
        <w:ind w:left="0"/>
        <w:rPr>
          <w:b/>
          <w:color w:val="000000"/>
          <w:spacing w:val="-2"/>
        </w:rPr>
      </w:pPr>
      <w:r>
        <w:rPr>
          <w:b/>
          <w:color w:val="000000"/>
          <w:spacing w:val="-2"/>
        </w:rPr>
        <w:lastRenderedPageBreak/>
        <w:t>DISCUSSION</w:t>
      </w:r>
    </w:p>
    <w:p w:rsidR="004D5B83" w:rsidRDefault="004D5B83" w:rsidP="00A85CF1">
      <w:pPr>
        <w:numPr>
          <w:ilvl w:val="0"/>
          <w:numId w:val="1"/>
        </w:numPr>
        <w:tabs>
          <w:tab w:val="clear" w:pos="1080"/>
          <w:tab w:val="num" w:pos="1440"/>
          <w:tab w:val="left" w:pos="4680"/>
          <w:tab w:val="left" w:pos="5760"/>
        </w:tabs>
        <w:autoSpaceDE w:val="0"/>
        <w:autoSpaceDN w:val="0"/>
        <w:adjustRightInd w:val="0"/>
        <w:spacing w:after="120"/>
        <w:rPr>
          <w:color w:val="000000"/>
          <w:spacing w:val="-2"/>
        </w:rPr>
      </w:pPr>
      <w:r>
        <w:rPr>
          <w:color w:val="000000"/>
          <w:spacing w:val="-2"/>
        </w:rPr>
        <w:t xml:space="preserve">As A&amp;O does not deny any of the facts stated in the </w:t>
      </w:r>
      <w:r>
        <w:rPr>
          <w:i/>
          <w:color w:val="000000"/>
          <w:spacing w:val="-2"/>
        </w:rPr>
        <w:t>NAL</w:t>
      </w:r>
      <w:r>
        <w:rPr>
          <w:color w:val="000000"/>
          <w:spacing w:val="-2"/>
        </w:rPr>
        <w:t xml:space="preserve">, we affirm the </w:t>
      </w:r>
      <w:r>
        <w:rPr>
          <w:i/>
          <w:color w:val="000000"/>
          <w:spacing w:val="-2"/>
        </w:rPr>
        <w:t>NAL</w:t>
      </w:r>
      <w:r>
        <w:rPr>
          <w:color w:val="000000"/>
          <w:spacing w:val="-2"/>
        </w:rPr>
        <w:t>’s findings and conclude that A&amp;O</w:t>
      </w:r>
      <w:r>
        <w:rPr>
          <w:i/>
          <w:color w:val="000000"/>
          <w:spacing w:val="-2"/>
        </w:rPr>
        <w:t xml:space="preserve"> </w:t>
      </w:r>
      <w:r>
        <w:rPr>
          <w:color w:val="000000"/>
          <w:spacing w:val="-2"/>
        </w:rPr>
        <w:t>willfully and repeatedly violated</w:t>
      </w:r>
      <w:r w:rsidRPr="0052667A">
        <w:rPr>
          <w:color w:val="000000"/>
          <w:spacing w:val="-2"/>
        </w:rPr>
        <w:t xml:space="preserve"> Section 17.57</w:t>
      </w:r>
      <w:r w:rsidR="005336CB">
        <w:rPr>
          <w:color w:val="000000"/>
          <w:spacing w:val="-2"/>
        </w:rPr>
        <w:t xml:space="preserve"> of the Rules by </w:t>
      </w:r>
      <w:r>
        <w:rPr>
          <w:color w:val="000000"/>
          <w:spacing w:val="-2"/>
        </w:rPr>
        <w:t>failing to notify th</w:t>
      </w:r>
      <w:r w:rsidR="005336CB">
        <w:rPr>
          <w:color w:val="000000"/>
          <w:spacing w:val="-2"/>
        </w:rPr>
        <w:t xml:space="preserve">e Commission of a change in </w:t>
      </w:r>
      <w:r>
        <w:rPr>
          <w:color w:val="000000"/>
          <w:spacing w:val="-2"/>
        </w:rPr>
        <w:t>ownership of the Antenna Structure.</w:t>
      </w:r>
      <w:r w:rsidR="00712784">
        <w:rPr>
          <w:rStyle w:val="FootnoteReference"/>
          <w:color w:val="000000"/>
          <w:spacing w:val="-2"/>
        </w:rPr>
        <w:footnoteReference w:id="5"/>
      </w:r>
    </w:p>
    <w:p w:rsidR="00DE5386" w:rsidRPr="002A7814" w:rsidRDefault="00DE5386" w:rsidP="002F6742">
      <w:pPr>
        <w:numPr>
          <w:ilvl w:val="0"/>
          <w:numId w:val="1"/>
        </w:numPr>
        <w:tabs>
          <w:tab w:val="clear" w:pos="1080"/>
          <w:tab w:val="num" w:pos="1440"/>
          <w:tab w:val="left" w:pos="4680"/>
          <w:tab w:val="left" w:pos="5760"/>
        </w:tabs>
        <w:autoSpaceDE w:val="0"/>
        <w:autoSpaceDN w:val="0"/>
        <w:adjustRightInd w:val="0"/>
        <w:spacing w:after="120"/>
        <w:rPr>
          <w:color w:val="000000"/>
          <w:spacing w:val="-2"/>
        </w:rPr>
      </w:pPr>
      <w:r w:rsidRPr="002A7814">
        <w:rPr>
          <w:color w:val="000000"/>
          <w:spacing w:val="-2"/>
        </w:rPr>
        <w:t>The proposed forfeiture amount in this case was assessed in accordanc</w:t>
      </w:r>
      <w:r w:rsidR="00712784">
        <w:rPr>
          <w:color w:val="000000"/>
          <w:spacing w:val="-2"/>
        </w:rPr>
        <w:t xml:space="preserve">e with Section 503(b) of the Communications </w:t>
      </w:r>
      <w:r w:rsidR="00712784" w:rsidRPr="002A7814">
        <w:rPr>
          <w:color w:val="000000"/>
          <w:spacing w:val="-2"/>
        </w:rPr>
        <w:t>Act</w:t>
      </w:r>
      <w:r w:rsidR="00712784">
        <w:rPr>
          <w:color w:val="000000"/>
          <w:spacing w:val="-2"/>
        </w:rPr>
        <w:t xml:space="preserve"> of 1934, as amended (Act)</w:t>
      </w:r>
      <w:r w:rsidRPr="002A7814">
        <w:rPr>
          <w:color w:val="000000"/>
          <w:spacing w:val="-2"/>
        </w:rPr>
        <w:t>,</w:t>
      </w:r>
      <w:r w:rsidRPr="002A7814">
        <w:rPr>
          <w:rStyle w:val="FootnoteReference"/>
          <w:color w:val="000000"/>
          <w:spacing w:val="-2"/>
          <w:sz w:val="22"/>
        </w:rPr>
        <w:footnoteReference w:id="6"/>
      </w:r>
      <w:r w:rsidRPr="002A7814">
        <w:rPr>
          <w:color w:val="000000"/>
          <w:spacing w:val="-2"/>
        </w:rPr>
        <w:t xml:space="preserve"> Section 1.80 of the Rules,</w:t>
      </w:r>
      <w:r w:rsidRPr="002A7814">
        <w:rPr>
          <w:rStyle w:val="FootnoteReference"/>
          <w:color w:val="000000"/>
          <w:spacing w:val="-2"/>
          <w:sz w:val="22"/>
        </w:rPr>
        <w:footnoteReference w:id="7"/>
      </w:r>
      <w:r w:rsidRPr="002A7814">
        <w:rPr>
          <w:color w:val="000000"/>
          <w:spacing w:val="-2"/>
        </w:rPr>
        <w:t xml:space="preserve"> and the </w:t>
      </w:r>
      <w:r w:rsidRPr="002F6742">
        <w:rPr>
          <w:i/>
          <w:color w:val="000000"/>
          <w:spacing w:val="-2"/>
        </w:rPr>
        <w:t>Forfeiture Policy Statement</w:t>
      </w:r>
      <w:r w:rsidRPr="002A7814">
        <w:rPr>
          <w:color w:val="000000"/>
          <w:spacing w:val="-2"/>
        </w:rPr>
        <w:t>.</w:t>
      </w:r>
      <w:r w:rsidRPr="002A7814">
        <w:rPr>
          <w:rStyle w:val="FootnoteReference"/>
          <w:color w:val="000000"/>
          <w:spacing w:val="-2"/>
          <w:sz w:val="22"/>
        </w:rPr>
        <w:footnoteReference w:id="8"/>
      </w:r>
      <w:r w:rsidRPr="002A7814">
        <w:rPr>
          <w:color w:val="000000"/>
          <w:spacing w:val="-2"/>
        </w:rPr>
        <w:t xml:space="preserve">  In examining </w:t>
      </w:r>
      <w:r w:rsidR="000538F6" w:rsidRPr="000538F6">
        <w:rPr>
          <w:color w:val="000000"/>
          <w:spacing w:val="-2"/>
        </w:rPr>
        <w:t>A&amp;O</w:t>
      </w:r>
      <w:r w:rsidR="007960CE">
        <w:rPr>
          <w:color w:val="000000"/>
          <w:spacing w:val="-2"/>
        </w:rPr>
        <w:t>’s</w:t>
      </w:r>
      <w:r w:rsidRPr="002A7814">
        <w:rPr>
          <w:color w:val="000000"/>
          <w:spacing w:val="-2"/>
        </w:rPr>
        <w:t xml:space="preserve"> </w:t>
      </w:r>
      <w:r w:rsidR="00712784">
        <w:rPr>
          <w:i/>
          <w:color w:val="000000"/>
          <w:spacing w:val="-2"/>
        </w:rPr>
        <w:t>NAL Response</w:t>
      </w:r>
      <w:r w:rsidRPr="002A7814">
        <w:rPr>
          <w:color w:val="000000"/>
          <w:spacing w:val="-2"/>
        </w:rPr>
        <w:t xml:space="preserve">, Section 503(b)(2)(E) of the </w:t>
      </w:r>
      <w:r w:rsidR="00712784">
        <w:rPr>
          <w:color w:val="000000"/>
          <w:spacing w:val="-2"/>
        </w:rPr>
        <w:t>Act</w:t>
      </w:r>
      <w:r w:rsidRPr="002A7814">
        <w:rPr>
          <w:color w:val="000000"/>
          <w:spacing w:val="-2"/>
        </w:rPr>
        <w:t xml:space="preserve"> requires that the Commission take into account the nature, circumstances, extent, and gravity of the violation and, with respect to the violator, the degree of culpability, any history of prior offenses, ability to pay, and other such matters as justice may require.</w:t>
      </w:r>
      <w:r w:rsidRPr="002A7814">
        <w:rPr>
          <w:rStyle w:val="FootnoteReference"/>
          <w:color w:val="000000"/>
          <w:spacing w:val="-2"/>
          <w:sz w:val="22"/>
        </w:rPr>
        <w:footnoteReference w:id="9"/>
      </w:r>
      <w:r w:rsidR="00712784">
        <w:rPr>
          <w:color w:val="000000"/>
          <w:spacing w:val="-2"/>
        </w:rPr>
        <w:t xml:space="preserve">  As discussed below, we have considered A&amp;O’s </w:t>
      </w:r>
      <w:r w:rsidR="00712784">
        <w:rPr>
          <w:i/>
          <w:color w:val="000000"/>
          <w:spacing w:val="-2"/>
        </w:rPr>
        <w:t xml:space="preserve">NAL Response </w:t>
      </w:r>
      <w:r w:rsidR="00712784">
        <w:rPr>
          <w:color w:val="000000"/>
          <w:spacing w:val="-2"/>
        </w:rPr>
        <w:t xml:space="preserve">in </w:t>
      </w:r>
      <w:r w:rsidR="00712784">
        <w:t xml:space="preserve">in light of these statutory factors and find that </w:t>
      </w:r>
      <w:r w:rsidR="00712784">
        <w:rPr>
          <w:spacing w:val="-2"/>
        </w:rPr>
        <w:t>reduction of the forfeiture is warranted.</w:t>
      </w:r>
      <w:r w:rsidRPr="002F6742">
        <w:rPr>
          <w:color w:val="000000"/>
          <w:spacing w:val="-2"/>
        </w:rPr>
        <w:t xml:space="preserve"> </w:t>
      </w:r>
      <w:r w:rsidRPr="002A7814">
        <w:rPr>
          <w:color w:val="000000"/>
          <w:spacing w:val="-2"/>
        </w:rPr>
        <w:t xml:space="preserve"> </w:t>
      </w:r>
    </w:p>
    <w:p w:rsidR="000E4E88" w:rsidRPr="008F0179" w:rsidRDefault="00DE5386" w:rsidP="002F6742">
      <w:pPr>
        <w:widowControl w:val="0"/>
        <w:numPr>
          <w:ilvl w:val="0"/>
          <w:numId w:val="1"/>
        </w:numPr>
        <w:tabs>
          <w:tab w:val="clear" w:pos="1080"/>
          <w:tab w:val="num" w:pos="1440"/>
          <w:tab w:val="left" w:pos="4680"/>
          <w:tab w:val="left" w:pos="5760"/>
        </w:tabs>
        <w:suppressAutoHyphens/>
        <w:autoSpaceDE w:val="0"/>
        <w:autoSpaceDN w:val="0"/>
        <w:adjustRightInd w:val="0"/>
        <w:spacing w:after="120"/>
        <w:rPr>
          <w:rFonts w:ascii="Verdana" w:hAnsi="Verdana"/>
          <w:sz w:val="19"/>
          <w:szCs w:val="19"/>
        </w:rPr>
      </w:pPr>
      <w:r w:rsidRPr="002A7814">
        <w:rPr>
          <w:color w:val="000000"/>
          <w:spacing w:val="-2"/>
        </w:rPr>
        <w:t xml:space="preserve">In response to the </w:t>
      </w:r>
      <w:r w:rsidRPr="00E26178">
        <w:rPr>
          <w:i/>
          <w:color w:val="000000"/>
          <w:spacing w:val="-2"/>
        </w:rPr>
        <w:t>NAL</w:t>
      </w:r>
      <w:r w:rsidR="00F87F65">
        <w:rPr>
          <w:color w:val="000000"/>
          <w:spacing w:val="-2"/>
        </w:rPr>
        <w:t xml:space="preserve">, </w:t>
      </w:r>
      <w:r w:rsidR="00156EDD">
        <w:rPr>
          <w:color w:val="000000"/>
          <w:spacing w:val="-2"/>
        </w:rPr>
        <w:t>A&amp;O</w:t>
      </w:r>
      <w:r w:rsidRPr="002A7814">
        <w:rPr>
          <w:color w:val="000000"/>
          <w:spacing w:val="-2"/>
        </w:rPr>
        <w:t xml:space="preserve"> requests cancellation of the $</w:t>
      </w:r>
      <w:r w:rsidR="00156EDD">
        <w:rPr>
          <w:color w:val="000000"/>
          <w:spacing w:val="-2"/>
        </w:rPr>
        <w:t>3</w:t>
      </w:r>
      <w:r w:rsidRPr="002A7814">
        <w:rPr>
          <w:color w:val="000000"/>
          <w:spacing w:val="-2"/>
        </w:rPr>
        <w:t>,000 forfeiture, asserting that</w:t>
      </w:r>
      <w:r w:rsidR="000E4E88">
        <w:rPr>
          <w:color w:val="000000"/>
          <w:spacing w:val="-2"/>
        </w:rPr>
        <w:t xml:space="preserve"> there was no actual “gravity” to the violation as some personnel involved in the prior owner of the Antenna Structure were also part of A&amp;O.</w:t>
      </w:r>
      <w:r w:rsidR="00DB5060">
        <w:rPr>
          <w:rStyle w:val="FootnoteReference"/>
          <w:color w:val="000000"/>
          <w:spacing w:val="-2"/>
        </w:rPr>
        <w:footnoteReference w:id="10"/>
      </w:r>
      <w:r w:rsidR="000E4E88">
        <w:rPr>
          <w:color w:val="000000"/>
          <w:spacing w:val="-2"/>
        </w:rPr>
        <w:t xml:space="preserve">  </w:t>
      </w:r>
      <w:r w:rsidR="00AE2789">
        <w:rPr>
          <w:color w:val="000000"/>
          <w:spacing w:val="-2"/>
        </w:rPr>
        <w:t>We note that c</w:t>
      </w:r>
      <w:r w:rsidR="00AE2789">
        <w:t>ontrolling interests in A&amp;O diff</w:t>
      </w:r>
      <w:r w:rsidR="00712784">
        <w:t>er from that of the prior owner</w:t>
      </w:r>
      <w:r w:rsidR="00F6308D">
        <w:t xml:space="preserve"> </w:t>
      </w:r>
      <w:r w:rsidR="00AE2789">
        <w:t xml:space="preserve">and </w:t>
      </w:r>
      <w:r w:rsidR="00712784">
        <w:t xml:space="preserve">the contact information for the </w:t>
      </w:r>
      <w:r w:rsidR="00712784">
        <w:rPr>
          <w:color w:val="000000"/>
          <w:spacing w:val="-2"/>
        </w:rPr>
        <w:t>Antenna Structure’s registration</w:t>
      </w:r>
      <w:r w:rsidR="00AE2789">
        <w:t xml:space="preserve"> </w:t>
      </w:r>
      <w:r w:rsidR="00712784">
        <w:t>changed when A&amp;O updated its registration</w:t>
      </w:r>
      <w:r w:rsidR="00AE2789">
        <w:t xml:space="preserve"> </w:t>
      </w:r>
      <w:r w:rsidR="00712784">
        <w:t>in response to the Letter of Inquiry issued by</w:t>
      </w:r>
      <w:r w:rsidR="00712784" w:rsidRPr="002F6742">
        <w:t xml:space="preserve"> the</w:t>
      </w:r>
      <w:r w:rsidR="00712784">
        <w:t xml:space="preserve"> Denver Office</w:t>
      </w:r>
      <w:r w:rsidR="00AE2789">
        <w:t>.</w:t>
      </w:r>
      <w:r w:rsidR="00AE2789">
        <w:rPr>
          <w:rStyle w:val="FootnoteReference"/>
        </w:rPr>
        <w:footnoteReference w:id="11"/>
      </w:r>
      <w:r w:rsidR="00F6308D">
        <w:t xml:space="preserve">  Indeed, a Denver Office agent left several messages at the phone number listed on the Antenna Structure’s registration before being advised that the ownership of the Antenna Structure had changed.  T</w:t>
      </w:r>
      <w:r w:rsidR="000E4E88">
        <w:rPr>
          <w:color w:val="000000"/>
          <w:spacing w:val="-2"/>
        </w:rPr>
        <w:t>he Commission has determined that correct and accurate contact information in an antenna structure registration is necessary to ensure the Commission can contact the structure’s owners in case of emergencies.</w:t>
      </w:r>
      <w:r w:rsidR="000E4E88">
        <w:rPr>
          <w:rStyle w:val="FootnoteReference"/>
          <w:color w:val="000000"/>
          <w:spacing w:val="-2"/>
        </w:rPr>
        <w:footnoteReference w:id="12"/>
      </w:r>
      <w:r w:rsidR="005336CB">
        <w:rPr>
          <w:color w:val="000000"/>
          <w:spacing w:val="-2"/>
        </w:rPr>
        <w:t xml:space="preserve">  </w:t>
      </w:r>
      <w:r w:rsidR="00F6308D">
        <w:rPr>
          <w:color w:val="000000"/>
          <w:spacing w:val="-2"/>
        </w:rPr>
        <w:t xml:space="preserve">As a result, we disagree with </w:t>
      </w:r>
      <w:r w:rsidR="008F0179">
        <w:rPr>
          <w:color w:val="000000"/>
          <w:spacing w:val="-2"/>
        </w:rPr>
        <w:t xml:space="preserve">A&amp;O that its violation was </w:t>
      </w:r>
      <w:r w:rsidR="005336CB">
        <w:rPr>
          <w:color w:val="000000"/>
          <w:spacing w:val="-2"/>
        </w:rPr>
        <w:t xml:space="preserve">sufficiently </w:t>
      </w:r>
      <w:r w:rsidR="008F0179">
        <w:rPr>
          <w:color w:val="000000"/>
          <w:spacing w:val="-2"/>
        </w:rPr>
        <w:t>minor</w:t>
      </w:r>
      <w:r w:rsidR="005336CB">
        <w:rPr>
          <w:color w:val="000000"/>
          <w:spacing w:val="-2"/>
        </w:rPr>
        <w:t xml:space="preserve"> </w:t>
      </w:r>
      <w:r w:rsidR="008F0179">
        <w:rPr>
          <w:color w:val="000000"/>
          <w:spacing w:val="-2"/>
        </w:rPr>
        <w:t>to warrant cancellation of the proposed forfeiture.</w:t>
      </w:r>
    </w:p>
    <w:p w:rsidR="0061124B" w:rsidRPr="008F0179" w:rsidRDefault="000E4E88" w:rsidP="00A85CF1">
      <w:pPr>
        <w:widowControl w:val="0"/>
        <w:numPr>
          <w:ilvl w:val="0"/>
          <w:numId w:val="1"/>
        </w:numPr>
        <w:tabs>
          <w:tab w:val="clear" w:pos="1080"/>
          <w:tab w:val="num" w:pos="1440"/>
          <w:tab w:val="left" w:pos="4680"/>
          <w:tab w:val="left" w:pos="5760"/>
        </w:tabs>
        <w:suppressAutoHyphens/>
        <w:autoSpaceDE w:val="0"/>
        <w:autoSpaceDN w:val="0"/>
        <w:adjustRightInd w:val="0"/>
        <w:spacing w:after="120"/>
        <w:rPr>
          <w:rFonts w:ascii="Verdana" w:hAnsi="Verdana"/>
          <w:sz w:val="19"/>
          <w:szCs w:val="19"/>
        </w:rPr>
      </w:pPr>
      <w:r w:rsidRPr="00673357">
        <w:rPr>
          <w:color w:val="000000"/>
          <w:spacing w:val="-2"/>
        </w:rPr>
        <w:t>A&amp;O also contends that it is unable to pay the forfeiture due t</w:t>
      </w:r>
      <w:r w:rsidR="00E7072F" w:rsidRPr="00673357">
        <w:rPr>
          <w:color w:val="000000"/>
          <w:spacing w:val="-2"/>
        </w:rPr>
        <w:t>o</w:t>
      </w:r>
      <w:r w:rsidRPr="00673357">
        <w:rPr>
          <w:color w:val="000000"/>
          <w:spacing w:val="-2"/>
        </w:rPr>
        <w:t xml:space="preserve"> its hist</w:t>
      </w:r>
      <w:r w:rsidR="0044356C" w:rsidRPr="00673357">
        <w:rPr>
          <w:color w:val="000000"/>
          <w:spacing w:val="-2"/>
        </w:rPr>
        <w:t>ory</w:t>
      </w:r>
      <w:r w:rsidRPr="00673357">
        <w:rPr>
          <w:color w:val="000000"/>
          <w:spacing w:val="-2"/>
        </w:rPr>
        <w:t xml:space="preserve"> of financial difficulties</w:t>
      </w:r>
      <w:r w:rsidR="008F0179">
        <w:rPr>
          <w:color w:val="000000"/>
          <w:spacing w:val="-2"/>
        </w:rPr>
        <w:t xml:space="preserve"> and </w:t>
      </w:r>
      <w:r w:rsidRPr="00673357">
        <w:rPr>
          <w:color w:val="000000"/>
          <w:spacing w:val="-2"/>
        </w:rPr>
        <w:t>submitted financial docum</w:t>
      </w:r>
      <w:r w:rsidR="0044356C" w:rsidRPr="00673357">
        <w:rPr>
          <w:color w:val="000000"/>
          <w:spacing w:val="-2"/>
        </w:rPr>
        <w:t>entation to support this claim.</w:t>
      </w:r>
      <w:r w:rsidR="00E7072F">
        <w:rPr>
          <w:rStyle w:val="FootnoteReference"/>
          <w:color w:val="000000"/>
          <w:spacing w:val="-2"/>
        </w:rPr>
        <w:footnoteReference w:id="13"/>
      </w:r>
      <w:r w:rsidR="0044356C" w:rsidRPr="00673357">
        <w:rPr>
          <w:color w:val="000000"/>
          <w:spacing w:val="-2"/>
        </w:rPr>
        <w:t xml:space="preserve"> </w:t>
      </w:r>
      <w:r w:rsidRPr="00673357">
        <w:rPr>
          <w:color w:val="000000"/>
          <w:spacing w:val="-2"/>
        </w:rPr>
        <w:t xml:space="preserve"> </w:t>
      </w:r>
      <w:r w:rsidR="008F0179" w:rsidRPr="002F6742">
        <w:t xml:space="preserve">With regard to an individual’s or entity’s inability to pay claim, the Commission has determined that, in general, gross income or revenues </w:t>
      </w:r>
      <w:r w:rsidR="008F0179" w:rsidRPr="002F6742">
        <w:lastRenderedPageBreak/>
        <w:t>are the best indicator of an ability to pay a forfeiture</w:t>
      </w:r>
      <w:r w:rsidR="00DE5386" w:rsidRPr="00673357">
        <w:rPr>
          <w:color w:val="000000"/>
          <w:spacing w:val="-2"/>
        </w:rPr>
        <w:t>.</w:t>
      </w:r>
      <w:r w:rsidR="00DE5386" w:rsidRPr="002A7814">
        <w:rPr>
          <w:rStyle w:val="FootnoteCharacters"/>
          <w:color w:val="000000"/>
          <w:spacing w:val="-2"/>
          <w:sz w:val="22"/>
        </w:rPr>
        <w:footnoteReference w:id="14"/>
      </w:r>
      <w:r w:rsidR="00DE5386" w:rsidRPr="00673357">
        <w:rPr>
          <w:color w:val="000000"/>
          <w:spacing w:val="-2"/>
        </w:rPr>
        <w:t xml:space="preserve">  </w:t>
      </w:r>
      <w:r w:rsidR="0044356C" w:rsidRPr="00673357">
        <w:rPr>
          <w:color w:val="000000"/>
          <w:spacing w:val="-2"/>
        </w:rPr>
        <w:t>While the Commission has in a few limited cases looked to other factors, including profits and losses, to determine ability to pay, those cases involved licensees in severe financial distress.</w:t>
      </w:r>
      <w:r w:rsidR="00673357">
        <w:rPr>
          <w:rStyle w:val="FootnoteReference"/>
          <w:color w:val="000000"/>
          <w:spacing w:val="-2"/>
        </w:rPr>
        <w:footnoteReference w:id="15"/>
      </w:r>
      <w:r w:rsidR="0044356C" w:rsidRPr="00673357">
        <w:rPr>
          <w:color w:val="000000"/>
          <w:spacing w:val="-2"/>
        </w:rPr>
        <w:t xml:space="preserve">  </w:t>
      </w:r>
      <w:r w:rsidR="00673357" w:rsidRPr="00673357">
        <w:rPr>
          <w:color w:val="000000"/>
          <w:spacing w:val="-2"/>
        </w:rPr>
        <w:t xml:space="preserve">A&amp;O has failed to </w:t>
      </w:r>
      <w:r w:rsidR="0044356C" w:rsidRPr="00673357">
        <w:rPr>
          <w:color w:val="000000"/>
          <w:spacing w:val="-2"/>
        </w:rPr>
        <w:t>demonstrate that it is experiencing a leve</w:t>
      </w:r>
      <w:r w:rsidR="00895155">
        <w:rPr>
          <w:color w:val="000000"/>
          <w:spacing w:val="-2"/>
        </w:rPr>
        <w:t xml:space="preserve">l of financial distress that </w:t>
      </w:r>
      <w:r w:rsidR="004E2B21">
        <w:rPr>
          <w:color w:val="000000"/>
          <w:spacing w:val="-2"/>
        </w:rPr>
        <w:t>w</w:t>
      </w:r>
      <w:r w:rsidR="0044356C" w:rsidRPr="00673357">
        <w:rPr>
          <w:color w:val="000000"/>
          <w:spacing w:val="-2"/>
        </w:rPr>
        <w:t xml:space="preserve">ould qualify </w:t>
      </w:r>
      <w:r w:rsidR="00895155">
        <w:rPr>
          <w:color w:val="000000"/>
          <w:spacing w:val="-2"/>
        </w:rPr>
        <w:t xml:space="preserve">it </w:t>
      </w:r>
      <w:r w:rsidR="0044356C" w:rsidRPr="00673357">
        <w:rPr>
          <w:color w:val="000000"/>
          <w:spacing w:val="-2"/>
        </w:rPr>
        <w:t>for an exception to our gross revenues policy.</w:t>
      </w:r>
      <w:r w:rsidR="00F0058F">
        <w:rPr>
          <w:rStyle w:val="FootnoteReference"/>
          <w:color w:val="000000"/>
          <w:spacing w:val="-2"/>
        </w:rPr>
        <w:footnoteReference w:id="16"/>
      </w:r>
      <w:r w:rsidR="0044356C" w:rsidRPr="00673357">
        <w:rPr>
          <w:color w:val="000000"/>
          <w:spacing w:val="-2"/>
        </w:rPr>
        <w:t xml:space="preserve"> </w:t>
      </w:r>
      <w:r w:rsidR="002F38CA" w:rsidRPr="00673357">
        <w:rPr>
          <w:color w:val="000000"/>
          <w:spacing w:val="-2"/>
        </w:rPr>
        <w:t xml:space="preserve"> </w:t>
      </w:r>
      <w:r w:rsidR="00895155">
        <w:rPr>
          <w:color w:val="000000"/>
          <w:spacing w:val="-2"/>
        </w:rPr>
        <w:t>Consequently, b</w:t>
      </w:r>
      <w:r w:rsidR="002F38CA" w:rsidRPr="00673357">
        <w:rPr>
          <w:color w:val="000000"/>
          <w:spacing w:val="-2"/>
        </w:rPr>
        <w:t>ased on our review of</w:t>
      </w:r>
      <w:r w:rsidR="002F38CA">
        <w:rPr>
          <w:rStyle w:val="documentbody"/>
        </w:rPr>
        <w:t xml:space="preserve"> the financial documents provided by </w:t>
      </w:r>
      <w:r w:rsidR="00E2341F">
        <w:rPr>
          <w:rStyle w:val="documentbody"/>
        </w:rPr>
        <w:t>A&amp;O</w:t>
      </w:r>
      <w:r w:rsidR="002F38CA">
        <w:rPr>
          <w:rStyle w:val="documentbody"/>
        </w:rPr>
        <w:t>,</w:t>
      </w:r>
      <w:r w:rsidR="002F38CA">
        <w:t xml:space="preserve"> we decline to reduce </w:t>
      </w:r>
      <w:r w:rsidR="00895155">
        <w:t xml:space="preserve">the forfeiture </w:t>
      </w:r>
      <w:r w:rsidR="002F38CA">
        <w:t>on inability to pay grounds.</w:t>
      </w:r>
      <w:r w:rsidR="002F38CA">
        <w:rPr>
          <w:rStyle w:val="FootnoteReference"/>
        </w:rPr>
        <w:footnoteReference w:id="17"/>
      </w:r>
      <w:r w:rsidR="00627660" w:rsidRPr="00673357">
        <w:rPr>
          <w:color w:val="000000"/>
          <w:spacing w:val="-2"/>
        </w:rPr>
        <w:t xml:space="preserve">  </w:t>
      </w:r>
      <w:r w:rsidR="00627660" w:rsidRPr="00A85CF1">
        <w:rPr>
          <w:color w:val="000000"/>
          <w:spacing w:val="-2"/>
        </w:rPr>
        <w:t xml:space="preserve">  </w:t>
      </w:r>
    </w:p>
    <w:p w:rsidR="008F0179" w:rsidRPr="008F0179" w:rsidRDefault="00895155" w:rsidP="002F6742">
      <w:pPr>
        <w:widowControl w:val="0"/>
        <w:numPr>
          <w:ilvl w:val="0"/>
          <w:numId w:val="1"/>
        </w:numPr>
        <w:tabs>
          <w:tab w:val="clear" w:pos="1080"/>
          <w:tab w:val="num" w:pos="1440"/>
          <w:tab w:val="left" w:pos="4680"/>
          <w:tab w:val="left" w:pos="5760"/>
        </w:tabs>
        <w:suppressAutoHyphens/>
        <w:autoSpaceDE w:val="0"/>
        <w:autoSpaceDN w:val="0"/>
        <w:adjustRightInd w:val="0"/>
        <w:spacing w:after="120"/>
        <w:rPr>
          <w:rFonts w:ascii="Verdana" w:hAnsi="Verdana"/>
          <w:sz w:val="19"/>
          <w:szCs w:val="19"/>
        </w:rPr>
      </w:pPr>
      <w:r>
        <w:rPr>
          <w:color w:val="000000"/>
          <w:spacing w:val="-2"/>
        </w:rPr>
        <w:t xml:space="preserve">Finally, A&amp;O </w:t>
      </w:r>
      <w:r w:rsidR="0023396A" w:rsidRPr="002A7814">
        <w:rPr>
          <w:color w:val="000000"/>
          <w:spacing w:val="-2"/>
        </w:rPr>
        <w:t xml:space="preserve">requests cancellation of the forfeiture </w:t>
      </w:r>
      <w:r w:rsidR="0023396A">
        <w:rPr>
          <w:color w:val="000000"/>
          <w:spacing w:val="-2"/>
        </w:rPr>
        <w:t>based on its history of compliance with the Rules</w:t>
      </w:r>
      <w:r w:rsidR="008F0179">
        <w:rPr>
          <w:color w:val="000000"/>
          <w:spacing w:val="-2"/>
        </w:rPr>
        <w:t>.</w:t>
      </w:r>
      <w:r w:rsidR="008F0179">
        <w:rPr>
          <w:rStyle w:val="FootnoteReference"/>
          <w:color w:val="000000"/>
          <w:spacing w:val="-2"/>
        </w:rPr>
        <w:footnoteReference w:id="18"/>
      </w:r>
      <w:r w:rsidR="008F0179">
        <w:rPr>
          <w:color w:val="000000"/>
          <w:spacing w:val="-2"/>
        </w:rPr>
        <w:t xml:space="preserve">  </w:t>
      </w:r>
      <w:r w:rsidR="0023396A">
        <w:rPr>
          <w:color w:val="000000"/>
          <w:spacing w:val="-2"/>
        </w:rPr>
        <w:t xml:space="preserve">While we do not find that a cancellation is warranted, </w:t>
      </w:r>
      <w:r w:rsidR="008F0179" w:rsidRPr="000E4E88">
        <w:rPr>
          <w:color w:val="000000"/>
          <w:spacing w:val="-2"/>
        </w:rPr>
        <w:t xml:space="preserve">we </w:t>
      </w:r>
      <w:r w:rsidR="0023396A">
        <w:rPr>
          <w:color w:val="000000"/>
          <w:spacing w:val="-2"/>
        </w:rPr>
        <w:t xml:space="preserve">do </w:t>
      </w:r>
      <w:r w:rsidR="008F0179" w:rsidRPr="000E4E88">
        <w:rPr>
          <w:color w:val="000000"/>
          <w:spacing w:val="-2"/>
        </w:rPr>
        <w:t xml:space="preserve">find that </w:t>
      </w:r>
      <w:r w:rsidR="008F0179" w:rsidRPr="000E4E88">
        <w:rPr>
          <w:bCs/>
          <w:color w:val="000000"/>
          <w:spacing w:val="-2"/>
        </w:rPr>
        <w:t>reduction</w:t>
      </w:r>
      <w:r w:rsidR="008F0179" w:rsidRPr="000E4E88">
        <w:rPr>
          <w:color w:val="000000"/>
          <w:spacing w:val="-2"/>
        </w:rPr>
        <w:t xml:space="preserve"> of the forfeiture </w:t>
      </w:r>
      <w:r w:rsidR="0023396A">
        <w:rPr>
          <w:color w:val="000000"/>
          <w:spacing w:val="-2"/>
        </w:rPr>
        <w:t xml:space="preserve">is justified </w:t>
      </w:r>
      <w:r w:rsidR="008F0179" w:rsidRPr="000E4E88">
        <w:rPr>
          <w:color w:val="000000"/>
          <w:spacing w:val="-2"/>
        </w:rPr>
        <w:t xml:space="preserve">based on </w:t>
      </w:r>
      <w:r w:rsidR="008F0179">
        <w:rPr>
          <w:color w:val="000000"/>
          <w:spacing w:val="-2"/>
        </w:rPr>
        <w:t>A&amp;O’s</w:t>
      </w:r>
      <w:r w:rsidR="008F0179" w:rsidRPr="000E4E88">
        <w:rPr>
          <w:color w:val="000000"/>
          <w:spacing w:val="-2"/>
        </w:rPr>
        <w:t xml:space="preserve"> </w:t>
      </w:r>
      <w:r w:rsidR="008F0179" w:rsidRPr="000E4E88">
        <w:rPr>
          <w:bCs/>
          <w:color w:val="000000"/>
          <w:spacing w:val="-2"/>
        </w:rPr>
        <w:t>history</w:t>
      </w:r>
      <w:r w:rsidR="008F0179" w:rsidRPr="000E4E88">
        <w:rPr>
          <w:color w:val="000000"/>
          <w:spacing w:val="-2"/>
        </w:rPr>
        <w:t xml:space="preserve"> of </w:t>
      </w:r>
      <w:r w:rsidR="008F0179" w:rsidRPr="000E4E88">
        <w:rPr>
          <w:bCs/>
          <w:color w:val="000000"/>
          <w:spacing w:val="-2"/>
        </w:rPr>
        <w:t>compliance</w:t>
      </w:r>
      <w:r w:rsidR="005336CB">
        <w:rPr>
          <w:color w:val="000000"/>
          <w:spacing w:val="-2"/>
        </w:rPr>
        <w:t xml:space="preserve"> </w:t>
      </w:r>
      <w:r w:rsidR="008F0179" w:rsidRPr="000E4E88">
        <w:rPr>
          <w:color w:val="000000"/>
          <w:spacing w:val="-2"/>
        </w:rPr>
        <w:t xml:space="preserve">and </w:t>
      </w:r>
      <w:r w:rsidR="008F0179" w:rsidRPr="000E4E88">
        <w:rPr>
          <w:bCs/>
          <w:color w:val="000000"/>
          <w:spacing w:val="-2"/>
        </w:rPr>
        <w:t>reduce</w:t>
      </w:r>
      <w:r w:rsidR="008F0179">
        <w:rPr>
          <w:color w:val="000000"/>
          <w:spacing w:val="-2"/>
        </w:rPr>
        <w:t xml:space="preserve"> the forfeiture by $6</w:t>
      </w:r>
      <w:r w:rsidR="0023396A">
        <w:rPr>
          <w:color w:val="000000"/>
          <w:spacing w:val="-2"/>
        </w:rPr>
        <w:t xml:space="preserve">00.  </w:t>
      </w:r>
      <w:r w:rsidR="008F0179" w:rsidRPr="00673357">
        <w:rPr>
          <w:color w:val="000000"/>
          <w:spacing w:val="-2"/>
        </w:rPr>
        <w:t>Therefore, after consideration of the entire record and the factors listed above, we find that a forfeiture in the amount of $</w:t>
      </w:r>
      <w:r w:rsidR="008F0179">
        <w:rPr>
          <w:color w:val="000000"/>
          <w:spacing w:val="-2"/>
        </w:rPr>
        <w:t>2,4</w:t>
      </w:r>
      <w:r w:rsidR="008F0179" w:rsidRPr="00673357">
        <w:rPr>
          <w:color w:val="000000"/>
          <w:spacing w:val="-2"/>
        </w:rPr>
        <w:t>00 is warranted</w:t>
      </w:r>
      <w:r w:rsidR="0023396A">
        <w:rPr>
          <w:color w:val="000000"/>
          <w:spacing w:val="-2"/>
        </w:rPr>
        <w:t>.</w:t>
      </w:r>
    </w:p>
    <w:p w:rsidR="00DE5386" w:rsidRPr="002B200C" w:rsidRDefault="00DE5386" w:rsidP="002F6742">
      <w:pPr>
        <w:numPr>
          <w:ilvl w:val="0"/>
          <w:numId w:val="14"/>
        </w:numPr>
        <w:suppressAutoHyphens/>
        <w:autoSpaceDE w:val="0"/>
        <w:autoSpaceDN w:val="0"/>
        <w:adjustRightInd w:val="0"/>
        <w:spacing w:after="120"/>
        <w:ind w:left="0"/>
        <w:rPr>
          <w:rFonts w:ascii="Verdana" w:hAnsi="Verdana"/>
          <w:sz w:val="19"/>
          <w:szCs w:val="19"/>
        </w:rPr>
      </w:pPr>
      <w:bookmarkStart w:id="1" w:name="_Toc70235218"/>
      <w:r w:rsidRPr="002A7814">
        <w:rPr>
          <w:b/>
          <w:color w:val="000000"/>
          <w:spacing w:val="-2"/>
        </w:rPr>
        <w:t>ORDERING CLAUSES</w:t>
      </w:r>
      <w:bookmarkEnd w:id="1"/>
    </w:p>
    <w:p w:rsidR="00DE5386" w:rsidRPr="002A7814" w:rsidRDefault="00DE5386" w:rsidP="002F6742">
      <w:pPr>
        <w:numPr>
          <w:ilvl w:val="0"/>
          <w:numId w:val="1"/>
        </w:numPr>
        <w:tabs>
          <w:tab w:val="clear" w:pos="1080"/>
          <w:tab w:val="left" w:pos="0"/>
          <w:tab w:val="num" w:pos="1440"/>
          <w:tab w:val="num" w:pos="1800"/>
        </w:tabs>
        <w:suppressAutoHyphens/>
        <w:autoSpaceDE w:val="0"/>
        <w:autoSpaceDN w:val="0"/>
        <w:adjustRightInd w:val="0"/>
        <w:spacing w:after="120"/>
        <w:rPr>
          <w:color w:val="000000"/>
          <w:spacing w:val="-2"/>
        </w:rPr>
      </w:pPr>
      <w:r w:rsidRPr="002A7814">
        <w:rPr>
          <w:color w:val="000000"/>
          <w:spacing w:val="-2"/>
        </w:rPr>
        <w:t xml:space="preserve">Accordingly, </w:t>
      </w:r>
      <w:r w:rsidRPr="00E26178">
        <w:rPr>
          <w:b/>
          <w:color w:val="000000"/>
          <w:spacing w:val="-2"/>
        </w:rPr>
        <w:t>IT IS ORDERED</w:t>
      </w:r>
      <w:r w:rsidRPr="002A7814">
        <w:rPr>
          <w:color w:val="000000"/>
          <w:spacing w:val="-2"/>
        </w:rPr>
        <w:t xml:space="preserve"> that, pursuant t</w:t>
      </w:r>
      <w:r w:rsidR="0023396A">
        <w:rPr>
          <w:color w:val="000000"/>
          <w:spacing w:val="-2"/>
        </w:rPr>
        <w:t xml:space="preserve">o Section 503(b) of the Act </w:t>
      </w:r>
      <w:r w:rsidRPr="002A7814">
        <w:rPr>
          <w:color w:val="000000"/>
          <w:spacing w:val="-2"/>
        </w:rPr>
        <w:t xml:space="preserve">and Sections 0.111, 0.204, 0.311, 0.314, and </w:t>
      </w:r>
      <w:r w:rsidR="0023396A">
        <w:rPr>
          <w:color w:val="000000"/>
          <w:spacing w:val="-2"/>
        </w:rPr>
        <w:t>1.80(f)(4) of the R</w:t>
      </w:r>
      <w:r w:rsidRPr="002A7814">
        <w:rPr>
          <w:color w:val="000000"/>
          <w:spacing w:val="-2"/>
        </w:rPr>
        <w:t xml:space="preserve">ules, </w:t>
      </w:r>
      <w:r w:rsidR="00E2341F" w:rsidRPr="00E2341F">
        <w:rPr>
          <w:color w:val="000000"/>
          <w:spacing w:val="-2"/>
        </w:rPr>
        <w:t>Alpha &amp; Omega Communications, LLC</w:t>
      </w:r>
      <w:r w:rsidR="00C6604E">
        <w:rPr>
          <w:spacing w:val="-2"/>
        </w:rPr>
        <w:t xml:space="preserve">, </w:t>
      </w:r>
      <w:r w:rsidRPr="00E26178">
        <w:rPr>
          <w:b/>
          <w:color w:val="000000"/>
          <w:spacing w:val="-2"/>
        </w:rPr>
        <w:t>IS LIABLE FOR A MONETARY FORFEITURE</w:t>
      </w:r>
      <w:r w:rsidRPr="002A7814">
        <w:rPr>
          <w:color w:val="000000"/>
          <w:spacing w:val="-2"/>
        </w:rPr>
        <w:t xml:space="preserve"> in the amount of </w:t>
      </w:r>
      <w:r w:rsidR="00E2341F">
        <w:rPr>
          <w:color w:val="000000"/>
          <w:spacing w:val="-2"/>
        </w:rPr>
        <w:t xml:space="preserve">two thousand, </w:t>
      </w:r>
      <w:r w:rsidR="00FB5D8C">
        <w:rPr>
          <w:color w:val="000000"/>
          <w:spacing w:val="-2"/>
        </w:rPr>
        <w:t>four</w:t>
      </w:r>
      <w:r w:rsidR="00E2341F">
        <w:rPr>
          <w:color w:val="000000"/>
          <w:spacing w:val="-2"/>
        </w:rPr>
        <w:t xml:space="preserve"> hundred</w:t>
      </w:r>
      <w:r w:rsidRPr="002A7814">
        <w:rPr>
          <w:color w:val="000000"/>
          <w:spacing w:val="-2"/>
        </w:rPr>
        <w:t xml:space="preserve"> dollars ($</w:t>
      </w:r>
      <w:r w:rsidR="00E2341F">
        <w:rPr>
          <w:color w:val="000000"/>
          <w:spacing w:val="-2"/>
        </w:rPr>
        <w:t>2,</w:t>
      </w:r>
      <w:r w:rsidR="00FB5D8C">
        <w:rPr>
          <w:color w:val="000000"/>
          <w:spacing w:val="-2"/>
        </w:rPr>
        <w:t>4</w:t>
      </w:r>
      <w:r w:rsidR="00627660" w:rsidRPr="002A7814">
        <w:rPr>
          <w:color w:val="000000"/>
          <w:spacing w:val="-2"/>
        </w:rPr>
        <w:t>00</w:t>
      </w:r>
      <w:r w:rsidRPr="002A7814">
        <w:rPr>
          <w:color w:val="000000"/>
          <w:spacing w:val="-2"/>
        </w:rPr>
        <w:t>) for violations of Section</w:t>
      </w:r>
      <w:r w:rsidR="00E2341F">
        <w:rPr>
          <w:color w:val="000000"/>
          <w:spacing w:val="-2"/>
        </w:rPr>
        <w:t xml:space="preserve"> 17.57</w:t>
      </w:r>
      <w:r w:rsidR="00C6604E">
        <w:t xml:space="preserve"> of the Rules</w:t>
      </w:r>
      <w:r w:rsidRPr="002A7814">
        <w:rPr>
          <w:color w:val="000000"/>
          <w:spacing w:val="-2"/>
        </w:rPr>
        <w:t>.</w:t>
      </w:r>
      <w:r w:rsidRPr="002A7814">
        <w:rPr>
          <w:rStyle w:val="FootnoteReference"/>
          <w:color w:val="000000"/>
          <w:spacing w:val="-2"/>
          <w:sz w:val="22"/>
        </w:rPr>
        <w:footnoteReference w:id="19"/>
      </w:r>
      <w:r w:rsidRPr="002A7814">
        <w:rPr>
          <w:color w:val="000000"/>
          <w:spacing w:val="-2"/>
        </w:rPr>
        <w:t xml:space="preserve"> </w:t>
      </w:r>
    </w:p>
    <w:p w:rsidR="00DE5386" w:rsidRPr="002A7814" w:rsidRDefault="00DE5386" w:rsidP="002F6742">
      <w:pPr>
        <w:numPr>
          <w:ilvl w:val="0"/>
          <w:numId w:val="1"/>
        </w:numPr>
        <w:tabs>
          <w:tab w:val="clear" w:pos="1080"/>
          <w:tab w:val="left" w:pos="0"/>
          <w:tab w:val="num" w:pos="1440"/>
          <w:tab w:val="num" w:pos="1800"/>
        </w:tabs>
        <w:suppressAutoHyphens/>
        <w:autoSpaceDE w:val="0"/>
        <w:autoSpaceDN w:val="0"/>
        <w:adjustRightInd w:val="0"/>
        <w:spacing w:after="120"/>
        <w:rPr>
          <w:color w:val="000000"/>
          <w:spacing w:val="-2"/>
        </w:rPr>
      </w:pPr>
      <w:r w:rsidRPr="002A7814">
        <w:rPr>
          <w:color w:val="000000"/>
          <w:spacing w:val="-2"/>
        </w:rPr>
        <w:t>Payment</w:t>
      </w:r>
      <w:r w:rsidRPr="002A7814">
        <w:rPr>
          <w:rFonts w:eastAsia="MS Mincho"/>
          <w:color w:val="000000"/>
          <w:spacing w:val="-2"/>
        </w:rPr>
        <w:t xml:space="preserve"> of the forfeiture shall be made in the manner provided for in Section 1.80 of the Rules within thirty (30) calendar days after the release date of this Forfeiture Order.</w:t>
      </w:r>
      <w:r w:rsidRPr="002A7814">
        <w:rPr>
          <w:rStyle w:val="FootnoteReference"/>
          <w:rFonts w:eastAsia="MS Mincho"/>
          <w:color w:val="000000"/>
          <w:spacing w:val="-2"/>
          <w:sz w:val="22"/>
          <w:szCs w:val="22"/>
        </w:rPr>
        <w:footnoteReference w:id="20"/>
      </w:r>
      <w:r w:rsidRPr="002A7814">
        <w:rPr>
          <w:rFonts w:eastAsia="MS Mincho"/>
          <w:color w:val="000000"/>
          <w:spacing w:val="-2"/>
        </w:rPr>
        <w:t xml:space="preserve">  If the forfeiture is not paid within the period specified, the case may be referred to the U.S. Department of Justice for enforcement of the forfeiture pursuant to Section 504(a) of the Act.</w:t>
      </w:r>
      <w:r w:rsidRPr="002A7814">
        <w:rPr>
          <w:rStyle w:val="FootnoteReference"/>
          <w:rFonts w:eastAsia="MS Mincho"/>
          <w:color w:val="000000"/>
          <w:spacing w:val="-2"/>
          <w:sz w:val="22"/>
          <w:szCs w:val="22"/>
        </w:rPr>
        <w:footnoteReference w:id="21"/>
      </w:r>
      <w:r w:rsidRPr="002A7814">
        <w:rPr>
          <w:rFonts w:eastAsia="MS Mincho"/>
          <w:color w:val="000000"/>
          <w:spacing w:val="-2"/>
        </w:rPr>
        <w:t xml:space="preserve">  </w:t>
      </w:r>
      <w:r w:rsidR="00E2341F" w:rsidRPr="00E2341F">
        <w:rPr>
          <w:rFonts w:eastAsia="MS Mincho"/>
          <w:color w:val="000000"/>
          <w:spacing w:val="-2"/>
        </w:rPr>
        <w:t>Alpha &amp; Omega Communications, LLC</w:t>
      </w:r>
      <w:r w:rsidR="00E2341F">
        <w:rPr>
          <w:rFonts w:eastAsia="MS Mincho"/>
          <w:color w:val="000000"/>
          <w:spacing w:val="-2"/>
        </w:rPr>
        <w:t>,</w:t>
      </w:r>
      <w:r w:rsidR="00E2341F" w:rsidRPr="00E2341F">
        <w:rPr>
          <w:rFonts w:eastAsia="MS Mincho"/>
          <w:color w:val="000000"/>
          <w:spacing w:val="-2"/>
        </w:rPr>
        <w:t xml:space="preserve"> </w:t>
      </w:r>
      <w:r w:rsidRPr="002A7814">
        <w:rPr>
          <w:rFonts w:eastAsia="MS Mincho"/>
          <w:color w:val="000000"/>
          <w:spacing w:val="-2"/>
        </w:rPr>
        <w:t>shall send electronic notification of payment to</w:t>
      </w:r>
      <w:r w:rsidR="002A7814" w:rsidRPr="002A7814">
        <w:rPr>
          <w:rFonts w:eastAsia="MS Mincho"/>
          <w:color w:val="000000"/>
          <w:spacing w:val="-2"/>
        </w:rPr>
        <w:t xml:space="preserve"> </w:t>
      </w:r>
      <w:smartTag w:uri="urn:schemas-microsoft-com:office:smarttags" w:element="PersonName">
        <w:r w:rsidR="002A7814" w:rsidRPr="002A7814">
          <w:rPr>
            <w:rFonts w:eastAsia="MS Mincho"/>
            <w:color w:val="000000"/>
            <w:spacing w:val="-2"/>
          </w:rPr>
          <w:t>WR</w:t>
        </w:r>
        <w:r w:rsidRPr="002A7814">
          <w:rPr>
            <w:color w:val="000000"/>
            <w:spacing w:val="-2"/>
          </w:rPr>
          <w:t>-Response</w:t>
        </w:r>
      </w:smartTag>
      <w:r w:rsidRPr="002A7814">
        <w:rPr>
          <w:color w:val="000000"/>
          <w:spacing w:val="-2"/>
        </w:rPr>
        <w:t>@fcc.gov</w:t>
      </w:r>
      <w:r w:rsidRPr="002A7814">
        <w:rPr>
          <w:rFonts w:eastAsia="MS Mincho"/>
          <w:color w:val="000000"/>
          <w:spacing w:val="-2"/>
        </w:rPr>
        <w:t xml:space="preserve"> on the date said payment is made.</w:t>
      </w:r>
      <w:r w:rsidR="00E2341F">
        <w:rPr>
          <w:color w:val="000000"/>
          <w:spacing w:val="-2"/>
        </w:rPr>
        <w:t xml:space="preserve"> </w:t>
      </w:r>
      <w:r w:rsidR="0023396A">
        <w:rPr>
          <w:color w:val="000000"/>
          <w:spacing w:val="-2"/>
        </w:rPr>
        <w:t xml:space="preserve"> </w:t>
      </w:r>
      <w:r w:rsidR="00E2341F">
        <w:rPr>
          <w:color w:val="000000"/>
          <w:spacing w:val="-2"/>
        </w:rPr>
        <w:t>T</w:t>
      </w:r>
      <w:r w:rsidRPr="002A7814">
        <w:rPr>
          <w:rFonts w:eastAsia="MS Mincho"/>
          <w:color w:val="000000"/>
          <w:spacing w:val="-2"/>
        </w:rPr>
        <w:t>he</w:t>
      </w:r>
      <w:r w:rsidR="00E2341F">
        <w:rPr>
          <w:rFonts w:eastAsia="MS Mincho"/>
          <w:color w:val="000000"/>
          <w:spacing w:val="-2"/>
        </w:rPr>
        <w:t xml:space="preserve"> </w:t>
      </w:r>
      <w:r w:rsidRPr="002A7814">
        <w:rPr>
          <w:color w:val="000000"/>
          <w:spacing w:val="-2"/>
        </w:rPr>
        <w:t>payment</w:t>
      </w:r>
      <w:r w:rsidRPr="002A7814">
        <w:rPr>
          <w:rFonts w:eastAsia="MS Mincho"/>
          <w:color w:val="000000"/>
          <w:spacing w:val="-2"/>
        </w:rPr>
        <w:t xml:space="preserve"> must be made by check or similar instrument, wire transfer, or credit card, and must include the NAL/Acco</w:t>
      </w:r>
      <w:r w:rsidR="0023396A">
        <w:rPr>
          <w:rFonts w:eastAsia="MS Mincho"/>
          <w:color w:val="000000"/>
          <w:spacing w:val="-2"/>
        </w:rPr>
        <w:t>unt N</w:t>
      </w:r>
      <w:r w:rsidRPr="002A7814">
        <w:rPr>
          <w:rFonts w:eastAsia="MS Mincho"/>
          <w:color w:val="000000"/>
          <w:spacing w:val="-2"/>
        </w:rPr>
        <w:t>umber and FRN referenced above.  Regardless of the form of payment, a completed FCC Form 159 (Remittance Advice) must be submitted.</w:t>
      </w:r>
      <w:r w:rsidRPr="002A7814">
        <w:rPr>
          <w:rStyle w:val="FootnoteReference"/>
          <w:rFonts w:eastAsia="MS Mincho"/>
          <w:color w:val="000000"/>
          <w:spacing w:val="-2"/>
          <w:sz w:val="22"/>
          <w:szCs w:val="22"/>
        </w:rPr>
        <w:footnoteReference w:id="22"/>
      </w:r>
      <w:r w:rsidRPr="002A7814">
        <w:rPr>
          <w:rFonts w:eastAsia="MS Mincho"/>
          <w:color w:val="000000"/>
          <w:spacing w:val="-2"/>
        </w:rPr>
        <w:t xml:space="preserve">  When completing the FCC Form 159, enter the Account Number in block number 23A (call sign/other ID) and enter the letters “FORF” in block number </w:t>
      </w:r>
      <w:r w:rsidR="0023396A">
        <w:rPr>
          <w:rFonts w:eastAsia="MS Mincho"/>
          <w:color w:val="000000"/>
          <w:spacing w:val="-2"/>
        </w:rPr>
        <w:t>24A (payment type code). </w:t>
      </w:r>
      <w:r w:rsidRPr="002A7814">
        <w:rPr>
          <w:rFonts w:eastAsia="MS Mincho"/>
          <w:color w:val="000000"/>
          <w:spacing w:val="-2"/>
        </w:rPr>
        <w:t xml:space="preserve"> </w:t>
      </w:r>
      <w:r w:rsidRPr="002A7814">
        <w:rPr>
          <w:color w:val="000000"/>
          <w:spacing w:val="-2"/>
        </w:rPr>
        <w:t>Below are additional instructions you should follow based on the form of payment you select:</w:t>
      </w:r>
    </w:p>
    <w:p w:rsidR="00DE5386" w:rsidRPr="002A7814" w:rsidRDefault="00DE5386" w:rsidP="00A85CF1">
      <w:pPr>
        <w:pStyle w:val="ParaNum"/>
        <w:numPr>
          <w:ilvl w:val="0"/>
          <w:numId w:val="11"/>
        </w:numPr>
        <w:snapToGrid w:val="0"/>
        <w:spacing w:after="120"/>
        <w:rPr>
          <w:rFonts w:eastAsia="MS Mincho"/>
          <w:color w:val="000000"/>
          <w:spacing w:val="-2"/>
        </w:rPr>
      </w:pPr>
      <w:r w:rsidRPr="002A7814">
        <w:rPr>
          <w:rFonts w:eastAsia="MS Mincho"/>
          <w:color w:val="000000"/>
          <w:spacing w:val="-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2A7814">
            <w:rPr>
              <w:rFonts w:eastAsia="MS Mincho"/>
              <w:color w:val="000000"/>
              <w:spacing w:val="-2"/>
            </w:rPr>
            <w:t>P.O. Box 979088</w:t>
          </w:r>
        </w:smartTag>
        <w:r w:rsidRPr="002A7814">
          <w:rPr>
            <w:rFonts w:eastAsia="MS Mincho"/>
            <w:color w:val="000000"/>
            <w:spacing w:val="-2"/>
          </w:rPr>
          <w:t xml:space="preserve">, </w:t>
        </w:r>
        <w:smartTag w:uri="urn:schemas-microsoft-com:office:smarttags" w:element="City">
          <w:r w:rsidRPr="002A7814">
            <w:rPr>
              <w:rFonts w:eastAsia="MS Mincho"/>
              <w:color w:val="000000"/>
              <w:spacing w:val="-2"/>
            </w:rPr>
            <w:t>St. Louis</w:t>
          </w:r>
        </w:smartTag>
        <w:r w:rsidRPr="002A7814">
          <w:rPr>
            <w:rFonts w:eastAsia="MS Mincho"/>
            <w:color w:val="000000"/>
            <w:spacing w:val="-2"/>
          </w:rPr>
          <w:t xml:space="preserve">, </w:t>
        </w:r>
        <w:smartTag w:uri="urn:schemas-microsoft-com:office:smarttags" w:element="State">
          <w:r w:rsidRPr="002A7814">
            <w:rPr>
              <w:rFonts w:eastAsia="MS Mincho"/>
              <w:color w:val="000000"/>
              <w:spacing w:val="-2"/>
            </w:rPr>
            <w:t>MO</w:t>
          </w:r>
        </w:smartTag>
        <w:r w:rsidRPr="002A7814">
          <w:rPr>
            <w:rFonts w:eastAsia="MS Mincho"/>
            <w:color w:val="000000"/>
            <w:spacing w:val="-2"/>
          </w:rPr>
          <w:t xml:space="preserve"> </w:t>
        </w:r>
        <w:smartTag w:uri="urn:schemas-microsoft-com:office:smarttags" w:element="PostalCode">
          <w:r w:rsidRPr="002A7814">
            <w:rPr>
              <w:rFonts w:eastAsia="MS Mincho"/>
              <w:color w:val="000000"/>
              <w:spacing w:val="-2"/>
            </w:rPr>
            <w:t>63197-9000</w:t>
          </w:r>
        </w:smartTag>
      </w:smartTag>
      <w:r w:rsidRPr="002A7814">
        <w:rPr>
          <w:rFonts w:eastAsia="MS Mincho"/>
          <w:color w:val="000000"/>
          <w:spacing w:val="-2"/>
        </w:rPr>
        <w:t xml:space="preserve">, or sent via overnight mail to U.S. Bank – Government Lockbox #979088, SL-MO-C2-GL, 1005 </w:t>
      </w:r>
      <w:smartTag w:uri="urn:schemas-microsoft-com:office:smarttags" w:element="PlaceName">
        <w:r w:rsidRPr="002A7814">
          <w:rPr>
            <w:rFonts w:eastAsia="MS Mincho"/>
            <w:color w:val="000000"/>
            <w:spacing w:val="-2"/>
          </w:rPr>
          <w:t>Convention</w:t>
        </w:r>
      </w:smartTag>
      <w:r w:rsidRPr="002A7814">
        <w:rPr>
          <w:rFonts w:eastAsia="MS Mincho"/>
          <w:color w:val="000000"/>
          <w:spacing w:val="-2"/>
        </w:rPr>
        <w:t xml:space="preserve"> </w:t>
      </w:r>
      <w:smartTag w:uri="urn:schemas-microsoft-com:office:smarttags" w:element="PlaceType">
        <w:r w:rsidRPr="002A7814">
          <w:rPr>
            <w:rFonts w:eastAsia="MS Mincho"/>
            <w:color w:val="000000"/>
            <w:spacing w:val="-2"/>
          </w:rPr>
          <w:t>Plaza</w:t>
        </w:r>
      </w:smartTag>
      <w:r w:rsidRPr="002A7814">
        <w:rPr>
          <w:rFonts w:eastAsia="MS Mincho"/>
          <w:color w:val="000000"/>
          <w:spacing w:val="-2"/>
        </w:rPr>
        <w:t xml:space="preserve">, </w:t>
      </w:r>
      <w:smartTag w:uri="urn:schemas-microsoft-com:office:smarttags" w:element="place">
        <w:smartTag w:uri="urn:schemas-microsoft-com:office:smarttags" w:element="City">
          <w:r w:rsidRPr="002A7814">
            <w:rPr>
              <w:rFonts w:eastAsia="MS Mincho"/>
              <w:color w:val="000000"/>
              <w:spacing w:val="-2"/>
            </w:rPr>
            <w:t>St. Louis</w:t>
          </w:r>
        </w:smartTag>
        <w:r w:rsidRPr="002A7814">
          <w:rPr>
            <w:rFonts w:eastAsia="MS Mincho"/>
            <w:color w:val="000000"/>
            <w:spacing w:val="-2"/>
          </w:rPr>
          <w:t xml:space="preserve">, </w:t>
        </w:r>
        <w:smartTag w:uri="urn:schemas-microsoft-com:office:smarttags" w:element="State">
          <w:r w:rsidRPr="002A7814">
            <w:rPr>
              <w:rFonts w:eastAsia="MS Mincho"/>
              <w:color w:val="000000"/>
              <w:spacing w:val="-2"/>
            </w:rPr>
            <w:t>MO</w:t>
          </w:r>
        </w:smartTag>
        <w:r w:rsidRPr="002A7814">
          <w:rPr>
            <w:rFonts w:eastAsia="MS Mincho"/>
            <w:color w:val="000000"/>
            <w:spacing w:val="-2"/>
          </w:rPr>
          <w:t xml:space="preserve"> </w:t>
        </w:r>
        <w:smartTag w:uri="urn:schemas-microsoft-com:office:smarttags" w:element="PostalCode">
          <w:r w:rsidRPr="002A7814">
            <w:rPr>
              <w:rFonts w:eastAsia="MS Mincho"/>
              <w:color w:val="000000"/>
              <w:spacing w:val="-2"/>
            </w:rPr>
            <w:t>63101</w:t>
          </w:r>
        </w:smartTag>
      </w:smartTag>
      <w:r w:rsidRPr="002A7814">
        <w:rPr>
          <w:rFonts w:eastAsia="MS Mincho"/>
          <w:color w:val="000000"/>
          <w:spacing w:val="-2"/>
        </w:rPr>
        <w:t xml:space="preserve">.  </w:t>
      </w:r>
    </w:p>
    <w:p w:rsidR="00DE5386" w:rsidRPr="002A7814" w:rsidRDefault="00DE5386" w:rsidP="00A85CF1">
      <w:pPr>
        <w:pStyle w:val="ParaNum"/>
        <w:numPr>
          <w:ilvl w:val="0"/>
          <w:numId w:val="11"/>
        </w:numPr>
        <w:snapToGrid w:val="0"/>
        <w:spacing w:after="120"/>
        <w:rPr>
          <w:rFonts w:eastAsia="MS Mincho"/>
          <w:color w:val="000000"/>
          <w:spacing w:val="-2"/>
        </w:rPr>
      </w:pPr>
      <w:r w:rsidRPr="002A7814">
        <w:rPr>
          <w:rFonts w:eastAsia="MS Mincho"/>
          <w:color w:val="000000"/>
          <w:spacing w:val="-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DE5386" w:rsidRPr="002A7814" w:rsidRDefault="00DE5386" w:rsidP="00A85CF1">
      <w:pPr>
        <w:pStyle w:val="ParaNum"/>
        <w:numPr>
          <w:ilvl w:val="0"/>
          <w:numId w:val="11"/>
        </w:numPr>
        <w:snapToGrid w:val="0"/>
        <w:spacing w:after="120"/>
        <w:rPr>
          <w:rFonts w:eastAsia="MS Mincho"/>
          <w:color w:val="000000"/>
          <w:spacing w:val="-2"/>
        </w:rPr>
      </w:pPr>
      <w:r w:rsidRPr="002A7814">
        <w:rPr>
          <w:rFonts w:eastAsia="MS Mincho"/>
          <w:color w:val="000000"/>
          <w:spacing w:val="-2"/>
        </w:rPr>
        <w:t>Payment by credit card must be made by providing the required credit card information on FCC Form 159 and signing and dating the Form 159 to authorize the credit car</w:t>
      </w:r>
      <w:r w:rsidR="0023396A">
        <w:rPr>
          <w:rFonts w:eastAsia="MS Mincho"/>
          <w:color w:val="000000"/>
          <w:spacing w:val="-2"/>
        </w:rPr>
        <w:t>d payment.</w:t>
      </w:r>
      <w:r w:rsidRPr="002A7814">
        <w:rPr>
          <w:rFonts w:eastAsia="MS Mincho"/>
          <w:color w:val="000000"/>
          <w:spacing w:val="-2"/>
        </w:rPr>
        <w:t xml:space="preserve">  The completed Form 159 must then be mailed to Federal Communications Commission, </w:t>
      </w:r>
      <w:smartTag w:uri="urn:schemas-microsoft-com:office:smarttags" w:element="address">
        <w:smartTag w:uri="urn:schemas-microsoft-com:office:smarttags" w:element="Street">
          <w:r w:rsidRPr="002A7814">
            <w:rPr>
              <w:rFonts w:eastAsia="MS Mincho"/>
              <w:color w:val="000000"/>
              <w:spacing w:val="-2"/>
            </w:rPr>
            <w:t>P.O. Box 979088</w:t>
          </w:r>
        </w:smartTag>
        <w:r w:rsidRPr="002A7814">
          <w:rPr>
            <w:rFonts w:eastAsia="MS Mincho"/>
            <w:color w:val="000000"/>
            <w:spacing w:val="-2"/>
          </w:rPr>
          <w:t xml:space="preserve">, </w:t>
        </w:r>
        <w:smartTag w:uri="urn:schemas-microsoft-com:office:smarttags" w:element="City">
          <w:r w:rsidRPr="002A7814">
            <w:rPr>
              <w:rFonts w:eastAsia="MS Mincho"/>
              <w:color w:val="000000"/>
              <w:spacing w:val="-2"/>
            </w:rPr>
            <w:t>St. Louis</w:t>
          </w:r>
        </w:smartTag>
        <w:r w:rsidRPr="002A7814">
          <w:rPr>
            <w:rFonts w:eastAsia="MS Mincho"/>
            <w:color w:val="000000"/>
            <w:spacing w:val="-2"/>
          </w:rPr>
          <w:t xml:space="preserve">, </w:t>
        </w:r>
        <w:smartTag w:uri="urn:schemas-microsoft-com:office:smarttags" w:element="State">
          <w:r w:rsidRPr="002A7814">
            <w:rPr>
              <w:rFonts w:eastAsia="MS Mincho"/>
              <w:color w:val="000000"/>
              <w:spacing w:val="-2"/>
            </w:rPr>
            <w:t>MO</w:t>
          </w:r>
        </w:smartTag>
        <w:r w:rsidRPr="002A7814">
          <w:rPr>
            <w:rFonts w:eastAsia="MS Mincho"/>
            <w:color w:val="000000"/>
            <w:spacing w:val="-2"/>
          </w:rPr>
          <w:t xml:space="preserve"> </w:t>
        </w:r>
        <w:smartTag w:uri="urn:schemas-microsoft-com:office:smarttags" w:element="PostalCode">
          <w:r w:rsidRPr="002A7814">
            <w:rPr>
              <w:rFonts w:eastAsia="MS Mincho"/>
              <w:color w:val="000000"/>
              <w:spacing w:val="-2"/>
            </w:rPr>
            <w:t>63197-9000</w:t>
          </w:r>
        </w:smartTag>
      </w:smartTag>
      <w:r w:rsidRPr="002A7814">
        <w:rPr>
          <w:rFonts w:eastAsia="MS Mincho"/>
          <w:color w:val="000000"/>
          <w:spacing w:val="-2"/>
        </w:rPr>
        <w:t xml:space="preserve">, or sent via overnight mail to U.S. Bank – Government Lockbox #979088, SL-MO-C2-GL, 1005 </w:t>
      </w:r>
      <w:smartTag w:uri="urn:schemas-microsoft-com:office:smarttags" w:element="PlaceName">
        <w:r w:rsidRPr="002A7814">
          <w:rPr>
            <w:rFonts w:eastAsia="MS Mincho"/>
            <w:color w:val="000000"/>
            <w:spacing w:val="-2"/>
          </w:rPr>
          <w:t>Convention</w:t>
        </w:r>
      </w:smartTag>
      <w:r w:rsidRPr="002A7814">
        <w:rPr>
          <w:rFonts w:eastAsia="MS Mincho"/>
          <w:color w:val="000000"/>
          <w:spacing w:val="-2"/>
        </w:rPr>
        <w:t xml:space="preserve"> </w:t>
      </w:r>
      <w:smartTag w:uri="urn:schemas-microsoft-com:office:smarttags" w:element="PlaceType">
        <w:r w:rsidRPr="002A7814">
          <w:rPr>
            <w:rFonts w:eastAsia="MS Mincho"/>
            <w:color w:val="000000"/>
            <w:spacing w:val="-2"/>
          </w:rPr>
          <w:t>Plaza</w:t>
        </w:r>
      </w:smartTag>
      <w:r w:rsidRPr="002A7814">
        <w:rPr>
          <w:rFonts w:eastAsia="MS Mincho"/>
          <w:color w:val="000000"/>
          <w:spacing w:val="-2"/>
        </w:rPr>
        <w:t xml:space="preserve">, </w:t>
      </w:r>
      <w:smartTag w:uri="urn:schemas-microsoft-com:office:smarttags" w:element="place">
        <w:smartTag w:uri="urn:schemas-microsoft-com:office:smarttags" w:element="City">
          <w:r w:rsidRPr="002A7814">
            <w:rPr>
              <w:rFonts w:eastAsia="MS Mincho"/>
              <w:color w:val="000000"/>
              <w:spacing w:val="-2"/>
            </w:rPr>
            <w:t>St. Louis</w:t>
          </w:r>
        </w:smartTag>
        <w:r w:rsidRPr="002A7814">
          <w:rPr>
            <w:rFonts w:eastAsia="MS Mincho"/>
            <w:color w:val="000000"/>
            <w:spacing w:val="-2"/>
          </w:rPr>
          <w:t xml:space="preserve">, </w:t>
        </w:r>
        <w:smartTag w:uri="urn:schemas-microsoft-com:office:smarttags" w:element="State">
          <w:r w:rsidRPr="002A7814">
            <w:rPr>
              <w:rFonts w:eastAsia="MS Mincho"/>
              <w:color w:val="000000"/>
              <w:spacing w:val="-2"/>
            </w:rPr>
            <w:t>MO</w:t>
          </w:r>
        </w:smartTag>
        <w:r w:rsidRPr="002A7814">
          <w:rPr>
            <w:rFonts w:eastAsia="MS Mincho"/>
            <w:color w:val="000000"/>
            <w:spacing w:val="-2"/>
          </w:rPr>
          <w:t xml:space="preserve"> </w:t>
        </w:r>
        <w:smartTag w:uri="urn:schemas-microsoft-com:office:smarttags" w:element="PostalCode">
          <w:r w:rsidRPr="002A7814">
            <w:rPr>
              <w:rFonts w:eastAsia="MS Mincho"/>
              <w:color w:val="000000"/>
              <w:spacing w:val="-2"/>
            </w:rPr>
            <w:t>63101</w:t>
          </w:r>
        </w:smartTag>
      </w:smartTag>
      <w:r w:rsidRPr="002A7814">
        <w:rPr>
          <w:rFonts w:eastAsia="MS Mincho"/>
          <w:color w:val="000000"/>
          <w:spacing w:val="-2"/>
        </w:rPr>
        <w:t xml:space="preserve">.  </w:t>
      </w:r>
    </w:p>
    <w:p w:rsidR="00E2341F" w:rsidRPr="00E2341F" w:rsidRDefault="00E2341F" w:rsidP="002F6742">
      <w:pPr>
        <w:numPr>
          <w:ilvl w:val="0"/>
          <w:numId w:val="1"/>
        </w:numPr>
        <w:tabs>
          <w:tab w:val="left" w:pos="0"/>
        </w:tabs>
        <w:suppressAutoHyphens/>
        <w:autoSpaceDE w:val="0"/>
        <w:autoSpaceDN w:val="0"/>
        <w:adjustRightInd w:val="0"/>
        <w:spacing w:after="120"/>
        <w:rPr>
          <w:color w:val="000000"/>
          <w:spacing w:val="-2"/>
        </w:rPr>
      </w:pPr>
      <w:r w:rsidRPr="00E2341F">
        <w:rPr>
          <w:color w:val="000000"/>
          <w:spacing w:val="-2"/>
        </w:rPr>
        <w:t xml:space="preserve">     </w:t>
      </w:r>
      <w:r w:rsidR="00DE5386" w:rsidRPr="00E2341F">
        <w:rPr>
          <w:color w:val="000000"/>
          <w:spacing w:val="-2"/>
        </w:rPr>
        <w:t>Any</w:t>
      </w:r>
      <w:r w:rsidR="00DE5386" w:rsidRPr="00E2341F">
        <w:rPr>
          <w:rFonts w:eastAsia="MS Mincho"/>
          <w:color w:val="000000"/>
          <w:spacing w:val="-2"/>
        </w:rPr>
        <w:t xml:space="preserve"> request for full payment</w:t>
      </w:r>
      <w:r w:rsidR="00A80EF9" w:rsidRPr="00E2341F">
        <w:rPr>
          <w:rFonts w:eastAsia="MS Mincho"/>
          <w:color w:val="000000"/>
          <w:spacing w:val="-2"/>
        </w:rPr>
        <w:t xml:space="preserve"> over time</w:t>
      </w:r>
      <w:r w:rsidR="00DE5386" w:rsidRPr="00E2341F">
        <w:rPr>
          <w:rFonts w:eastAsia="MS Mincho"/>
          <w:color w:val="000000"/>
          <w:spacing w:val="-2"/>
        </w:rPr>
        <w:t xml:space="preserve"> under an installment plan should be sent to:  Chief Financial Officer—</w:t>
      </w:r>
      <w:r w:rsidR="00DE5386" w:rsidRPr="00E2341F">
        <w:rPr>
          <w:color w:val="000000"/>
          <w:spacing w:val="-2"/>
        </w:rPr>
        <w:t>Financial</w:t>
      </w:r>
      <w:r w:rsidR="00DE5386" w:rsidRPr="00E2341F">
        <w:rPr>
          <w:rFonts w:eastAsia="MS Mincho"/>
          <w:color w:val="000000"/>
          <w:spacing w:val="-2"/>
        </w:rPr>
        <w:t xml:space="preserve"> Operations, Federal Communications Commission, 445 12th Street, S.W., Room 1-A625, Washington, D.C.  20554.</w:t>
      </w:r>
      <w:r w:rsidR="00DE5386" w:rsidRPr="002A7814">
        <w:rPr>
          <w:rStyle w:val="FootnoteReference"/>
          <w:rFonts w:eastAsia="MS Mincho"/>
          <w:color w:val="000000"/>
          <w:spacing w:val="-2"/>
          <w:sz w:val="22"/>
          <w:szCs w:val="22"/>
        </w:rPr>
        <w:footnoteReference w:id="23"/>
      </w:r>
      <w:r w:rsidR="00DE5386" w:rsidRPr="00E2341F">
        <w:rPr>
          <w:rFonts w:eastAsia="MS Mincho"/>
          <w:color w:val="000000"/>
          <w:spacing w:val="-2"/>
        </w:rPr>
        <w:t>  If you have questions regarding payment procedures, please contact the Financial Operations Group Help Desk by phone, 1-877-480-3201, or by e</w:t>
      </w:r>
      <w:r w:rsidR="00DE5386" w:rsidRPr="00E2341F">
        <w:rPr>
          <w:rFonts w:eastAsia="MS Mincho"/>
          <w:color w:val="000000"/>
          <w:spacing w:val="-2"/>
        </w:rPr>
        <w:noBreakHyphen/>
        <w:t xml:space="preserve">mail, </w:t>
      </w:r>
      <w:hyperlink r:id="rId8" w:history="1">
        <w:r w:rsidR="00DE5386" w:rsidRPr="00E2341F">
          <w:rPr>
            <w:rStyle w:val="Hyperlink"/>
            <w:rFonts w:eastAsia="MS Mincho"/>
            <w:color w:val="000000"/>
            <w:spacing w:val="-2"/>
            <w:u w:val="none"/>
          </w:rPr>
          <w:t>ARINQUIRIES@fcc.gov</w:t>
        </w:r>
      </w:hyperlink>
      <w:r w:rsidR="00DE5386" w:rsidRPr="00E2341F">
        <w:rPr>
          <w:rFonts w:eastAsia="MS Mincho"/>
          <w:color w:val="000000"/>
          <w:spacing w:val="-2"/>
        </w:rPr>
        <w:t>.</w:t>
      </w:r>
    </w:p>
    <w:p w:rsidR="00DE5386" w:rsidRPr="00E2341F" w:rsidRDefault="00E2341F" w:rsidP="002F6742">
      <w:pPr>
        <w:numPr>
          <w:ilvl w:val="0"/>
          <w:numId w:val="1"/>
        </w:numPr>
        <w:tabs>
          <w:tab w:val="left" w:pos="0"/>
        </w:tabs>
        <w:suppressAutoHyphens/>
        <w:autoSpaceDE w:val="0"/>
        <w:autoSpaceDN w:val="0"/>
        <w:adjustRightInd w:val="0"/>
        <w:spacing w:after="120"/>
        <w:rPr>
          <w:color w:val="000000"/>
          <w:spacing w:val="-2"/>
        </w:rPr>
      </w:pPr>
      <w:r w:rsidRPr="00E2341F">
        <w:rPr>
          <w:rFonts w:eastAsia="MS Mincho"/>
          <w:color w:val="000000"/>
          <w:spacing w:val="-2"/>
        </w:rPr>
        <w:t xml:space="preserve">      </w:t>
      </w:r>
      <w:r w:rsidR="00DE5386" w:rsidRPr="002F6742">
        <w:rPr>
          <w:b/>
          <w:color w:val="000000"/>
          <w:spacing w:val="-2"/>
        </w:rPr>
        <w:t>IT IS FURTHER ORDERED</w:t>
      </w:r>
      <w:r w:rsidR="00DE5386" w:rsidRPr="00E2341F">
        <w:rPr>
          <w:color w:val="000000"/>
          <w:spacing w:val="-2"/>
        </w:rPr>
        <w:t xml:space="preserve"> that a copy of this </w:t>
      </w:r>
      <w:r w:rsidR="0023396A">
        <w:rPr>
          <w:color w:val="000000"/>
          <w:spacing w:val="-2"/>
        </w:rPr>
        <w:t xml:space="preserve">Forfeiture </w:t>
      </w:r>
      <w:r w:rsidR="00DE5386" w:rsidRPr="00E2341F">
        <w:rPr>
          <w:color w:val="000000"/>
          <w:spacing w:val="-2"/>
        </w:rPr>
        <w:t xml:space="preserve">Order shall </w:t>
      </w:r>
      <w:r w:rsidRPr="00E2341F">
        <w:rPr>
          <w:color w:val="000000"/>
          <w:spacing w:val="-2"/>
        </w:rPr>
        <w:t xml:space="preserve">be sent by both First Class and </w:t>
      </w:r>
      <w:r w:rsidR="00DE5386" w:rsidRPr="00E2341F">
        <w:rPr>
          <w:color w:val="000000"/>
          <w:spacing w:val="-2"/>
        </w:rPr>
        <w:t xml:space="preserve">Certified Mail, Return Receipt Requested, to </w:t>
      </w:r>
      <w:r w:rsidRPr="00E2341F">
        <w:rPr>
          <w:color w:val="000000"/>
          <w:spacing w:val="-2"/>
        </w:rPr>
        <w:t xml:space="preserve">Alpha </w:t>
      </w:r>
      <w:r w:rsidR="0023396A">
        <w:rPr>
          <w:color w:val="000000"/>
          <w:spacing w:val="-2"/>
        </w:rPr>
        <w:t xml:space="preserve">&amp; Omega Communications, LLC, </w:t>
      </w:r>
      <w:r w:rsidR="00C62901">
        <w:rPr>
          <w:color w:val="000000"/>
          <w:spacing w:val="-2"/>
        </w:rPr>
        <w:t xml:space="preserve">314 </w:t>
      </w:r>
      <w:r w:rsidR="004338E7">
        <w:rPr>
          <w:color w:val="000000"/>
          <w:spacing w:val="-2"/>
        </w:rPr>
        <w:t>S. Redwood Road,</w:t>
      </w:r>
      <w:r w:rsidRPr="00E2341F">
        <w:rPr>
          <w:color w:val="000000"/>
          <w:spacing w:val="-2"/>
        </w:rPr>
        <w:t xml:space="preserve"> Salt Lake City, UT 8410</w:t>
      </w:r>
      <w:r w:rsidR="004338E7">
        <w:rPr>
          <w:color w:val="000000"/>
          <w:spacing w:val="-2"/>
        </w:rPr>
        <w:t>4</w:t>
      </w:r>
      <w:r w:rsidR="0023396A" w:rsidRPr="002F6742">
        <w:rPr>
          <w:color w:val="000000"/>
          <w:spacing w:val="-2"/>
        </w:rPr>
        <w:t>,</w:t>
      </w:r>
      <w:r w:rsidRPr="00E2341F">
        <w:rPr>
          <w:b/>
          <w:color w:val="000000"/>
          <w:spacing w:val="-2"/>
        </w:rPr>
        <w:t xml:space="preserve"> </w:t>
      </w:r>
      <w:r w:rsidRPr="00E2341F">
        <w:rPr>
          <w:color w:val="000000"/>
          <w:spacing w:val="-2"/>
        </w:rPr>
        <w:t xml:space="preserve">and to its counsel, Nathaniel J. Hardy, </w:t>
      </w:r>
      <w:r w:rsidR="004338E7">
        <w:rPr>
          <w:color w:val="000000"/>
          <w:spacing w:val="-2"/>
        </w:rPr>
        <w:t xml:space="preserve">Esquire, </w:t>
      </w:r>
      <w:r w:rsidRPr="00E2341F">
        <w:rPr>
          <w:color w:val="000000"/>
          <w:spacing w:val="-2"/>
        </w:rPr>
        <w:t>Wood, Martin &amp; Hardy, P.C., 3300 Fairfax Drive, Suite 202, Arlington, VA 22201</w:t>
      </w:r>
      <w:r w:rsidR="00C6604E" w:rsidRPr="00E2341F">
        <w:rPr>
          <w:color w:val="000000"/>
          <w:spacing w:val="-2"/>
        </w:rPr>
        <w:t>.</w:t>
      </w:r>
      <w:r w:rsidR="00C6604E" w:rsidRPr="00E2341F">
        <w:rPr>
          <w:b/>
          <w:color w:val="FF00FF"/>
          <w:spacing w:val="-2"/>
        </w:rPr>
        <w:t xml:space="preserve"> </w:t>
      </w:r>
    </w:p>
    <w:p w:rsidR="00DE5386" w:rsidRDefault="00DE5386" w:rsidP="00627660">
      <w:pPr>
        <w:tabs>
          <w:tab w:val="left" w:pos="0"/>
        </w:tabs>
        <w:suppressAutoHyphens/>
        <w:autoSpaceDE w:val="0"/>
        <w:autoSpaceDN w:val="0"/>
        <w:adjustRightInd w:val="0"/>
        <w:spacing w:line="240" w:lineRule="atLeast"/>
        <w:ind w:left="720"/>
        <w:rPr>
          <w:color w:val="000000"/>
          <w:spacing w:val="-2"/>
        </w:rPr>
      </w:pPr>
    </w:p>
    <w:p w:rsidR="00DE5386" w:rsidRPr="002A7814" w:rsidRDefault="00DE5386" w:rsidP="00627660">
      <w:pPr>
        <w:pStyle w:val="ParaNum"/>
        <w:numPr>
          <w:ilvl w:val="0"/>
          <w:numId w:val="0"/>
        </w:numPr>
        <w:spacing w:after="0"/>
        <w:ind w:left="4320"/>
        <w:rPr>
          <w:color w:val="000000"/>
          <w:spacing w:val="-2"/>
        </w:rPr>
      </w:pPr>
      <w:r w:rsidRPr="002A7814">
        <w:rPr>
          <w:color w:val="000000"/>
          <w:spacing w:val="-2"/>
        </w:rPr>
        <w:t>FEDERAL COMMUNICATIONS COMMISSION</w:t>
      </w:r>
    </w:p>
    <w:p w:rsidR="00DE5386" w:rsidRPr="002A7814" w:rsidRDefault="00DE5386" w:rsidP="00627660">
      <w:pPr>
        <w:pStyle w:val="ParaNum"/>
        <w:numPr>
          <w:ilvl w:val="0"/>
          <w:numId w:val="0"/>
        </w:numPr>
        <w:spacing w:after="0"/>
        <w:ind w:left="4320"/>
        <w:rPr>
          <w:color w:val="000000"/>
          <w:spacing w:val="-2"/>
        </w:rPr>
      </w:pPr>
    </w:p>
    <w:p w:rsidR="00DE5386" w:rsidRPr="002A7814" w:rsidRDefault="00DE5386" w:rsidP="00627660">
      <w:pPr>
        <w:pStyle w:val="ParaNum"/>
        <w:numPr>
          <w:ilvl w:val="0"/>
          <w:numId w:val="0"/>
        </w:numPr>
        <w:spacing w:after="0"/>
        <w:ind w:left="4320"/>
        <w:rPr>
          <w:color w:val="000000"/>
          <w:spacing w:val="-2"/>
        </w:rPr>
      </w:pPr>
    </w:p>
    <w:p w:rsidR="00DE5386" w:rsidRPr="002A7814" w:rsidRDefault="00DE5386" w:rsidP="00627660">
      <w:pPr>
        <w:pStyle w:val="ParaNum"/>
        <w:numPr>
          <w:ilvl w:val="0"/>
          <w:numId w:val="0"/>
        </w:numPr>
        <w:spacing w:after="0"/>
        <w:ind w:left="4320"/>
        <w:rPr>
          <w:color w:val="000000"/>
          <w:spacing w:val="-2"/>
        </w:rPr>
      </w:pPr>
    </w:p>
    <w:p w:rsidR="00A85CF1" w:rsidRDefault="00A85CF1" w:rsidP="00627660">
      <w:pPr>
        <w:pStyle w:val="ParaNum"/>
        <w:numPr>
          <w:ilvl w:val="0"/>
          <w:numId w:val="0"/>
        </w:numPr>
        <w:spacing w:after="0"/>
        <w:ind w:left="3600" w:firstLine="720"/>
        <w:rPr>
          <w:color w:val="000000"/>
          <w:spacing w:val="-2"/>
        </w:rPr>
      </w:pPr>
    </w:p>
    <w:p w:rsidR="00DE5386" w:rsidRPr="002A7814" w:rsidRDefault="00627660" w:rsidP="00627660">
      <w:pPr>
        <w:pStyle w:val="ParaNum"/>
        <w:numPr>
          <w:ilvl w:val="0"/>
          <w:numId w:val="0"/>
        </w:numPr>
        <w:spacing w:after="0"/>
        <w:ind w:left="3600" w:firstLine="720"/>
        <w:rPr>
          <w:color w:val="000000"/>
          <w:spacing w:val="-2"/>
        </w:rPr>
      </w:pPr>
      <w:r w:rsidRPr="002A7814">
        <w:rPr>
          <w:color w:val="000000"/>
          <w:spacing w:val="-2"/>
        </w:rPr>
        <w:t>Rebecca L. Dorch</w:t>
      </w:r>
    </w:p>
    <w:p w:rsidR="00DE5386" w:rsidRPr="002A7814" w:rsidRDefault="00DE5386" w:rsidP="00627660">
      <w:pPr>
        <w:pStyle w:val="ParaNum"/>
        <w:numPr>
          <w:ilvl w:val="0"/>
          <w:numId w:val="0"/>
        </w:numPr>
        <w:spacing w:after="0"/>
        <w:ind w:left="3600" w:firstLine="720"/>
        <w:rPr>
          <w:color w:val="000000"/>
          <w:spacing w:val="-2"/>
        </w:rPr>
      </w:pPr>
      <w:r w:rsidRPr="002A7814">
        <w:rPr>
          <w:color w:val="000000"/>
          <w:spacing w:val="-2"/>
        </w:rPr>
        <w:t xml:space="preserve">Regional Director, </w:t>
      </w:r>
      <w:r w:rsidR="00627660" w:rsidRPr="002A7814">
        <w:rPr>
          <w:color w:val="000000"/>
          <w:spacing w:val="-2"/>
        </w:rPr>
        <w:t>Western</w:t>
      </w:r>
      <w:r w:rsidRPr="002A7814">
        <w:rPr>
          <w:color w:val="000000"/>
          <w:spacing w:val="-2"/>
        </w:rPr>
        <w:t xml:space="preserve"> Region</w:t>
      </w:r>
    </w:p>
    <w:p w:rsidR="00DE5386" w:rsidRPr="002A7814" w:rsidRDefault="00DE5386" w:rsidP="00627660">
      <w:pPr>
        <w:pStyle w:val="ParaNum"/>
        <w:numPr>
          <w:ilvl w:val="0"/>
          <w:numId w:val="0"/>
        </w:numPr>
        <w:spacing w:after="0"/>
        <w:ind w:left="3600" w:firstLine="720"/>
        <w:rPr>
          <w:color w:val="000000"/>
          <w:spacing w:val="-2"/>
        </w:rPr>
      </w:pPr>
      <w:r w:rsidRPr="002A7814">
        <w:rPr>
          <w:color w:val="000000"/>
          <w:spacing w:val="-2"/>
        </w:rPr>
        <w:t>Enforcement Bureau</w:t>
      </w:r>
    </w:p>
    <w:sectPr w:rsidR="00DE5386" w:rsidRPr="002A781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100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7C8" w:rsidRDefault="00F877C8">
      <w:r>
        <w:separator/>
      </w:r>
    </w:p>
  </w:endnote>
  <w:endnote w:type="continuationSeparator" w:id="0">
    <w:p w:rsidR="00F877C8" w:rsidRDefault="00F877C8">
      <w:r>
        <w:continuationSeparator/>
      </w:r>
    </w:p>
  </w:endnote>
  <w:endnote w:type="continuationNotice" w:id="1">
    <w:p w:rsidR="00F877C8" w:rsidRDefault="00F87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9" w:rsidRDefault="00A80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0EF9" w:rsidRDefault="00A80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9" w:rsidRDefault="00A80EF9">
    <w:pPr>
      <w:pStyle w:val="Footer"/>
      <w:framePr w:wrap="around"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C9018A">
      <w:rPr>
        <w:rStyle w:val="PageNumber"/>
        <w:noProof/>
        <w:sz w:val="20"/>
        <w:szCs w:val="20"/>
      </w:rPr>
      <w:t>2</w:t>
    </w:r>
    <w:r>
      <w:rPr>
        <w:rStyle w:val="PageNumber"/>
        <w:sz w:val="20"/>
        <w:szCs w:val="20"/>
      </w:rPr>
      <w:fldChar w:fldCharType="end"/>
    </w:r>
  </w:p>
  <w:p w:rsidR="00A80EF9" w:rsidRDefault="00A80EF9" w:rsidP="00604380">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4E" w:rsidRDefault="00281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7C8" w:rsidRDefault="00F877C8">
      <w:r>
        <w:separator/>
      </w:r>
    </w:p>
  </w:footnote>
  <w:footnote w:type="continuationSeparator" w:id="0">
    <w:p w:rsidR="00F877C8" w:rsidRDefault="00F877C8">
      <w:r>
        <w:continuationSeparator/>
      </w:r>
    </w:p>
  </w:footnote>
  <w:footnote w:type="continuationNotice" w:id="1">
    <w:p w:rsidR="00F877C8" w:rsidRDefault="00F877C8"/>
  </w:footnote>
  <w:footnote w:id="2">
    <w:p w:rsidR="0052667A" w:rsidRDefault="0052667A" w:rsidP="005336CB">
      <w:pPr>
        <w:pStyle w:val="FootnoteText"/>
        <w:ind w:firstLine="0"/>
        <w:jc w:val="left"/>
      </w:pPr>
      <w:r>
        <w:rPr>
          <w:rStyle w:val="FootnoteReference"/>
        </w:rPr>
        <w:footnoteRef/>
      </w:r>
      <w:r>
        <w:t xml:space="preserve"> 47 C.F.R. § 17.57.</w:t>
      </w:r>
    </w:p>
  </w:footnote>
  <w:footnote w:id="3">
    <w:p w:rsidR="00941A7C" w:rsidRPr="002A7814" w:rsidRDefault="00941A7C" w:rsidP="005336CB">
      <w:pPr>
        <w:pStyle w:val="FootnoteText"/>
        <w:widowControl/>
        <w:ind w:firstLine="0"/>
        <w:jc w:val="left"/>
        <w:rPr>
          <w:szCs w:val="20"/>
        </w:rPr>
      </w:pPr>
      <w:r w:rsidRPr="002A7814">
        <w:rPr>
          <w:rStyle w:val="FootnoteReference"/>
        </w:rPr>
        <w:footnoteRef/>
      </w:r>
      <w:r w:rsidRPr="002A7814">
        <w:rPr>
          <w:szCs w:val="20"/>
        </w:rPr>
        <w:t xml:space="preserve"> </w:t>
      </w:r>
      <w:r>
        <w:rPr>
          <w:i/>
          <w:szCs w:val="20"/>
        </w:rPr>
        <w:t>Alpha &amp; Omega Communications, LLC,</w:t>
      </w:r>
      <w:r w:rsidRPr="002A7814">
        <w:rPr>
          <w:szCs w:val="20"/>
        </w:rPr>
        <w:t xml:space="preserve"> Notice of Appar</w:t>
      </w:r>
      <w:r>
        <w:rPr>
          <w:szCs w:val="20"/>
        </w:rPr>
        <w:t>ent Liability for Forfeiture, 27</w:t>
      </w:r>
      <w:r w:rsidRPr="002A7814">
        <w:rPr>
          <w:szCs w:val="20"/>
        </w:rPr>
        <w:t xml:space="preserve"> FCC Rcd </w:t>
      </w:r>
      <w:r>
        <w:rPr>
          <w:szCs w:val="20"/>
        </w:rPr>
        <w:t>7616</w:t>
      </w:r>
      <w:r w:rsidRPr="002A7814">
        <w:rPr>
          <w:szCs w:val="20"/>
        </w:rPr>
        <w:t xml:space="preserve"> (Enf. Bur. 201</w:t>
      </w:r>
      <w:r>
        <w:rPr>
          <w:szCs w:val="20"/>
        </w:rPr>
        <w:t>2</w:t>
      </w:r>
      <w:r w:rsidRPr="002A7814">
        <w:rPr>
          <w:szCs w:val="20"/>
        </w:rPr>
        <w:t>) (</w:t>
      </w:r>
      <w:r w:rsidRPr="002A7814">
        <w:rPr>
          <w:i/>
          <w:szCs w:val="20"/>
        </w:rPr>
        <w:t>NAL</w:t>
      </w:r>
      <w:r w:rsidRPr="002A7814">
        <w:rPr>
          <w:szCs w:val="20"/>
        </w:rPr>
        <w:t xml:space="preserve">).  A comprehensive recitation of the facts and history of this case can be found in the </w:t>
      </w:r>
      <w:r w:rsidRPr="002A7814">
        <w:rPr>
          <w:i/>
          <w:szCs w:val="20"/>
        </w:rPr>
        <w:t>NAL</w:t>
      </w:r>
      <w:r w:rsidRPr="002A7814">
        <w:rPr>
          <w:szCs w:val="20"/>
        </w:rPr>
        <w:t xml:space="preserve"> and is incorporated herein by reference.</w:t>
      </w:r>
    </w:p>
  </w:footnote>
  <w:footnote w:id="4">
    <w:p w:rsidR="004D5B83" w:rsidRPr="002A7814" w:rsidRDefault="00A80EF9" w:rsidP="005336CB">
      <w:pPr>
        <w:pStyle w:val="FootnoteText"/>
        <w:ind w:firstLine="0"/>
        <w:jc w:val="left"/>
        <w:rPr>
          <w:szCs w:val="20"/>
        </w:rPr>
      </w:pPr>
      <w:r w:rsidRPr="002A7814">
        <w:rPr>
          <w:rStyle w:val="FootnoteReference"/>
        </w:rPr>
        <w:footnoteRef/>
      </w:r>
      <w:r w:rsidRPr="002A7814">
        <w:rPr>
          <w:szCs w:val="20"/>
        </w:rPr>
        <w:t xml:space="preserve"> </w:t>
      </w:r>
      <w:r w:rsidRPr="002A7814">
        <w:rPr>
          <w:i/>
          <w:szCs w:val="20"/>
        </w:rPr>
        <w:t>See</w:t>
      </w:r>
      <w:r w:rsidRPr="002A7814">
        <w:rPr>
          <w:szCs w:val="20"/>
        </w:rPr>
        <w:t xml:space="preserve"> </w:t>
      </w:r>
      <w:r w:rsidR="00471764">
        <w:rPr>
          <w:szCs w:val="20"/>
        </w:rPr>
        <w:t>Response</w:t>
      </w:r>
      <w:r w:rsidRPr="002A7814">
        <w:rPr>
          <w:szCs w:val="20"/>
        </w:rPr>
        <w:t xml:space="preserve"> from </w:t>
      </w:r>
      <w:r w:rsidR="00471764" w:rsidRPr="00471764">
        <w:rPr>
          <w:szCs w:val="20"/>
        </w:rPr>
        <w:t>Alpha &amp; Omega Communications,</w:t>
      </w:r>
      <w:r w:rsidRPr="002A7814">
        <w:rPr>
          <w:szCs w:val="20"/>
        </w:rPr>
        <w:t xml:space="preserve"> to </w:t>
      </w:r>
      <w:r w:rsidR="00471764">
        <w:rPr>
          <w:szCs w:val="20"/>
        </w:rPr>
        <w:t>Denver</w:t>
      </w:r>
      <w:r w:rsidRPr="002A7814">
        <w:rPr>
          <w:szCs w:val="20"/>
        </w:rPr>
        <w:t xml:space="preserve"> Office, Western Region, Enforcement Bureau (</w:t>
      </w:r>
      <w:r w:rsidR="00471764">
        <w:rPr>
          <w:szCs w:val="20"/>
        </w:rPr>
        <w:t>Aug. 24, 2012</w:t>
      </w:r>
      <w:r w:rsidRPr="002A7814">
        <w:rPr>
          <w:szCs w:val="20"/>
        </w:rPr>
        <w:t xml:space="preserve">) (on file in </w:t>
      </w:r>
      <w:r w:rsidRPr="002A7814">
        <w:rPr>
          <w:color w:val="000000"/>
          <w:szCs w:val="20"/>
        </w:rPr>
        <w:t>EB-1</w:t>
      </w:r>
      <w:r w:rsidR="00471764">
        <w:rPr>
          <w:color w:val="000000"/>
          <w:szCs w:val="20"/>
        </w:rPr>
        <w:t>1</w:t>
      </w:r>
      <w:r w:rsidR="007960CE">
        <w:rPr>
          <w:color w:val="000000"/>
          <w:szCs w:val="20"/>
        </w:rPr>
        <w:t>-</w:t>
      </w:r>
      <w:r w:rsidR="00471764">
        <w:rPr>
          <w:color w:val="000000"/>
          <w:szCs w:val="20"/>
        </w:rPr>
        <w:t>DV-</w:t>
      </w:r>
      <w:r w:rsidR="007960CE">
        <w:rPr>
          <w:color w:val="000000"/>
          <w:szCs w:val="20"/>
        </w:rPr>
        <w:t>01</w:t>
      </w:r>
      <w:r w:rsidR="00471764">
        <w:rPr>
          <w:color w:val="000000"/>
          <w:szCs w:val="20"/>
        </w:rPr>
        <w:t>02</w:t>
      </w:r>
      <w:r w:rsidRPr="002A7814">
        <w:rPr>
          <w:szCs w:val="20"/>
        </w:rPr>
        <w:t>) (</w:t>
      </w:r>
      <w:r w:rsidRPr="002A7814">
        <w:rPr>
          <w:i/>
          <w:szCs w:val="20"/>
        </w:rPr>
        <w:t>NAL Response</w:t>
      </w:r>
      <w:r w:rsidR="00941A7C">
        <w:rPr>
          <w:szCs w:val="20"/>
        </w:rPr>
        <w:t xml:space="preserve">).  </w:t>
      </w:r>
      <w:r w:rsidR="004D5B83">
        <w:rPr>
          <w:szCs w:val="20"/>
        </w:rPr>
        <w:t xml:space="preserve">Although </w:t>
      </w:r>
      <w:r w:rsidR="00471764">
        <w:rPr>
          <w:szCs w:val="20"/>
        </w:rPr>
        <w:t xml:space="preserve">A&amp;O </w:t>
      </w:r>
      <w:r w:rsidR="00471764" w:rsidRPr="00471764">
        <w:rPr>
          <w:szCs w:val="20"/>
        </w:rPr>
        <w:t xml:space="preserve">captions its </w:t>
      </w:r>
      <w:r w:rsidR="00DB5060">
        <w:rPr>
          <w:i/>
          <w:szCs w:val="20"/>
        </w:rPr>
        <w:t xml:space="preserve">NAL </w:t>
      </w:r>
      <w:r w:rsidR="00471764" w:rsidRPr="00471764">
        <w:rPr>
          <w:i/>
          <w:szCs w:val="20"/>
        </w:rPr>
        <w:t>Response</w:t>
      </w:r>
      <w:r w:rsidR="00471764" w:rsidRPr="00471764">
        <w:rPr>
          <w:szCs w:val="20"/>
        </w:rPr>
        <w:t xml:space="preserve"> as </w:t>
      </w:r>
      <w:r w:rsidR="00941A7C">
        <w:rPr>
          <w:szCs w:val="20"/>
        </w:rPr>
        <w:t xml:space="preserve">a </w:t>
      </w:r>
      <w:r w:rsidR="00471764" w:rsidRPr="00471764">
        <w:rPr>
          <w:szCs w:val="20"/>
        </w:rPr>
        <w:t>“Petition for Reconsideration and Re</w:t>
      </w:r>
      <w:r w:rsidR="004D5B83">
        <w:rPr>
          <w:szCs w:val="20"/>
        </w:rPr>
        <w:t>instatement,</w:t>
      </w:r>
      <w:r w:rsidR="00471764">
        <w:rPr>
          <w:szCs w:val="20"/>
        </w:rPr>
        <w:t>”</w:t>
      </w:r>
      <w:r w:rsidR="004D5B83">
        <w:rPr>
          <w:szCs w:val="20"/>
        </w:rPr>
        <w:t xml:space="preserve"> </w:t>
      </w:r>
      <w:r w:rsidR="004D5B83">
        <w:t xml:space="preserve">we are treating it as a response to the </w:t>
      </w:r>
      <w:r w:rsidR="004D5B83">
        <w:rPr>
          <w:i/>
        </w:rPr>
        <w:t>NAL</w:t>
      </w:r>
      <w:r w:rsidR="004D5B83">
        <w:t xml:space="preserve"> because the </w:t>
      </w:r>
      <w:r w:rsidR="004D5B83">
        <w:rPr>
          <w:i/>
        </w:rPr>
        <w:t xml:space="preserve">NAL </w:t>
      </w:r>
      <w:r w:rsidR="004D5B83">
        <w:t xml:space="preserve">was not a final Enforcement Bureau decision, but rather a notice of apparent liability for forfeiture.  </w:t>
      </w:r>
      <w:r w:rsidR="004D5B83">
        <w:rPr>
          <w:i/>
        </w:rPr>
        <w:t xml:space="preserve">See </w:t>
      </w:r>
      <w:r w:rsidR="004D5B83">
        <w:t xml:space="preserve">47 C.F.R. § 1.106 (stating that an aggrieved party may file a Petition for Reconsideration of </w:t>
      </w:r>
      <w:r w:rsidR="001A4F73">
        <w:t xml:space="preserve">only </w:t>
      </w:r>
      <w:r w:rsidR="004D5B83">
        <w:t xml:space="preserve">“final actions taken pursuant to delegated authority . . . .”); </w:t>
      </w:r>
      <w:r w:rsidR="004D5B83">
        <w:rPr>
          <w:i/>
        </w:rPr>
        <w:t xml:space="preserve">see also </w:t>
      </w:r>
      <w:r w:rsidR="00471764" w:rsidRPr="00471764">
        <w:rPr>
          <w:szCs w:val="20"/>
        </w:rPr>
        <w:t>47 C.F.R. § 1.80(f)(3)</w:t>
      </w:r>
      <w:r w:rsidR="004D5B83">
        <w:rPr>
          <w:szCs w:val="20"/>
        </w:rPr>
        <w:t xml:space="preserve"> (setting forth the NAL response process); </w:t>
      </w:r>
      <w:r w:rsidR="00471764" w:rsidRPr="00471764">
        <w:rPr>
          <w:i/>
          <w:szCs w:val="20"/>
        </w:rPr>
        <w:t>NAL</w:t>
      </w:r>
      <w:r w:rsidR="000538F6">
        <w:rPr>
          <w:szCs w:val="20"/>
        </w:rPr>
        <w:t>, 27</w:t>
      </w:r>
      <w:r w:rsidR="00471764" w:rsidRPr="00471764">
        <w:rPr>
          <w:szCs w:val="20"/>
        </w:rPr>
        <w:t xml:space="preserve"> FCC Rcd at </w:t>
      </w:r>
      <w:r w:rsidR="000538F6">
        <w:rPr>
          <w:szCs w:val="20"/>
        </w:rPr>
        <w:t>7618</w:t>
      </w:r>
      <w:r w:rsidR="00471764" w:rsidRPr="00471764">
        <w:rPr>
          <w:szCs w:val="20"/>
        </w:rPr>
        <w:t xml:space="preserve">, para. </w:t>
      </w:r>
      <w:r w:rsidR="000538F6">
        <w:rPr>
          <w:szCs w:val="20"/>
        </w:rPr>
        <w:t>7</w:t>
      </w:r>
      <w:r w:rsidR="004D5B83">
        <w:rPr>
          <w:szCs w:val="20"/>
        </w:rPr>
        <w:t xml:space="preserve"> (providing A&amp;O with 30 days to respond to the </w:t>
      </w:r>
      <w:r w:rsidR="004D5B83">
        <w:rPr>
          <w:i/>
          <w:szCs w:val="20"/>
        </w:rPr>
        <w:t>NAL</w:t>
      </w:r>
      <w:r w:rsidR="004D5B83">
        <w:rPr>
          <w:szCs w:val="20"/>
        </w:rPr>
        <w:t>)</w:t>
      </w:r>
      <w:r w:rsidR="00471764" w:rsidRPr="00471764">
        <w:rPr>
          <w:szCs w:val="20"/>
        </w:rPr>
        <w:t>.</w:t>
      </w:r>
    </w:p>
  </w:footnote>
  <w:footnote w:id="5">
    <w:p w:rsidR="00712784" w:rsidRDefault="00712784" w:rsidP="005336CB">
      <w:pPr>
        <w:pStyle w:val="FootnoteText"/>
        <w:tabs>
          <w:tab w:val="clear" w:pos="720"/>
        </w:tabs>
        <w:ind w:firstLine="0"/>
        <w:jc w:val="left"/>
      </w:pPr>
      <w:r>
        <w:rPr>
          <w:rStyle w:val="FootnoteReference"/>
        </w:rPr>
        <w:footnoteRef/>
      </w:r>
      <w:r>
        <w:t xml:space="preserve"> </w:t>
      </w:r>
      <w:r w:rsidRPr="002A7814">
        <w:rPr>
          <w:i/>
          <w:szCs w:val="20"/>
        </w:rPr>
        <w:t>See NAL</w:t>
      </w:r>
      <w:r w:rsidRPr="002A7814">
        <w:rPr>
          <w:szCs w:val="20"/>
        </w:rPr>
        <w:t xml:space="preserve">, </w:t>
      </w:r>
      <w:r w:rsidRPr="002A7814">
        <w:rPr>
          <w:i/>
          <w:szCs w:val="20"/>
        </w:rPr>
        <w:t>supra</w:t>
      </w:r>
      <w:r w:rsidRPr="002A7814">
        <w:rPr>
          <w:szCs w:val="20"/>
        </w:rPr>
        <w:t xml:space="preserve"> note </w:t>
      </w:r>
      <w:r>
        <w:rPr>
          <w:szCs w:val="20"/>
        </w:rPr>
        <w:t>2</w:t>
      </w:r>
      <w:r w:rsidRPr="002A7814">
        <w:rPr>
          <w:szCs w:val="20"/>
        </w:rPr>
        <w:t>.</w:t>
      </w:r>
    </w:p>
  </w:footnote>
  <w:footnote w:id="6">
    <w:p w:rsidR="00A80EF9" w:rsidRPr="002A7814" w:rsidRDefault="00A80EF9" w:rsidP="005336CB">
      <w:pPr>
        <w:pStyle w:val="FootnoteText"/>
        <w:widowControl/>
        <w:ind w:firstLine="0"/>
        <w:jc w:val="left"/>
        <w:rPr>
          <w:szCs w:val="20"/>
        </w:rPr>
      </w:pPr>
      <w:r w:rsidRPr="002A7814">
        <w:rPr>
          <w:rStyle w:val="FootnoteReference"/>
        </w:rPr>
        <w:footnoteRef/>
      </w:r>
      <w:r w:rsidRPr="002A7814">
        <w:rPr>
          <w:szCs w:val="20"/>
        </w:rPr>
        <w:t xml:space="preserve"> 47 U.S.C. § 503(b).</w:t>
      </w:r>
    </w:p>
  </w:footnote>
  <w:footnote w:id="7">
    <w:p w:rsidR="00A80EF9" w:rsidRPr="002A7814" w:rsidRDefault="00A80EF9" w:rsidP="005336CB">
      <w:pPr>
        <w:pStyle w:val="FootnoteText"/>
        <w:widowControl/>
        <w:ind w:firstLine="0"/>
        <w:jc w:val="left"/>
        <w:rPr>
          <w:szCs w:val="20"/>
        </w:rPr>
      </w:pPr>
      <w:r w:rsidRPr="002A7814">
        <w:rPr>
          <w:rStyle w:val="FootnoteReference"/>
        </w:rPr>
        <w:footnoteRef/>
      </w:r>
      <w:r w:rsidRPr="002A7814">
        <w:rPr>
          <w:szCs w:val="20"/>
        </w:rPr>
        <w:t xml:space="preserve"> 47 C.F.R. § 1.80.</w:t>
      </w:r>
    </w:p>
  </w:footnote>
  <w:footnote w:id="8">
    <w:p w:rsidR="00A80EF9" w:rsidRPr="002A7814" w:rsidRDefault="00A80EF9" w:rsidP="005336CB">
      <w:pPr>
        <w:pStyle w:val="FootnoteText"/>
        <w:widowControl/>
        <w:ind w:firstLine="0"/>
        <w:jc w:val="left"/>
        <w:rPr>
          <w:szCs w:val="20"/>
        </w:rPr>
      </w:pPr>
      <w:r w:rsidRPr="002A7814">
        <w:rPr>
          <w:rStyle w:val="FootnoteReference"/>
        </w:rPr>
        <w:footnoteRef/>
      </w:r>
      <w:r w:rsidRPr="002A7814">
        <w:rPr>
          <w:szCs w:val="20"/>
        </w:rPr>
        <w:t xml:space="preserve"> </w:t>
      </w:r>
      <w:r w:rsidRPr="002A7814">
        <w:rPr>
          <w:i/>
          <w:szCs w:val="20"/>
        </w:rPr>
        <w:t>The Commission’s Forfeiture Policy Statement and Amendment of Section 1.80 of the Rules to Incorporate the Forfeiture Guidelines</w:t>
      </w:r>
      <w:r w:rsidRPr="002A7814">
        <w:rPr>
          <w:szCs w:val="20"/>
        </w:rPr>
        <w:t xml:space="preserve">, Report and Order, 12 FCC Rcd 17087 (1997), </w:t>
      </w:r>
      <w:r w:rsidRPr="002A7814">
        <w:rPr>
          <w:i/>
          <w:szCs w:val="20"/>
        </w:rPr>
        <w:t>recons. denied</w:t>
      </w:r>
      <w:r w:rsidRPr="002A7814">
        <w:rPr>
          <w:szCs w:val="20"/>
        </w:rPr>
        <w:t>, 15 FCC Rcd 303 (1999) (</w:t>
      </w:r>
      <w:r w:rsidRPr="002A7814">
        <w:rPr>
          <w:i/>
          <w:szCs w:val="20"/>
        </w:rPr>
        <w:t>Forfeiture Policy Statement</w:t>
      </w:r>
      <w:r w:rsidRPr="002A7814">
        <w:rPr>
          <w:szCs w:val="20"/>
        </w:rPr>
        <w:t xml:space="preserve">).  </w:t>
      </w:r>
    </w:p>
  </w:footnote>
  <w:footnote w:id="9">
    <w:p w:rsidR="00A80EF9" w:rsidRPr="002A7814" w:rsidRDefault="00A80EF9" w:rsidP="005336CB">
      <w:pPr>
        <w:pStyle w:val="FootnoteText"/>
        <w:widowControl/>
        <w:ind w:firstLine="0"/>
        <w:jc w:val="left"/>
        <w:rPr>
          <w:szCs w:val="20"/>
        </w:rPr>
      </w:pPr>
      <w:r w:rsidRPr="002A7814">
        <w:rPr>
          <w:rStyle w:val="FootnoteReference"/>
        </w:rPr>
        <w:footnoteRef/>
      </w:r>
      <w:r w:rsidRPr="002A7814">
        <w:rPr>
          <w:szCs w:val="20"/>
        </w:rPr>
        <w:t xml:space="preserve"> 47 U.S.C. § 503(b)(2)(E).</w:t>
      </w:r>
    </w:p>
  </w:footnote>
  <w:footnote w:id="10">
    <w:p w:rsidR="00DB5060" w:rsidRPr="00DB5060" w:rsidRDefault="00DB5060" w:rsidP="005336CB">
      <w:pPr>
        <w:pStyle w:val="FootnoteText"/>
        <w:ind w:firstLine="0"/>
      </w:pPr>
      <w:r>
        <w:rPr>
          <w:rStyle w:val="FootnoteReference"/>
        </w:rPr>
        <w:footnoteRef/>
      </w:r>
      <w:r>
        <w:t xml:space="preserve"> </w:t>
      </w:r>
      <w:r>
        <w:rPr>
          <w:i/>
        </w:rPr>
        <w:t xml:space="preserve">See NAL Response </w:t>
      </w:r>
      <w:r>
        <w:t>at 4.</w:t>
      </w:r>
    </w:p>
  </w:footnote>
  <w:footnote w:id="11">
    <w:p w:rsidR="00AE2789" w:rsidRDefault="00AE2789" w:rsidP="005336CB">
      <w:pPr>
        <w:pStyle w:val="FootnoteText"/>
        <w:ind w:firstLine="0"/>
        <w:jc w:val="left"/>
      </w:pPr>
      <w:r>
        <w:rPr>
          <w:rStyle w:val="FootnoteReference"/>
        </w:rPr>
        <w:footnoteRef/>
      </w:r>
      <w:r>
        <w:t xml:space="preserve"> </w:t>
      </w:r>
      <w:r w:rsidRPr="00FD62D8">
        <w:rPr>
          <w:i/>
        </w:rPr>
        <w:t xml:space="preserve">See </w:t>
      </w:r>
      <w:r>
        <w:t>F</w:t>
      </w:r>
      <w:r w:rsidR="00FD62D8">
        <w:t>ile No.</w:t>
      </w:r>
      <w:r>
        <w:t xml:space="preserve"> BAL-20070629AEH, granted Aug. 15, 2007</w:t>
      </w:r>
      <w:r w:rsidR="00712784">
        <w:t xml:space="preserve"> (assigning </w:t>
      </w:r>
      <w:r w:rsidR="00FD62D8">
        <w:t>Station KMRI(AM)</w:t>
      </w:r>
      <w:r w:rsidR="00712784">
        <w:t xml:space="preserve">, which </w:t>
      </w:r>
      <w:r w:rsidR="00F6308D">
        <w:t>uses</w:t>
      </w:r>
      <w:r w:rsidR="00712784">
        <w:t xml:space="preserve"> the Antenna Structure</w:t>
      </w:r>
      <w:r w:rsidR="00F6308D">
        <w:t xml:space="preserve"> for broadcast</w:t>
      </w:r>
      <w:r w:rsidR="00712784">
        <w:t>, from KMRI Radio, LLC</w:t>
      </w:r>
      <w:r w:rsidR="00FD62D8">
        <w:t xml:space="preserve"> to</w:t>
      </w:r>
      <w:r w:rsidR="00F6308D">
        <w:t xml:space="preserve"> A&amp;O</w:t>
      </w:r>
      <w:r w:rsidR="00FD62D8">
        <w:t>)</w:t>
      </w:r>
      <w:r w:rsidR="00B46B39">
        <w:t>.</w:t>
      </w:r>
      <w:r>
        <w:t xml:space="preserve"> </w:t>
      </w:r>
    </w:p>
  </w:footnote>
  <w:footnote w:id="12">
    <w:p w:rsidR="000E4E88" w:rsidRPr="002B6E5B" w:rsidRDefault="000E4E88" w:rsidP="002F6742">
      <w:pPr>
        <w:spacing w:after="120"/>
      </w:pPr>
      <w:r w:rsidRPr="008F0179">
        <w:rPr>
          <w:rStyle w:val="FootnoteReference"/>
        </w:rPr>
        <w:footnoteRef/>
      </w:r>
      <w:r w:rsidRPr="008F0179">
        <w:rPr>
          <w:sz w:val="20"/>
          <w:szCs w:val="20"/>
        </w:rPr>
        <w:t xml:space="preserve"> </w:t>
      </w:r>
      <w:r w:rsidR="00F6308D" w:rsidRPr="008F0179">
        <w:rPr>
          <w:i/>
          <w:color w:val="000000"/>
          <w:sz w:val="20"/>
          <w:szCs w:val="20"/>
        </w:rPr>
        <w:t>See, e.g.</w:t>
      </w:r>
      <w:r w:rsidR="00F6308D" w:rsidRPr="008F0179">
        <w:rPr>
          <w:color w:val="000000"/>
          <w:sz w:val="20"/>
          <w:szCs w:val="20"/>
        </w:rPr>
        <w:t xml:space="preserve">, </w:t>
      </w:r>
      <w:r w:rsidR="00F6308D" w:rsidRPr="008F0179">
        <w:rPr>
          <w:i/>
          <w:color w:val="000000"/>
          <w:sz w:val="20"/>
          <w:szCs w:val="20"/>
        </w:rPr>
        <w:t>Am. Tower Corp.</w:t>
      </w:r>
      <w:r w:rsidR="00F6308D" w:rsidRPr="008F0179">
        <w:rPr>
          <w:color w:val="000000"/>
          <w:sz w:val="20"/>
          <w:szCs w:val="20"/>
        </w:rPr>
        <w:t>, Notice of Apparent Liability, 16 FCC Rcd 1282, 1284–85, para. 9 (2001) (“</w:t>
      </w:r>
      <w:r w:rsidR="00F6308D" w:rsidRPr="008F0179">
        <w:rPr>
          <w:sz w:val="20"/>
          <w:szCs w:val="20"/>
        </w:rPr>
        <w:t>The purpose of the posting requirement is to allow for expedited identification of and contact with the antenna structure owner in the event of a safety problem with the structure (</w:t>
      </w:r>
      <w:r w:rsidR="00F6308D" w:rsidRPr="008F0179">
        <w:rPr>
          <w:i/>
          <w:iCs/>
          <w:sz w:val="20"/>
          <w:szCs w:val="20"/>
        </w:rPr>
        <w:t>e.g.</w:t>
      </w:r>
      <w:r w:rsidR="00F6308D" w:rsidRPr="008F0179">
        <w:rPr>
          <w:sz w:val="20"/>
          <w:szCs w:val="20"/>
        </w:rPr>
        <w:t>, an unlit tower)</w:t>
      </w:r>
      <w:r w:rsidR="008F0179">
        <w:rPr>
          <w:sz w:val="20"/>
          <w:szCs w:val="20"/>
        </w:rPr>
        <w:t>.”)</w:t>
      </w:r>
      <w:r w:rsidR="00F6308D" w:rsidRPr="008F0179">
        <w:rPr>
          <w:sz w:val="20"/>
          <w:szCs w:val="20"/>
        </w:rPr>
        <w:t xml:space="preserve">, </w:t>
      </w:r>
      <w:r w:rsidR="00F6308D" w:rsidRPr="008F0179">
        <w:rPr>
          <w:color w:val="000000"/>
          <w:sz w:val="20"/>
          <w:szCs w:val="20"/>
        </w:rPr>
        <w:t xml:space="preserve">Order and Consent Decree, 16 FCC Rcd 14937 (2001) (resolving forfeiture proceeding and other potential antenna structure rule violation cases); </w:t>
      </w:r>
      <w:r w:rsidR="00F6308D" w:rsidRPr="008F0179">
        <w:rPr>
          <w:i/>
          <w:color w:val="000000"/>
          <w:sz w:val="20"/>
          <w:szCs w:val="20"/>
        </w:rPr>
        <w:t>see also P&amp;Y Broad. Corp.</w:t>
      </w:r>
      <w:r w:rsidR="00F6308D" w:rsidRPr="008F0179">
        <w:rPr>
          <w:color w:val="000000"/>
          <w:sz w:val="20"/>
          <w:szCs w:val="20"/>
        </w:rPr>
        <w:t xml:space="preserve">, Notice of Apparent Liability for Forfeiture, 26 FCC Rcd 14444 (Enf. Bur. 2011) </w:t>
      </w:r>
      <w:r w:rsidR="008F0179" w:rsidRPr="008F0179">
        <w:rPr>
          <w:color w:val="000000"/>
          <w:sz w:val="20"/>
          <w:szCs w:val="20"/>
        </w:rPr>
        <w:t>(“</w:t>
      </w:r>
      <w:r w:rsidR="008F0179" w:rsidRPr="008F0179">
        <w:rPr>
          <w:sz w:val="20"/>
          <w:szCs w:val="20"/>
        </w:rPr>
        <w:t xml:space="preserve">It is required that antenna structure owners maintain current antenna structure registration information with the Commission and post ASR numbers at the base of antenna structures to allow for easy contact if problems arise.”) </w:t>
      </w:r>
      <w:r w:rsidR="00F6308D" w:rsidRPr="008F0179">
        <w:rPr>
          <w:color w:val="000000"/>
          <w:sz w:val="20"/>
          <w:szCs w:val="20"/>
        </w:rPr>
        <w:t>(forfeiture paid).</w:t>
      </w:r>
    </w:p>
  </w:footnote>
  <w:footnote w:id="13">
    <w:p w:rsidR="00E7072F" w:rsidRDefault="00E7072F" w:rsidP="005336CB">
      <w:pPr>
        <w:pStyle w:val="FootnoteText"/>
        <w:ind w:firstLine="0"/>
        <w:jc w:val="left"/>
      </w:pPr>
      <w:r>
        <w:rPr>
          <w:rStyle w:val="FootnoteReference"/>
        </w:rPr>
        <w:footnoteRef/>
      </w:r>
      <w:r>
        <w:t xml:space="preserve"> </w:t>
      </w:r>
      <w:r w:rsidR="008F0179">
        <w:rPr>
          <w:i/>
        </w:rPr>
        <w:t xml:space="preserve">See NAL Response </w:t>
      </w:r>
      <w:r w:rsidR="008F0179">
        <w:t xml:space="preserve">at 1–4.   </w:t>
      </w:r>
      <w:r>
        <w:t xml:space="preserve">A&amp;O requested confidential treatment of the financial documents it submitted. </w:t>
      </w:r>
      <w:r w:rsidR="009E0B63">
        <w:t xml:space="preserve"> </w:t>
      </w:r>
      <w:r>
        <w:rPr>
          <w:i/>
        </w:rPr>
        <w:t xml:space="preserve">See </w:t>
      </w:r>
      <w:r w:rsidR="008F0179">
        <w:rPr>
          <w:i/>
        </w:rPr>
        <w:t>id.</w:t>
      </w:r>
      <w:r w:rsidR="008F0179" w:rsidRPr="002F6742">
        <w:rPr>
          <w:i/>
        </w:rPr>
        <w:t xml:space="preserve"> </w:t>
      </w:r>
      <w:r>
        <w:t xml:space="preserve">at 5–7. </w:t>
      </w:r>
      <w:r w:rsidRPr="00E7072F">
        <w:t xml:space="preserve"> We will defer action on the confidentiality request, as we need not disclose potentially sensitive information in this </w:t>
      </w:r>
      <w:r w:rsidR="001A4F73">
        <w:t xml:space="preserve">Forfeiture </w:t>
      </w:r>
      <w:r w:rsidRPr="00E7072F">
        <w:t xml:space="preserve">Order. </w:t>
      </w:r>
      <w:r w:rsidR="008F0179">
        <w:t xml:space="preserve"> </w:t>
      </w:r>
      <w:r w:rsidRPr="00E7072F">
        <w:rPr>
          <w:i/>
          <w:iCs/>
        </w:rPr>
        <w:t>See</w:t>
      </w:r>
      <w:r w:rsidRPr="00E7072F">
        <w:t xml:space="preserve"> </w:t>
      </w:r>
      <w:r>
        <w:t>47 C.F.R. § 0.459(d)(3)</w:t>
      </w:r>
      <w:r w:rsidRPr="00E7072F">
        <w:t>.</w:t>
      </w:r>
    </w:p>
  </w:footnote>
  <w:footnote w:id="14">
    <w:p w:rsidR="00A80EF9" w:rsidRPr="00F87F65" w:rsidRDefault="00A80EF9" w:rsidP="005336CB">
      <w:pPr>
        <w:pStyle w:val="FootnoteText"/>
        <w:widowControl/>
        <w:ind w:firstLine="0"/>
        <w:jc w:val="left"/>
        <w:rPr>
          <w:szCs w:val="20"/>
        </w:rPr>
      </w:pPr>
      <w:r w:rsidRPr="00F87F65">
        <w:rPr>
          <w:rStyle w:val="FootnoteCharacters"/>
          <w:szCs w:val="20"/>
        </w:rPr>
        <w:footnoteRef/>
      </w:r>
      <w:r w:rsidRPr="00F87F65">
        <w:rPr>
          <w:i/>
          <w:szCs w:val="20"/>
        </w:rPr>
        <w:t xml:space="preserve"> See</w:t>
      </w:r>
      <w:r w:rsidR="008F0179">
        <w:rPr>
          <w:i/>
          <w:szCs w:val="20"/>
        </w:rPr>
        <w:t>, e.g.</w:t>
      </w:r>
      <w:r w:rsidR="008F0179">
        <w:rPr>
          <w:szCs w:val="20"/>
        </w:rPr>
        <w:t>,</w:t>
      </w:r>
      <w:r w:rsidRPr="00F87F65">
        <w:rPr>
          <w:i/>
          <w:szCs w:val="20"/>
        </w:rPr>
        <w:t xml:space="preserve"> </w:t>
      </w:r>
      <w:r w:rsidR="008F0179">
        <w:rPr>
          <w:i/>
        </w:rPr>
        <w:t>Local Long Distance, Inc.</w:t>
      </w:r>
      <w:r w:rsidR="008F0179" w:rsidRPr="00D87986">
        <w:t>,</w:t>
      </w:r>
      <w:r w:rsidR="008F0179" w:rsidRPr="00C72405">
        <w:rPr>
          <w:i/>
        </w:rPr>
        <w:t xml:space="preserve"> </w:t>
      </w:r>
      <w:r w:rsidR="008F0179">
        <w:t>Order of Forfeiture, 15</w:t>
      </w:r>
      <w:r w:rsidR="008F0179" w:rsidRPr="00C72405">
        <w:t xml:space="preserve"> FCC Rcd 24385 (2000) (forfeiture not deemed excessive where it represented approximately 7.9 percent of</w:t>
      </w:r>
      <w:r w:rsidR="008F0179">
        <w:t xml:space="preserve"> the violator’s gross revenues)</w:t>
      </w:r>
      <w:r w:rsidR="008F0179" w:rsidRPr="00C72405">
        <w:t xml:space="preserve">.  </w:t>
      </w:r>
    </w:p>
  </w:footnote>
  <w:footnote w:id="15">
    <w:p w:rsidR="00673357" w:rsidRPr="00673357" w:rsidRDefault="00673357" w:rsidP="005336CB">
      <w:pPr>
        <w:pStyle w:val="FootnoteText"/>
        <w:ind w:firstLine="0"/>
        <w:jc w:val="left"/>
      </w:pPr>
      <w:r>
        <w:rPr>
          <w:rStyle w:val="FootnoteReference"/>
        </w:rPr>
        <w:footnoteRef/>
      </w:r>
      <w:r>
        <w:t xml:space="preserve"> </w:t>
      </w:r>
      <w:r>
        <w:rPr>
          <w:i/>
        </w:rPr>
        <w:t>See</w:t>
      </w:r>
      <w:r w:rsidR="008F0179">
        <w:rPr>
          <w:i/>
        </w:rPr>
        <w:t>, e.g.</w:t>
      </w:r>
      <w:r w:rsidR="008F0179">
        <w:t>,</w:t>
      </w:r>
      <w:r w:rsidR="008F0179">
        <w:rPr>
          <w:i/>
        </w:rPr>
        <w:t xml:space="preserve"> Martin Broad.</w:t>
      </w:r>
      <w:r>
        <w:rPr>
          <w:i/>
        </w:rPr>
        <w:t xml:space="preserve">, Inc., </w:t>
      </w:r>
      <w:r>
        <w:t>Forfeiture Order, 28 FCC Rcd 19</w:t>
      </w:r>
      <w:r w:rsidR="007A3010">
        <w:t>23</w:t>
      </w:r>
      <w:r>
        <w:t xml:space="preserve"> (Enf. Bur. 2013) (three years of an </w:t>
      </w:r>
      <w:r w:rsidRPr="00673357">
        <w:t xml:space="preserve">operating loss or no taxable income </w:t>
      </w:r>
      <w:r>
        <w:t>does not qualify as severe financial distress</w:t>
      </w:r>
      <w:r w:rsidR="00895155">
        <w:t xml:space="preserve"> warranting deviation from gross revenues policy</w:t>
      </w:r>
      <w:r>
        <w:t>).</w:t>
      </w:r>
    </w:p>
  </w:footnote>
  <w:footnote w:id="16">
    <w:p w:rsidR="00F0058F" w:rsidRPr="00F0058F" w:rsidRDefault="00F0058F" w:rsidP="005336CB">
      <w:pPr>
        <w:pStyle w:val="FootnoteText"/>
        <w:ind w:firstLine="0"/>
        <w:jc w:val="left"/>
      </w:pPr>
      <w:r>
        <w:rPr>
          <w:rStyle w:val="FootnoteReference"/>
        </w:rPr>
        <w:footnoteRef/>
      </w:r>
      <w:r>
        <w:t xml:space="preserve"> A&amp;O asserts that it has been forced to request waivers for the Commission’s regulatory fees for FY 2007 to FY 2011, noting that final decisions on its requests for waiver from FY 2008 to the current year are pending further Commission review.  </w:t>
      </w:r>
      <w:r>
        <w:rPr>
          <w:i/>
        </w:rPr>
        <w:t xml:space="preserve">NAL Response </w:t>
      </w:r>
      <w:r>
        <w:t xml:space="preserve">at 2.  We note that initial decisions have been issued on A&amp;O’s waiver requests for FY 2008 and FY 2009, and both have been denied.  </w:t>
      </w:r>
      <w:r>
        <w:rPr>
          <w:i/>
        </w:rPr>
        <w:t>See Fee Decisions of the Managing Director Available to the Public</w:t>
      </w:r>
      <w:r>
        <w:t xml:space="preserve">, Public Notice, 25 FCC Rcd 7952 (OMD 2010) (denying A&amp;O’s FY2008 </w:t>
      </w:r>
      <w:r w:rsidR="00895155">
        <w:t>regulatory fee waiver request);</w:t>
      </w:r>
      <w:r w:rsidRPr="00F0058F">
        <w:t xml:space="preserve"> Public Notice, 25 FCC Rcd </w:t>
      </w:r>
      <w:r>
        <w:t>15274</w:t>
      </w:r>
      <w:r w:rsidRPr="00F0058F">
        <w:t xml:space="preserve"> (OMD 2010) </w:t>
      </w:r>
      <w:r>
        <w:t>(</w:t>
      </w:r>
      <w:r w:rsidRPr="00F0058F">
        <w:t>denying A&amp;O’s FY200</w:t>
      </w:r>
      <w:r>
        <w:t>9 regulatory fee waiver request).</w:t>
      </w:r>
      <w:r w:rsidRPr="00F0058F">
        <w:t xml:space="preserve"> </w:t>
      </w:r>
    </w:p>
  </w:footnote>
  <w:footnote w:id="17">
    <w:p w:rsidR="008F0179" w:rsidRDefault="002F38CA" w:rsidP="005336CB">
      <w:pPr>
        <w:pStyle w:val="FootnoteText"/>
        <w:ind w:firstLine="0"/>
        <w:jc w:val="left"/>
      </w:pPr>
      <w:r>
        <w:rPr>
          <w:rStyle w:val="FootnoteReference"/>
        </w:rPr>
        <w:footnoteRef/>
      </w:r>
      <w:r>
        <w:t xml:space="preserve"> The $</w:t>
      </w:r>
      <w:r w:rsidR="00673357">
        <w:t>3,</w:t>
      </w:r>
      <w:r>
        <w:t>000 forfeiture falls within the percentage range that the Commission has previously found acceptable.</w:t>
      </w:r>
      <w:r w:rsidR="00895155">
        <w:t xml:space="preserve">  </w:t>
      </w:r>
      <w:r w:rsidR="00895155">
        <w:rPr>
          <w:i/>
        </w:rPr>
        <w:t xml:space="preserve">See supra </w:t>
      </w:r>
      <w:r w:rsidR="00895155">
        <w:t>note 13.</w:t>
      </w:r>
      <w:r>
        <w:t xml:space="preserve">  </w:t>
      </w:r>
      <w:r w:rsidR="00673357" w:rsidRPr="00673357">
        <w:t>The $</w:t>
      </w:r>
      <w:r w:rsidR="00673357">
        <w:t>60</w:t>
      </w:r>
      <w:r w:rsidR="00673357" w:rsidRPr="00673357">
        <w:t>0 reduction based on history of compliance with the Rules also reduces the financial penalty imposed against</w:t>
      </w:r>
      <w:r w:rsidR="00673357">
        <w:t xml:space="preserve"> A&amp;O</w:t>
      </w:r>
      <w:r w:rsidR="00673357" w:rsidRPr="00673357">
        <w:t>.</w:t>
      </w:r>
      <w:r w:rsidR="008F0179">
        <w:t xml:space="preserve">  </w:t>
      </w:r>
      <w:r w:rsidR="008F0179">
        <w:rPr>
          <w:i/>
        </w:rPr>
        <w:t xml:space="preserve">See infra </w:t>
      </w:r>
      <w:r w:rsidR="008F0179">
        <w:t>para. 8.  If A&amp;O</w:t>
      </w:r>
      <w:r w:rsidR="008F0179" w:rsidRPr="00C72405">
        <w:t xml:space="preserve"> finds it financially infeasi</w:t>
      </w:r>
      <w:r w:rsidR="008F0179">
        <w:t>ble to make full payment of the forfeiture amount within 30 days, it</w:t>
      </w:r>
      <w:r w:rsidR="008F0179" w:rsidRPr="00C72405">
        <w:t xml:space="preserve"> can request an installment </w:t>
      </w:r>
      <w:r w:rsidR="008F0179">
        <w:t>payment plan</w:t>
      </w:r>
      <w:r w:rsidR="00895155">
        <w:t xml:space="preserve">.  </w:t>
      </w:r>
      <w:r w:rsidR="00895155">
        <w:rPr>
          <w:i/>
        </w:rPr>
        <w:t xml:space="preserve">See infra </w:t>
      </w:r>
      <w:r w:rsidR="00895155">
        <w:t>para. 11</w:t>
      </w:r>
      <w:r w:rsidR="008F0179" w:rsidRPr="00C72405">
        <w:t xml:space="preserve">.   </w:t>
      </w:r>
    </w:p>
  </w:footnote>
  <w:footnote w:id="18">
    <w:p w:rsidR="008F0179" w:rsidRDefault="008F0179" w:rsidP="005336CB">
      <w:pPr>
        <w:pStyle w:val="FootnoteText"/>
        <w:ind w:firstLine="0"/>
      </w:pPr>
      <w:r w:rsidRPr="008F0179">
        <w:rPr>
          <w:rStyle w:val="FootnoteReference"/>
        </w:rPr>
        <w:footnoteRef/>
      </w:r>
      <w:r w:rsidRPr="008F0179">
        <w:t xml:space="preserve"> </w:t>
      </w:r>
      <w:r w:rsidRPr="00DB5060">
        <w:rPr>
          <w:i/>
        </w:rPr>
        <w:t>See NAL Response</w:t>
      </w:r>
      <w:r w:rsidRPr="00DB5060">
        <w:t xml:space="preserve"> at 4.</w:t>
      </w:r>
    </w:p>
  </w:footnote>
  <w:footnote w:id="19">
    <w:p w:rsidR="00A80EF9" w:rsidRPr="00F87F65" w:rsidRDefault="00A80EF9" w:rsidP="005336CB">
      <w:pPr>
        <w:pStyle w:val="FootnoteText"/>
        <w:widowControl/>
        <w:ind w:firstLine="0"/>
        <w:jc w:val="left"/>
        <w:rPr>
          <w:szCs w:val="20"/>
        </w:rPr>
      </w:pPr>
      <w:r w:rsidRPr="00F87F65">
        <w:rPr>
          <w:rStyle w:val="FootnoteReference"/>
        </w:rPr>
        <w:footnoteRef/>
      </w:r>
      <w:r w:rsidR="00CD3A00">
        <w:rPr>
          <w:szCs w:val="20"/>
        </w:rPr>
        <w:t xml:space="preserve"> 47 U.S.C. §</w:t>
      </w:r>
      <w:r w:rsidRPr="00F87F65">
        <w:rPr>
          <w:szCs w:val="20"/>
        </w:rPr>
        <w:t xml:space="preserve"> 503(b); 47 C.F.R. §§ 0.111, </w:t>
      </w:r>
      <w:r w:rsidR="00C6604E">
        <w:rPr>
          <w:szCs w:val="20"/>
        </w:rPr>
        <w:t>0.204, 0.311, 0.314, 1.80(f)(4),</w:t>
      </w:r>
      <w:r w:rsidR="00EB5D47">
        <w:rPr>
          <w:szCs w:val="20"/>
        </w:rPr>
        <w:t xml:space="preserve"> </w:t>
      </w:r>
      <w:r w:rsidR="00EB5D47">
        <w:t>17.57</w:t>
      </w:r>
      <w:r w:rsidR="00C6604E">
        <w:t>.</w:t>
      </w:r>
    </w:p>
  </w:footnote>
  <w:footnote w:id="20">
    <w:p w:rsidR="00A80EF9" w:rsidRPr="00F87F65" w:rsidRDefault="00A80EF9" w:rsidP="005336CB">
      <w:pPr>
        <w:pStyle w:val="FootnoteText"/>
        <w:widowControl/>
        <w:ind w:firstLine="0"/>
        <w:jc w:val="left"/>
        <w:rPr>
          <w:szCs w:val="20"/>
        </w:rPr>
      </w:pPr>
      <w:r w:rsidRPr="00F87F65">
        <w:rPr>
          <w:rStyle w:val="FootnoteReference"/>
        </w:rPr>
        <w:footnoteRef/>
      </w:r>
      <w:r w:rsidRPr="00F87F65">
        <w:rPr>
          <w:szCs w:val="20"/>
        </w:rPr>
        <w:t xml:space="preserve"> 47 C.F.R. § 1.80.</w:t>
      </w:r>
    </w:p>
  </w:footnote>
  <w:footnote w:id="21">
    <w:p w:rsidR="00A80EF9" w:rsidRPr="00F87F65" w:rsidRDefault="00A80EF9" w:rsidP="005336CB">
      <w:pPr>
        <w:pStyle w:val="FootnoteText"/>
        <w:widowControl/>
        <w:ind w:firstLine="0"/>
        <w:jc w:val="left"/>
        <w:rPr>
          <w:szCs w:val="20"/>
        </w:rPr>
      </w:pPr>
      <w:r w:rsidRPr="00F87F65">
        <w:rPr>
          <w:rStyle w:val="FootnoteReference"/>
        </w:rPr>
        <w:footnoteRef/>
      </w:r>
      <w:r w:rsidRPr="00F87F65">
        <w:rPr>
          <w:szCs w:val="20"/>
        </w:rPr>
        <w:t xml:space="preserve"> 47 U.S.C. § 504(a).</w:t>
      </w:r>
    </w:p>
  </w:footnote>
  <w:footnote w:id="22">
    <w:p w:rsidR="00A80EF9" w:rsidRPr="00F87F65" w:rsidRDefault="00A80EF9" w:rsidP="005336CB">
      <w:pPr>
        <w:pStyle w:val="FootnoteText"/>
        <w:widowControl/>
        <w:ind w:firstLine="0"/>
        <w:jc w:val="left"/>
        <w:rPr>
          <w:szCs w:val="20"/>
        </w:rPr>
      </w:pPr>
      <w:r w:rsidRPr="00F87F65">
        <w:rPr>
          <w:rStyle w:val="FootnoteReference"/>
        </w:rPr>
        <w:footnoteRef/>
      </w:r>
      <w:r w:rsidRPr="00F87F65">
        <w:rPr>
          <w:szCs w:val="20"/>
        </w:rPr>
        <w:t xml:space="preserve"> </w:t>
      </w:r>
      <w:r w:rsidRPr="00F87F65">
        <w:rPr>
          <w:rFonts w:eastAsia="MS Mincho" w:cs="Arial"/>
          <w:szCs w:val="20"/>
        </w:rPr>
        <w:t>An FCC Form 159 and detailed instructions for completing the form may be obtained at http://www.fcc.gov/Forms/Form159/159.pdf.</w:t>
      </w:r>
    </w:p>
  </w:footnote>
  <w:footnote w:id="23">
    <w:p w:rsidR="00A80EF9" w:rsidRPr="00F87F65" w:rsidRDefault="00A80EF9" w:rsidP="005336CB">
      <w:pPr>
        <w:pStyle w:val="FootnoteText"/>
        <w:widowControl/>
        <w:ind w:firstLine="0"/>
        <w:jc w:val="left"/>
        <w:rPr>
          <w:szCs w:val="20"/>
        </w:rPr>
      </w:pPr>
      <w:r w:rsidRPr="00F87F65">
        <w:rPr>
          <w:rStyle w:val="FootnoteReference"/>
        </w:rPr>
        <w:footnoteRef/>
      </w:r>
      <w:r w:rsidRPr="00F87F65">
        <w:rPr>
          <w:szCs w:val="20"/>
        </w:rPr>
        <w:t xml:space="preserve"> </w:t>
      </w:r>
      <w:r w:rsidRPr="00F87F65">
        <w:rPr>
          <w:i/>
          <w:szCs w:val="20"/>
        </w:rPr>
        <w:t>See</w:t>
      </w:r>
      <w:r w:rsidRPr="00F87F65">
        <w:rPr>
          <w:szCs w:val="20"/>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4E" w:rsidRDefault="00281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9" w:rsidRDefault="00A80EF9">
    <w:pPr>
      <w:tabs>
        <w:tab w:val="center" w:pos="4680"/>
        <w:tab w:val="right" w:pos="9360"/>
      </w:tabs>
      <w:suppressAutoHyphens/>
      <w:spacing w:line="227" w:lineRule="auto"/>
      <w:jc w:val="both"/>
      <w:rPr>
        <w:b/>
      </w:rPr>
    </w:pPr>
    <w:r>
      <w:rPr>
        <w:b/>
      </w:rPr>
      <w:tab/>
      <w:t>Federal</w:t>
    </w:r>
    <w:r w:rsidR="00A85CF1">
      <w:rPr>
        <w:b/>
      </w:rPr>
      <w:t xml:space="preserve"> Communications Commission</w:t>
    </w:r>
    <w:r w:rsidR="00A85CF1">
      <w:rPr>
        <w:b/>
      </w:rPr>
      <w:tab/>
      <w:t>DA 14</w:t>
    </w:r>
    <w:r>
      <w:rPr>
        <w:b/>
      </w:rPr>
      <w:t>-</w:t>
    </w:r>
    <w:r w:rsidR="00604380">
      <w:rPr>
        <w:b/>
      </w:rPr>
      <w:t>1134</w:t>
    </w:r>
  </w:p>
  <w:p w:rsidR="00A80EF9" w:rsidRDefault="00C9018A">
    <w:pPr>
      <w:pStyle w:val="Header"/>
      <w:jc w:val="both"/>
      <w:rPr>
        <w:b/>
      </w:rPr>
    </w:pPr>
    <w:r>
      <w:rPr>
        <w:b/>
        <w:noProof/>
      </w:rPr>
      <w:pict>
        <v:rect id="_x0000_s2058" style="position:absolute;left:0;text-align:left;margin-left:0;margin-top:-.7pt;width:468pt;height:.95pt;z-index:-251659264;mso-position-horizontal-relative:margin" o:allowincell="f" fillcolor="black" stroked="f" strokeweight=".05pt">
          <v:fill color2="black"/>
          <v:textbox>
            <w:txbxContent>
              <w:p w:rsidR="00A80EF9" w:rsidRDefault="00A80EF9"/>
            </w:txbxContent>
          </v:textbox>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9" w:rsidRDefault="00A80EF9">
    <w:pPr>
      <w:tabs>
        <w:tab w:val="center" w:pos="4680"/>
        <w:tab w:val="right" w:pos="9360"/>
      </w:tabs>
      <w:suppressAutoHyphens/>
      <w:spacing w:line="227" w:lineRule="auto"/>
      <w:jc w:val="both"/>
      <w:rPr>
        <w:spacing w:val="-2"/>
      </w:rPr>
    </w:pPr>
    <w:r>
      <w:rPr>
        <w:b/>
        <w:spacing w:val="-2"/>
      </w:rPr>
      <w:tab/>
      <w:t>Federal</w:t>
    </w:r>
    <w:r w:rsidR="00A85CF1">
      <w:rPr>
        <w:b/>
        <w:spacing w:val="-2"/>
      </w:rPr>
      <w:t xml:space="preserve"> Communications Commission</w:t>
    </w:r>
    <w:r w:rsidR="00A85CF1">
      <w:rPr>
        <w:b/>
        <w:spacing w:val="-2"/>
      </w:rPr>
      <w:tab/>
      <w:t>DA 14</w:t>
    </w:r>
    <w:r>
      <w:rPr>
        <w:b/>
        <w:spacing w:val="-2"/>
      </w:rPr>
      <w:t>-</w:t>
    </w:r>
    <w:r w:rsidR="00604380">
      <w:rPr>
        <w:b/>
        <w:spacing w:val="-2"/>
      </w:rPr>
      <w:t>1134</w:t>
    </w:r>
  </w:p>
  <w:p w:rsidR="00A80EF9" w:rsidRDefault="00C9018A">
    <w:pPr>
      <w:tabs>
        <w:tab w:val="left" w:pos="-1440"/>
        <w:tab w:val="left" w:pos="-720"/>
      </w:tabs>
      <w:suppressAutoHyphens/>
      <w:spacing w:line="19" w:lineRule="exact"/>
      <w:jc w:val="both"/>
      <w:rPr>
        <w:spacing w:val="-2"/>
      </w:rPr>
    </w:pPr>
    <w:r>
      <w:rPr>
        <w:noProof/>
      </w:rPr>
      <w:pict>
        <v:rect id="_x0000_s2059" style="position:absolute;left:0;text-align:left;margin-left:0;margin-top:0;width:468pt;height:.95pt;z-index:-251658240;mso-position-horizontal-relative:margin" o:allowincell="f" fillcolor="black" stroked="f" strokeweight=".05pt">
          <v:fill color2="black"/>
          <v:textbox style="mso-next-textbox:#_x0000_s2059">
            <w:txbxContent>
              <w:p w:rsidR="00A80EF9" w:rsidRDefault="00A80EF9"/>
            </w:txbxContent>
          </v:textbox>
          <w10:wrap anchorx="margin"/>
        </v:rect>
      </w:pict>
    </w:r>
  </w:p>
  <w:p w:rsidR="00A80EF9" w:rsidRDefault="00A80EF9">
    <w:pPr>
      <w:pStyle w:val="Header"/>
      <w:pBdr>
        <w:between w:val="single" w:sz="4" w:space="1" w:color="auto"/>
      </w:pBdr>
      <w:tabs>
        <w:tab w:val="center" w:pos="4680"/>
        <w:tab w:val="left" w:pos="8434"/>
      </w:tabs>
      <w:rPr>
        <w:b/>
      </w:rPr>
    </w:pPr>
    <w:r>
      <w:rPr>
        <w:b/>
      </w:rPr>
      <w:t xml:space="preserve">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2CCD7CCE"/>
    <w:multiLevelType w:val="hybridMultilevel"/>
    <w:tmpl w:val="3DB6DD78"/>
    <w:lvl w:ilvl="0" w:tplc="36049E4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4">
    <w:nsid w:val="3D0F1B3D"/>
    <w:multiLevelType w:val="singleLevel"/>
    <w:tmpl w:val="FBEE92A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6">
    <w:nsid w:val="432817C4"/>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7">
    <w:nsid w:val="4B293989"/>
    <w:multiLevelType w:val="hybridMultilevel"/>
    <w:tmpl w:val="8FF66E64"/>
    <w:lvl w:ilvl="0" w:tplc="A92EF53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1182925"/>
    <w:multiLevelType w:val="singleLevel"/>
    <w:tmpl w:val="D5A8460C"/>
    <w:lvl w:ilvl="0">
      <w:start w:val="1"/>
      <w:numFmt w:val="decimal"/>
      <w:lvlText w:val="%1."/>
      <w:lvlJc w:val="left"/>
      <w:pPr>
        <w:tabs>
          <w:tab w:val="num" w:pos="1080"/>
        </w:tabs>
        <w:ind w:left="0" w:firstLine="720"/>
      </w:pPr>
      <w:rPr>
        <w:b w:val="0"/>
      </w:rPr>
    </w:lvl>
  </w:abstractNum>
  <w:abstractNum w:abstractNumId="1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6A3C5743"/>
    <w:multiLevelType w:val="hybridMultilevel"/>
    <w:tmpl w:val="3096792E"/>
    <w:lvl w:ilvl="0" w:tplc="51244808">
      <w:start w:val="3"/>
      <w:numFmt w:val="upperRoman"/>
      <w:lvlText w:val="%1."/>
      <w:lvlJc w:val="left"/>
      <w:pPr>
        <w:ind w:left="360" w:firstLine="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4F11E3"/>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13">
    <w:nsid w:val="7E5C6F81"/>
    <w:multiLevelType w:val="hybridMultilevel"/>
    <w:tmpl w:val="F0E4DE98"/>
    <w:lvl w:ilvl="0" w:tplc="CABAE556">
      <w:start w:val="1"/>
      <w:numFmt w:val="decimal"/>
      <w:lvlText w:val="%1."/>
      <w:lvlJc w:val="left"/>
      <w:pPr>
        <w:tabs>
          <w:tab w:val="num" w:pos="1080"/>
        </w:tabs>
        <w:ind w:left="0" w:firstLine="720"/>
      </w:pPr>
      <w:rPr>
        <w:rFonts w:ascii="Times New Roman" w:hAnsi="Times New Roman" w:hint="default"/>
        <w:b w:val="0"/>
        <w:i w:val="0"/>
        <w:sz w:val="22"/>
        <w:szCs w:val="22"/>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6"/>
  </w:num>
  <w:num w:numId="2">
    <w:abstractNumId w:val="4"/>
  </w:num>
  <w:num w:numId="3">
    <w:abstractNumId w:val="2"/>
  </w:num>
  <w:num w:numId="4">
    <w:abstractNumId w:val="10"/>
  </w:num>
  <w:num w:numId="5">
    <w:abstractNumId w:val="1"/>
  </w:num>
  <w:num w:numId="6">
    <w:abstractNumId w:val="3"/>
  </w:num>
  <w:num w:numId="7">
    <w:abstractNumId w:val="0"/>
  </w:num>
  <w:num w:numId="8">
    <w:abstractNumId w:val="13"/>
  </w:num>
  <w:num w:numId="9">
    <w:abstractNumId w:val="9"/>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5386"/>
    <w:rsid w:val="000538F6"/>
    <w:rsid w:val="000672E6"/>
    <w:rsid w:val="0008114C"/>
    <w:rsid w:val="000E4E88"/>
    <w:rsid w:val="00156EDD"/>
    <w:rsid w:val="001A133E"/>
    <w:rsid w:val="001A4F73"/>
    <w:rsid w:val="001C3864"/>
    <w:rsid w:val="001D477F"/>
    <w:rsid w:val="001F0226"/>
    <w:rsid w:val="001F311A"/>
    <w:rsid w:val="0023396A"/>
    <w:rsid w:val="002375F1"/>
    <w:rsid w:val="002622B8"/>
    <w:rsid w:val="0026674C"/>
    <w:rsid w:val="00281F4E"/>
    <w:rsid w:val="002A7814"/>
    <w:rsid w:val="002B200C"/>
    <w:rsid w:val="002B6E5B"/>
    <w:rsid w:val="002C6C38"/>
    <w:rsid w:val="002E1C71"/>
    <w:rsid w:val="002F38CA"/>
    <w:rsid w:val="002F6742"/>
    <w:rsid w:val="003278DB"/>
    <w:rsid w:val="00334D47"/>
    <w:rsid w:val="00370201"/>
    <w:rsid w:val="003C0F28"/>
    <w:rsid w:val="003C492B"/>
    <w:rsid w:val="004227F0"/>
    <w:rsid w:val="004338E7"/>
    <w:rsid w:val="0044356C"/>
    <w:rsid w:val="004573F0"/>
    <w:rsid w:val="00471764"/>
    <w:rsid w:val="00472343"/>
    <w:rsid w:val="00481827"/>
    <w:rsid w:val="004B0E75"/>
    <w:rsid w:val="004D5B83"/>
    <w:rsid w:val="004E2B21"/>
    <w:rsid w:val="0052667A"/>
    <w:rsid w:val="005336CB"/>
    <w:rsid w:val="00564C6C"/>
    <w:rsid w:val="00604380"/>
    <w:rsid w:val="006073E0"/>
    <w:rsid w:val="0061124B"/>
    <w:rsid w:val="00627660"/>
    <w:rsid w:val="00673357"/>
    <w:rsid w:val="00676538"/>
    <w:rsid w:val="006A5290"/>
    <w:rsid w:val="006F37EC"/>
    <w:rsid w:val="006F4A82"/>
    <w:rsid w:val="00701F73"/>
    <w:rsid w:val="00712784"/>
    <w:rsid w:val="00722A7F"/>
    <w:rsid w:val="007503C9"/>
    <w:rsid w:val="007921B2"/>
    <w:rsid w:val="007960CE"/>
    <w:rsid w:val="007A3010"/>
    <w:rsid w:val="007C1DB9"/>
    <w:rsid w:val="007D1659"/>
    <w:rsid w:val="0081177D"/>
    <w:rsid w:val="008818E1"/>
    <w:rsid w:val="00895155"/>
    <w:rsid w:val="00895196"/>
    <w:rsid w:val="008F0179"/>
    <w:rsid w:val="00941A7C"/>
    <w:rsid w:val="00981395"/>
    <w:rsid w:val="009901E3"/>
    <w:rsid w:val="009E0B63"/>
    <w:rsid w:val="009F2ACE"/>
    <w:rsid w:val="00A20AC2"/>
    <w:rsid w:val="00A316D0"/>
    <w:rsid w:val="00A3354F"/>
    <w:rsid w:val="00A52750"/>
    <w:rsid w:val="00A63509"/>
    <w:rsid w:val="00A80EF9"/>
    <w:rsid w:val="00A85CF1"/>
    <w:rsid w:val="00AC19CC"/>
    <w:rsid w:val="00AE2789"/>
    <w:rsid w:val="00B46B39"/>
    <w:rsid w:val="00C62901"/>
    <w:rsid w:val="00C6604E"/>
    <w:rsid w:val="00C9018A"/>
    <w:rsid w:val="00CA70DE"/>
    <w:rsid w:val="00CD3A00"/>
    <w:rsid w:val="00CE5CDF"/>
    <w:rsid w:val="00CE6C06"/>
    <w:rsid w:val="00D440EE"/>
    <w:rsid w:val="00D86A06"/>
    <w:rsid w:val="00DA316C"/>
    <w:rsid w:val="00DB4364"/>
    <w:rsid w:val="00DB5060"/>
    <w:rsid w:val="00DD3772"/>
    <w:rsid w:val="00DE5386"/>
    <w:rsid w:val="00E2341F"/>
    <w:rsid w:val="00E240BF"/>
    <w:rsid w:val="00E26178"/>
    <w:rsid w:val="00E7072F"/>
    <w:rsid w:val="00EB5D47"/>
    <w:rsid w:val="00EE4D59"/>
    <w:rsid w:val="00F0058F"/>
    <w:rsid w:val="00F26A57"/>
    <w:rsid w:val="00F6308D"/>
    <w:rsid w:val="00F877C8"/>
    <w:rsid w:val="00F87F65"/>
    <w:rsid w:val="00FA623A"/>
    <w:rsid w:val="00FB5D8C"/>
    <w:rsid w:val="00FD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uiPriority w:val="99"/>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Footnote Text Char2 Char Char Char Char,Footnote Text Char1 Char2 Char Char Char Char,Footnote Text Char1 Char Char1"/>
    <w:rPr>
      <w:lang w:val="en-US" w:eastAsia="en-US" w:bidi="ar-SA"/>
    </w:rPr>
  </w:style>
  <w:style w:type="character" w:customStyle="1" w:styleId="rrfootnoteCharCharCharCharChar">
    <w:name w:val="rrfootnote Char Char Char Char Char"/>
    <w:aliases w:val="Footnote Text Char Char Char Char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character" w:customStyle="1" w:styleId="costarpage">
    <w:name w:val="co_starpage"/>
    <w:rsid w:val="00F6308D"/>
  </w:style>
  <w:style w:type="character" w:styleId="Emphasis">
    <w:name w:val="Emphasis"/>
    <w:uiPriority w:val="20"/>
    <w:qFormat/>
    <w:rsid w:val="00F630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uiPriority w:val="99"/>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Footnote Text Char2 Char Char Char Char,Footnote Text Char1 Char2 Char Char Char Char,Footnote Text Char1 Char Char1"/>
    <w:rPr>
      <w:lang w:val="en-US" w:eastAsia="en-US" w:bidi="ar-SA"/>
    </w:rPr>
  </w:style>
  <w:style w:type="character" w:customStyle="1" w:styleId="rrfootnoteCharCharCharCharChar">
    <w:name w:val="rrfootnote Char Char Char Char Char"/>
    <w:aliases w:val="Footnote Text Char Char Char Char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character" w:customStyle="1" w:styleId="costarpage">
    <w:name w:val="co_starpage"/>
    <w:rsid w:val="00F6308D"/>
  </w:style>
  <w:style w:type="character" w:styleId="Emphasis">
    <w:name w:val="Emphasis"/>
    <w:uiPriority w:val="20"/>
    <w:qFormat/>
    <w:rsid w:val="00F630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19204">
      <w:bodyDiv w:val="1"/>
      <w:marLeft w:val="0"/>
      <w:marRight w:val="0"/>
      <w:marTop w:val="0"/>
      <w:marBottom w:val="0"/>
      <w:divBdr>
        <w:top w:val="none" w:sz="0" w:space="0" w:color="auto"/>
        <w:left w:val="none" w:sz="0" w:space="0" w:color="auto"/>
        <w:bottom w:val="none" w:sz="0" w:space="0" w:color="auto"/>
        <w:right w:val="none" w:sz="0" w:space="0" w:color="auto"/>
      </w:divBdr>
    </w:div>
    <w:div w:id="313022983">
      <w:bodyDiv w:val="1"/>
      <w:marLeft w:val="0"/>
      <w:marRight w:val="0"/>
      <w:marTop w:val="0"/>
      <w:marBottom w:val="0"/>
      <w:divBdr>
        <w:top w:val="none" w:sz="0" w:space="0" w:color="auto"/>
        <w:left w:val="none" w:sz="0" w:space="0" w:color="auto"/>
        <w:bottom w:val="none" w:sz="0" w:space="0" w:color="auto"/>
        <w:right w:val="none" w:sz="0" w:space="0" w:color="auto"/>
      </w:divBdr>
      <w:divsChild>
        <w:div w:id="170979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536839">
      <w:bodyDiv w:val="1"/>
      <w:marLeft w:val="0"/>
      <w:marRight w:val="0"/>
      <w:marTop w:val="0"/>
      <w:marBottom w:val="0"/>
      <w:divBdr>
        <w:top w:val="none" w:sz="0" w:space="0" w:color="auto"/>
        <w:left w:val="none" w:sz="0" w:space="0" w:color="auto"/>
        <w:bottom w:val="none" w:sz="0" w:space="0" w:color="auto"/>
        <w:right w:val="none" w:sz="0" w:space="0" w:color="auto"/>
      </w:divBdr>
      <w:divsChild>
        <w:div w:id="2020887538">
          <w:marLeft w:val="0"/>
          <w:marRight w:val="0"/>
          <w:marTop w:val="0"/>
          <w:marBottom w:val="0"/>
          <w:divBdr>
            <w:top w:val="none" w:sz="0" w:space="0" w:color="auto"/>
            <w:left w:val="none" w:sz="0" w:space="0" w:color="auto"/>
            <w:bottom w:val="none" w:sz="0" w:space="0" w:color="auto"/>
            <w:right w:val="none" w:sz="0" w:space="0" w:color="auto"/>
          </w:divBdr>
          <w:divsChild>
            <w:div w:id="4257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9058">
      <w:bodyDiv w:val="1"/>
      <w:marLeft w:val="0"/>
      <w:marRight w:val="0"/>
      <w:marTop w:val="0"/>
      <w:marBottom w:val="0"/>
      <w:divBdr>
        <w:top w:val="none" w:sz="0" w:space="0" w:color="auto"/>
        <w:left w:val="none" w:sz="0" w:space="0" w:color="auto"/>
        <w:bottom w:val="none" w:sz="0" w:space="0" w:color="auto"/>
        <w:right w:val="none" w:sz="0" w:space="0" w:color="auto"/>
      </w:divBdr>
    </w:div>
    <w:div w:id="978337345">
      <w:bodyDiv w:val="1"/>
      <w:marLeft w:val="0"/>
      <w:marRight w:val="0"/>
      <w:marTop w:val="0"/>
      <w:marBottom w:val="0"/>
      <w:divBdr>
        <w:top w:val="none" w:sz="0" w:space="0" w:color="auto"/>
        <w:left w:val="none" w:sz="0" w:space="0" w:color="auto"/>
        <w:bottom w:val="none" w:sz="0" w:space="0" w:color="auto"/>
        <w:right w:val="none" w:sz="0" w:space="0" w:color="auto"/>
      </w:divBdr>
    </w:div>
    <w:div w:id="995301105">
      <w:bodyDiv w:val="1"/>
      <w:marLeft w:val="0"/>
      <w:marRight w:val="0"/>
      <w:marTop w:val="0"/>
      <w:marBottom w:val="0"/>
      <w:divBdr>
        <w:top w:val="none" w:sz="0" w:space="0" w:color="auto"/>
        <w:left w:val="none" w:sz="0" w:space="0" w:color="auto"/>
        <w:bottom w:val="none" w:sz="0" w:space="0" w:color="auto"/>
        <w:right w:val="none" w:sz="0" w:space="0" w:color="auto"/>
      </w:divBdr>
    </w:div>
    <w:div w:id="1040781086">
      <w:bodyDiv w:val="1"/>
      <w:marLeft w:val="0"/>
      <w:marRight w:val="0"/>
      <w:marTop w:val="0"/>
      <w:marBottom w:val="0"/>
      <w:divBdr>
        <w:top w:val="none" w:sz="0" w:space="0" w:color="auto"/>
        <w:left w:val="none" w:sz="0" w:space="0" w:color="auto"/>
        <w:bottom w:val="none" w:sz="0" w:space="0" w:color="auto"/>
        <w:right w:val="none" w:sz="0" w:space="0" w:color="auto"/>
      </w:divBdr>
    </w:div>
    <w:div w:id="1300377653">
      <w:bodyDiv w:val="1"/>
      <w:marLeft w:val="0"/>
      <w:marRight w:val="0"/>
      <w:marTop w:val="0"/>
      <w:marBottom w:val="0"/>
      <w:divBdr>
        <w:top w:val="none" w:sz="0" w:space="0" w:color="auto"/>
        <w:left w:val="none" w:sz="0" w:space="0" w:color="auto"/>
        <w:bottom w:val="none" w:sz="0" w:space="0" w:color="auto"/>
        <w:right w:val="none" w:sz="0" w:space="0" w:color="auto"/>
      </w:divBdr>
    </w:div>
    <w:div w:id="1346327896">
      <w:bodyDiv w:val="1"/>
      <w:marLeft w:val="0"/>
      <w:marRight w:val="0"/>
      <w:marTop w:val="0"/>
      <w:marBottom w:val="0"/>
      <w:divBdr>
        <w:top w:val="none" w:sz="0" w:space="0" w:color="auto"/>
        <w:left w:val="none" w:sz="0" w:space="0" w:color="auto"/>
        <w:bottom w:val="none" w:sz="0" w:space="0" w:color="auto"/>
        <w:right w:val="none" w:sz="0" w:space="0" w:color="auto"/>
      </w:divBdr>
      <w:divsChild>
        <w:div w:id="733620015">
          <w:marLeft w:val="0"/>
          <w:marRight w:val="0"/>
          <w:marTop w:val="0"/>
          <w:marBottom w:val="0"/>
          <w:divBdr>
            <w:top w:val="none" w:sz="0" w:space="0" w:color="auto"/>
            <w:left w:val="none" w:sz="0" w:space="0" w:color="auto"/>
            <w:bottom w:val="none" w:sz="0" w:space="0" w:color="auto"/>
            <w:right w:val="none" w:sz="0" w:space="0" w:color="auto"/>
          </w:divBdr>
          <w:divsChild>
            <w:div w:id="2120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7176</Characters>
  <Application>Microsoft Office Word</Application>
  <DocSecurity>0</DocSecurity>
  <Lines>131</Lines>
  <Paragraphs>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8583</CharactersWithSpaces>
  <SharedDoc>false</SharedDoc>
  <HyperlinkBase> </HyperlinkBase>
  <HLinks>
    <vt:vector size="6" baseType="variant">
      <vt:variant>
        <vt:i4>8126550</vt:i4>
      </vt:variant>
      <vt:variant>
        <vt:i4>0</vt:i4>
      </vt:variant>
      <vt:variant>
        <vt:i4>0</vt:i4>
      </vt:variant>
      <vt:variant>
        <vt:i4>5</vt:i4>
      </vt:variant>
      <vt:variant>
        <vt:lpwstr>mailto:ARINQUIRIES@fcc.gov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2013-08-22T20:54:00Z</cp:lastPrinted>
  <dcterms:created xsi:type="dcterms:W3CDTF">2014-08-04T18:31:00Z</dcterms:created>
  <dcterms:modified xsi:type="dcterms:W3CDTF">2014-08-04T18:31:00Z</dcterms:modified>
  <cp:category> </cp:category>
  <cp:contentStatus> </cp:contentStatus>
</cp:coreProperties>
</file>