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0B8DB" w14:textId="77777777" w:rsidR="00441EE5" w:rsidRDefault="00441EE5">
      <w:bookmarkStart w:id="0" w:name="_GoBack"/>
      <w:bookmarkEnd w:id="0"/>
    </w:p>
    <w:p w14:paraId="1BA093BC" w14:textId="77777777" w:rsidR="005D7402" w:rsidRDefault="00441EE5" w:rsidP="005D7402">
      <w:r>
        <w:tab/>
      </w:r>
    </w:p>
    <w:p w14:paraId="7A505588" w14:textId="45B63807" w:rsidR="005D7402" w:rsidRDefault="005D7402" w:rsidP="005D7402">
      <w:pPr>
        <w:jc w:val="right"/>
        <w:rPr>
          <w:b/>
          <w:sz w:val="24"/>
          <w:szCs w:val="24"/>
        </w:rPr>
      </w:pPr>
      <w:r>
        <w:tab/>
      </w:r>
      <w:r>
        <w:tab/>
      </w:r>
      <w:r>
        <w:tab/>
      </w:r>
      <w:r>
        <w:tab/>
      </w:r>
      <w:r>
        <w:tab/>
      </w:r>
      <w:r>
        <w:tab/>
      </w:r>
      <w:r>
        <w:tab/>
      </w:r>
      <w:r>
        <w:tab/>
      </w:r>
      <w:r>
        <w:tab/>
      </w:r>
      <w:r>
        <w:tab/>
      </w:r>
      <w:r>
        <w:rPr>
          <w:b/>
          <w:sz w:val="24"/>
          <w:szCs w:val="24"/>
        </w:rPr>
        <w:t xml:space="preserve">DA </w:t>
      </w:r>
      <w:r w:rsidR="00EB24BA">
        <w:rPr>
          <w:b/>
          <w:sz w:val="24"/>
          <w:szCs w:val="24"/>
        </w:rPr>
        <w:t>14-</w:t>
      </w:r>
      <w:r w:rsidR="003763F8">
        <w:rPr>
          <w:b/>
          <w:sz w:val="24"/>
          <w:szCs w:val="24"/>
        </w:rPr>
        <w:t>1135</w:t>
      </w:r>
    </w:p>
    <w:p w14:paraId="76EE321F" w14:textId="77777777" w:rsidR="005D7402" w:rsidRDefault="005D7402" w:rsidP="005D7402">
      <w:pPr>
        <w:jc w:val="right"/>
        <w:rPr>
          <w:b/>
          <w:sz w:val="24"/>
          <w:szCs w:val="24"/>
        </w:rPr>
      </w:pPr>
    </w:p>
    <w:p w14:paraId="5A7E0614" w14:textId="77777777" w:rsidR="00EF1B7C" w:rsidRDefault="005D7402" w:rsidP="005D7402">
      <w:pPr>
        <w:tabs>
          <w:tab w:val="center" w:pos="4680"/>
        </w:tabs>
        <w:suppressAutoHyphens/>
        <w:jc w:val="center"/>
        <w:rPr>
          <w:b/>
          <w:sz w:val="36"/>
          <w:szCs w:val="36"/>
        </w:rPr>
      </w:pPr>
      <w:r>
        <w:rPr>
          <w:b/>
          <w:sz w:val="36"/>
          <w:szCs w:val="36"/>
        </w:rPr>
        <w:t>Small Entity Compliance Guide</w:t>
      </w:r>
    </w:p>
    <w:p w14:paraId="623168A5" w14:textId="77777777" w:rsidR="001E1CEF" w:rsidRDefault="001E1CEF" w:rsidP="005D7402">
      <w:pPr>
        <w:tabs>
          <w:tab w:val="center" w:pos="4680"/>
        </w:tabs>
        <w:suppressAutoHyphens/>
        <w:jc w:val="center"/>
        <w:rPr>
          <w:b/>
          <w:sz w:val="36"/>
          <w:szCs w:val="36"/>
        </w:rPr>
      </w:pPr>
    </w:p>
    <w:p w14:paraId="1C26C5CD" w14:textId="2FBC19D7" w:rsidR="005D7402" w:rsidRPr="005D533E" w:rsidRDefault="005D7402" w:rsidP="005D7402">
      <w:pPr>
        <w:tabs>
          <w:tab w:val="center" w:pos="4680"/>
        </w:tabs>
        <w:suppressAutoHyphens/>
        <w:jc w:val="center"/>
        <w:rPr>
          <w:b/>
          <w:spacing w:val="-2"/>
          <w:sz w:val="36"/>
          <w:szCs w:val="36"/>
        </w:rPr>
      </w:pPr>
      <w:r>
        <w:rPr>
          <w:b/>
          <w:spacing w:val="-2"/>
          <w:sz w:val="36"/>
          <w:szCs w:val="36"/>
        </w:rPr>
        <w:t>Policies Regarding Mobile Spectrum Holdings</w:t>
      </w:r>
    </w:p>
    <w:p w14:paraId="167F18F9" w14:textId="77777777" w:rsidR="005D7402" w:rsidRDefault="005D7402" w:rsidP="005D7402">
      <w:pPr>
        <w:jc w:val="center"/>
        <w:rPr>
          <w:b/>
          <w:sz w:val="24"/>
          <w:szCs w:val="24"/>
        </w:rPr>
      </w:pPr>
    </w:p>
    <w:p w14:paraId="24EDD795" w14:textId="77777777" w:rsidR="005D7402" w:rsidRPr="00E9641F" w:rsidRDefault="005D7402" w:rsidP="005D7402">
      <w:pPr>
        <w:jc w:val="center"/>
        <w:rPr>
          <w:sz w:val="24"/>
          <w:szCs w:val="24"/>
        </w:rPr>
      </w:pPr>
      <w:r w:rsidRPr="00E9641F">
        <w:rPr>
          <w:sz w:val="24"/>
          <w:szCs w:val="24"/>
        </w:rPr>
        <w:t>Report and Order</w:t>
      </w:r>
    </w:p>
    <w:p w14:paraId="537441C6" w14:textId="00D7D223" w:rsidR="005D7402" w:rsidRPr="00E9641F" w:rsidRDefault="005D7402" w:rsidP="005D7402">
      <w:pPr>
        <w:jc w:val="center"/>
        <w:rPr>
          <w:sz w:val="24"/>
          <w:szCs w:val="24"/>
        </w:rPr>
      </w:pPr>
      <w:r w:rsidRPr="00E9641F">
        <w:rPr>
          <w:sz w:val="24"/>
          <w:szCs w:val="24"/>
        </w:rPr>
        <w:t xml:space="preserve">FCC </w:t>
      </w:r>
      <w:r w:rsidR="008F29DA" w:rsidRPr="00E9641F">
        <w:rPr>
          <w:sz w:val="24"/>
          <w:szCs w:val="24"/>
        </w:rPr>
        <w:t>14-63</w:t>
      </w:r>
    </w:p>
    <w:p w14:paraId="2E0C302F" w14:textId="77777777" w:rsidR="005D7402" w:rsidRPr="00E9641F" w:rsidRDefault="005D7402" w:rsidP="005D7402">
      <w:pPr>
        <w:jc w:val="center"/>
        <w:rPr>
          <w:spacing w:val="-2"/>
          <w:sz w:val="24"/>
          <w:szCs w:val="24"/>
        </w:rPr>
      </w:pPr>
      <w:r w:rsidRPr="00E9641F">
        <w:rPr>
          <w:spacing w:val="-2"/>
          <w:sz w:val="24"/>
          <w:szCs w:val="24"/>
        </w:rPr>
        <w:t>WT Docket No. 12-</w:t>
      </w:r>
      <w:r w:rsidR="00FB6A9D" w:rsidRPr="00E9641F">
        <w:rPr>
          <w:spacing w:val="-2"/>
          <w:sz w:val="24"/>
          <w:szCs w:val="24"/>
        </w:rPr>
        <w:t>2</w:t>
      </w:r>
      <w:r w:rsidRPr="00E9641F">
        <w:rPr>
          <w:spacing w:val="-2"/>
          <w:sz w:val="24"/>
          <w:szCs w:val="24"/>
        </w:rPr>
        <w:t>69</w:t>
      </w:r>
    </w:p>
    <w:p w14:paraId="3329057E" w14:textId="77777777" w:rsidR="00B82997" w:rsidRPr="00E9641F" w:rsidRDefault="008F2A68" w:rsidP="005D7402">
      <w:pPr>
        <w:jc w:val="center"/>
        <w:rPr>
          <w:spacing w:val="-2"/>
          <w:sz w:val="24"/>
          <w:szCs w:val="24"/>
        </w:rPr>
      </w:pPr>
      <w:r w:rsidRPr="00E9641F">
        <w:rPr>
          <w:spacing w:val="-2"/>
          <w:sz w:val="24"/>
          <w:szCs w:val="24"/>
        </w:rPr>
        <w:t>GN Docket No. 12-268</w:t>
      </w:r>
    </w:p>
    <w:p w14:paraId="583E54FA" w14:textId="47C47FF3" w:rsidR="005D7402" w:rsidRPr="00E9641F" w:rsidRDefault="005D7402" w:rsidP="005D7402">
      <w:pPr>
        <w:jc w:val="center"/>
        <w:rPr>
          <w:spacing w:val="-2"/>
          <w:sz w:val="24"/>
          <w:szCs w:val="24"/>
        </w:rPr>
      </w:pPr>
      <w:r w:rsidRPr="00E9641F">
        <w:rPr>
          <w:spacing w:val="-2"/>
          <w:sz w:val="24"/>
          <w:szCs w:val="24"/>
        </w:rPr>
        <w:t xml:space="preserve">Released: </w:t>
      </w:r>
      <w:r w:rsidR="00D514E8" w:rsidRPr="00E9641F">
        <w:rPr>
          <w:spacing w:val="-2"/>
          <w:sz w:val="24"/>
          <w:szCs w:val="24"/>
        </w:rPr>
        <w:t>June 2</w:t>
      </w:r>
      <w:r w:rsidRPr="00E9641F">
        <w:rPr>
          <w:spacing w:val="-2"/>
          <w:sz w:val="24"/>
          <w:szCs w:val="24"/>
        </w:rPr>
        <w:t>, 2014</w:t>
      </w:r>
    </w:p>
    <w:p w14:paraId="6A4EE5BE" w14:textId="77777777" w:rsidR="005D7402" w:rsidRPr="00E9641F" w:rsidRDefault="005D7402" w:rsidP="005D7402">
      <w:pPr>
        <w:tabs>
          <w:tab w:val="left" w:pos="360"/>
        </w:tabs>
        <w:ind w:left="1080" w:right="720"/>
        <w:jc w:val="center"/>
        <w:rPr>
          <w:b/>
          <w:sz w:val="24"/>
          <w:szCs w:val="24"/>
        </w:rPr>
      </w:pPr>
    </w:p>
    <w:p w14:paraId="6FD08B94" w14:textId="3CC56F05" w:rsidR="005D7402" w:rsidRPr="001E1CEF" w:rsidRDefault="005D7402" w:rsidP="005D7402">
      <w:pPr>
        <w:tabs>
          <w:tab w:val="left" w:pos="360"/>
        </w:tabs>
        <w:ind w:left="1080" w:right="648"/>
        <w:jc w:val="both"/>
        <w:rPr>
          <w:b/>
          <w:sz w:val="22"/>
          <w:szCs w:val="22"/>
        </w:rPr>
      </w:pPr>
      <w:r w:rsidRPr="001E1CEF">
        <w:rPr>
          <w:b/>
          <w:sz w:val="22"/>
          <w:szCs w:val="22"/>
        </w:rPr>
        <w:t>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w:t>
      </w:r>
    </w:p>
    <w:p w14:paraId="2E8799A3" w14:textId="77777777" w:rsidR="005D7402" w:rsidRPr="001E1CEF" w:rsidRDefault="005D7402" w:rsidP="005D7402">
      <w:pPr>
        <w:tabs>
          <w:tab w:val="left" w:pos="360"/>
        </w:tabs>
        <w:ind w:left="1080" w:right="720"/>
        <w:jc w:val="both"/>
        <w:rPr>
          <w:b/>
          <w:sz w:val="22"/>
          <w:szCs w:val="22"/>
        </w:rPr>
      </w:pPr>
    </w:p>
    <w:p w14:paraId="231DD935" w14:textId="77777777" w:rsidR="005D7402" w:rsidRPr="001E1CEF" w:rsidRDefault="005D7402" w:rsidP="005D7402">
      <w:pPr>
        <w:tabs>
          <w:tab w:val="left" w:pos="360"/>
        </w:tabs>
        <w:ind w:left="1080" w:right="720"/>
        <w:jc w:val="both"/>
        <w:rPr>
          <w:b/>
          <w:sz w:val="22"/>
          <w:szCs w:val="22"/>
        </w:rPr>
      </w:pPr>
      <w:r w:rsidRPr="001E1CEF">
        <w:rPr>
          <w:b/>
          <w:sz w:val="22"/>
          <w:szCs w:val="22"/>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Consumer Center:</w:t>
      </w:r>
    </w:p>
    <w:p w14:paraId="4B229BAC" w14:textId="77777777" w:rsidR="005D7402" w:rsidRPr="00E9641F" w:rsidRDefault="005D7402" w:rsidP="005D7402">
      <w:pPr>
        <w:rPr>
          <w:b/>
          <w:sz w:val="24"/>
          <w:szCs w:val="24"/>
        </w:rPr>
      </w:pPr>
    </w:p>
    <w:p w14:paraId="09BAF206" w14:textId="4F416371" w:rsidR="005D7402" w:rsidRPr="00E9641F" w:rsidRDefault="005D7402" w:rsidP="005D7402">
      <w:pPr>
        <w:jc w:val="center"/>
        <w:rPr>
          <w:b/>
          <w:color w:val="000000"/>
          <w:sz w:val="24"/>
          <w:szCs w:val="24"/>
        </w:rPr>
      </w:pPr>
      <w:r w:rsidRPr="00E9641F">
        <w:rPr>
          <w:b/>
          <w:color w:val="000000"/>
          <w:sz w:val="24"/>
          <w:szCs w:val="24"/>
        </w:rPr>
        <w:t>1-888-CALL-FCC (1-888-225-5322)</w:t>
      </w:r>
      <w:r w:rsidRPr="00E9641F">
        <w:rPr>
          <w:b/>
          <w:color w:val="000000"/>
          <w:sz w:val="24"/>
          <w:szCs w:val="24"/>
        </w:rPr>
        <w:br/>
        <w:t>TTY: 1-888-TELL-FCC</w:t>
      </w:r>
      <w:r w:rsidR="00CA774E" w:rsidRPr="00E9641F">
        <w:rPr>
          <w:b/>
          <w:color w:val="000000"/>
          <w:sz w:val="24"/>
          <w:szCs w:val="24"/>
        </w:rPr>
        <w:t xml:space="preserve"> </w:t>
      </w:r>
      <w:r w:rsidRPr="00E9641F">
        <w:rPr>
          <w:b/>
          <w:color w:val="000000"/>
          <w:sz w:val="24"/>
          <w:szCs w:val="24"/>
        </w:rPr>
        <w:t>(1-888-835-5322)</w:t>
      </w:r>
      <w:r w:rsidRPr="00E9641F">
        <w:rPr>
          <w:b/>
          <w:color w:val="000000"/>
          <w:sz w:val="24"/>
          <w:szCs w:val="24"/>
        </w:rPr>
        <w:br/>
        <w:t>Fax: 1-866-418-0232</w:t>
      </w:r>
    </w:p>
    <w:p w14:paraId="2DF10786" w14:textId="285F56F1" w:rsidR="001E1CEF" w:rsidRDefault="00884F4A" w:rsidP="00EF1B7C">
      <w:pPr>
        <w:jc w:val="center"/>
        <w:rPr>
          <w:rStyle w:val="Hyperlink"/>
          <w:b/>
          <w:sz w:val="24"/>
          <w:szCs w:val="24"/>
        </w:rPr>
      </w:pPr>
      <w:hyperlink r:id="rId8" w:history="1">
        <w:r w:rsidR="005D7402" w:rsidRPr="00E9641F">
          <w:rPr>
            <w:rStyle w:val="Hyperlink"/>
            <w:b/>
            <w:sz w:val="24"/>
            <w:szCs w:val="24"/>
          </w:rPr>
          <w:t>fccinfo@fcc.gov</w:t>
        </w:r>
      </w:hyperlink>
    </w:p>
    <w:p w14:paraId="4E659ADB" w14:textId="77777777" w:rsidR="001E1CEF" w:rsidRDefault="001E1CEF">
      <w:pPr>
        <w:rPr>
          <w:rStyle w:val="Hyperlink"/>
          <w:b/>
          <w:sz w:val="24"/>
          <w:szCs w:val="24"/>
        </w:rPr>
      </w:pPr>
      <w:r>
        <w:rPr>
          <w:rStyle w:val="Hyperlink"/>
          <w:b/>
          <w:sz w:val="24"/>
          <w:szCs w:val="24"/>
        </w:rPr>
        <w:br w:type="page"/>
      </w:r>
    </w:p>
    <w:p w14:paraId="12F7E17B" w14:textId="77777777" w:rsidR="00A16017" w:rsidRPr="00E9641F" w:rsidRDefault="00A16017" w:rsidP="00A16017">
      <w:pPr>
        <w:pStyle w:val="TOCTitle"/>
        <w:rPr>
          <w:sz w:val="24"/>
          <w:szCs w:val="24"/>
        </w:rPr>
      </w:pPr>
      <w:bookmarkStart w:id="1" w:name="TOChere"/>
      <w:r w:rsidRPr="00E9641F">
        <w:rPr>
          <w:sz w:val="24"/>
          <w:szCs w:val="24"/>
        </w:rPr>
        <w:lastRenderedPageBreak/>
        <w:t>Table of Contents</w:t>
      </w:r>
      <w:bookmarkEnd w:id="1"/>
    </w:p>
    <w:p w14:paraId="4A91DCE9" w14:textId="77777777" w:rsidR="00A16017" w:rsidRPr="00E9641F" w:rsidRDefault="00A16017" w:rsidP="00A16017">
      <w:pPr>
        <w:pStyle w:val="TOCTitle"/>
        <w:numPr>
          <w:ilvl w:val="0"/>
          <w:numId w:val="8"/>
        </w:numPr>
        <w:jc w:val="left"/>
        <w:rPr>
          <w:color w:val="000000"/>
          <w:sz w:val="24"/>
          <w:szCs w:val="24"/>
        </w:rPr>
      </w:pPr>
      <w:r w:rsidRPr="00E9641F">
        <w:rPr>
          <w:sz w:val="24"/>
          <w:szCs w:val="24"/>
        </w:rPr>
        <w:t>OBJECTIVES OF THE PROCEEDINGS</w:t>
      </w:r>
    </w:p>
    <w:p w14:paraId="58D4BD72" w14:textId="77777777" w:rsidR="00A16017" w:rsidRPr="00E9641F" w:rsidRDefault="00A16017" w:rsidP="00A16017">
      <w:pPr>
        <w:pStyle w:val="TOCTitle"/>
        <w:numPr>
          <w:ilvl w:val="0"/>
          <w:numId w:val="8"/>
        </w:numPr>
        <w:jc w:val="left"/>
        <w:rPr>
          <w:color w:val="000000"/>
          <w:sz w:val="24"/>
          <w:szCs w:val="24"/>
        </w:rPr>
      </w:pPr>
      <w:r w:rsidRPr="00E9641F">
        <w:rPr>
          <w:sz w:val="24"/>
          <w:szCs w:val="24"/>
        </w:rPr>
        <w:t>REGULATIONS AND POLICIES THAT THE COMMISSION ADOPTED OR MODIFIED, INCLUDING COMPLIANCE  REQUIREMENTS</w:t>
      </w:r>
    </w:p>
    <w:p w14:paraId="7474A058" w14:textId="77777777" w:rsidR="00A16017" w:rsidRPr="00E9641F" w:rsidRDefault="00A16017" w:rsidP="00A16017">
      <w:pPr>
        <w:pStyle w:val="TOCTitle"/>
        <w:numPr>
          <w:ilvl w:val="0"/>
          <w:numId w:val="8"/>
        </w:numPr>
        <w:jc w:val="left"/>
        <w:rPr>
          <w:color w:val="000000"/>
          <w:sz w:val="24"/>
          <w:szCs w:val="24"/>
        </w:rPr>
      </w:pPr>
      <w:r w:rsidRPr="00E9641F">
        <w:rPr>
          <w:sz w:val="24"/>
          <w:szCs w:val="24"/>
        </w:rPr>
        <w:t>RECORDKEEPING AND OTHER COMPLIANCE REQUIREMENTS</w:t>
      </w:r>
    </w:p>
    <w:p w14:paraId="39383952" w14:textId="77777777" w:rsidR="00A16017" w:rsidRPr="00E9641F" w:rsidRDefault="00A16017" w:rsidP="00A16017">
      <w:pPr>
        <w:pStyle w:val="TOCTitle"/>
        <w:numPr>
          <w:ilvl w:val="0"/>
          <w:numId w:val="8"/>
        </w:numPr>
        <w:jc w:val="left"/>
        <w:rPr>
          <w:color w:val="000000"/>
          <w:sz w:val="24"/>
          <w:szCs w:val="24"/>
        </w:rPr>
      </w:pPr>
      <w:r w:rsidRPr="00E9641F">
        <w:rPr>
          <w:sz w:val="24"/>
          <w:szCs w:val="24"/>
        </w:rPr>
        <w:t>WEBLINK</w:t>
      </w:r>
    </w:p>
    <w:p w14:paraId="3CFBC140" w14:textId="77777777" w:rsidR="00A16017" w:rsidRPr="00E9641F" w:rsidRDefault="00A16017" w:rsidP="00A16017">
      <w:pPr>
        <w:rPr>
          <w:b/>
          <w:color w:val="000000"/>
          <w:sz w:val="24"/>
          <w:szCs w:val="24"/>
        </w:rPr>
      </w:pPr>
      <w:r w:rsidRPr="00E9641F">
        <w:rPr>
          <w:b/>
          <w:color w:val="000000"/>
          <w:sz w:val="24"/>
          <w:szCs w:val="24"/>
        </w:rPr>
        <w:br w:type="page"/>
      </w:r>
    </w:p>
    <w:p w14:paraId="21319283" w14:textId="77777777" w:rsidR="00A16017" w:rsidRPr="00E9641F" w:rsidRDefault="00A16017" w:rsidP="00A16017">
      <w:pPr>
        <w:rPr>
          <w:b/>
          <w:color w:val="000000"/>
          <w:sz w:val="24"/>
          <w:szCs w:val="24"/>
        </w:rPr>
      </w:pPr>
    </w:p>
    <w:p w14:paraId="05CE7267" w14:textId="77777777" w:rsidR="00A16017" w:rsidRPr="00E9641F" w:rsidRDefault="00A16017" w:rsidP="005D7402">
      <w:pPr>
        <w:jc w:val="center"/>
        <w:rPr>
          <w:b/>
          <w:color w:val="000000"/>
          <w:sz w:val="24"/>
          <w:szCs w:val="24"/>
        </w:rPr>
      </w:pPr>
    </w:p>
    <w:p w14:paraId="5C077F7B" w14:textId="31BABDAA" w:rsidR="005D7402" w:rsidRPr="00E9641F" w:rsidRDefault="00BE7C74" w:rsidP="00734DE2">
      <w:pPr>
        <w:rPr>
          <w:b/>
          <w:sz w:val="24"/>
          <w:szCs w:val="24"/>
          <w:u w:val="single"/>
        </w:rPr>
      </w:pPr>
      <w:r w:rsidRPr="00E9641F">
        <w:rPr>
          <w:b/>
          <w:sz w:val="24"/>
          <w:szCs w:val="24"/>
          <w:u w:val="single"/>
        </w:rPr>
        <w:t>COMPLIANCE REQUIREMENTS FOR POLICIES REGARDING MOBILE SPECTRUM HOLDING</w:t>
      </w:r>
      <w:r w:rsidR="00B70C4D" w:rsidRPr="00E9641F">
        <w:rPr>
          <w:b/>
          <w:sz w:val="24"/>
          <w:szCs w:val="24"/>
          <w:u w:val="single"/>
        </w:rPr>
        <w:t>S</w:t>
      </w:r>
    </w:p>
    <w:p w14:paraId="26B27604" w14:textId="0FF8571E" w:rsidR="005D7402" w:rsidRPr="00E9641F" w:rsidRDefault="00BE7C74" w:rsidP="005D7402">
      <w:pPr>
        <w:pStyle w:val="Heading4"/>
        <w:tabs>
          <w:tab w:val="left" w:pos="360"/>
        </w:tabs>
        <w:rPr>
          <w:sz w:val="24"/>
          <w:szCs w:val="24"/>
          <w:u w:val="single"/>
        </w:rPr>
      </w:pPr>
      <w:r w:rsidRPr="00E9641F">
        <w:rPr>
          <w:sz w:val="24"/>
          <w:szCs w:val="24"/>
        </w:rPr>
        <w:t>I.</w:t>
      </w:r>
      <w:r w:rsidR="005D7402" w:rsidRPr="00E9641F">
        <w:rPr>
          <w:sz w:val="24"/>
          <w:szCs w:val="24"/>
        </w:rPr>
        <w:tab/>
      </w:r>
      <w:r w:rsidRPr="00E9641F">
        <w:rPr>
          <w:sz w:val="24"/>
          <w:szCs w:val="24"/>
        </w:rPr>
        <w:t>OBJECTIVES OF THE PROCEEDING</w:t>
      </w:r>
    </w:p>
    <w:p w14:paraId="2766333F" w14:textId="77777777" w:rsidR="005D7402" w:rsidRPr="00E9641F" w:rsidRDefault="005D7402" w:rsidP="005D7402">
      <w:pPr>
        <w:rPr>
          <w:sz w:val="24"/>
          <w:szCs w:val="24"/>
        </w:rPr>
      </w:pPr>
    </w:p>
    <w:p w14:paraId="16C8CFC8" w14:textId="5F41EDB2" w:rsidR="005D7402" w:rsidRPr="00E9641F" w:rsidRDefault="008F2A68" w:rsidP="005D7402">
      <w:pPr>
        <w:pStyle w:val="ParaNum"/>
        <w:widowControl/>
        <w:numPr>
          <w:ilvl w:val="0"/>
          <w:numId w:val="0"/>
        </w:numPr>
        <w:tabs>
          <w:tab w:val="left" w:pos="720"/>
        </w:tabs>
        <w:snapToGrid w:val="0"/>
        <w:spacing w:after="240"/>
        <w:rPr>
          <w:sz w:val="24"/>
          <w:szCs w:val="24"/>
        </w:rPr>
      </w:pPr>
      <w:r w:rsidRPr="00E9641F">
        <w:rPr>
          <w:sz w:val="24"/>
          <w:szCs w:val="24"/>
        </w:rPr>
        <w:t xml:space="preserve">Under its statutory mandate, </w:t>
      </w:r>
      <w:r w:rsidR="0022040B" w:rsidRPr="00E9641F">
        <w:rPr>
          <w:sz w:val="24"/>
          <w:szCs w:val="24"/>
        </w:rPr>
        <w:t>t</w:t>
      </w:r>
      <w:r w:rsidR="005D7402" w:rsidRPr="00E9641F">
        <w:rPr>
          <w:sz w:val="24"/>
          <w:szCs w:val="24"/>
        </w:rPr>
        <w:t xml:space="preserve">he Commission </w:t>
      </w:r>
      <w:r w:rsidRPr="00E9641F">
        <w:rPr>
          <w:sz w:val="24"/>
          <w:szCs w:val="24"/>
        </w:rPr>
        <w:t>seeks</w:t>
      </w:r>
      <w:r w:rsidR="005D7402" w:rsidRPr="00E9641F">
        <w:rPr>
          <w:sz w:val="24"/>
          <w:szCs w:val="24"/>
        </w:rPr>
        <w:t xml:space="preserve"> to manage spectrum to promote economic opportunity, competition, innovation, and </w:t>
      </w:r>
      <w:r w:rsidR="00B70C4D" w:rsidRPr="00E9641F">
        <w:rPr>
          <w:sz w:val="24"/>
          <w:szCs w:val="24"/>
        </w:rPr>
        <w:t>investment</w:t>
      </w:r>
      <w:r w:rsidR="005D7402" w:rsidRPr="00E9641F">
        <w:rPr>
          <w:sz w:val="24"/>
          <w:szCs w:val="24"/>
        </w:rPr>
        <w:t>.  In the wake of recent industry trends, both in service evolution and market structure, the Commission has revisited its mobile spectrum holdings rules and policies</w:t>
      </w:r>
      <w:r w:rsidR="0058024D" w:rsidRPr="00E9641F">
        <w:rPr>
          <w:sz w:val="24"/>
          <w:szCs w:val="24"/>
        </w:rPr>
        <w:t xml:space="preserve">, which are designed to identify and address situations where an increased concentration of spectrum control in the hands of one company or individual – whether through a proposed secondary market transaction or by securing initial licenses </w:t>
      </w:r>
      <w:r w:rsidR="00402A68" w:rsidRPr="00E9641F">
        <w:rPr>
          <w:sz w:val="24"/>
          <w:szCs w:val="24"/>
        </w:rPr>
        <w:t xml:space="preserve">(typically </w:t>
      </w:r>
      <w:r w:rsidR="0058024D" w:rsidRPr="00E9641F">
        <w:rPr>
          <w:sz w:val="24"/>
          <w:szCs w:val="24"/>
        </w:rPr>
        <w:t>in an auction</w:t>
      </w:r>
      <w:r w:rsidR="00402A68" w:rsidRPr="00E9641F">
        <w:rPr>
          <w:sz w:val="24"/>
          <w:szCs w:val="24"/>
        </w:rPr>
        <w:t>)</w:t>
      </w:r>
      <w:r w:rsidR="0058024D" w:rsidRPr="00E9641F">
        <w:rPr>
          <w:sz w:val="24"/>
          <w:szCs w:val="24"/>
        </w:rPr>
        <w:t xml:space="preserve"> </w:t>
      </w:r>
      <w:r w:rsidR="00343929" w:rsidRPr="00E9641F">
        <w:rPr>
          <w:sz w:val="24"/>
          <w:szCs w:val="24"/>
        </w:rPr>
        <w:t>–</w:t>
      </w:r>
      <w:r w:rsidR="0058024D" w:rsidRPr="00E9641F">
        <w:rPr>
          <w:sz w:val="24"/>
          <w:szCs w:val="24"/>
        </w:rPr>
        <w:t xml:space="preserve"> </w:t>
      </w:r>
      <w:r w:rsidR="00343929" w:rsidRPr="00E9641F">
        <w:rPr>
          <w:sz w:val="24"/>
          <w:szCs w:val="24"/>
        </w:rPr>
        <w:t xml:space="preserve">could jeopardize the </w:t>
      </w:r>
      <w:r w:rsidR="008F6E4A" w:rsidRPr="00E9641F">
        <w:rPr>
          <w:sz w:val="24"/>
          <w:szCs w:val="24"/>
        </w:rPr>
        <w:t xml:space="preserve">communications-related benefits that come from a </w:t>
      </w:r>
      <w:r w:rsidR="00343929" w:rsidRPr="00E9641F">
        <w:rPr>
          <w:sz w:val="24"/>
          <w:szCs w:val="24"/>
        </w:rPr>
        <w:t>competitive marketplace</w:t>
      </w:r>
      <w:r w:rsidR="005D7402" w:rsidRPr="00E9641F">
        <w:rPr>
          <w:sz w:val="24"/>
          <w:szCs w:val="24"/>
        </w:rPr>
        <w:t xml:space="preserve">.  </w:t>
      </w:r>
      <w:r w:rsidRPr="00E9641F">
        <w:rPr>
          <w:sz w:val="24"/>
          <w:szCs w:val="24"/>
        </w:rPr>
        <w:t xml:space="preserve">This </w:t>
      </w:r>
      <w:r w:rsidRPr="00956387">
        <w:rPr>
          <w:i/>
          <w:sz w:val="24"/>
          <w:szCs w:val="24"/>
        </w:rPr>
        <w:t>Report and Order</w:t>
      </w:r>
      <w:r w:rsidR="00956387">
        <w:rPr>
          <w:rStyle w:val="FootnoteReference"/>
          <w:i/>
          <w:szCs w:val="24"/>
        </w:rPr>
        <w:footnoteReference w:id="2"/>
      </w:r>
      <w:r w:rsidRPr="00E9641F">
        <w:rPr>
          <w:sz w:val="24"/>
          <w:szCs w:val="24"/>
        </w:rPr>
        <w:t xml:space="preserve"> </w:t>
      </w:r>
      <w:r w:rsidR="00343929" w:rsidRPr="00E9641F">
        <w:rPr>
          <w:sz w:val="24"/>
          <w:szCs w:val="24"/>
        </w:rPr>
        <w:t xml:space="preserve">revises the Commission’s </w:t>
      </w:r>
      <w:r w:rsidR="005D7402" w:rsidRPr="00E9641F">
        <w:rPr>
          <w:sz w:val="24"/>
          <w:szCs w:val="24"/>
        </w:rPr>
        <w:t>mobile spectrum holdings policies</w:t>
      </w:r>
      <w:r w:rsidR="00343929" w:rsidRPr="00E9641F">
        <w:rPr>
          <w:sz w:val="24"/>
          <w:szCs w:val="24"/>
        </w:rPr>
        <w:t xml:space="preserve"> in several regards</w:t>
      </w:r>
      <w:r w:rsidR="00402A68" w:rsidRPr="00E9641F">
        <w:rPr>
          <w:sz w:val="24"/>
          <w:szCs w:val="24"/>
        </w:rPr>
        <w:t>.  Among other things, it updates</w:t>
      </w:r>
      <w:r w:rsidRPr="00E9641F">
        <w:rPr>
          <w:sz w:val="24"/>
          <w:szCs w:val="24"/>
        </w:rPr>
        <w:t xml:space="preserve"> </w:t>
      </w:r>
      <w:r w:rsidR="00343929" w:rsidRPr="00E9641F">
        <w:rPr>
          <w:sz w:val="24"/>
          <w:szCs w:val="24"/>
        </w:rPr>
        <w:t xml:space="preserve">the </w:t>
      </w:r>
      <w:r w:rsidR="00166D78" w:rsidRPr="00E9641F">
        <w:rPr>
          <w:sz w:val="24"/>
          <w:szCs w:val="24"/>
        </w:rPr>
        <w:t xml:space="preserve">list of </w:t>
      </w:r>
      <w:r w:rsidR="005D7402" w:rsidRPr="00E9641F">
        <w:rPr>
          <w:sz w:val="24"/>
          <w:szCs w:val="24"/>
        </w:rPr>
        <w:t xml:space="preserve">spectrum blocks </w:t>
      </w:r>
      <w:r w:rsidR="00343929" w:rsidRPr="00E9641F">
        <w:rPr>
          <w:sz w:val="24"/>
          <w:szCs w:val="24"/>
        </w:rPr>
        <w:t xml:space="preserve">that the agency considers when applying </w:t>
      </w:r>
      <w:r w:rsidR="00166D78" w:rsidRPr="00E9641F">
        <w:rPr>
          <w:sz w:val="24"/>
          <w:szCs w:val="24"/>
        </w:rPr>
        <w:t xml:space="preserve">the </w:t>
      </w:r>
      <w:r w:rsidR="00402A68" w:rsidRPr="00E9641F">
        <w:rPr>
          <w:sz w:val="24"/>
          <w:szCs w:val="24"/>
        </w:rPr>
        <w:t>“</w:t>
      </w:r>
      <w:r w:rsidR="005D7402" w:rsidRPr="00E9641F">
        <w:rPr>
          <w:sz w:val="24"/>
          <w:szCs w:val="24"/>
        </w:rPr>
        <w:t>spectrum screen</w:t>
      </w:r>
      <w:r w:rsidR="00402A68" w:rsidRPr="00E9641F">
        <w:rPr>
          <w:sz w:val="24"/>
          <w:szCs w:val="24"/>
        </w:rPr>
        <w:t>”</w:t>
      </w:r>
      <w:r w:rsidR="0009654C" w:rsidRPr="00E9641F">
        <w:rPr>
          <w:sz w:val="24"/>
          <w:szCs w:val="24"/>
        </w:rPr>
        <w:t xml:space="preserve"> </w:t>
      </w:r>
      <w:r w:rsidR="00166D78" w:rsidRPr="00E9641F">
        <w:rPr>
          <w:sz w:val="24"/>
          <w:szCs w:val="24"/>
        </w:rPr>
        <w:t xml:space="preserve">used to help determine whether a party’s </w:t>
      </w:r>
      <w:r w:rsidR="00402A68" w:rsidRPr="00E9641F">
        <w:rPr>
          <w:sz w:val="24"/>
          <w:szCs w:val="24"/>
        </w:rPr>
        <w:t>proposed acquisition of</w:t>
      </w:r>
      <w:r w:rsidR="00166D78" w:rsidRPr="00E9641F">
        <w:rPr>
          <w:sz w:val="24"/>
          <w:szCs w:val="24"/>
        </w:rPr>
        <w:t xml:space="preserve"> additional spectrum licenses warrant</w:t>
      </w:r>
      <w:r w:rsidR="00402A68" w:rsidRPr="00E9641F">
        <w:rPr>
          <w:sz w:val="24"/>
          <w:szCs w:val="24"/>
        </w:rPr>
        <w:t>s</w:t>
      </w:r>
      <w:r w:rsidR="00166D78" w:rsidRPr="00E9641F">
        <w:rPr>
          <w:sz w:val="24"/>
          <w:szCs w:val="24"/>
        </w:rPr>
        <w:t xml:space="preserve"> further scrutiny for potential negative effects</w:t>
      </w:r>
      <w:r w:rsidR="00402A68" w:rsidRPr="00E9641F">
        <w:rPr>
          <w:sz w:val="24"/>
          <w:szCs w:val="24"/>
        </w:rPr>
        <w:t xml:space="preserve">.  It determines no longer to use such a spectrum screen to analyze proposed acquisitions of initial licenses by winning bidders in Commission spectrum auctions;  </w:t>
      </w:r>
      <w:r w:rsidR="00895983" w:rsidRPr="00E9641F">
        <w:rPr>
          <w:sz w:val="24"/>
          <w:szCs w:val="24"/>
        </w:rPr>
        <w:t xml:space="preserve"> the Commission will instead conduct, for each auction, a pre-auction analysis of the spectrum and markets at issue to determine whether it should adopt specific spectrum limits for that auction (thereby addressing competitive concerns at the outset by limiting or precluding auction participation to the extent that the amount of a party’s pre-auction spectrum holdings – combined with potential purchases at auction – would jeopardize competition)</w:t>
      </w:r>
      <w:r w:rsidR="003F2FC6">
        <w:rPr>
          <w:sz w:val="24"/>
          <w:szCs w:val="24"/>
        </w:rPr>
        <w:t xml:space="preserve"> </w:t>
      </w:r>
      <w:r w:rsidR="005D7402" w:rsidRPr="00E9641F">
        <w:rPr>
          <w:sz w:val="24"/>
          <w:szCs w:val="24"/>
        </w:rPr>
        <w:t>with auction specific spectrum limits</w:t>
      </w:r>
      <w:r w:rsidR="00586AF4" w:rsidRPr="00E9641F">
        <w:rPr>
          <w:sz w:val="24"/>
          <w:szCs w:val="24"/>
        </w:rPr>
        <w:t xml:space="preserve">.  For the upcoming </w:t>
      </w:r>
      <w:r w:rsidR="002B49FD" w:rsidRPr="00E9641F">
        <w:rPr>
          <w:sz w:val="24"/>
          <w:szCs w:val="24"/>
        </w:rPr>
        <w:t>I</w:t>
      </w:r>
      <w:r w:rsidR="00586AF4" w:rsidRPr="00E9641F">
        <w:rPr>
          <w:sz w:val="24"/>
          <w:szCs w:val="24"/>
        </w:rPr>
        <w:t xml:space="preserve">ncentive </w:t>
      </w:r>
      <w:r w:rsidR="002B49FD" w:rsidRPr="00E9641F">
        <w:rPr>
          <w:sz w:val="24"/>
          <w:szCs w:val="24"/>
        </w:rPr>
        <w:t>A</w:t>
      </w:r>
      <w:r w:rsidR="00586AF4" w:rsidRPr="00E9641F">
        <w:rPr>
          <w:sz w:val="24"/>
          <w:szCs w:val="24"/>
        </w:rPr>
        <w:t xml:space="preserve">uction, the </w:t>
      </w:r>
      <w:r w:rsidR="00586AF4" w:rsidRPr="00956387">
        <w:rPr>
          <w:i/>
          <w:sz w:val="24"/>
          <w:szCs w:val="24"/>
        </w:rPr>
        <w:t>Report and Order</w:t>
      </w:r>
      <w:r w:rsidR="00586AF4" w:rsidRPr="00E9641F">
        <w:rPr>
          <w:sz w:val="24"/>
          <w:szCs w:val="24"/>
        </w:rPr>
        <w:t xml:space="preserve"> reserves</w:t>
      </w:r>
      <w:r w:rsidR="005D7402" w:rsidRPr="00E9641F">
        <w:rPr>
          <w:sz w:val="24"/>
          <w:szCs w:val="24"/>
        </w:rPr>
        <w:t xml:space="preserve"> a certain amount of 600 MHz spectrum for </w:t>
      </w:r>
      <w:r w:rsidR="00092972" w:rsidRPr="00E9641F">
        <w:rPr>
          <w:sz w:val="24"/>
          <w:szCs w:val="24"/>
        </w:rPr>
        <w:t>non-nationwide providers</w:t>
      </w:r>
      <w:r w:rsidRPr="00E9641F">
        <w:rPr>
          <w:sz w:val="24"/>
          <w:szCs w:val="24"/>
        </w:rPr>
        <w:t xml:space="preserve"> and other auction bidders holding less than 45 megahertz of below-1-GHz spectrum in the relevant market</w:t>
      </w:r>
      <w:r w:rsidR="005D7402" w:rsidRPr="00E9641F">
        <w:rPr>
          <w:sz w:val="24"/>
          <w:szCs w:val="24"/>
        </w:rPr>
        <w:t xml:space="preserve">.  These policies </w:t>
      </w:r>
      <w:r w:rsidR="007158B6" w:rsidRPr="00E9641F">
        <w:rPr>
          <w:sz w:val="24"/>
          <w:szCs w:val="24"/>
        </w:rPr>
        <w:t xml:space="preserve">are intended to </w:t>
      </w:r>
      <w:r w:rsidR="005D7402" w:rsidRPr="00E9641F">
        <w:rPr>
          <w:sz w:val="24"/>
          <w:szCs w:val="24"/>
        </w:rPr>
        <w:t>promote consumer choice and competition among multiple service providers</w:t>
      </w:r>
      <w:r w:rsidR="007158B6" w:rsidRPr="00E9641F">
        <w:rPr>
          <w:sz w:val="24"/>
          <w:szCs w:val="24"/>
        </w:rPr>
        <w:t xml:space="preserve"> by ensuring, for the foreseeable future, that a sufficient number of service providers will have access to the mix of low- and high-band spectrum needed to ensure robust competition in the mobile wireless marketplace.  C</w:t>
      </w:r>
      <w:r w:rsidR="005D7402" w:rsidRPr="00E9641F">
        <w:rPr>
          <w:sz w:val="24"/>
          <w:szCs w:val="24"/>
        </w:rPr>
        <w:t xml:space="preserve">onsistent with </w:t>
      </w:r>
      <w:r w:rsidRPr="00E9641F">
        <w:rPr>
          <w:sz w:val="24"/>
          <w:szCs w:val="24"/>
        </w:rPr>
        <w:t>the Commission’s</w:t>
      </w:r>
      <w:r w:rsidR="005D7402" w:rsidRPr="00E9641F">
        <w:rPr>
          <w:sz w:val="24"/>
          <w:szCs w:val="24"/>
        </w:rPr>
        <w:t xml:space="preserve"> statutory mandate, </w:t>
      </w:r>
      <w:r w:rsidR="007158B6" w:rsidRPr="00E9641F">
        <w:rPr>
          <w:sz w:val="24"/>
          <w:szCs w:val="24"/>
        </w:rPr>
        <w:t xml:space="preserve">these policies </w:t>
      </w:r>
      <w:r w:rsidR="005D7402" w:rsidRPr="00E9641F">
        <w:rPr>
          <w:sz w:val="24"/>
          <w:szCs w:val="24"/>
        </w:rPr>
        <w:t xml:space="preserve">will </w:t>
      </w:r>
      <w:r w:rsidR="007158B6" w:rsidRPr="00E9641F">
        <w:rPr>
          <w:sz w:val="24"/>
          <w:szCs w:val="24"/>
        </w:rPr>
        <w:t xml:space="preserve">also </w:t>
      </w:r>
      <w:r w:rsidR="005D7402" w:rsidRPr="00E9641F">
        <w:rPr>
          <w:sz w:val="24"/>
          <w:szCs w:val="24"/>
        </w:rPr>
        <w:t xml:space="preserve">promote the efficient and intensive use of scarce spectrum </w:t>
      </w:r>
      <w:r w:rsidR="007158B6" w:rsidRPr="00E9641F">
        <w:rPr>
          <w:sz w:val="24"/>
          <w:szCs w:val="24"/>
        </w:rPr>
        <w:t xml:space="preserve">and will help </w:t>
      </w:r>
      <w:r w:rsidR="005D7402" w:rsidRPr="00E9641F">
        <w:rPr>
          <w:sz w:val="24"/>
          <w:szCs w:val="24"/>
        </w:rPr>
        <w:t>maximiz</w:t>
      </w:r>
      <w:r w:rsidR="007158B6" w:rsidRPr="00E9641F">
        <w:rPr>
          <w:sz w:val="24"/>
          <w:szCs w:val="24"/>
        </w:rPr>
        <w:t xml:space="preserve">e </w:t>
      </w:r>
      <w:r w:rsidR="005D7402" w:rsidRPr="00E9641F">
        <w:rPr>
          <w:sz w:val="24"/>
          <w:szCs w:val="24"/>
        </w:rPr>
        <w:t>economic opportunity and the deployment of innovative technologies.</w:t>
      </w:r>
    </w:p>
    <w:p w14:paraId="30D7E19B" w14:textId="77777777" w:rsidR="005D7402" w:rsidRPr="00E9641F" w:rsidRDefault="00BE7C74" w:rsidP="005D7402">
      <w:pPr>
        <w:pStyle w:val="ParaNum"/>
        <w:numPr>
          <w:ilvl w:val="0"/>
          <w:numId w:val="0"/>
        </w:numPr>
        <w:tabs>
          <w:tab w:val="left" w:pos="360"/>
        </w:tabs>
        <w:spacing w:after="240"/>
        <w:rPr>
          <w:b/>
          <w:sz w:val="24"/>
          <w:szCs w:val="24"/>
          <w:u w:val="single"/>
        </w:rPr>
      </w:pPr>
      <w:r w:rsidRPr="00E9641F">
        <w:rPr>
          <w:b/>
          <w:sz w:val="24"/>
          <w:szCs w:val="24"/>
        </w:rPr>
        <w:t>II.</w:t>
      </w:r>
      <w:r w:rsidR="005D7402" w:rsidRPr="00E9641F">
        <w:rPr>
          <w:b/>
          <w:sz w:val="24"/>
          <w:szCs w:val="24"/>
        </w:rPr>
        <w:tab/>
      </w:r>
      <w:r w:rsidRPr="00E9641F">
        <w:rPr>
          <w:b/>
          <w:sz w:val="24"/>
          <w:szCs w:val="24"/>
        </w:rPr>
        <w:t xml:space="preserve">REGULATIONS AND POLICIES THAT THE COMMISSION ADOPTED OR MODIFIED </w:t>
      </w:r>
    </w:p>
    <w:p w14:paraId="64F6C8C1" w14:textId="185F671F" w:rsidR="005C13BE" w:rsidRPr="00E9641F" w:rsidRDefault="00586AF4" w:rsidP="005D7402">
      <w:pPr>
        <w:pStyle w:val="ParaNum"/>
        <w:numPr>
          <w:ilvl w:val="0"/>
          <w:numId w:val="0"/>
        </w:numPr>
        <w:snapToGrid w:val="0"/>
        <w:rPr>
          <w:sz w:val="24"/>
          <w:szCs w:val="24"/>
        </w:rPr>
      </w:pPr>
      <w:r w:rsidRPr="00E9641F">
        <w:rPr>
          <w:sz w:val="24"/>
          <w:szCs w:val="24"/>
        </w:rPr>
        <w:t xml:space="preserve">For secondary market transactions (that is, proposed assignments or transfers of control of spectrum licenses that have already been awarded), the Commission will continue to use a modified version of the spectrum screen.  In general, the screen has been and will continue to be used to help identify for further competitive analysis those local markets where after the proposed transaction an entity would hold one-third or more of the total spectrum suitable and available for the provision of mobile telephony/broadband services.   </w:t>
      </w:r>
      <w:r w:rsidR="005D7402" w:rsidRPr="00E9641F">
        <w:rPr>
          <w:sz w:val="24"/>
          <w:szCs w:val="24"/>
        </w:rPr>
        <w:t xml:space="preserve">The </w:t>
      </w:r>
      <w:r w:rsidR="005D7402" w:rsidRPr="00956387">
        <w:rPr>
          <w:i/>
          <w:sz w:val="24"/>
          <w:szCs w:val="24"/>
        </w:rPr>
        <w:t>Report and Order</w:t>
      </w:r>
      <w:r w:rsidR="005D7402" w:rsidRPr="00E9641F">
        <w:rPr>
          <w:sz w:val="24"/>
          <w:szCs w:val="24"/>
        </w:rPr>
        <w:t xml:space="preserve"> </w:t>
      </w:r>
      <w:r w:rsidR="008F2A68" w:rsidRPr="00E9641F">
        <w:rPr>
          <w:sz w:val="24"/>
          <w:szCs w:val="24"/>
        </w:rPr>
        <w:t xml:space="preserve">adds the following spectrum to that currently </w:t>
      </w:r>
      <w:r w:rsidR="005D7402" w:rsidRPr="00E9641F">
        <w:rPr>
          <w:sz w:val="24"/>
          <w:szCs w:val="24"/>
        </w:rPr>
        <w:t>includ</w:t>
      </w:r>
      <w:r w:rsidR="008F2A68" w:rsidRPr="00E9641F">
        <w:rPr>
          <w:sz w:val="24"/>
          <w:szCs w:val="24"/>
        </w:rPr>
        <w:t>ed</w:t>
      </w:r>
      <w:r w:rsidR="005D7402" w:rsidRPr="00E9641F">
        <w:rPr>
          <w:sz w:val="24"/>
          <w:szCs w:val="24"/>
        </w:rPr>
        <w:t xml:space="preserve"> in the initial spectrum screen applied to the Commission’s </w:t>
      </w:r>
      <w:r w:rsidR="00B70C4D" w:rsidRPr="00E9641F">
        <w:rPr>
          <w:sz w:val="24"/>
          <w:szCs w:val="24"/>
        </w:rPr>
        <w:t xml:space="preserve">case-by-case </w:t>
      </w:r>
      <w:r w:rsidR="005D7402" w:rsidRPr="00E9641F">
        <w:rPr>
          <w:sz w:val="24"/>
          <w:szCs w:val="24"/>
        </w:rPr>
        <w:t xml:space="preserve">review of </w:t>
      </w:r>
      <w:r w:rsidR="00B70C4D" w:rsidRPr="00E9641F">
        <w:rPr>
          <w:sz w:val="24"/>
          <w:szCs w:val="24"/>
        </w:rPr>
        <w:t xml:space="preserve">secondary market </w:t>
      </w:r>
      <w:r w:rsidR="005D7402" w:rsidRPr="00E9641F">
        <w:rPr>
          <w:sz w:val="24"/>
          <w:szCs w:val="24"/>
        </w:rPr>
        <w:t>transactions</w:t>
      </w:r>
      <w:r w:rsidR="008F2A68" w:rsidRPr="00E9641F">
        <w:rPr>
          <w:sz w:val="24"/>
          <w:szCs w:val="24"/>
        </w:rPr>
        <w:t xml:space="preserve">:  the 600 MHz band (after conclusion of the Incentive Auction), </w:t>
      </w:r>
      <w:r w:rsidR="005D7402" w:rsidRPr="00E9641F">
        <w:rPr>
          <w:sz w:val="24"/>
          <w:szCs w:val="24"/>
        </w:rPr>
        <w:t xml:space="preserve">the AWS-4 band, </w:t>
      </w:r>
      <w:r w:rsidR="008F2A68" w:rsidRPr="00E9641F">
        <w:rPr>
          <w:sz w:val="24"/>
          <w:szCs w:val="24"/>
        </w:rPr>
        <w:t xml:space="preserve">the AWS-3 band (on a market-by-market basis depending upon the status of Federal incumbent relocation in that band), </w:t>
      </w:r>
      <w:r w:rsidR="005D7402" w:rsidRPr="00E9641F">
        <w:rPr>
          <w:sz w:val="24"/>
          <w:szCs w:val="24"/>
        </w:rPr>
        <w:t xml:space="preserve">H Block, additional BRS spectrum, </w:t>
      </w:r>
      <w:r w:rsidR="008F2A68" w:rsidRPr="00E9641F">
        <w:rPr>
          <w:sz w:val="24"/>
          <w:szCs w:val="24"/>
        </w:rPr>
        <w:t xml:space="preserve">and </w:t>
      </w:r>
      <w:r w:rsidR="005D7402" w:rsidRPr="00E9641F">
        <w:rPr>
          <w:sz w:val="24"/>
          <w:szCs w:val="24"/>
        </w:rPr>
        <w:t>most of the EBS spectrum</w:t>
      </w:r>
      <w:r w:rsidR="005C13BE" w:rsidRPr="00E9641F">
        <w:rPr>
          <w:sz w:val="24"/>
          <w:szCs w:val="24"/>
        </w:rPr>
        <w:t xml:space="preserve">.  It </w:t>
      </w:r>
      <w:r w:rsidR="00B70C4D" w:rsidRPr="00E9641F">
        <w:rPr>
          <w:sz w:val="24"/>
          <w:szCs w:val="24"/>
        </w:rPr>
        <w:t xml:space="preserve">removes from </w:t>
      </w:r>
      <w:r w:rsidR="005C13BE" w:rsidRPr="00E9641F">
        <w:rPr>
          <w:sz w:val="24"/>
          <w:szCs w:val="24"/>
        </w:rPr>
        <w:t xml:space="preserve">the spectrum screen the </w:t>
      </w:r>
      <w:r w:rsidR="00B70C4D" w:rsidRPr="00E9641F">
        <w:rPr>
          <w:sz w:val="24"/>
          <w:szCs w:val="24"/>
        </w:rPr>
        <w:t>U</w:t>
      </w:r>
      <w:r w:rsidR="005C13BE" w:rsidRPr="00E9641F">
        <w:rPr>
          <w:sz w:val="24"/>
          <w:szCs w:val="24"/>
        </w:rPr>
        <w:t xml:space="preserve">pper 700 MHz D Block spectrum, as well as </w:t>
      </w:r>
      <w:r w:rsidR="00341D43" w:rsidRPr="00E9641F">
        <w:rPr>
          <w:sz w:val="24"/>
          <w:szCs w:val="24"/>
        </w:rPr>
        <w:t>12</w:t>
      </w:r>
      <w:r w:rsidR="005C13BE" w:rsidRPr="00E9641F">
        <w:rPr>
          <w:sz w:val="24"/>
          <w:szCs w:val="24"/>
        </w:rPr>
        <w:t xml:space="preserve">.5 megahertz of SMR spectrum.  While the </w:t>
      </w:r>
      <w:r w:rsidR="005C13BE" w:rsidRPr="00956387">
        <w:rPr>
          <w:i/>
          <w:sz w:val="24"/>
          <w:szCs w:val="24"/>
        </w:rPr>
        <w:t>Report and Order</w:t>
      </w:r>
      <w:r w:rsidR="005C13BE" w:rsidRPr="00E9641F">
        <w:rPr>
          <w:sz w:val="24"/>
          <w:szCs w:val="24"/>
        </w:rPr>
        <w:t xml:space="preserve"> does not adopt a separate screen for evaluating </w:t>
      </w:r>
      <w:r w:rsidR="00B70C4D" w:rsidRPr="00E9641F">
        <w:rPr>
          <w:sz w:val="24"/>
          <w:szCs w:val="24"/>
        </w:rPr>
        <w:t xml:space="preserve">the </w:t>
      </w:r>
      <w:r w:rsidR="005C13BE" w:rsidRPr="00E9641F">
        <w:rPr>
          <w:sz w:val="24"/>
          <w:szCs w:val="24"/>
        </w:rPr>
        <w:t xml:space="preserve">assignment or transfer of below-1-GHz spectrum, it provides that the Commission will consider below-1-GHz spectrum concentration as an enhanced factor in </w:t>
      </w:r>
      <w:r w:rsidR="00B70C4D" w:rsidRPr="00E9641F">
        <w:rPr>
          <w:sz w:val="24"/>
          <w:szCs w:val="24"/>
        </w:rPr>
        <w:t xml:space="preserve">its </w:t>
      </w:r>
      <w:r w:rsidR="005C13BE" w:rsidRPr="00E9641F">
        <w:rPr>
          <w:sz w:val="24"/>
          <w:szCs w:val="24"/>
        </w:rPr>
        <w:t>review of such transactions.</w:t>
      </w:r>
    </w:p>
    <w:p w14:paraId="6A807EF5" w14:textId="31E75653" w:rsidR="00766AE8" w:rsidRPr="00E9641F" w:rsidRDefault="005C13BE" w:rsidP="00DA42D8">
      <w:pPr>
        <w:pStyle w:val="ParaNum"/>
        <w:numPr>
          <w:ilvl w:val="0"/>
          <w:numId w:val="0"/>
        </w:numPr>
        <w:snapToGrid w:val="0"/>
        <w:rPr>
          <w:sz w:val="24"/>
          <w:szCs w:val="24"/>
        </w:rPr>
      </w:pPr>
      <w:r w:rsidRPr="00E9641F">
        <w:rPr>
          <w:sz w:val="24"/>
          <w:szCs w:val="24"/>
        </w:rPr>
        <w:t xml:space="preserve">For bidders in spectrum auctions, the </w:t>
      </w:r>
      <w:r w:rsidRPr="00956387">
        <w:rPr>
          <w:i/>
          <w:sz w:val="24"/>
          <w:szCs w:val="24"/>
        </w:rPr>
        <w:t>Report and Order</w:t>
      </w:r>
      <w:r w:rsidRPr="00E9641F">
        <w:rPr>
          <w:sz w:val="24"/>
          <w:szCs w:val="24"/>
        </w:rPr>
        <w:t xml:space="preserve"> </w:t>
      </w:r>
      <w:r w:rsidR="005D7402" w:rsidRPr="00E9641F">
        <w:rPr>
          <w:sz w:val="24"/>
          <w:szCs w:val="24"/>
        </w:rPr>
        <w:t>replac</w:t>
      </w:r>
      <w:r w:rsidRPr="00E9641F">
        <w:rPr>
          <w:sz w:val="24"/>
          <w:szCs w:val="24"/>
        </w:rPr>
        <w:t>es</w:t>
      </w:r>
      <w:r w:rsidR="005D7402" w:rsidRPr="00E9641F">
        <w:rPr>
          <w:sz w:val="24"/>
          <w:szCs w:val="24"/>
        </w:rPr>
        <w:t xml:space="preserve"> the current application of the spectrum screen in case-by-case analysis of post-auction applications </w:t>
      </w:r>
      <w:r w:rsidRPr="00E9641F">
        <w:rPr>
          <w:sz w:val="24"/>
          <w:szCs w:val="24"/>
        </w:rPr>
        <w:t>by winning bidders</w:t>
      </w:r>
      <w:r w:rsidR="00635E7F" w:rsidRPr="00E9641F">
        <w:rPr>
          <w:sz w:val="24"/>
          <w:szCs w:val="24"/>
        </w:rPr>
        <w:t>,</w:t>
      </w:r>
      <w:r w:rsidRPr="00E9641F">
        <w:rPr>
          <w:sz w:val="24"/>
          <w:szCs w:val="24"/>
        </w:rPr>
        <w:t xml:space="preserve"> </w:t>
      </w:r>
      <w:r w:rsidR="005D7402" w:rsidRPr="00E9641F">
        <w:rPr>
          <w:sz w:val="24"/>
          <w:szCs w:val="24"/>
        </w:rPr>
        <w:t xml:space="preserve">with a determination </w:t>
      </w:r>
      <w:r w:rsidRPr="00E9641F">
        <w:rPr>
          <w:sz w:val="24"/>
          <w:szCs w:val="24"/>
        </w:rPr>
        <w:t>in advance of</w:t>
      </w:r>
      <w:r w:rsidR="005D7402" w:rsidRPr="00E9641F">
        <w:rPr>
          <w:sz w:val="24"/>
          <w:szCs w:val="24"/>
        </w:rPr>
        <w:t xml:space="preserve"> each auction of whether to apply mobile spectrum holding</w:t>
      </w:r>
      <w:r w:rsidR="00B70C4D" w:rsidRPr="00E9641F">
        <w:rPr>
          <w:sz w:val="24"/>
          <w:szCs w:val="24"/>
        </w:rPr>
        <w:t>s</w:t>
      </w:r>
      <w:r w:rsidR="005D7402" w:rsidRPr="00E9641F">
        <w:rPr>
          <w:sz w:val="24"/>
          <w:szCs w:val="24"/>
        </w:rPr>
        <w:t xml:space="preserve"> limits to that auction</w:t>
      </w:r>
      <w:r w:rsidRPr="00E9641F">
        <w:rPr>
          <w:sz w:val="24"/>
          <w:szCs w:val="24"/>
        </w:rPr>
        <w:t xml:space="preserve">.  For the 600 MHz Incentive Auction, it </w:t>
      </w:r>
      <w:r w:rsidR="005D7402" w:rsidRPr="00E9641F">
        <w:rPr>
          <w:sz w:val="24"/>
          <w:szCs w:val="24"/>
        </w:rPr>
        <w:t>reserv</w:t>
      </w:r>
      <w:r w:rsidRPr="00E9641F">
        <w:rPr>
          <w:sz w:val="24"/>
          <w:szCs w:val="24"/>
        </w:rPr>
        <w:t>es</w:t>
      </w:r>
      <w:r w:rsidR="005D7402" w:rsidRPr="00E9641F">
        <w:rPr>
          <w:sz w:val="24"/>
          <w:szCs w:val="24"/>
        </w:rPr>
        <w:t xml:space="preserve"> </w:t>
      </w:r>
      <w:r w:rsidRPr="00E9641F">
        <w:rPr>
          <w:sz w:val="24"/>
          <w:szCs w:val="24"/>
        </w:rPr>
        <w:t>up to 30 megahertz</w:t>
      </w:r>
      <w:r w:rsidR="005D7402" w:rsidRPr="00E9641F">
        <w:rPr>
          <w:sz w:val="24"/>
          <w:szCs w:val="24"/>
        </w:rPr>
        <w:t xml:space="preserve"> of </w:t>
      </w:r>
      <w:r w:rsidRPr="00E9641F">
        <w:rPr>
          <w:sz w:val="24"/>
          <w:szCs w:val="24"/>
        </w:rPr>
        <w:t xml:space="preserve">spectrum in each market </w:t>
      </w:r>
      <w:r w:rsidR="005D7402" w:rsidRPr="00E9641F">
        <w:rPr>
          <w:sz w:val="24"/>
          <w:szCs w:val="24"/>
        </w:rPr>
        <w:t>(</w:t>
      </w:r>
      <w:r w:rsidRPr="00E9641F">
        <w:rPr>
          <w:sz w:val="24"/>
          <w:szCs w:val="24"/>
        </w:rPr>
        <w:t>subject to the results of the reverse and forward auction bidding)</w:t>
      </w:r>
      <w:r w:rsidR="005D7402" w:rsidRPr="00E9641F">
        <w:rPr>
          <w:sz w:val="24"/>
          <w:szCs w:val="24"/>
        </w:rPr>
        <w:t xml:space="preserve"> for </w:t>
      </w:r>
      <w:r w:rsidR="00092972" w:rsidRPr="00E9641F">
        <w:rPr>
          <w:sz w:val="24"/>
          <w:szCs w:val="24"/>
        </w:rPr>
        <w:t>non-nationwide providers</w:t>
      </w:r>
      <w:r w:rsidRPr="00E9641F">
        <w:rPr>
          <w:sz w:val="24"/>
          <w:szCs w:val="24"/>
        </w:rPr>
        <w:t xml:space="preserve"> and other auction bidders holding less than 45 megahertz of below-1-GHz spectrum in the relevant market</w:t>
      </w:r>
      <w:r w:rsidR="005D7402" w:rsidRPr="00E9641F">
        <w:rPr>
          <w:sz w:val="24"/>
          <w:szCs w:val="24"/>
        </w:rPr>
        <w:t>.</w:t>
      </w:r>
      <w:r w:rsidRPr="00E9641F">
        <w:rPr>
          <w:sz w:val="24"/>
          <w:szCs w:val="24"/>
        </w:rPr>
        <w:t xml:space="preserve">  For the upcoming AWS-3 auction, the </w:t>
      </w:r>
      <w:r w:rsidRPr="00956387">
        <w:rPr>
          <w:i/>
          <w:sz w:val="24"/>
          <w:szCs w:val="24"/>
        </w:rPr>
        <w:t>Report and Order</w:t>
      </w:r>
      <w:r w:rsidRPr="00E9641F">
        <w:rPr>
          <w:sz w:val="24"/>
          <w:szCs w:val="24"/>
        </w:rPr>
        <w:t xml:space="preserve"> determines not to adopt mobile spectrum holdings limits.</w:t>
      </w:r>
    </w:p>
    <w:p w14:paraId="5E937DF4" w14:textId="77777777" w:rsidR="006416A0" w:rsidRPr="00E9641F" w:rsidRDefault="006416A0" w:rsidP="00DA42D8">
      <w:pPr>
        <w:pStyle w:val="ParaNum"/>
        <w:numPr>
          <w:ilvl w:val="0"/>
          <w:numId w:val="0"/>
        </w:numPr>
        <w:snapToGrid w:val="0"/>
        <w:rPr>
          <w:iCs/>
          <w:sz w:val="24"/>
          <w:szCs w:val="24"/>
        </w:rPr>
      </w:pPr>
      <w:r w:rsidRPr="00E9641F">
        <w:rPr>
          <w:iCs/>
          <w:sz w:val="24"/>
          <w:szCs w:val="24"/>
        </w:rPr>
        <w:t xml:space="preserve">In addition, the </w:t>
      </w:r>
      <w:r w:rsidRPr="00956387">
        <w:rPr>
          <w:i/>
          <w:iCs/>
          <w:sz w:val="24"/>
          <w:szCs w:val="24"/>
        </w:rPr>
        <w:t>Report and Order</w:t>
      </w:r>
      <w:r w:rsidRPr="00E9641F">
        <w:rPr>
          <w:iCs/>
          <w:sz w:val="24"/>
          <w:szCs w:val="24"/>
        </w:rPr>
        <w:t xml:space="preserve"> adopts certain restrictions on secondary market transactions of 600 MHz licenses:</w:t>
      </w:r>
    </w:p>
    <w:p w14:paraId="5B53EAA2" w14:textId="2D7BAF44" w:rsidR="00766AE8" w:rsidRPr="00E9641F" w:rsidRDefault="00766AE8" w:rsidP="00DA42D8">
      <w:pPr>
        <w:pStyle w:val="ParaNum"/>
        <w:numPr>
          <w:ilvl w:val="0"/>
          <w:numId w:val="0"/>
        </w:numPr>
        <w:snapToGrid w:val="0"/>
        <w:ind w:left="720"/>
        <w:rPr>
          <w:sz w:val="24"/>
          <w:szCs w:val="24"/>
        </w:rPr>
      </w:pPr>
      <w:r w:rsidRPr="00E9641F">
        <w:rPr>
          <w:iCs/>
          <w:sz w:val="24"/>
          <w:szCs w:val="24"/>
        </w:rPr>
        <w:t>For a period of six years after initial licensing, no 600 MHz Band license, regardless of whether it is reserved or unreserved, may be transferred, assigned, partitioned, disaggregated, or long term leased to any entity that, after consummation of the transfer, assignment, or leased on a long term basis, would hold an attributable interest in one-third or more of the total suitable and available below</w:t>
      </w:r>
      <w:r w:rsidRPr="00E9641F">
        <w:rPr>
          <w:iCs/>
          <w:sz w:val="24"/>
          <w:szCs w:val="24"/>
        </w:rPr>
        <w:noBreakHyphen/>
        <w:t>1</w:t>
      </w:r>
      <w:r w:rsidRPr="00E9641F">
        <w:rPr>
          <w:iCs/>
          <w:sz w:val="24"/>
          <w:szCs w:val="24"/>
        </w:rPr>
        <w:noBreakHyphen/>
        <w:t>GHz spectrum.</w:t>
      </w:r>
    </w:p>
    <w:p w14:paraId="3D5D1F65" w14:textId="7CFF9D9D" w:rsidR="00766AE8" w:rsidRPr="00E9641F" w:rsidRDefault="00766AE8" w:rsidP="00DA42D8">
      <w:pPr>
        <w:pStyle w:val="ParaNum"/>
        <w:numPr>
          <w:ilvl w:val="0"/>
          <w:numId w:val="0"/>
        </w:numPr>
        <w:snapToGrid w:val="0"/>
        <w:ind w:left="720"/>
        <w:rPr>
          <w:sz w:val="24"/>
          <w:szCs w:val="24"/>
        </w:rPr>
      </w:pPr>
      <w:r w:rsidRPr="00E9641F">
        <w:rPr>
          <w:sz w:val="24"/>
          <w:szCs w:val="24"/>
        </w:rPr>
        <w:t>For a period of six years after initial licensing, no 600 MHz Band reserved license may be transferred, assigned, partitioned, disaggregated, or leased on a long term basis to an entity that was not qualified to bid on that reserved spectrum license at the time of the Incentive Auction short-form application deadline.</w:t>
      </w:r>
    </w:p>
    <w:p w14:paraId="193736B9" w14:textId="763B13F9" w:rsidR="00CA774E" w:rsidRPr="00E9641F" w:rsidRDefault="006416A0" w:rsidP="005D7402">
      <w:pPr>
        <w:pStyle w:val="ParaNum"/>
        <w:numPr>
          <w:ilvl w:val="0"/>
          <w:numId w:val="0"/>
        </w:numPr>
        <w:snapToGrid w:val="0"/>
        <w:rPr>
          <w:sz w:val="24"/>
          <w:szCs w:val="24"/>
        </w:rPr>
      </w:pPr>
      <w:r w:rsidRPr="00E9641F">
        <w:rPr>
          <w:sz w:val="24"/>
          <w:szCs w:val="24"/>
        </w:rPr>
        <w:t xml:space="preserve">The </w:t>
      </w:r>
      <w:r w:rsidRPr="00956387">
        <w:rPr>
          <w:i/>
          <w:sz w:val="24"/>
          <w:szCs w:val="24"/>
        </w:rPr>
        <w:t>Report and Order</w:t>
      </w:r>
      <w:r w:rsidRPr="00E9641F">
        <w:rPr>
          <w:sz w:val="24"/>
          <w:szCs w:val="24"/>
        </w:rPr>
        <w:t xml:space="preserve"> also sets forth</w:t>
      </w:r>
      <w:r w:rsidR="00C37BA8" w:rsidRPr="00E9641F">
        <w:rPr>
          <w:sz w:val="24"/>
          <w:szCs w:val="24"/>
        </w:rPr>
        <w:t xml:space="preserve"> </w:t>
      </w:r>
      <w:r w:rsidRPr="00E9641F">
        <w:rPr>
          <w:sz w:val="24"/>
          <w:szCs w:val="24"/>
        </w:rPr>
        <w:t>rules to attribute interests in determining spectrum holdings for purposes of calculating a party’s relevant spectrum holding amounts before competitive bidding and for purposes of applying the initial spectrum screen to secondary market transactions.</w:t>
      </w:r>
    </w:p>
    <w:p w14:paraId="537A1D35" w14:textId="77777777" w:rsidR="00CA774E" w:rsidRPr="00E9641F" w:rsidRDefault="00CA774E" w:rsidP="005D7402">
      <w:pPr>
        <w:pStyle w:val="ParaNum"/>
        <w:numPr>
          <w:ilvl w:val="0"/>
          <w:numId w:val="0"/>
        </w:numPr>
        <w:snapToGrid w:val="0"/>
        <w:rPr>
          <w:sz w:val="24"/>
          <w:szCs w:val="24"/>
        </w:rPr>
      </w:pPr>
    </w:p>
    <w:p w14:paraId="1EDE6823" w14:textId="0EBF6DDF" w:rsidR="005D7402" w:rsidRPr="00E9641F" w:rsidRDefault="007D7CE1" w:rsidP="005D7402">
      <w:pPr>
        <w:spacing w:after="240"/>
        <w:rPr>
          <w:sz w:val="24"/>
          <w:szCs w:val="24"/>
        </w:rPr>
      </w:pPr>
      <w:r w:rsidRPr="00E9641F">
        <w:rPr>
          <w:b/>
          <w:sz w:val="24"/>
          <w:szCs w:val="24"/>
        </w:rPr>
        <w:t>III. RECORDKEEPING AND OTHER COMPLIANCE REQUIREMENTS</w:t>
      </w:r>
    </w:p>
    <w:p w14:paraId="554DD3F7" w14:textId="60564A7E" w:rsidR="005D7402" w:rsidRPr="00E9641F" w:rsidRDefault="005D7402" w:rsidP="005D7402">
      <w:pPr>
        <w:pStyle w:val="ParaNum"/>
        <w:numPr>
          <w:ilvl w:val="0"/>
          <w:numId w:val="0"/>
        </w:numPr>
        <w:snapToGrid w:val="0"/>
        <w:rPr>
          <w:sz w:val="24"/>
          <w:szCs w:val="24"/>
        </w:rPr>
      </w:pPr>
      <w:r w:rsidRPr="00E9641F">
        <w:rPr>
          <w:sz w:val="24"/>
          <w:szCs w:val="24"/>
        </w:rPr>
        <w:t xml:space="preserve">The purpose of the spectrum screen </w:t>
      </w:r>
      <w:r w:rsidR="007D7CE1" w:rsidRPr="00E9641F">
        <w:rPr>
          <w:sz w:val="24"/>
          <w:szCs w:val="24"/>
        </w:rPr>
        <w:t xml:space="preserve">threshold </w:t>
      </w:r>
      <w:r w:rsidRPr="00E9641F">
        <w:rPr>
          <w:sz w:val="24"/>
          <w:szCs w:val="24"/>
        </w:rPr>
        <w:t xml:space="preserve">is to </w:t>
      </w:r>
      <w:r w:rsidR="00341D43" w:rsidRPr="00E9641F">
        <w:rPr>
          <w:sz w:val="24"/>
          <w:szCs w:val="24"/>
        </w:rPr>
        <w:t>help identify those markets that provide particular reason for further competitive analysis</w:t>
      </w:r>
      <w:r w:rsidR="006148E9" w:rsidRPr="00E9641F">
        <w:rPr>
          <w:sz w:val="24"/>
          <w:szCs w:val="24"/>
        </w:rPr>
        <w:t>, in connection with the Commission’s consideration of a request for approval of a transaction involving spectrum authorizations or approval of a license application</w:t>
      </w:r>
      <w:r w:rsidR="00341D43" w:rsidRPr="00E9641F">
        <w:rPr>
          <w:sz w:val="24"/>
          <w:szCs w:val="24"/>
        </w:rPr>
        <w:t xml:space="preserve">.  </w:t>
      </w:r>
      <w:r w:rsidR="006148E9" w:rsidRPr="00E9641F">
        <w:rPr>
          <w:sz w:val="24"/>
          <w:szCs w:val="24"/>
        </w:rPr>
        <w:t xml:space="preserve">While the </w:t>
      </w:r>
      <w:r w:rsidR="006148E9" w:rsidRPr="00956387">
        <w:rPr>
          <w:i/>
          <w:sz w:val="24"/>
          <w:szCs w:val="24"/>
        </w:rPr>
        <w:t>Report and Order</w:t>
      </w:r>
      <w:r w:rsidR="006148E9" w:rsidRPr="00E9641F">
        <w:rPr>
          <w:sz w:val="24"/>
          <w:szCs w:val="24"/>
        </w:rPr>
        <w:t xml:space="preserve"> focuses on this aspect of the Commission’s consideration </w:t>
      </w:r>
      <w:r w:rsidR="00437737" w:rsidRPr="00E9641F">
        <w:rPr>
          <w:sz w:val="24"/>
          <w:szCs w:val="24"/>
        </w:rPr>
        <w:t xml:space="preserve">of such requests, </w:t>
      </w:r>
      <w:r w:rsidR="00341D43" w:rsidRPr="00E9641F">
        <w:rPr>
          <w:sz w:val="24"/>
          <w:szCs w:val="24"/>
        </w:rPr>
        <w:t>the Commission has not limited its consideration of potential competitive harms solely to markets identified by its initial screen</w:t>
      </w:r>
      <w:r w:rsidR="00437737" w:rsidRPr="00E9641F">
        <w:rPr>
          <w:sz w:val="24"/>
          <w:szCs w:val="24"/>
        </w:rPr>
        <w:t>.  As set out in various transactions orders</w:t>
      </w:r>
      <w:r w:rsidR="00341D43" w:rsidRPr="00E9641F">
        <w:rPr>
          <w:sz w:val="24"/>
          <w:szCs w:val="24"/>
        </w:rPr>
        <w:t xml:space="preserve">, </w:t>
      </w:r>
      <w:r w:rsidR="00437737" w:rsidRPr="00E9641F">
        <w:rPr>
          <w:sz w:val="24"/>
          <w:szCs w:val="24"/>
        </w:rPr>
        <w:t xml:space="preserve">the Commission will also consider </w:t>
      </w:r>
      <w:r w:rsidR="00341D43" w:rsidRPr="00E9641F">
        <w:rPr>
          <w:sz w:val="24"/>
          <w:szCs w:val="24"/>
        </w:rPr>
        <w:t>other factors that may bear on the public interest inquiry</w:t>
      </w:r>
      <w:r w:rsidR="00437737" w:rsidRPr="00E9641F">
        <w:rPr>
          <w:sz w:val="24"/>
          <w:szCs w:val="24"/>
        </w:rPr>
        <w:t xml:space="preserve">, and, </w:t>
      </w:r>
      <w:r w:rsidR="00341D43" w:rsidRPr="00E9641F">
        <w:rPr>
          <w:sz w:val="24"/>
          <w:szCs w:val="24"/>
        </w:rPr>
        <w:t xml:space="preserve">as noted above, the Commission will consider additional below-1-GHz spectrum concentration as an enhanced factor in </w:t>
      </w:r>
      <w:r w:rsidR="00B70C4D" w:rsidRPr="00E9641F">
        <w:rPr>
          <w:sz w:val="24"/>
          <w:szCs w:val="24"/>
        </w:rPr>
        <w:t>reviewing</w:t>
      </w:r>
      <w:r w:rsidR="00341D43" w:rsidRPr="00E9641F">
        <w:rPr>
          <w:sz w:val="24"/>
          <w:szCs w:val="24"/>
        </w:rPr>
        <w:t xml:space="preserve"> such transactions.</w:t>
      </w:r>
      <w:r w:rsidR="00225F1A" w:rsidRPr="00E9641F">
        <w:rPr>
          <w:sz w:val="24"/>
          <w:szCs w:val="24"/>
        </w:rPr>
        <w:t xml:space="preserve">  In addition, an applicant for bidding on reserved licenses in the Incentive Auction must comply with the qualifications, as noted above.  </w:t>
      </w:r>
      <w:r w:rsidR="008D3CA8" w:rsidRPr="00E9641F">
        <w:rPr>
          <w:sz w:val="24"/>
          <w:szCs w:val="24"/>
        </w:rPr>
        <w:t>(</w:t>
      </w:r>
      <w:r w:rsidR="008D3CA8" w:rsidRPr="00E9641F">
        <w:rPr>
          <w:i/>
          <w:sz w:val="24"/>
          <w:szCs w:val="24"/>
        </w:rPr>
        <w:t>See</w:t>
      </w:r>
      <w:r w:rsidR="008D3CA8" w:rsidRPr="00E9641F">
        <w:rPr>
          <w:sz w:val="24"/>
          <w:szCs w:val="24"/>
        </w:rPr>
        <w:t xml:space="preserve"> 47 C.F.R. § 20.22(c)(1)).  </w:t>
      </w:r>
      <w:r w:rsidR="00225F1A" w:rsidRPr="00E9641F">
        <w:rPr>
          <w:sz w:val="24"/>
          <w:szCs w:val="24"/>
        </w:rPr>
        <w:t>Further, an applicant for approval of a transaction involving 600 MHz Band licenses must comply with the secondary market restrictions for such licenses, as noted above</w:t>
      </w:r>
      <w:r w:rsidR="008D3CA8" w:rsidRPr="00E9641F">
        <w:rPr>
          <w:sz w:val="24"/>
          <w:szCs w:val="24"/>
        </w:rPr>
        <w:t xml:space="preserve">.  </w:t>
      </w:r>
      <w:r w:rsidR="00225F1A" w:rsidRPr="00E9641F">
        <w:rPr>
          <w:sz w:val="24"/>
          <w:szCs w:val="24"/>
        </w:rPr>
        <w:t>(</w:t>
      </w:r>
      <w:r w:rsidR="00225F1A" w:rsidRPr="00E9641F">
        <w:rPr>
          <w:i/>
          <w:sz w:val="24"/>
          <w:szCs w:val="24"/>
        </w:rPr>
        <w:t>See</w:t>
      </w:r>
      <w:r w:rsidR="00225F1A" w:rsidRPr="00E9641F">
        <w:rPr>
          <w:sz w:val="24"/>
          <w:szCs w:val="24"/>
        </w:rPr>
        <w:t xml:space="preserve"> 47 C.F.R. § 20.22(c)</w:t>
      </w:r>
      <w:r w:rsidR="008D3CA8" w:rsidRPr="00E9641F">
        <w:rPr>
          <w:sz w:val="24"/>
          <w:szCs w:val="24"/>
        </w:rPr>
        <w:t>(2) &amp;(3)</w:t>
      </w:r>
      <w:r w:rsidR="00225F1A" w:rsidRPr="00E9641F">
        <w:rPr>
          <w:sz w:val="24"/>
          <w:szCs w:val="24"/>
        </w:rPr>
        <w:t>).</w:t>
      </w:r>
      <w:r w:rsidRPr="00E9641F">
        <w:rPr>
          <w:sz w:val="24"/>
          <w:szCs w:val="24"/>
        </w:rPr>
        <w:t xml:space="preserve">  </w:t>
      </w:r>
      <w:r w:rsidR="00437737" w:rsidRPr="00E9641F">
        <w:rPr>
          <w:sz w:val="24"/>
          <w:szCs w:val="24"/>
        </w:rPr>
        <w:t xml:space="preserve">More generally, an applicant for approval of a transaction or for grant of an initial license is required to comply with the general application processes </w:t>
      </w:r>
      <w:r w:rsidR="007B1BCC" w:rsidRPr="00E9641F">
        <w:rPr>
          <w:sz w:val="24"/>
          <w:szCs w:val="24"/>
        </w:rPr>
        <w:t xml:space="preserve">specified in </w:t>
      </w:r>
      <w:r w:rsidR="00437737" w:rsidRPr="00E9641F">
        <w:rPr>
          <w:sz w:val="24"/>
          <w:szCs w:val="24"/>
        </w:rPr>
        <w:t xml:space="preserve">the applicable FCC Forms and Part 1 </w:t>
      </w:r>
      <w:r w:rsidR="007B1BCC" w:rsidRPr="00E9641F">
        <w:rPr>
          <w:sz w:val="24"/>
          <w:szCs w:val="24"/>
        </w:rPr>
        <w:t xml:space="preserve">of the Commission’s rules </w:t>
      </w:r>
      <w:r w:rsidR="00437737" w:rsidRPr="00E9641F">
        <w:rPr>
          <w:sz w:val="24"/>
          <w:szCs w:val="24"/>
        </w:rPr>
        <w:t xml:space="preserve">(47 C.F.R. Part 1), as well as </w:t>
      </w:r>
      <w:r w:rsidR="007B1BCC" w:rsidRPr="00E9641F">
        <w:rPr>
          <w:sz w:val="24"/>
          <w:szCs w:val="24"/>
        </w:rPr>
        <w:t>with any additional requirements specific to the given service (</w:t>
      </w:r>
      <w:r w:rsidR="007B1BCC" w:rsidRPr="00E9641F">
        <w:rPr>
          <w:i/>
          <w:sz w:val="24"/>
          <w:szCs w:val="24"/>
        </w:rPr>
        <w:t>See, e.g.</w:t>
      </w:r>
      <w:r w:rsidR="007B1BCC" w:rsidRPr="00E9641F">
        <w:rPr>
          <w:sz w:val="24"/>
          <w:szCs w:val="24"/>
        </w:rPr>
        <w:t>, 47 C.F.R. Parts 20, 24 and 27).</w:t>
      </w:r>
    </w:p>
    <w:p w14:paraId="25C98EFD" w14:textId="77777777" w:rsidR="007D7CE1" w:rsidRPr="00E9641F" w:rsidRDefault="007D7CE1" w:rsidP="005D7402">
      <w:pPr>
        <w:rPr>
          <w:sz w:val="24"/>
          <w:szCs w:val="24"/>
        </w:rPr>
      </w:pPr>
    </w:p>
    <w:p w14:paraId="407F34BC" w14:textId="77777777" w:rsidR="007D7CE1" w:rsidRPr="00E9641F" w:rsidRDefault="007D7CE1" w:rsidP="00734DE2">
      <w:pPr>
        <w:pStyle w:val="ListParagraph"/>
        <w:numPr>
          <w:ilvl w:val="0"/>
          <w:numId w:val="9"/>
        </w:numPr>
        <w:rPr>
          <w:b/>
          <w:color w:val="FF0000"/>
          <w:sz w:val="24"/>
          <w:szCs w:val="24"/>
        </w:rPr>
      </w:pPr>
      <w:r w:rsidRPr="00E9641F">
        <w:rPr>
          <w:b/>
          <w:sz w:val="24"/>
          <w:szCs w:val="24"/>
        </w:rPr>
        <w:t>WEBLINK</w:t>
      </w:r>
    </w:p>
    <w:p w14:paraId="530C1C09" w14:textId="7B623419" w:rsidR="00441EE5" w:rsidRPr="00E9641F" w:rsidRDefault="005D7402" w:rsidP="00CA774E">
      <w:pPr>
        <w:pStyle w:val="ListParagraph"/>
        <w:ind w:left="1080"/>
        <w:rPr>
          <w:sz w:val="24"/>
          <w:szCs w:val="24"/>
        </w:rPr>
      </w:pPr>
      <w:r w:rsidRPr="00E9641F">
        <w:rPr>
          <w:sz w:val="24"/>
          <w:szCs w:val="24"/>
        </w:rPr>
        <w:t xml:space="preserve">A copy of the </w:t>
      </w:r>
      <w:r w:rsidRPr="00E9641F">
        <w:rPr>
          <w:i/>
          <w:sz w:val="24"/>
          <w:szCs w:val="24"/>
        </w:rPr>
        <w:t xml:space="preserve">Report and Order </w:t>
      </w:r>
      <w:r w:rsidRPr="00E9641F">
        <w:rPr>
          <w:sz w:val="24"/>
          <w:szCs w:val="24"/>
        </w:rPr>
        <w:t xml:space="preserve">is available at </w:t>
      </w:r>
      <w:hyperlink r:id="rId9" w:history="1">
        <w:r w:rsidR="00FB6A9D" w:rsidRPr="00E9641F">
          <w:rPr>
            <w:rStyle w:val="Hyperlink"/>
            <w:sz w:val="24"/>
            <w:szCs w:val="24"/>
          </w:rPr>
          <w:t>http://www.fcc.gov/document/mobile-spectrum-holdings-report-and-order</w:t>
        </w:r>
      </w:hyperlink>
      <w:r w:rsidR="00FB6A9D" w:rsidRPr="00E9641F">
        <w:rPr>
          <w:sz w:val="24"/>
          <w:szCs w:val="24"/>
        </w:rPr>
        <w:t>.</w:t>
      </w:r>
    </w:p>
    <w:sectPr w:rsidR="00441EE5" w:rsidRPr="00E9641F" w:rsidSect="003763F8">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9E114" w14:textId="77777777" w:rsidR="00DD0240" w:rsidRDefault="00DD0240">
      <w:r>
        <w:separator/>
      </w:r>
    </w:p>
  </w:endnote>
  <w:endnote w:type="continuationSeparator" w:id="0">
    <w:p w14:paraId="2F60BDF0" w14:textId="77777777" w:rsidR="00DD0240" w:rsidRDefault="00DD0240">
      <w:r>
        <w:continuationSeparator/>
      </w:r>
    </w:p>
  </w:endnote>
  <w:endnote w:type="continuationNotice" w:id="1">
    <w:p w14:paraId="5C7B2E25" w14:textId="77777777" w:rsidR="00DD0240" w:rsidRDefault="00DD0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754B9" w14:textId="77777777" w:rsidR="00586AF4" w:rsidRDefault="00586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0A4679" w14:textId="77777777" w:rsidR="00586AF4" w:rsidRDefault="00586A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45616" w14:textId="77777777" w:rsidR="00586AF4" w:rsidRDefault="00586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4F4A">
      <w:rPr>
        <w:rStyle w:val="PageNumber"/>
        <w:noProof/>
      </w:rPr>
      <w:t>2</w:t>
    </w:r>
    <w:r>
      <w:rPr>
        <w:rStyle w:val="PageNumber"/>
      </w:rPr>
      <w:fldChar w:fldCharType="end"/>
    </w:r>
  </w:p>
  <w:p w14:paraId="5DF75F2F" w14:textId="77777777" w:rsidR="00586AF4" w:rsidRDefault="00586A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99103" w14:textId="77777777" w:rsidR="00BC401D" w:rsidRDefault="00BC4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F6EB1" w14:textId="77777777" w:rsidR="00DD0240" w:rsidRDefault="00DD0240">
      <w:r>
        <w:separator/>
      </w:r>
    </w:p>
  </w:footnote>
  <w:footnote w:type="continuationSeparator" w:id="0">
    <w:p w14:paraId="3FB8C8E4" w14:textId="77777777" w:rsidR="00DD0240" w:rsidRDefault="00DD0240">
      <w:r>
        <w:continuationSeparator/>
      </w:r>
    </w:p>
  </w:footnote>
  <w:footnote w:type="continuationNotice" w:id="1">
    <w:p w14:paraId="1FAFE365" w14:textId="77777777" w:rsidR="00DD0240" w:rsidRDefault="00DD0240"/>
  </w:footnote>
  <w:footnote w:id="2">
    <w:p w14:paraId="67D8D6D5" w14:textId="60504148" w:rsidR="00956387" w:rsidRPr="00956387" w:rsidRDefault="00956387" w:rsidP="00956387">
      <w:pPr>
        <w:rPr>
          <w:sz w:val="24"/>
          <w:szCs w:val="24"/>
        </w:rPr>
      </w:pPr>
      <w:r>
        <w:rPr>
          <w:rStyle w:val="FootnoteReference"/>
        </w:rPr>
        <w:footnoteRef/>
      </w:r>
      <w:r>
        <w:t xml:space="preserve"> </w:t>
      </w:r>
      <w:hyperlink r:id="rId1" w:history="1">
        <w:r w:rsidRPr="00956387">
          <w:rPr>
            <w:rStyle w:val="Hyperlink"/>
            <w:sz w:val="24"/>
            <w:szCs w:val="24"/>
          </w:rPr>
          <w:t>http://www.fcc.gov/document/mobile-spectrum-holdings-report-and-order</w:t>
        </w:r>
      </w:hyperlink>
      <w:r w:rsidRPr="00956387">
        <w:rPr>
          <w:sz w:val="24"/>
          <w:szCs w:val="24"/>
        </w:rPr>
        <w:t>.</w:t>
      </w:r>
    </w:p>
    <w:p w14:paraId="286EE5F6" w14:textId="5304525F" w:rsidR="00956387" w:rsidRDefault="0095638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CBB7E" w14:textId="77777777" w:rsidR="00BC401D" w:rsidRDefault="00BC40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720F8" w14:textId="77777777" w:rsidR="00BC401D" w:rsidRDefault="00BC40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38AE4" w14:textId="77777777" w:rsidR="00586AF4" w:rsidRDefault="00586AF4">
    <w:pPr>
      <w:pStyle w:val="Header"/>
      <w:tabs>
        <w:tab w:val="clear" w:pos="4320"/>
        <w:tab w:val="clear" w:pos="8640"/>
      </w:tabs>
      <w:spacing w:before="360" w:line="228" w:lineRule="auto"/>
      <w:jc w:val="center"/>
    </w:pPr>
    <w:r>
      <w:rPr>
        <w:noProof/>
      </w:rPr>
      <w:drawing>
        <wp:anchor distT="0" distB="0" distL="114300" distR="114300" simplePos="0" relativeHeight="251657728" behindDoc="0" locked="0" layoutInCell="0" allowOverlap="1" wp14:anchorId="1D6850B0" wp14:editId="45EC2D9A">
          <wp:simplePos x="0" y="0"/>
          <wp:positionH relativeFrom="column">
            <wp:posOffset>-403860</wp:posOffset>
          </wp:positionH>
          <wp:positionV relativeFrom="paragraph">
            <wp:posOffset>0</wp:posOffset>
          </wp:positionV>
          <wp:extent cx="865505" cy="8229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5505" cy="822960"/>
                  </a:xfrm>
                  <a:prstGeom prst="rect">
                    <a:avLst/>
                  </a:prstGeom>
                  <a:solidFill>
                    <a:srgbClr val="33CCCC"/>
                  </a:solid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14:paraId="6A142A43" w14:textId="77777777" w:rsidR="00586AF4" w:rsidRDefault="00586AF4">
    <w:pPr>
      <w:jc w:val="center"/>
      <w:rPr>
        <w:rFonts w:ascii="CG Times (W1)" w:hAnsi="CG Times (W1)"/>
        <w:sz w:val="28"/>
      </w:rPr>
    </w:pPr>
    <w:r>
      <w:rPr>
        <w:rFonts w:ascii="CG Times (W1)" w:hAnsi="CG Times (W1)"/>
        <w:sz w:val="28"/>
      </w:rPr>
      <w:t>Washington, D.C. 20554</w:t>
    </w:r>
  </w:p>
  <w:p w14:paraId="6C2BAA4E" w14:textId="77777777" w:rsidR="001E1CEF" w:rsidRDefault="001E1CEF">
    <w:pPr>
      <w:jc w:val="center"/>
    </w:pPr>
  </w:p>
  <w:p w14:paraId="22A63996" w14:textId="35287560" w:rsidR="00586AF4" w:rsidRPr="001E1CEF" w:rsidRDefault="001E1CEF">
    <w:pPr>
      <w:pStyle w:val="Header"/>
      <w:tabs>
        <w:tab w:val="clear" w:pos="4320"/>
      </w:tabs>
      <w:jc w:val="center"/>
      <w:rPr>
        <w:color w:val="000000" w:themeColor="text1"/>
        <w:sz w:val="24"/>
        <w:szCs w:val="24"/>
      </w:rPr>
    </w:pPr>
    <w:r>
      <w:rPr>
        <w:color w:val="FFFFFF" w:themeColor="background1"/>
        <w:sz w:val="22"/>
      </w:rPr>
      <w:t xml:space="preserve"> </w:t>
    </w:r>
    <w:r w:rsidRPr="001E1CEF">
      <w:rPr>
        <w:color w:val="000000" w:themeColor="text1"/>
        <w:sz w:val="24"/>
        <w:szCs w:val="24"/>
      </w:rPr>
      <w:t>August 4, 2014</w:t>
    </w:r>
  </w:p>
  <w:p w14:paraId="0D6EB08C" w14:textId="77777777" w:rsidR="001E1CEF" w:rsidRPr="001E1CEF" w:rsidRDefault="001E1CEF">
    <w:pPr>
      <w:pStyle w:val="Header"/>
      <w:tabs>
        <w:tab w:val="clear" w:pos="4320"/>
      </w:tabs>
      <w:jc w:val="center"/>
      <w:rPr>
        <w:color w:val="FFFFFF" w:themeColor="background1"/>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07B5"/>
    <w:multiLevelType w:val="hybridMultilevel"/>
    <w:tmpl w:val="92B00C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67020"/>
    <w:multiLevelType w:val="hybridMultilevel"/>
    <w:tmpl w:val="7A1E3596"/>
    <w:lvl w:ilvl="0" w:tplc="9C8C35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D61D9E"/>
    <w:multiLevelType w:val="hybridMultilevel"/>
    <w:tmpl w:val="ADDC7CE6"/>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5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2626F"/>
    <w:multiLevelType w:val="hybridMultilevel"/>
    <w:tmpl w:val="7E169356"/>
    <w:lvl w:ilvl="0" w:tplc="C9961AFC">
      <w:start w:val="4"/>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8A7BAF"/>
    <w:multiLevelType w:val="hybridMultilevel"/>
    <w:tmpl w:val="72D4CDBC"/>
    <w:lvl w:ilvl="0" w:tplc="9C8C35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212DF"/>
    <w:multiLevelType w:val="hybridMultilevel"/>
    <w:tmpl w:val="612E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E80354"/>
    <w:multiLevelType w:val="hybridMultilevel"/>
    <w:tmpl w:val="E326CE42"/>
    <w:lvl w:ilvl="0" w:tplc="EE06104E">
      <w:start w:val="1"/>
      <w:numFmt w:val="upperRoman"/>
      <w:lvlText w:val="%1."/>
      <w:lvlJc w:val="left"/>
      <w:pPr>
        <w:ind w:left="1080" w:hanging="72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1182925"/>
    <w:multiLevelType w:val="singleLevel"/>
    <w:tmpl w:val="C40EC6CE"/>
    <w:lvl w:ilvl="0">
      <w:start w:val="1"/>
      <w:numFmt w:val="decimal"/>
      <w:pStyle w:val="ParaNum"/>
      <w:lvlText w:val="%1."/>
      <w:lvlJc w:val="left"/>
      <w:pPr>
        <w:tabs>
          <w:tab w:val="num" w:pos="1080"/>
        </w:tabs>
        <w:ind w:firstLine="720"/>
      </w:pPr>
      <w:rPr>
        <w:rFonts w:cs="Times New Roman"/>
        <w:b w:val="0"/>
        <w:sz w:val="22"/>
        <w:szCs w:val="22"/>
      </w:rPr>
    </w:lvl>
  </w:abstractNum>
  <w:abstractNum w:abstractNumId="8">
    <w:nsid w:val="771A69FD"/>
    <w:multiLevelType w:val="hybridMultilevel"/>
    <w:tmpl w:val="D1F89C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7"/>
  </w:num>
  <w:num w:numId="4">
    <w:abstractNumId w:val="2"/>
  </w:num>
  <w:num w:numId="5">
    <w:abstractNumId w:val="0"/>
  </w:num>
  <w:num w:numId="6">
    <w:abstractNumId w:val="8"/>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42"/>
    <w:rsid w:val="0001104C"/>
    <w:rsid w:val="0001395B"/>
    <w:rsid w:val="00046B59"/>
    <w:rsid w:val="00055BA7"/>
    <w:rsid w:val="00092972"/>
    <w:rsid w:val="00096071"/>
    <w:rsid w:val="0009654C"/>
    <w:rsid w:val="000E7559"/>
    <w:rsid w:val="000F1CCD"/>
    <w:rsid w:val="001355DF"/>
    <w:rsid w:val="00161296"/>
    <w:rsid w:val="001646FB"/>
    <w:rsid w:val="00166D78"/>
    <w:rsid w:val="001970AD"/>
    <w:rsid w:val="001A0AFE"/>
    <w:rsid w:val="001B0015"/>
    <w:rsid w:val="001B5480"/>
    <w:rsid w:val="001D1132"/>
    <w:rsid w:val="001E1CEF"/>
    <w:rsid w:val="001E74B9"/>
    <w:rsid w:val="001F67B2"/>
    <w:rsid w:val="002140A4"/>
    <w:rsid w:val="0022040B"/>
    <w:rsid w:val="00225F1A"/>
    <w:rsid w:val="00233AD4"/>
    <w:rsid w:val="00233E4D"/>
    <w:rsid w:val="00250694"/>
    <w:rsid w:val="002B407B"/>
    <w:rsid w:val="002B49FD"/>
    <w:rsid w:val="002B692E"/>
    <w:rsid w:val="00341D43"/>
    <w:rsid w:val="00342DCF"/>
    <w:rsid w:val="00343929"/>
    <w:rsid w:val="00364716"/>
    <w:rsid w:val="003763F8"/>
    <w:rsid w:val="00376F42"/>
    <w:rsid w:val="00397E63"/>
    <w:rsid w:val="003D0A38"/>
    <w:rsid w:val="003F2FC6"/>
    <w:rsid w:val="00402A68"/>
    <w:rsid w:val="00437737"/>
    <w:rsid w:val="00441EE5"/>
    <w:rsid w:val="00492553"/>
    <w:rsid w:val="004926F2"/>
    <w:rsid w:val="004B76DC"/>
    <w:rsid w:val="00503F79"/>
    <w:rsid w:val="005441FA"/>
    <w:rsid w:val="00566F9B"/>
    <w:rsid w:val="00575118"/>
    <w:rsid w:val="0058024D"/>
    <w:rsid w:val="00586AF4"/>
    <w:rsid w:val="005A218D"/>
    <w:rsid w:val="005A7FF1"/>
    <w:rsid w:val="005B2AC1"/>
    <w:rsid w:val="005C0E31"/>
    <w:rsid w:val="005C13BE"/>
    <w:rsid w:val="005D533E"/>
    <w:rsid w:val="005D7402"/>
    <w:rsid w:val="005D7A44"/>
    <w:rsid w:val="005F66FF"/>
    <w:rsid w:val="006148E9"/>
    <w:rsid w:val="00635E7F"/>
    <w:rsid w:val="006360EC"/>
    <w:rsid w:val="006416A0"/>
    <w:rsid w:val="0064637F"/>
    <w:rsid w:val="00657268"/>
    <w:rsid w:val="00667854"/>
    <w:rsid w:val="00670DB1"/>
    <w:rsid w:val="0067695A"/>
    <w:rsid w:val="006B4D6B"/>
    <w:rsid w:val="006C2CBA"/>
    <w:rsid w:val="006C7133"/>
    <w:rsid w:val="006F2594"/>
    <w:rsid w:val="007158B6"/>
    <w:rsid w:val="00725F05"/>
    <w:rsid w:val="00734DE2"/>
    <w:rsid w:val="00766AE8"/>
    <w:rsid w:val="00775023"/>
    <w:rsid w:val="0079373E"/>
    <w:rsid w:val="007A3A15"/>
    <w:rsid w:val="007B17F4"/>
    <w:rsid w:val="007B1A4C"/>
    <w:rsid w:val="007B1BCC"/>
    <w:rsid w:val="007C796A"/>
    <w:rsid w:val="007D7CE1"/>
    <w:rsid w:val="007E62CE"/>
    <w:rsid w:val="008031C4"/>
    <w:rsid w:val="0084186F"/>
    <w:rsid w:val="008435AF"/>
    <w:rsid w:val="00861E5F"/>
    <w:rsid w:val="0086422F"/>
    <w:rsid w:val="0087561D"/>
    <w:rsid w:val="00884F4A"/>
    <w:rsid w:val="00886511"/>
    <w:rsid w:val="00895983"/>
    <w:rsid w:val="008B6B57"/>
    <w:rsid w:val="008D3CA8"/>
    <w:rsid w:val="008F0FC0"/>
    <w:rsid w:val="008F1FE7"/>
    <w:rsid w:val="008F29DA"/>
    <w:rsid w:val="008F2A68"/>
    <w:rsid w:val="008F6E4A"/>
    <w:rsid w:val="00924CF3"/>
    <w:rsid w:val="00937D4A"/>
    <w:rsid w:val="00942AC0"/>
    <w:rsid w:val="00956387"/>
    <w:rsid w:val="00960583"/>
    <w:rsid w:val="00975159"/>
    <w:rsid w:val="009A54C2"/>
    <w:rsid w:val="009D7421"/>
    <w:rsid w:val="00A16017"/>
    <w:rsid w:val="00A50099"/>
    <w:rsid w:val="00A579BB"/>
    <w:rsid w:val="00A81C44"/>
    <w:rsid w:val="00A95421"/>
    <w:rsid w:val="00AA4218"/>
    <w:rsid w:val="00AB322B"/>
    <w:rsid w:val="00AC1A6F"/>
    <w:rsid w:val="00B10709"/>
    <w:rsid w:val="00B3480A"/>
    <w:rsid w:val="00B70C4D"/>
    <w:rsid w:val="00B7718C"/>
    <w:rsid w:val="00B80FBB"/>
    <w:rsid w:val="00B82997"/>
    <w:rsid w:val="00BC401D"/>
    <w:rsid w:val="00BE152D"/>
    <w:rsid w:val="00BE7C74"/>
    <w:rsid w:val="00C359D0"/>
    <w:rsid w:val="00C37BA8"/>
    <w:rsid w:val="00C41A11"/>
    <w:rsid w:val="00C44A07"/>
    <w:rsid w:val="00C47F48"/>
    <w:rsid w:val="00C55AD6"/>
    <w:rsid w:val="00C67A74"/>
    <w:rsid w:val="00C8107D"/>
    <w:rsid w:val="00CA4BCB"/>
    <w:rsid w:val="00CA774E"/>
    <w:rsid w:val="00CB0EB7"/>
    <w:rsid w:val="00CD51B0"/>
    <w:rsid w:val="00CF7F0B"/>
    <w:rsid w:val="00D05365"/>
    <w:rsid w:val="00D124DB"/>
    <w:rsid w:val="00D50A14"/>
    <w:rsid w:val="00D514E8"/>
    <w:rsid w:val="00DA42D8"/>
    <w:rsid w:val="00DC304A"/>
    <w:rsid w:val="00DC390E"/>
    <w:rsid w:val="00DC6B62"/>
    <w:rsid w:val="00DD0240"/>
    <w:rsid w:val="00DD0EA1"/>
    <w:rsid w:val="00DE6BE2"/>
    <w:rsid w:val="00DF6E93"/>
    <w:rsid w:val="00E11239"/>
    <w:rsid w:val="00E2797D"/>
    <w:rsid w:val="00E554E2"/>
    <w:rsid w:val="00E72F73"/>
    <w:rsid w:val="00E76894"/>
    <w:rsid w:val="00E80BDD"/>
    <w:rsid w:val="00E86082"/>
    <w:rsid w:val="00E9193F"/>
    <w:rsid w:val="00E9641F"/>
    <w:rsid w:val="00EB24BA"/>
    <w:rsid w:val="00EE0395"/>
    <w:rsid w:val="00EE053C"/>
    <w:rsid w:val="00EE2261"/>
    <w:rsid w:val="00EE2A23"/>
    <w:rsid w:val="00EE7702"/>
    <w:rsid w:val="00EF1B7C"/>
    <w:rsid w:val="00F0741A"/>
    <w:rsid w:val="00F329A4"/>
    <w:rsid w:val="00F607BD"/>
    <w:rsid w:val="00F62BFF"/>
    <w:rsid w:val="00F64247"/>
    <w:rsid w:val="00F87F83"/>
    <w:rsid w:val="00FB6A9D"/>
    <w:rsid w:val="00FC579B"/>
    <w:rsid w:val="00FD7625"/>
    <w:rsid w:val="00FE3C59"/>
    <w:rsid w:val="00FE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0B"/>
  </w:style>
  <w:style w:type="paragraph" w:styleId="Heading4">
    <w:name w:val="heading 4"/>
    <w:basedOn w:val="Normal"/>
    <w:next w:val="Normal"/>
    <w:link w:val="Heading4Char"/>
    <w:qFormat/>
    <w:rsid w:val="00CF7F0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046458"/>
    <w:rPr>
      <w:rFonts w:ascii="Calibri" w:eastAsia="Times New Roman" w:hAnsi="Calibri" w:cs="Times New Roman"/>
      <w:b/>
      <w:bCs/>
      <w:sz w:val="28"/>
      <w:szCs w:val="28"/>
    </w:rPr>
  </w:style>
  <w:style w:type="paragraph" w:styleId="Header">
    <w:name w:val="header"/>
    <w:basedOn w:val="Normal"/>
    <w:link w:val="HeaderChar"/>
    <w:uiPriority w:val="99"/>
    <w:rsid w:val="00CF7F0B"/>
    <w:pPr>
      <w:tabs>
        <w:tab w:val="center" w:pos="4320"/>
        <w:tab w:val="right" w:pos="8640"/>
      </w:tabs>
    </w:pPr>
  </w:style>
  <w:style w:type="character" w:customStyle="1" w:styleId="HeaderChar">
    <w:name w:val="Header Char"/>
    <w:link w:val="Header"/>
    <w:uiPriority w:val="99"/>
    <w:semiHidden/>
    <w:rsid w:val="00046458"/>
    <w:rPr>
      <w:sz w:val="20"/>
      <w:szCs w:val="20"/>
    </w:rPr>
  </w:style>
  <w:style w:type="paragraph" w:styleId="Footer">
    <w:name w:val="footer"/>
    <w:basedOn w:val="Normal"/>
    <w:link w:val="FooterChar"/>
    <w:uiPriority w:val="99"/>
    <w:rsid w:val="00CF7F0B"/>
    <w:pPr>
      <w:tabs>
        <w:tab w:val="center" w:pos="4320"/>
        <w:tab w:val="right" w:pos="8640"/>
      </w:tabs>
    </w:pPr>
  </w:style>
  <w:style w:type="character" w:customStyle="1" w:styleId="FooterChar">
    <w:name w:val="Footer Char"/>
    <w:link w:val="Footer"/>
    <w:uiPriority w:val="99"/>
    <w:semiHidden/>
    <w:rsid w:val="00046458"/>
    <w:rPr>
      <w:sz w:val="20"/>
      <w:szCs w:val="20"/>
    </w:rPr>
  </w:style>
  <w:style w:type="character" w:styleId="Hyperlink">
    <w:name w:val="Hyperlink"/>
    <w:uiPriority w:val="99"/>
    <w:rsid w:val="00CF7F0B"/>
    <w:rPr>
      <w:rFonts w:cs="Times New Roman"/>
      <w:color w:val="0000FF"/>
      <w:u w:val="single"/>
    </w:rPr>
  </w:style>
  <w:style w:type="paragraph" w:customStyle="1" w:styleId="ParaNum">
    <w:name w:val="ParaNum"/>
    <w:basedOn w:val="Normal"/>
    <w:link w:val="ParaNumChar1"/>
    <w:rsid w:val="00CF7F0B"/>
    <w:pPr>
      <w:widowControl w:val="0"/>
      <w:numPr>
        <w:numId w:val="3"/>
      </w:numPr>
      <w:spacing w:after="120"/>
    </w:pPr>
    <w:rPr>
      <w:kern w:val="28"/>
      <w:sz w:val="22"/>
    </w:rPr>
  </w:style>
  <w:style w:type="character" w:styleId="FollowedHyperlink">
    <w:name w:val="FollowedHyperlink"/>
    <w:uiPriority w:val="99"/>
    <w:rsid w:val="00CF7F0B"/>
    <w:rPr>
      <w:rFonts w:cs="Times New Roman"/>
      <w:color w:val="800080"/>
      <w:u w:val="single"/>
    </w:rPr>
  </w:style>
  <w:style w:type="paragraph" w:styleId="BalloonText">
    <w:name w:val="Balloon Text"/>
    <w:basedOn w:val="Normal"/>
    <w:link w:val="BalloonTextChar"/>
    <w:uiPriority w:val="99"/>
    <w:semiHidden/>
    <w:rsid w:val="00CF7F0B"/>
    <w:rPr>
      <w:rFonts w:ascii="Tahoma" w:hAnsi="Tahoma" w:cs="Tahoma"/>
      <w:sz w:val="16"/>
      <w:szCs w:val="16"/>
    </w:rPr>
  </w:style>
  <w:style w:type="character" w:customStyle="1" w:styleId="BalloonTextChar">
    <w:name w:val="Balloon Text Char"/>
    <w:link w:val="BalloonText"/>
    <w:uiPriority w:val="99"/>
    <w:semiHidden/>
    <w:rsid w:val="00046458"/>
    <w:rPr>
      <w:sz w:val="0"/>
      <w:szCs w:val="0"/>
    </w:rPr>
  </w:style>
  <w:style w:type="character" w:styleId="PageNumber">
    <w:name w:val="page number"/>
    <w:uiPriority w:val="99"/>
    <w:rsid w:val="00CF7F0B"/>
    <w:rPr>
      <w:rFonts w:cs="Times New Roman"/>
    </w:rPr>
  </w:style>
  <w:style w:type="paragraph" w:styleId="ListParagraph">
    <w:name w:val="List Paragraph"/>
    <w:basedOn w:val="Normal"/>
    <w:uiPriority w:val="34"/>
    <w:qFormat/>
    <w:rsid w:val="00861E5F"/>
    <w:pPr>
      <w:ind w:left="720"/>
      <w:contextualSpacing/>
    </w:pPr>
  </w:style>
  <w:style w:type="character" w:customStyle="1" w:styleId="ParaNumChar1">
    <w:name w:val="ParaNum Char1"/>
    <w:link w:val="ParaNum"/>
    <w:rsid w:val="00C8107D"/>
    <w:rPr>
      <w:kern w:val="28"/>
      <w:sz w:val="22"/>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3"/>
    <w:link w:val="FootnoteTextChar"/>
    <w:rsid w:val="0087561D"/>
    <w:pPr>
      <w:spacing w:after="120"/>
    </w:p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rsid w:val="0087561D"/>
  </w:style>
  <w:style w:type="character" w:styleId="FootnoteReference">
    <w:name w:val="footnote reference"/>
    <w:aliases w:val="Style 124,Appel note de bas de p,Style 12,(NECG) Footnote Reference,o,fr,Style 3,Style 17,FR,Style 13,Footnote Reference/,Style 6,Style 7,Style 4"/>
    <w:rsid w:val="0087561D"/>
    <w:rPr>
      <w:rFonts w:ascii="Times New Roman" w:hAnsi="Times New Roman"/>
      <w:dstrike w:val="0"/>
      <w:color w:val="auto"/>
      <w:sz w:val="20"/>
      <w:vertAlign w:val="superscript"/>
    </w:rPr>
  </w:style>
  <w:style w:type="character" w:customStyle="1" w:styleId="ParaNumChar">
    <w:name w:val="ParaNum Char"/>
    <w:locked/>
    <w:rsid w:val="0087561D"/>
    <w:rPr>
      <w:snapToGrid w:val="0"/>
      <w:kern w:val="28"/>
      <w:sz w:val="22"/>
      <w:lang w:val="x-none" w:eastAsia="x-none"/>
    </w:rPr>
  </w:style>
  <w:style w:type="paragraph" w:customStyle="1" w:styleId="TOCTitle">
    <w:name w:val="TOC Title"/>
    <w:basedOn w:val="Normal"/>
    <w:rsid w:val="00A16017"/>
    <w:pPr>
      <w:widowControl w:val="0"/>
      <w:snapToGrid w:val="0"/>
      <w:spacing w:before="240" w:after="240"/>
      <w:jc w:val="center"/>
    </w:pPr>
    <w:rPr>
      <w:rFonts w:ascii="Times New Roman Bold" w:hAnsi="Times New Roman Bold"/>
      <w:b/>
      <w:caps/>
      <w:spacing w:val="-2"/>
      <w:kern w:val="28"/>
      <w:sz w:val="22"/>
    </w:rPr>
  </w:style>
  <w:style w:type="character" w:styleId="CommentReference">
    <w:name w:val="annotation reference"/>
    <w:basedOn w:val="DefaultParagraphFont"/>
    <w:uiPriority w:val="99"/>
    <w:semiHidden/>
    <w:unhideWhenUsed/>
    <w:rsid w:val="00DF6E93"/>
    <w:rPr>
      <w:sz w:val="16"/>
      <w:szCs w:val="16"/>
    </w:rPr>
  </w:style>
  <w:style w:type="paragraph" w:styleId="CommentText">
    <w:name w:val="annotation text"/>
    <w:basedOn w:val="Normal"/>
    <w:link w:val="CommentTextChar"/>
    <w:uiPriority w:val="99"/>
    <w:semiHidden/>
    <w:unhideWhenUsed/>
    <w:rsid w:val="00DF6E93"/>
  </w:style>
  <w:style w:type="character" w:customStyle="1" w:styleId="CommentTextChar">
    <w:name w:val="Comment Text Char"/>
    <w:basedOn w:val="DefaultParagraphFont"/>
    <w:link w:val="CommentText"/>
    <w:uiPriority w:val="99"/>
    <w:semiHidden/>
    <w:rsid w:val="00DF6E93"/>
  </w:style>
  <w:style w:type="paragraph" w:styleId="CommentSubject">
    <w:name w:val="annotation subject"/>
    <w:basedOn w:val="CommentText"/>
    <w:next w:val="CommentText"/>
    <w:link w:val="CommentSubjectChar"/>
    <w:uiPriority w:val="99"/>
    <w:semiHidden/>
    <w:unhideWhenUsed/>
    <w:rsid w:val="00DF6E93"/>
    <w:rPr>
      <w:b/>
      <w:bCs/>
    </w:rPr>
  </w:style>
  <w:style w:type="character" w:customStyle="1" w:styleId="CommentSubjectChar">
    <w:name w:val="Comment Subject Char"/>
    <w:basedOn w:val="CommentTextChar"/>
    <w:link w:val="CommentSubject"/>
    <w:uiPriority w:val="99"/>
    <w:semiHidden/>
    <w:rsid w:val="00DF6E93"/>
    <w:rPr>
      <w:b/>
      <w:bCs/>
    </w:rPr>
  </w:style>
  <w:style w:type="paragraph" w:styleId="NoSpacing">
    <w:name w:val="No Spacing"/>
    <w:uiPriority w:val="1"/>
    <w:qFormat/>
    <w:rsid w:val="003F2F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0B"/>
  </w:style>
  <w:style w:type="paragraph" w:styleId="Heading4">
    <w:name w:val="heading 4"/>
    <w:basedOn w:val="Normal"/>
    <w:next w:val="Normal"/>
    <w:link w:val="Heading4Char"/>
    <w:qFormat/>
    <w:rsid w:val="00CF7F0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046458"/>
    <w:rPr>
      <w:rFonts w:ascii="Calibri" w:eastAsia="Times New Roman" w:hAnsi="Calibri" w:cs="Times New Roman"/>
      <w:b/>
      <w:bCs/>
      <w:sz w:val="28"/>
      <w:szCs w:val="28"/>
    </w:rPr>
  </w:style>
  <w:style w:type="paragraph" w:styleId="Header">
    <w:name w:val="header"/>
    <w:basedOn w:val="Normal"/>
    <w:link w:val="HeaderChar"/>
    <w:uiPriority w:val="99"/>
    <w:rsid w:val="00CF7F0B"/>
    <w:pPr>
      <w:tabs>
        <w:tab w:val="center" w:pos="4320"/>
        <w:tab w:val="right" w:pos="8640"/>
      </w:tabs>
    </w:pPr>
  </w:style>
  <w:style w:type="character" w:customStyle="1" w:styleId="HeaderChar">
    <w:name w:val="Header Char"/>
    <w:link w:val="Header"/>
    <w:uiPriority w:val="99"/>
    <w:semiHidden/>
    <w:rsid w:val="00046458"/>
    <w:rPr>
      <w:sz w:val="20"/>
      <w:szCs w:val="20"/>
    </w:rPr>
  </w:style>
  <w:style w:type="paragraph" w:styleId="Footer">
    <w:name w:val="footer"/>
    <w:basedOn w:val="Normal"/>
    <w:link w:val="FooterChar"/>
    <w:uiPriority w:val="99"/>
    <w:rsid w:val="00CF7F0B"/>
    <w:pPr>
      <w:tabs>
        <w:tab w:val="center" w:pos="4320"/>
        <w:tab w:val="right" w:pos="8640"/>
      </w:tabs>
    </w:pPr>
  </w:style>
  <w:style w:type="character" w:customStyle="1" w:styleId="FooterChar">
    <w:name w:val="Footer Char"/>
    <w:link w:val="Footer"/>
    <w:uiPriority w:val="99"/>
    <w:semiHidden/>
    <w:rsid w:val="00046458"/>
    <w:rPr>
      <w:sz w:val="20"/>
      <w:szCs w:val="20"/>
    </w:rPr>
  </w:style>
  <w:style w:type="character" w:styleId="Hyperlink">
    <w:name w:val="Hyperlink"/>
    <w:uiPriority w:val="99"/>
    <w:rsid w:val="00CF7F0B"/>
    <w:rPr>
      <w:rFonts w:cs="Times New Roman"/>
      <w:color w:val="0000FF"/>
      <w:u w:val="single"/>
    </w:rPr>
  </w:style>
  <w:style w:type="paragraph" w:customStyle="1" w:styleId="ParaNum">
    <w:name w:val="ParaNum"/>
    <w:basedOn w:val="Normal"/>
    <w:link w:val="ParaNumChar1"/>
    <w:rsid w:val="00CF7F0B"/>
    <w:pPr>
      <w:widowControl w:val="0"/>
      <w:numPr>
        <w:numId w:val="3"/>
      </w:numPr>
      <w:spacing w:after="120"/>
    </w:pPr>
    <w:rPr>
      <w:kern w:val="28"/>
      <w:sz w:val="22"/>
    </w:rPr>
  </w:style>
  <w:style w:type="character" w:styleId="FollowedHyperlink">
    <w:name w:val="FollowedHyperlink"/>
    <w:uiPriority w:val="99"/>
    <w:rsid w:val="00CF7F0B"/>
    <w:rPr>
      <w:rFonts w:cs="Times New Roman"/>
      <w:color w:val="800080"/>
      <w:u w:val="single"/>
    </w:rPr>
  </w:style>
  <w:style w:type="paragraph" w:styleId="BalloonText">
    <w:name w:val="Balloon Text"/>
    <w:basedOn w:val="Normal"/>
    <w:link w:val="BalloonTextChar"/>
    <w:uiPriority w:val="99"/>
    <w:semiHidden/>
    <w:rsid w:val="00CF7F0B"/>
    <w:rPr>
      <w:rFonts w:ascii="Tahoma" w:hAnsi="Tahoma" w:cs="Tahoma"/>
      <w:sz w:val="16"/>
      <w:szCs w:val="16"/>
    </w:rPr>
  </w:style>
  <w:style w:type="character" w:customStyle="1" w:styleId="BalloonTextChar">
    <w:name w:val="Balloon Text Char"/>
    <w:link w:val="BalloonText"/>
    <w:uiPriority w:val="99"/>
    <w:semiHidden/>
    <w:rsid w:val="00046458"/>
    <w:rPr>
      <w:sz w:val="0"/>
      <w:szCs w:val="0"/>
    </w:rPr>
  </w:style>
  <w:style w:type="character" w:styleId="PageNumber">
    <w:name w:val="page number"/>
    <w:uiPriority w:val="99"/>
    <w:rsid w:val="00CF7F0B"/>
    <w:rPr>
      <w:rFonts w:cs="Times New Roman"/>
    </w:rPr>
  </w:style>
  <w:style w:type="paragraph" w:styleId="ListParagraph">
    <w:name w:val="List Paragraph"/>
    <w:basedOn w:val="Normal"/>
    <w:uiPriority w:val="34"/>
    <w:qFormat/>
    <w:rsid w:val="00861E5F"/>
    <w:pPr>
      <w:ind w:left="720"/>
      <w:contextualSpacing/>
    </w:pPr>
  </w:style>
  <w:style w:type="character" w:customStyle="1" w:styleId="ParaNumChar1">
    <w:name w:val="ParaNum Char1"/>
    <w:link w:val="ParaNum"/>
    <w:rsid w:val="00C8107D"/>
    <w:rPr>
      <w:kern w:val="28"/>
      <w:sz w:val="22"/>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3"/>
    <w:link w:val="FootnoteTextChar"/>
    <w:rsid w:val="0087561D"/>
    <w:pPr>
      <w:spacing w:after="120"/>
    </w:p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rsid w:val="0087561D"/>
  </w:style>
  <w:style w:type="character" w:styleId="FootnoteReference">
    <w:name w:val="footnote reference"/>
    <w:aliases w:val="Style 124,Appel note de bas de p,Style 12,(NECG) Footnote Reference,o,fr,Style 3,Style 17,FR,Style 13,Footnote Reference/,Style 6,Style 7,Style 4"/>
    <w:rsid w:val="0087561D"/>
    <w:rPr>
      <w:rFonts w:ascii="Times New Roman" w:hAnsi="Times New Roman"/>
      <w:dstrike w:val="0"/>
      <w:color w:val="auto"/>
      <w:sz w:val="20"/>
      <w:vertAlign w:val="superscript"/>
    </w:rPr>
  </w:style>
  <w:style w:type="character" w:customStyle="1" w:styleId="ParaNumChar">
    <w:name w:val="ParaNum Char"/>
    <w:locked/>
    <w:rsid w:val="0087561D"/>
    <w:rPr>
      <w:snapToGrid w:val="0"/>
      <w:kern w:val="28"/>
      <w:sz w:val="22"/>
      <w:lang w:val="x-none" w:eastAsia="x-none"/>
    </w:rPr>
  </w:style>
  <w:style w:type="paragraph" w:customStyle="1" w:styleId="TOCTitle">
    <w:name w:val="TOC Title"/>
    <w:basedOn w:val="Normal"/>
    <w:rsid w:val="00A16017"/>
    <w:pPr>
      <w:widowControl w:val="0"/>
      <w:snapToGrid w:val="0"/>
      <w:spacing w:before="240" w:after="240"/>
      <w:jc w:val="center"/>
    </w:pPr>
    <w:rPr>
      <w:rFonts w:ascii="Times New Roman Bold" w:hAnsi="Times New Roman Bold"/>
      <w:b/>
      <w:caps/>
      <w:spacing w:val="-2"/>
      <w:kern w:val="28"/>
      <w:sz w:val="22"/>
    </w:rPr>
  </w:style>
  <w:style w:type="character" w:styleId="CommentReference">
    <w:name w:val="annotation reference"/>
    <w:basedOn w:val="DefaultParagraphFont"/>
    <w:uiPriority w:val="99"/>
    <w:semiHidden/>
    <w:unhideWhenUsed/>
    <w:rsid w:val="00DF6E93"/>
    <w:rPr>
      <w:sz w:val="16"/>
      <w:szCs w:val="16"/>
    </w:rPr>
  </w:style>
  <w:style w:type="paragraph" w:styleId="CommentText">
    <w:name w:val="annotation text"/>
    <w:basedOn w:val="Normal"/>
    <w:link w:val="CommentTextChar"/>
    <w:uiPriority w:val="99"/>
    <w:semiHidden/>
    <w:unhideWhenUsed/>
    <w:rsid w:val="00DF6E93"/>
  </w:style>
  <w:style w:type="character" w:customStyle="1" w:styleId="CommentTextChar">
    <w:name w:val="Comment Text Char"/>
    <w:basedOn w:val="DefaultParagraphFont"/>
    <w:link w:val="CommentText"/>
    <w:uiPriority w:val="99"/>
    <w:semiHidden/>
    <w:rsid w:val="00DF6E93"/>
  </w:style>
  <w:style w:type="paragraph" w:styleId="CommentSubject">
    <w:name w:val="annotation subject"/>
    <w:basedOn w:val="CommentText"/>
    <w:next w:val="CommentText"/>
    <w:link w:val="CommentSubjectChar"/>
    <w:uiPriority w:val="99"/>
    <w:semiHidden/>
    <w:unhideWhenUsed/>
    <w:rsid w:val="00DF6E93"/>
    <w:rPr>
      <w:b/>
      <w:bCs/>
    </w:rPr>
  </w:style>
  <w:style w:type="character" w:customStyle="1" w:styleId="CommentSubjectChar">
    <w:name w:val="Comment Subject Char"/>
    <w:basedOn w:val="CommentTextChar"/>
    <w:link w:val="CommentSubject"/>
    <w:uiPriority w:val="99"/>
    <w:semiHidden/>
    <w:rsid w:val="00DF6E93"/>
    <w:rPr>
      <w:b/>
      <w:bCs/>
    </w:rPr>
  </w:style>
  <w:style w:type="paragraph" w:styleId="NoSpacing">
    <w:name w:val="No Spacing"/>
    <w:uiPriority w:val="1"/>
    <w:qFormat/>
    <w:rsid w:val="003F2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875203">
      <w:bodyDiv w:val="1"/>
      <w:marLeft w:val="0"/>
      <w:marRight w:val="0"/>
      <w:marTop w:val="0"/>
      <w:marBottom w:val="0"/>
      <w:divBdr>
        <w:top w:val="none" w:sz="0" w:space="0" w:color="auto"/>
        <w:left w:val="none" w:sz="0" w:space="0" w:color="auto"/>
        <w:bottom w:val="none" w:sz="0" w:space="0" w:color="auto"/>
        <w:right w:val="none" w:sz="0" w:space="0" w:color="auto"/>
      </w:divBdr>
    </w:div>
    <w:div w:id="90441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info@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document/mobile-spectrum-holdings-report-and-order"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document/mobile-spectrum-holdings-report-and-orde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1465</Words>
  <Characters>8364</Characters>
  <Application>Microsoft Office Word</Application>
  <DocSecurity>0</DocSecurity>
  <Lines>139</Lines>
  <Paragraphs>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9844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2014-08-01T17:18:00Z</cp:lastPrinted>
  <dcterms:created xsi:type="dcterms:W3CDTF">2014-08-04T17:53:00Z</dcterms:created>
  <dcterms:modified xsi:type="dcterms:W3CDTF">2014-08-04T17:53:00Z</dcterms:modified>
  <cp:category> </cp:category>
  <cp:contentStatus> </cp:contentStatus>
</cp:coreProperties>
</file>