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05D3" w14:textId="77777777" w:rsidR="00441EE5" w:rsidRDefault="00441EE5">
      <w:bookmarkStart w:id="0" w:name="_GoBack"/>
      <w:bookmarkEnd w:id="0"/>
    </w:p>
    <w:p w14:paraId="0FE3320B" w14:textId="77777777" w:rsidR="005D7402" w:rsidRDefault="00441EE5" w:rsidP="005D7402">
      <w:r>
        <w:tab/>
      </w:r>
    </w:p>
    <w:p w14:paraId="1A0380ED" w14:textId="5E5291C6" w:rsidR="005D7402" w:rsidRDefault="005D7402" w:rsidP="005D7402">
      <w:pPr>
        <w:jc w:val="right"/>
        <w:rPr>
          <w:b/>
          <w:sz w:val="24"/>
          <w:szCs w:val="24"/>
        </w:rPr>
      </w:pPr>
      <w:r>
        <w:tab/>
      </w:r>
      <w:r>
        <w:tab/>
      </w:r>
      <w:r>
        <w:tab/>
      </w:r>
      <w:r>
        <w:tab/>
      </w:r>
      <w:r>
        <w:tab/>
      </w:r>
      <w:r>
        <w:tab/>
      </w:r>
      <w:r>
        <w:tab/>
      </w:r>
      <w:r>
        <w:tab/>
      </w:r>
      <w:r>
        <w:tab/>
      </w:r>
      <w:r>
        <w:tab/>
      </w:r>
      <w:r>
        <w:rPr>
          <w:b/>
          <w:sz w:val="24"/>
          <w:szCs w:val="24"/>
        </w:rPr>
        <w:t xml:space="preserve">DA </w:t>
      </w:r>
      <w:r w:rsidR="00262313" w:rsidRPr="00262313">
        <w:rPr>
          <w:b/>
          <w:sz w:val="24"/>
          <w:szCs w:val="24"/>
        </w:rPr>
        <w:t>14-1136</w:t>
      </w:r>
    </w:p>
    <w:p w14:paraId="1375CF07" w14:textId="77777777" w:rsidR="005D7402" w:rsidRDefault="005D7402" w:rsidP="005D7402">
      <w:pPr>
        <w:jc w:val="right"/>
        <w:rPr>
          <w:b/>
          <w:sz w:val="24"/>
          <w:szCs w:val="24"/>
        </w:rPr>
      </w:pPr>
    </w:p>
    <w:p w14:paraId="2EF190ED" w14:textId="77777777" w:rsidR="003F4BC7" w:rsidRDefault="005D7402" w:rsidP="005D7402">
      <w:pPr>
        <w:tabs>
          <w:tab w:val="center" w:pos="4680"/>
        </w:tabs>
        <w:suppressAutoHyphens/>
        <w:jc w:val="center"/>
        <w:rPr>
          <w:b/>
          <w:sz w:val="36"/>
          <w:szCs w:val="36"/>
        </w:rPr>
      </w:pPr>
      <w:r>
        <w:rPr>
          <w:b/>
          <w:sz w:val="36"/>
          <w:szCs w:val="36"/>
        </w:rPr>
        <w:t>Small Entity Compliance Guide</w:t>
      </w:r>
    </w:p>
    <w:p w14:paraId="3452D8EB" w14:textId="77777777" w:rsidR="00262313" w:rsidRDefault="00262313" w:rsidP="005D7402">
      <w:pPr>
        <w:tabs>
          <w:tab w:val="center" w:pos="4680"/>
        </w:tabs>
        <w:suppressAutoHyphens/>
        <w:jc w:val="center"/>
        <w:rPr>
          <w:b/>
          <w:sz w:val="36"/>
          <w:szCs w:val="36"/>
        </w:rPr>
      </w:pPr>
    </w:p>
    <w:p w14:paraId="695BB8EF" w14:textId="0451A0C1" w:rsidR="005D7402" w:rsidRPr="005D533E" w:rsidRDefault="00D57249" w:rsidP="005D7402">
      <w:pPr>
        <w:tabs>
          <w:tab w:val="center" w:pos="4680"/>
        </w:tabs>
        <w:suppressAutoHyphens/>
        <w:jc w:val="center"/>
        <w:rPr>
          <w:b/>
          <w:spacing w:val="-2"/>
          <w:sz w:val="36"/>
          <w:szCs w:val="36"/>
        </w:rPr>
      </w:pPr>
      <w:r>
        <w:rPr>
          <w:b/>
          <w:spacing w:val="-2"/>
          <w:sz w:val="36"/>
          <w:szCs w:val="36"/>
        </w:rPr>
        <w:t>Wireless Microphones Second Report and Order</w:t>
      </w:r>
    </w:p>
    <w:p w14:paraId="7ED2A534" w14:textId="77777777" w:rsidR="005D7402" w:rsidRDefault="005D7402" w:rsidP="005D7402">
      <w:pPr>
        <w:jc w:val="center"/>
        <w:rPr>
          <w:b/>
          <w:sz w:val="24"/>
          <w:szCs w:val="24"/>
        </w:rPr>
      </w:pPr>
    </w:p>
    <w:p w14:paraId="7218A9CF" w14:textId="77777777" w:rsidR="005D7402" w:rsidRPr="006D6AFD" w:rsidRDefault="005D7402" w:rsidP="005D7402">
      <w:pPr>
        <w:jc w:val="center"/>
        <w:rPr>
          <w:sz w:val="24"/>
          <w:szCs w:val="24"/>
        </w:rPr>
      </w:pPr>
      <w:r w:rsidRPr="006D6AFD">
        <w:rPr>
          <w:sz w:val="24"/>
          <w:szCs w:val="24"/>
        </w:rPr>
        <w:t>Report and Order</w:t>
      </w:r>
    </w:p>
    <w:p w14:paraId="37375606" w14:textId="77777777" w:rsidR="005D7402" w:rsidRPr="006D6AFD" w:rsidRDefault="005D7402" w:rsidP="005D7402">
      <w:pPr>
        <w:jc w:val="center"/>
        <w:rPr>
          <w:sz w:val="24"/>
          <w:szCs w:val="24"/>
        </w:rPr>
      </w:pPr>
      <w:r w:rsidRPr="006D6AFD">
        <w:rPr>
          <w:sz w:val="24"/>
          <w:szCs w:val="24"/>
        </w:rPr>
        <w:t xml:space="preserve">FCC </w:t>
      </w:r>
      <w:r w:rsidR="009D0203" w:rsidRPr="006D6AFD">
        <w:rPr>
          <w:sz w:val="24"/>
          <w:szCs w:val="24"/>
        </w:rPr>
        <w:t>14-62</w:t>
      </w:r>
    </w:p>
    <w:p w14:paraId="60EBE657" w14:textId="7877CEA1" w:rsidR="005D7402" w:rsidRPr="006D6AFD" w:rsidRDefault="005D7402" w:rsidP="005D7402">
      <w:pPr>
        <w:jc w:val="center"/>
        <w:rPr>
          <w:spacing w:val="-2"/>
          <w:sz w:val="24"/>
          <w:szCs w:val="24"/>
        </w:rPr>
      </w:pPr>
      <w:r w:rsidRPr="006D6AFD">
        <w:rPr>
          <w:spacing w:val="-2"/>
          <w:sz w:val="24"/>
          <w:szCs w:val="24"/>
        </w:rPr>
        <w:t>WT Docket No</w:t>
      </w:r>
      <w:r w:rsidR="00AA3284" w:rsidRPr="006D6AFD">
        <w:rPr>
          <w:spacing w:val="-2"/>
          <w:sz w:val="24"/>
          <w:szCs w:val="24"/>
        </w:rPr>
        <w:t>s</w:t>
      </w:r>
      <w:r w:rsidRPr="006D6AFD">
        <w:rPr>
          <w:spacing w:val="-2"/>
          <w:sz w:val="24"/>
          <w:szCs w:val="24"/>
        </w:rPr>
        <w:t xml:space="preserve">. </w:t>
      </w:r>
      <w:r w:rsidR="009D0203" w:rsidRPr="006D6AFD">
        <w:rPr>
          <w:spacing w:val="-2"/>
          <w:sz w:val="24"/>
          <w:szCs w:val="24"/>
        </w:rPr>
        <w:t>08-166, 08-167</w:t>
      </w:r>
    </w:p>
    <w:p w14:paraId="54F0805B" w14:textId="77777777" w:rsidR="007309B6" w:rsidRPr="006D6AFD" w:rsidRDefault="007309B6" w:rsidP="005D7402">
      <w:pPr>
        <w:jc w:val="center"/>
        <w:rPr>
          <w:spacing w:val="-2"/>
          <w:sz w:val="24"/>
          <w:szCs w:val="24"/>
        </w:rPr>
      </w:pPr>
      <w:r w:rsidRPr="006D6AFD">
        <w:rPr>
          <w:spacing w:val="-2"/>
          <w:sz w:val="24"/>
          <w:szCs w:val="24"/>
        </w:rPr>
        <w:t>ET Docket No. 10-24</w:t>
      </w:r>
    </w:p>
    <w:p w14:paraId="2978FA5A" w14:textId="77777777" w:rsidR="005D7402" w:rsidRPr="006D6AFD" w:rsidRDefault="005D7402" w:rsidP="005D7402">
      <w:pPr>
        <w:jc w:val="center"/>
        <w:rPr>
          <w:spacing w:val="-2"/>
          <w:sz w:val="24"/>
          <w:szCs w:val="24"/>
        </w:rPr>
      </w:pPr>
      <w:r w:rsidRPr="006D6AFD">
        <w:rPr>
          <w:spacing w:val="-2"/>
          <w:sz w:val="24"/>
          <w:szCs w:val="24"/>
        </w:rPr>
        <w:t xml:space="preserve">Released: </w:t>
      </w:r>
      <w:r w:rsidR="00D3334E" w:rsidRPr="006D6AFD">
        <w:rPr>
          <w:spacing w:val="-2"/>
          <w:sz w:val="24"/>
          <w:szCs w:val="24"/>
        </w:rPr>
        <w:t>June 2</w:t>
      </w:r>
      <w:r w:rsidRPr="006D6AFD">
        <w:rPr>
          <w:spacing w:val="-2"/>
          <w:sz w:val="24"/>
          <w:szCs w:val="24"/>
        </w:rPr>
        <w:t>, 2014</w:t>
      </w:r>
    </w:p>
    <w:p w14:paraId="212919A0" w14:textId="77777777" w:rsidR="005D7402" w:rsidRPr="002C6DC6" w:rsidRDefault="005D7402" w:rsidP="005D7402">
      <w:pPr>
        <w:tabs>
          <w:tab w:val="left" w:pos="360"/>
        </w:tabs>
        <w:ind w:left="1080" w:right="720"/>
        <w:jc w:val="center"/>
        <w:rPr>
          <w:b/>
          <w:sz w:val="24"/>
          <w:szCs w:val="24"/>
        </w:rPr>
      </w:pPr>
    </w:p>
    <w:p w14:paraId="40C8DB2D" w14:textId="77777777" w:rsidR="005D7402" w:rsidRPr="00262313" w:rsidRDefault="005D7402" w:rsidP="005D7402">
      <w:pPr>
        <w:tabs>
          <w:tab w:val="left" w:pos="360"/>
        </w:tabs>
        <w:ind w:left="1080" w:right="648"/>
        <w:jc w:val="both"/>
        <w:rPr>
          <w:b/>
          <w:sz w:val="22"/>
          <w:szCs w:val="22"/>
        </w:rPr>
      </w:pPr>
      <w:r w:rsidRPr="00262313">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748D3532" w14:textId="77777777" w:rsidR="005D7402" w:rsidRPr="00262313" w:rsidRDefault="005D7402" w:rsidP="005D7402">
      <w:pPr>
        <w:tabs>
          <w:tab w:val="left" w:pos="360"/>
        </w:tabs>
        <w:ind w:left="1080" w:right="720"/>
        <w:jc w:val="both"/>
        <w:rPr>
          <w:b/>
          <w:sz w:val="22"/>
          <w:szCs w:val="22"/>
        </w:rPr>
      </w:pPr>
    </w:p>
    <w:p w14:paraId="683EB5EC" w14:textId="77777777" w:rsidR="005D7402" w:rsidRPr="00262313" w:rsidRDefault="005D7402" w:rsidP="005D7402">
      <w:pPr>
        <w:tabs>
          <w:tab w:val="left" w:pos="360"/>
        </w:tabs>
        <w:ind w:left="1080" w:right="720"/>
        <w:jc w:val="both"/>
        <w:rPr>
          <w:b/>
          <w:sz w:val="22"/>
          <w:szCs w:val="22"/>
        </w:rPr>
      </w:pPr>
      <w:r w:rsidRPr="00262313">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48D61B31" w14:textId="77777777" w:rsidR="005D7402" w:rsidRPr="00262313" w:rsidRDefault="005D7402" w:rsidP="005D7402">
      <w:pPr>
        <w:rPr>
          <w:b/>
          <w:sz w:val="22"/>
          <w:szCs w:val="22"/>
        </w:rPr>
      </w:pPr>
    </w:p>
    <w:p w14:paraId="58DDF553" w14:textId="77777777" w:rsidR="005D7402" w:rsidRPr="00262313" w:rsidRDefault="005D7402" w:rsidP="005D7402">
      <w:pPr>
        <w:jc w:val="center"/>
        <w:rPr>
          <w:b/>
          <w:color w:val="000000"/>
          <w:sz w:val="22"/>
          <w:szCs w:val="22"/>
        </w:rPr>
      </w:pPr>
      <w:r w:rsidRPr="00262313">
        <w:rPr>
          <w:b/>
          <w:color w:val="000000"/>
          <w:sz w:val="22"/>
          <w:szCs w:val="22"/>
        </w:rPr>
        <w:t>1-888-CALL-FCC (1-888-225-5322)  </w:t>
      </w:r>
      <w:r w:rsidRPr="00262313">
        <w:rPr>
          <w:b/>
          <w:color w:val="000000"/>
          <w:sz w:val="22"/>
          <w:szCs w:val="22"/>
        </w:rPr>
        <w:br/>
        <w:t>TTY: 1-888-TELL-FCC  (1-888-835-5322)  </w:t>
      </w:r>
      <w:r w:rsidRPr="00262313">
        <w:rPr>
          <w:b/>
          <w:color w:val="000000"/>
          <w:sz w:val="22"/>
          <w:szCs w:val="22"/>
        </w:rPr>
        <w:br/>
        <w:t>Fax: 1-866-418-0232</w:t>
      </w:r>
    </w:p>
    <w:p w14:paraId="561958C7" w14:textId="4F513A1E" w:rsidR="005D7402" w:rsidRPr="00262313" w:rsidRDefault="0084601B" w:rsidP="005D7402">
      <w:pPr>
        <w:jc w:val="center"/>
        <w:rPr>
          <w:b/>
          <w:color w:val="000000"/>
          <w:sz w:val="22"/>
          <w:szCs w:val="22"/>
        </w:rPr>
      </w:pPr>
      <w:hyperlink r:id="rId8" w:history="1">
        <w:r w:rsidR="005D7402" w:rsidRPr="00262313">
          <w:rPr>
            <w:rStyle w:val="Hyperlink"/>
            <w:b/>
            <w:sz w:val="22"/>
            <w:szCs w:val="22"/>
          </w:rPr>
          <w:t>fccinfo@fcc.gov</w:t>
        </w:r>
      </w:hyperlink>
    </w:p>
    <w:p w14:paraId="256FAC27" w14:textId="77777777" w:rsidR="00A16017" w:rsidRPr="002C6DC6" w:rsidRDefault="005D7402" w:rsidP="005D7402">
      <w:pPr>
        <w:jc w:val="center"/>
        <w:rPr>
          <w:b/>
          <w:color w:val="000000"/>
          <w:sz w:val="24"/>
          <w:szCs w:val="24"/>
        </w:rPr>
      </w:pPr>
      <w:r w:rsidRPr="002C6DC6">
        <w:rPr>
          <w:b/>
          <w:color w:val="000000"/>
          <w:sz w:val="24"/>
          <w:szCs w:val="24"/>
        </w:rPr>
        <w:br w:type="page"/>
      </w:r>
    </w:p>
    <w:p w14:paraId="482C102F" w14:textId="77777777" w:rsidR="00A16017" w:rsidRPr="002C6DC6" w:rsidRDefault="00A16017" w:rsidP="00A16017">
      <w:pPr>
        <w:rPr>
          <w:b/>
          <w:color w:val="000000"/>
          <w:sz w:val="24"/>
          <w:szCs w:val="24"/>
        </w:rPr>
      </w:pPr>
    </w:p>
    <w:p w14:paraId="5D75C7DE" w14:textId="77777777" w:rsidR="00A16017" w:rsidRPr="002C6DC6" w:rsidRDefault="00A16017" w:rsidP="00A16017">
      <w:pPr>
        <w:rPr>
          <w:b/>
          <w:color w:val="000000"/>
          <w:sz w:val="24"/>
          <w:szCs w:val="24"/>
        </w:rPr>
      </w:pPr>
    </w:p>
    <w:p w14:paraId="0A8185F7" w14:textId="77777777" w:rsidR="00A16017" w:rsidRPr="002C6DC6" w:rsidRDefault="00A16017" w:rsidP="00A16017">
      <w:pPr>
        <w:pStyle w:val="TOCTitle"/>
        <w:rPr>
          <w:sz w:val="24"/>
          <w:szCs w:val="24"/>
        </w:rPr>
      </w:pPr>
      <w:bookmarkStart w:id="1" w:name="TOChere"/>
      <w:r w:rsidRPr="002C6DC6">
        <w:rPr>
          <w:sz w:val="24"/>
          <w:szCs w:val="24"/>
        </w:rPr>
        <w:t>Table of Contents</w:t>
      </w:r>
      <w:bookmarkEnd w:id="1"/>
    </w:p>
    <w:p w14:paraId="25FD00F1" w14:textId="77777777" w:rsidR="00A16017" w:rsidRPr="002C6DC6" w:rsidRDefault="00A16017" w:rsidP="00A16017">
      <w:pPr>
        <w:pStyle w:val="TOCTitle"/>
        <w:numPr>
          <w:ilvl w:val="0"/>
          <w:numId w:val="8"/>
        </w:numPr>
        <w:jc w:val="left"/>
        <w:rPr>
          <w:color w:val="000000"/>
          <w:sz w:val="24"/>
          <w:szCs w:val="24"/>
        </w:rPr>
      </w:pPr>
      <w:r w:rsidRPr="002C6DC6">
        <w:rPr>
          <w:sz w:val="24"/>
          <w:szCs w:val="24"/>
        </w:rPr>
        <w:t>OBJECTIVES OF THE PROCEEDINGS</w:t>
      </w:r>
    </w:p>
    <w:p w14:paraId="7619D778" w14:textId="77777777" w:rsidR="00A16017" w:rsidRPr="002C6DC6" w:rsidRDefault="00A16017" w:rsidP="00A16017">
      <w:pPr>
        <w:pStyle w:val="TOCTitle"/>
        <w:numPr>
          <w:ilvl w:val="0"/>
          <w:numId w:val="8"/>
        </w:numPr>
        <w:jc w:val="left"/>
        <w:rPr>
          <w:color w:val="000000"/>
          <w:sz w:val="24"/>
          <w:szCs w:val="24"/>
        </w:rPr>
      </w:pPr>
      <w:r w:rsidRPr="002C6DC6">
        <w:rPr>
          <w:sz w:val="24"/>
          <w:szCs w:val="24"/>
        </w:rPr>
        <w:t>REGULATIONS AND POLICIES THAT THE COMMISSION ADOPTED OR MODIFIED, INCLUDING COMPLIANCE  REQUIREMENTS</w:t>
      </w:r>
    </w:p>
    <w:p w14:paraId="586C0017" w14:textId="77777777" w:rsidR="00A16017" w:rsidRPr="002C6DC6" w:rsidRDefault="00A16017" w:rsidP="00A16017">
      <w:pPr>
        <w:pStyle w:val="TOCTitle"/>
        <w:numPr>
          <w:ilvl w:val="0"/>
          <w:numId w:val="8"/>
        </w:numPr>
        <w:jc w:val="left"/>
        <w:rPr>
          <w:color w:val="000000"/>
          <w:sz w:val="24"/>
          <w:szCs w:val="24"/>
        </w:rPr>
      </w:pPr>
      <w:r w:rsidRPr="002C6DC6">
        <w:rPr>
          <w:sz w:val="24"/>
          <w:szCs w:val="24"/>
        </w:rPr>
        <w:t>RECORDKEEPING AND OTHER COMPLIANCE REQUIREMENTS</w:t>
      </w:r>
    </w:p>
    <w:p w14:paraId="424C68F8" w14:textId="77777777" w:rsidR="00A16017" w:rsidRPr="002C6DC6" w:rsidRDefault="00A16017" w:rsidP="00A16017">
      <w:pPr>
        <w:pStyle w:val="TOCTitle"/>
        <w:numPr>
          <w:ilvl w:val="0"/>
          <w:numId w:val="8"/>
        </w:numPr>
        <w:jc w:val="left"/>
        <w:rPr>
          <w:color w:val="000000"/>
          <w:sz w:val="24"/>
          <w:szCs w:val="24"/>
        </w:rPr>
      </w:pPr>
      <w:r w:rsidRPr="002C6DC6">
        <w:rPr>
          <w:sz w:val="24"/>
          <w:szCs w:val="24"/>
        </w:rPr>
        <w:t>WEBLINK</w:t>
      </w:r>
    </w:p>
    <w:p w14:paraId="0863BA2E" w14:textId="77777777" w:rsidR="00A16017" w:rsidRPr="002C6DC6" w:rsidRDefault="00A16017" w:rsidP="00A16017">
      <w:pPr>
        <w:rPr>
          <w:b/>
          <w:color w:val="000000"/>
          <w:sz w:val="24"/>
          <w:szCs w:val="24"/>
        </w:rPr>
      </w:pPr>
      <w:r w:rsidRPr="002C6DC6">
        <w:rPr>
          <w:b/>
          <w:color w:val="000000"/>
          <w:sz w:val="24"/>
          <w:szCs w:val="24"/>
        </w:rPr>
        <w:br w:type="page"/>
      </w:r>
    </w:p>
    <w:p w14:paraId="74EA2025" w14:textId="77777777" w:rsidR="00A16017" w:rsidRPr="002C6DC6" w:rsidRDefault="00A16017" w:rsidP="00A16017">
      <w:pPr>
        <w:rPr>
          <w:b/>
          <w:color w:val="000000"/>
          <w:sz w:val="24"/>
          <w:szCs w:val="24"/>
        </w:rPr>
      </w:pPr>
    </w:p>
    <w:p w14:paraId="54E01670" w14:textId="77777777" w:rsidR="00A16017" w:rsidRPr="002C6DC6" w:rsidRDefault="00A16017" w:rsidP="005D7402">
      <w:pPr>
        <w:jc w:val="center"/>
        <w:rPr>
          <w:b/>
          <w:color w:val="000000"/>
          <w:sz w:val="24"/>
          <w:szCs w:val="24"/>
        </w:rPr>
      </w:pPr>
    </w:p>
    <w:p w14:paraId="33C9AF37" w14:textId="0D31E45D" w:rsidR="005D7402" w:rsidRPr="002C6DC6" w:rsidRDefault="00BE7C74" w:rsidP="00734DE2">
      <w:pPr>
        <w:rPr>
          <w:b/>
          <w:sz w:val="24"/>
          <w:szCs w:val="24"/>
          <w:u w:val="single"/>
        </w:rPr>
      </w:pPr>
      <w:r w:rsidRPr="006D6AFD">
        <w:rPr>
          <w:b/>
          <w:sz w:val="24"/>
          <w:szCs w:val="24"/>
          <w:u w:val="single"/>
        </w:rPr>
        <w:t xml:space="preserve">COMPLIANCE REQUIREMENTS </w:t>
      </w:r>
      <w:r w:rsidR="00F04FF8" w:rsidRPr="006D6AFD">
        <w:rPr>
          <w:b/>
          <w:sz w:val="24"/>
          <w:szCs w:val="24"/>
          <w:u w:val="single"/>
        </w:rPr>
        <w:t xml:space="preserve">ESTABLISHED IN </w:t>
      </w:r>
      <w:r w:rsidR="00E44620" w:rsidRPr="006D6AFD">
        <w:rPr>
          <w:b/>
          <w:sz w:val="24"/>
          <w:szCs w:val="24"/>
          <w:u w:val="single"/>
        </w:rPr>
        <w:t>WIRELESS MICROPHONES</w:t>
      </w:r>
      <w:r w:rsidR="007309B6" w:rsidRPr="002C6DC6">
        <w:rPr>
          <w:b/>
          <w:sz w:val="24"/>
          <w:szCs w:val="24"/>
          <w:u w:val="single"/>
        </w:rPr>
        <w:t xml:space="preserve"> SECOND REPORT AND ORDER</w:t>
      </w:r>
    </w:p>
    <w:p w14:paraId="5B53935E" w14:textId="77777777" w:rsidR="005D7402" w:rsidRPr="002C6DC6" w:rsidRDefault="00BE7C74" w:rsidP="005D7402">
      <w:pPr>
        <w:pStyle w:val="Heading4"/>
        <w:tabs>
          <w:tab w:val="left" w:pos="360"/>
        </w:tabs>
        <w:rPr>
          <w:sz w:val="24"/>
          <w:szCs w:val="24"/>
          <w:u w:val="single"/>
        </w:rPr>
      </w:pPr>
      <w:r w:rsidRPr="006D6AFD">
        <w:rPr>
          <w:sz w:val="24"/>
          <w:szCs w:val="24"/>
        </w:rPr>
        <w:t>I.</w:t>
      </w:r>
      <w:r w:rsidR="005D7402" w:rsidRPr="006D6AFD">
        <w:rPr>
          <w:sz w:val="24"/>
          <w:szCs w:val="24"/>
        </w:rPr>
        <w:tab/>
      </w:r>
      <w:r w:rsidRPr="006D6AFD">
        <w:rPr>
          <w:sz w:val="24"/>
          <w:szCs w:val="24"/>
        </w:rPr>
        <w:t>OBJECTI</w:t>
      </w:r>
      <w:r w:rsidRPr="002C6DC6">
        <w:rPr>
          <w:sz w:val="24"/>
          <w:szCs w:val="24"/>
        </w:rPr>
        <w:t xml:space="preserve">VES OF THE PROCEEDING </w:t>
      </w:r>
    </w:p>
    <w:p w14:paraId="30495471" w14:textId="77777777" w:rsidR="005D7402" w:rsidRPr="002C6DC6" w:rsidRDefault="005D7402" w:rsidP="005D7402">
      <w:pPr>
        <w:rPr>
          <w:sz w:val="24"/>
          <w:szCs w:val="24"/>
        </w:rPr>
      </w:pPr>
    </w:p>
    <w:p w14:paraId="08393DFC" w14:textId="207E2A9C" w:rsidR="005D7402" w:rsidRPr="002C6DC6" w:rsidRDefault="007309B6" w:rsidP="005D7402">
      <w:pPr>
        <w:pStyle w:val="ParaNum"/>
        <w:widowControl/>
        <w:numPr>
          <w:ilvl w:val="0"/>
          <w:numId w:val="0"/>
        </w:numPr>
        <w:tabs>
          <w:tab w:val="left" w:pos="720"/>
        </w:tabs>
        <w:snapToGrid w:val="0"/>
        <w:spacing w:after="240"/>
        <w:rPr>
          <w:sz w:val="24"/>
          <w:szCs w:val="24"/>
        </w:rPr>
      </w:pPr>
      <w:r w:rsidRPr="002C6DC6">
        <w:rPr>
          <w:sz w:val="24"/>
          <w:szCs w:val="24"/>
        </w:rPr>
        <w:t xml:space="preserve">This </w:t>
      </w:r>
      <w:r w:rsidR="008C1683" w:rsidRPr="00C918D5">
        <w:rPr>
          <w:i/>
          <w:sz w:val="24"/>
          <w:szCs w:val="24"/>
        </w:rPr>
        <w:t>Second R</w:t>
      </w:r>
      <w:r w:rsidRPr="00C918D5">
        <w:rPr>
          <w:i/>
          <w:sz w:val="24"/>
          <w:szCs w:val="24"/>
        </w:rPr>
        <w:t xml:space="preserve">eport and </w:t>
      </w:r>
      <w:r w:rsidR="008C1683" w:rsidRPr="00C918D5">
        <w:rPr>
          <w:i/>
          <w:sz w:val="24"/>
          <w:szCs w:val="24"/>
        </w:rPr>
        <w:t>O</w:t>
      </w:r>
      <w:r w:rsidRPr="00C918D5">
        <w:rPr>
          <w:i/>
          <w:sz w:val="24"/>
          <w:szCs w:val="24"/>
        </w:rPr>
        <w:t>rder</w:t>
      </w:r>
      <w:r w:rsidR="007A7925">
        <w:rPr>
          <w:rStyle w:val="FootnoteReference"/>
          <w:szCs w:val="24"/>
        </w:rPr>
        <w:footnoteReference w:id="2"/>
      </w:r>
      <w:r w:rsidR="006015D6" w:rsidRPr="002C6DC6">
        <w:rPr>
          <w:sz w:val="24"/>
          <w:szCs w:val="24"/>
        </w:rPr>
        <w:t xml:space="preserve"> provide</w:t>
      </w:r>
      <w:r w:rsidRPr="002C6DC6">
        <w:rPr>
          <w:sz w:val="24"/>
          <w:szCs w:val="24"/>
        </w:rPr>
        <w:t>s</w:t>
      </w:r>
      <w:r w:rsidR="006015D6" w:rsidRPr="002C6DC6">
        <w:rPr>
          <w:sz w:val="24"/>
          <w:szCs w:val="24"/>
        </w:rPr>
        <w:t xml:space="preserve"> for a limited expansion of wireless microphone license eligibility under Part 74, Subpart H of the Commission’s rules to facilitate the operation of wireless microphones by professional sound companies and the owners and operators of large venues that use a large number of these devices.</w:t>
      </w:r>
      <w:r w:rsidR="006015D6" w:rsidRPr="002C6DC6">
        <w:rPr>
          <w:rStyle w:val="FootnoteReference"/>
          <w:sz w:val="24"/>
          <w:szCs w:val="24"/>
        </w:rPr>
        <w:footnoteReference w:id="3"/>
      </w:r>
      <w:r w:rsidR="006015D6" w:rsidRPr="002C6DC6">
        <w:rPr>
          <w:sz w:val="24"/>
          <w:szCs w:val="24"/>
        </w:rPr>
        <w:t xml:space="preserve">  Specifically, in order to be eligible for a license, a professional sound company or venue must provide audio services or hold events that routinely use 50 or more wireless microphones, where the use of such devices is an integral part of major events or productions.  Professional sound companies and large venues that meet these requirements have needs for interference protection to ensure reliable, high quality audio.  Expanding wireless microphone license eligibility on this basis is in the public interest because it will benefit entities that require the protection that a license affords without unduly reducing the amount of spectrum available for other uses in the television spectrum bands.  In addition, expanding license eligibility in this manner avoids distinctions based on presentation content or on particular classes or groups of users.</w:t>
      </w:r>
      <w:r w:rsidRPr="002C6DC6">
        <w:rPr>
          <w:sz w:val="24"/>
          <w:szCs w:val="24"/>
        </w:rPr>
        <w:t xml:space="preserve">  The licenses will be issued for ten-year</w:t>
      </w:r>
      <w:r w:rsidR="008C1683" w:rsidRPr="002C6DC6">
        <w:rPr>
          <w:sz w:val="24"/>
          <w:szCs w:val="24"/>
        </w:rPr>
        <w:t>, renewable</w:t>
      </w:r>
      <w:r w:rsidRPr="002C6DC6">
        <w:rPr>
          <w:sz w:val="24"/>
          <w:szCs w:val="24"/>
        </w:rPr>
        <w:t xml:space="preserve"> periods.  The </w:t>
      </w:r>
      <w:r w:rsidR="008C1683" w:rsidRPr="00C918D5">
        <w:rPr>
          <w:i/>
          <w:sz w:val="24"/>
          <w:szCs w:val="24"/>
        </w:rPr>
        <w:t>Second R</w:t>
      </w:r>
      <w:r w:rsidRPr="00C918D5">
        <w:rPr>
          <w:i/>
          <w:sz w:val="24"/>
          <w:szCs w:val="24"/>
        </w:rPr>
        <w:t xml:space="preserve">eport and </w:t>
      </w:r>
      <w:r w:rsidR="008C1683" w:rsidRPr="00C918D5">
        <w:rPr>
          <w:i/>
          <w:sz w:val="24"/>
          <w:szCs w:val="24"/>
        </w:rPr>
        <w:t>O</w:t>
      </w:r>
      <w:r w:rsidRPr="00C918D5">
        <w:rPr>
          <w:i/>
          <w:sz w:val="24"/>
          <w:szCs w:val="24"/>
        </w:rPr>
        <w:t>rder</w:t>
      </w:r>
      <w:r w:rsidRPr="002C6DC6">
        <w:rPr>
          <w:sz w:val="24"/>
          <w:szCs w:val="24"/>
        </w:rPr>
        <w:t xml:space="preserve"> does not restrict existing opportunities for </w:t>
      </w:r>
      <w:r w:rsidR="008C1683" w:rsidRPr="002C6DC6">
        <w:rPr>
          <w:sz w:val="24"/>
          <w:szCs w:val="24"/>
        </w:rPr>
        <w:t xml:space="preserve">unlicensed </w:t>
      </w:r>
      <w:r w:rsidRPr="002C6DC6">
        <w:rPr>
          <w:sz w:val="24"/>
          <w:szCs w:val="24"/>
        </w:rPr>
        <w:t>wireless microphone use in the television spectrum bands.</w:t>
      </w:r>
      <w:r w:rsidR="000D3AB8" w:rsidRPr="002C6DC6">
        <w:rPr>
          <w:sz w:val="24"/>
          <w:szCs w:val="24"/>
        </w:rPr>
        <w:t xml:space="preserve">  However, unlike licensed users, which can register directly with the TV bands (or “white spaces”) database administrator for protection against interference from TV white spaces devices, unlicensed users</w:t>
      </w:r>
      <w:r w:rsidR="00240B8B" w:rsidRPr="002C6DC6">
        <w:rPr>
          <w:sz w:val="24"/>
          <w:szCs w:val="24"/>
        </w:rPr>
        <w:t xml:space="preserve"> may be permitted to </w:t>
      </w:r>
      <w:r w:rsidR="000F15D8" w:rsidRPr="002C6DC6">
        <w:rPr>
          <w:sz w:val="24"/>
          <w:szCs w:val="24"/>
        </w:rPr>
        <w:t>receive</w:t>
      </w:r>
      <w:r w:rsidR="00240B8B" w:rsidRPr="002C6DC6">
        <w:rPr>
          <w:sz w:val="24"/>
          <w:szCs w:val="24"/>
        </w:rPr>
        <w:t xml:space="preserve"> </w:t>
      </w:r>
      <w:r w:rsidR="000F15D8" w:rsidRPr="002C6DC6">
        <w:rPr>
          <w:sz w:val="24"/>
          <w:szCs w:val="24"/>
        </w:rPr>
        <w:t xml:space="preserve">such </w:t>
      </w:r>
      <w:r w:rsidR="00240B8B" w:rsidRPr="002C6DC6">
        <w:rPr>
          <w:sz w:val="24"/>
          <w:szCs w:val="24"/>
        </w:rPr>
        <w:t xml:space="preserve">protection </w:t>
      </w:r>
      <w:r w:rsidR="0023650A" w:rsidRPr="002C6DC6">
        <w:rPr>
          <w:sz w:val="24"/>
          <w:szCs w:val="24"/>
        </w:rPr>
        <w:t>at certain venues of events and productions/shows</w:t>
      </w:r>
      <w:r w:rsidR="00240B8B" w:rsidRPr="002C6DC6">
        <w:rPr>
          <w:sz w:val="24"/>
          <w:szCs w:val="24"/>
        </w:rPr>
        <w:t>, but they</w:t>
      </w:r>
      <w:r w:rsidR="0023650A" w:rsidRPr="002C6DC6">
        <w:rPr>
          <w:sz w:val="24"/>
          <w:szCs w:val="24"/>
        </w:rPr>
        <w:t xml:space="preserve"> </w:t>
      </w:r>
      <w:r w:rsidR="000D3AB8" w:rsidRPr="002C6DC6">
        <w:rPr>
          <w:sz w:val="24"/>
          <w:szCs w:val="24"/>
        </w:rPr>
        <w:t>must apply to the Commission at least 30 days in advance of the event for which they seek</w:t>
      </w:r>
      <w:r w:rsidRPr="002C6DC6">
        <w:rPr>
          <w:sz w:val="24"/>
          <w:szCs w:val="24"/>
        </w:rPr>
        <w:t xml:space="preserve"> </w:t>
      </w:r>
      <w:r w:rsidR="000D3AB8" w:rsidRPr="002C6DC6">
        <w:rPr>
          <w:sz w:val="24"/>
          <w:szCs w:val="24"/>
        </w:rPr>
        <w:t xml:space="preserve">protection, and must certify compliance with certain conditions.  </w:t>
      </w:r>
    </w:p>
    <w:p w14:paraId="170B923D" w14:textId="77777777" w:rsidR="005D7402" w:rsidRPr="002C6DC6" w:rsidRDefault="00BE7C74" w:rsidP="005D7402">
      <w:pPr>
        <w:pStyle w:val="ParaNum"/>
        <w:numPr>
          <w:ilvl w:val="0"/>
          <w:numId w:val="0"/>
        </w:numPr>
        <w:tabs>
          <w:tab w:val="left" w:pos="360"/>
        </w:tabs>
        <w:spacing w:after="240"/>
        <w:rPr>
          <w:b/>
          <w:sz w:val="24"/>
          <w:szCs w:val="24"/>
          <w:u w:val="single"/>
        </w:rPr>
      </w:pPr>
      <w:r w:rsidRPr="006D6AFD">
        <w:rPr>
          <w:b/>
          <w:sz w:val="24"/>
          <w:szCs w:val="24"/>
        </w:rPr>
        <w:t>II.</w:t>
      </w:r>
      <w:r w:rsidR="005D7402" w:rsidRPr="006D6AFD">
        <w:rPr>
          <w:b/>
          <w:sz w:val="24"/>
          <w:szCs w:val="24"/>
        </w:rPr>
        <w:tab/>
      </w:r>
      <w:r w:rsidRPr="006D6AFD">
        <w:rPr>
          <w:b/>
          <w:sz w:val="24"/>
          <w:szCs w:val="24"/>
        </w:rPr>
        <w:t xml:space="preserve">REGULATIONS AND POLICIES THAT THE COMMISSION ADOPTED OR MODIFIED </w:t>
      </w:r>
    </w:p>
    <w:p w14:paraId="31F5EFA6" w14:textId="076D0989" w:rsidR="005D7402" w:rsidRPr="002C6DC6" w:rsidRDefault="005D7402" w:rsidP="005D7402">
      <w:pPr>
        <w:pStyle w:val="ParaNum"/>
        <w:numPr>
          <w:ilvl w:val="0"/>
          <w:numId w:val="0"/>
        </w:numPr>
        <w:snapToGrid w:val="0"/>
        <w:rPr>
          <w:sz w:val="24"/>
          <w:szCs w:val="24"/>
        </w:rPr>
      </w:pPr>
      <w:r w:rsidRPr="002C6DC6">
        <w:rPr>
          <w:sz w:val="24"/>
          <w:szCs w:val="24"/>
        </w:rPr>
        <w:t xml:space="preserve">The </w:t>
      </w:r>
      <w:r w:rsidR="006015D6" w:rsidRPr="00C918D5">
        <w:rPr>
          <w:i/>
          <w:sz w:val="24"/>
          <w:szCs w:val="24"/>
        </w:rPr>
        <w:t xml:space="preserve">Second </w:t>
      </w:r>
      <w:r w:rsidRPr="00C918D5">
        <w:rPr>
          <w:i/>
          <w:sz w:val="24"/>
          <w:szCs w:val="24"/>
        </w:rPr>
        <w:t>Report and Order</w:t>
      </w:r>
      <w:r w:rsidRPr="002C6DC6">
        <w:rPr>
          <w:sz w:val="24"/>
          <w:szCs w:val="24"/>
        </w:rPr>
        <w:t xml:space="preserve"> </w:t>
      </w:r>
      <w:r w:rsidR="00277663" w:rsidRPr="002C6DC6">
        <w:rPr>
          <w:sz w:val="24"/>
          <w:szCs w:val="24"/>
        </w:rPr>
        <w:t xml:space="preserve">expands </w:t>
      </w:r>
      <w:r w:rsidR="008C1683" w:rsidRPr="002C6DC6">
        <w:rPr>
          <w:sz w:val="24"/>
          <w:szCs w:val="24"/>
        </w:rPr>
        <w:t>the eligibility for obtaining a</w:t>
      </w:r>
      <w:r w:rsidR="00497F57" w:rsidRPr="002C6DC6">
        <w:rPr>
          <w:sz w:val="24"/>
          <w:szCs w:val="24"/>
        </w:rPr>
        <w:t xml:space="preserve"> </w:t>
      </w:r>
      <w:r w:rsidR="008C1683" w:rsidRPr="002C6DC6">
        <w:rPr>
          <w:sz w:val="24"/>
          <w:szCs w:val="24"/>
        </w:rPr>
        <w:t xml:space="preserve"> </w:t>
      </w:r>
      <w:r w:rsidR="00497F57" w:rsidRPr="002C6DC6">
        <w:rPr>
          <w:color w:val="333333"/>
          <w:sz w:val="24"/>
          <w:szCs w:val="24"/>
          <w:lang w:val="en"/>
        </w:rPr>
        <w:t>Low Power Auxiliary Stations (“</w:t>
      </w:r>
      <w:r w:rsidR="008C1683" w:rsidRPr="002C6DC6">
        <w:rPr>
          <w:sz w:val="24"/>
          <w:szCs w:val="24"/>
        </w:rPr>
        <w:t>LPAS</w:t>
      </w:r>
      <w:r w:rsidR="00497F57" w:rsidRPr="002C6DC6">
        <w:rPr>
          <w:sz w:val="24"/>
          <w:szCs w:val="24"/>
        </w:rPr>
        <w:t>’)</w:t>
      </w:r>
      <w:r w:rsidR="008C1683" w:rsidRPr="002C6DC6">
        <w:rPr>
          <w:sz w:val="24"/>
          <w:szCs w:val="24"/>
        </w:rPr>
        <w:t xml:space="preserve"> license under </w:t>
      </w:r>
      <w:r w:rsidR="00277663" w:rsidRPr="002C6DC6">
        <w:rPr>
          <w:sz w:val="24"/>
          <w:szCs w:val="24"/>
        </w:rPr>
        <w:t>Part 74</w:t>
      </w:r>
      <w:r w:rsidR="004D3212" w:rsidRPr="002C6DC6">
        <w:rPr>
          <w:sz w:val="24"/>
          <w:szCs w:val="24"/>
        </w:rPr>
        <w:t>,</w:t>
      </w:r>
      <w:r w:rsidR="00277663" w:rsidRPr="002C6DC6">
        <w:rPr>
          <w:sz w:val="24"/>
          <w:szCs w:val="24"/>
        </w:rPr>
        <w:t xml:space="preserve"> Subpart H</w:t>
      </w:r>
      <w:r w:rsidR="008C1683" w:rsidRPr="002C6DC6">
        <w:rPr>
          <w:sz w:val="24"/>
          <w:szCs w:val="24"/>
        </w:rPr>
        <w:t xml:space="preserve">, </w:t>
      </w:r>
      <w:r w:rsidR="00277663" w:rsidRPr="002C6DC6">
        <w:rPr>
          <w:sz w:val="24"/>
          <w:szCs w:val="24"/>
        </w:rPr>
        <w:t xml:space="preserve">to include professional sound companies and owners and operators of large venues that routinely use 50 or more wireless microphones, where the use of wireless microphones is integral part of the major productions or events they host.  </w:t>
      </w:r>
    </w:p>
    <w:p w14:paraId="42F783B4" w14:textId="77777777" w:rsidR="005D7402" w:rsidRPr="006D6AFD" w:rsidRDefault="007D7CE1" w:rsidP="005D7402">
      <w:pPr>
        <w:spacing w:after="240"/>
        <w:rPr>
          <w:sz w:val="24"/>
          <w:szCs w:val="24"/>
        </w:rPr>
      </w:pPr>
      <w:r w:rsidRPr="006D6AFD">
        <w:rPr>
          <w:b/>
          <w:sz w:val="24"/>
          <w:szCs w:val="24"/>
        </w:rPr>
        <w:t xml:space="preserve">III. RECORDKEEPING AND OTHER COMPLIANCE REQUIREMENTS </w:t>
      </w:r>
    </w:p>
    <w:p w14:paraId="2C846669" w14:textId="77777777" w:rsidR="005E648D" w:rsidRPr="002C6DC6" w:rsidRDefault="005E648D" w:rsidP="005D7402">
      <w:pPr>
        <w:pStyle w:val="ParaNum"/>
        <w:numPr>
          <w:ilvl w:val="0"/>
          <w:numId w:val="0"/>
        </w:numPr>
        <w:snapToGrid w:val="0"/>
        <w:rPr>
          <w:sz w:val="24"/>
          <w:szCs w:val="24"/>
        </w:rPr>
      </w:pPr>
      <w:r w:rsidRPr="002C6DC6">
        <w:rPr>
          <w:sz w:val="24"/>
          <w:szCs w:val="24"/>
        </w:rPr>
        <w:t>As with other licensed operations for LPAS, a licensee that is eligible under the revised rule will be subject to all applicable rules, including the requirement that wireless microphone use is “secondary to TV broadcasting and land mobile stations operating in the UHF-TV spectrum and must not cause harmful interference.”</w:t>
      </w:r>
      <w:r w:rsidRPr="002C6DC6">
        <w:rPr>
          <w:rStyle w:val="FootnoteReference"/>
          <w:sz w:val="24"/>
          <w:szCs w:val="24"/>
        </w:rPr>
        <w:footnoteReference w:id="4"/>
      </w:r>
      <w:r w:rsidRPr="002C6DC6">
        <w:rPr>
          <w:sz w:val="24"/>
          <w:szCs w:val="24"/>
        </w:rPr>
        <w:t xml:space="preserve">  If such interference occurs, the operation must immediately cease and may not resume until the interference problem has been resolved.</w:t>
      </w:r>
      <w:r w:rsidRPr="002C6DC6">
        <w:rPr>
          <w:rStyle w:val="FootnoteReference"/>
          <w:sz w:val="24"/>
          <w:szCs w:val="24"/>
        </w:rPr>
        <w:footnoteReference w:id="5"/>
      </w:r>
      <w:r w:rsidRPr="002C6DC6">
        <w:rPr>
          <w:sz w:val="24"/>
          <w:szCs w:val="24"/>
        </w:rPr>
        <w:t xml:space="preserve">  Moreover, where two or more LPAS licensees seek to operate in the same area, the licensees should “select frequencies or schedule operation in such manner as to avoid mutual interference.</w:t>
      </w:r>
      <w:r w:rsidR="002B024B" w:rsidRPr="002C6DC6">
        <w:rPr>
          <w:sz w:val="24"/>
          <w:szCs w:val="24"/>
        </w:rPr>
        <w:t xml:space="preserve">  If a mutually satisfactory arrangement cannot be reached, the Commission shall be notified and it will specify the frequency or frequencies to be employed by each licensee.</w:t>
      </w:r>
      <w:r w:rsidRPr="002C6DC6">
        <w:rPr>
          <w:sz w:val="24"/>
          <w:szCs w:val="24"/>
        </w:rPr>
        <w:t>”</w:t>
      </w:r>
      <w:r w:rsidRPr="002C6DC6">
        <w:rPr>
          <w:rStyle w:val="FootnoteReference"/>
          <w:sz w:val="24"/>
          <w:szCs w:val="24"/>
        </w:rPr>
        <w:footnoteReference w:id="6"/>
      </w:r>
    </w:p>
    <w:p w14:paraId="6E5991B3" w14:textId="5E699940" w:rsidR="005D7402" w:rsidRPr="002C6DC6" w:rsidRDefault="005E648D" w:rsidP="005D7402">
      <w:pPr>
        <w:pStyle w:val="ParaNum"/>
        <w:numPr>
          <w:ilvl w:val="0"/>
          <w:numId w:val="0"/>
        </w:numPr>
        <w:snapToGrid w:val="0"/>
        <w:rPr>
          <w:sz w:val="24"/>
          <w:szCs w:val="24"/>
        </w:rPr>
      </w:pPr>
      <w:r w:rsidRPr="002C6DC6">
        <w:rPr>
          <w:sz w:val="24"/>
          <w:szCs w:val="24"/>
        </w:rPr>
        <w:t xml:space="preserve">The </w:t>
      </w:r>
      <w:r w:rsidR="007309B6" w:rsidRPr="002C6DC6">
        <w:rPr>
          <w:sz w:val="24"/>
          <w:szCs w:val="24"/>
        </w:rPr>
        <w:t xml:space="preserve">Commission’s </w:t>
      </w:r>
      <w:r w:rsidRPr="002C6DC6">
        <w:rPr>
          <w:i/>
          <w:sz w:val="24"/>
          <w:szCs w:val="24"/>
        </w:rPr>
        <w:t>Incentive Auction Report and Order</w:t>
      </w:r>
      <w:r w:rsidR="007309B6" w:rsidRPr="002C6DC6">
        <w:rPr>
          <w:i/>
          <w:sz w:val="24"/>
          <w:szCs w:val="24"/>
        </w:rPr>
        <w:t>,</w:t>
      </w:r>
      <w:r w:rsidR="007A7925">
        <w:rPr>
          <w:rStyle w:val="FootnoteReference"/>
          <w:i/>
          <w:szCs w:val="24"/>
        </w:rPr>
        <w:footnoteReference w:id="7"/>
      </w:r>
      <w:r w:rsidR="007309B6" w:rsidRPr="002C6DC6">
        <w:rPr>
          <w:i/>
          <w:sz w:val="24"/>
          <w:szCs w:val="24"/>
        </w:rPr>
        <w:t xml:space="preserve"> </w:t>
      </w:r>
      <w:r w:rsidR="007309B6" w:rsidRPr="002C6DC6">
        <w:rPr>
          <w:sz w:val="24"/>
          <w:szCs w:val="24"/>
        </w:rPr>
        <w:t xml:space="preserve">released on the same date as this </w:t>
      </w:r>
      <w:r w:rsidR="008C1683" w:rsidRPr="00C918D5">
        <w:rPr>
          <w:i/>
          <w:sz w:val="24"/>
          <w:szCs w:val="24"/>
        </w:rPr>
        <w:t>Second R</w:t>
      </w:r>
      <w:r w:rsidR="007309B6" w:rsidRPr="00C918D5">
        <w:rPr>
          <w:i/>
          <w:sz w:val="24"/>
          <w:szCs w:val="24"/>
        </w:rPr>
        <w:t xml:space="preserve">eport and </w:t>
      </w:r>
      <w:r w:rsidR="008C1683" w:rsidRPr="00C918D5">
        <w:rPr>
          <w:i/>
          <w:sz w:val="24"/>
          <w:szCs w:val="24"/>
        </w:rPr>
        <w:t>O</w:t>
      </w:r>
      <w:r w:rsidR="007309B6" w:rsidRPr="00C918D5">
        <w:rPr>
          <w:i/>
          <w:sz w:val="24"/>
          <w:szCs w:val="24"/>
        </w:rPr>
        <w:t>rder</w:t>
      </w:r>
      <w:r w:rsidR="007309B6" w:rsidRPr="002C6DC6">
        <w:rPr>
          <w:sz w:val="24"/>
          <w:szCs w:val="24"/>
        </w:rPr>
        <w:t>,</w:t>
      </w:r>
      <w:r w:rsidRPr="002C6DC6">
        <w:rPr>
          <w:sz w:val="24"/>
          <w:szCs w:val="24"/>
        </w:rPr>
        <w:t xml:space="preserve"> requires wireless microphones to vacate the repurposed UHF spectrum by the end of the post-auction transition period, which will be 39 months after the </w:t>
      </w:r>
      <w:r w:rsidR="007309B6" w:rsidRPr="002C6DC6">
        <w:rPr>
          <w:sz w:val="24"/>
          <w:szCs w:val="24"/>
        </w:rPr>
        <w:t xml:space="preserve">future </w:t>
      </w:r>
      <w:r w:rsidRPr="002C6DC6">
        <w:rPr>
          <w:sz w:val="24"/>
          <w:szCs w:val="24"/>
        </w:rPr>
        <w:t xml:space="preserve">release of the </w:t>
      </w:r>
      <w:r w:rsidRPr="002C6DC6">
        <w:rPr>
          <w:i/>
          <w:sz w:val="24"/>
          <w:szCs w:val="24"/>
        </w:rPr>
        <w:t>Channel Reassignment Public Notice</w:t>
      </w:r>
      <w:r w:rsidR="007309B6" w:rsidRPr="002C6DC6">
        <w:rPr>
          <w:i/>
          <w:sz w:val="24"/>
          <w:szCs w:val="24"/>
        </w:rPr>
        <w:t xml:space="preserve"> </w:t>
      </w:r>
      <w:r w:rsidR="007309B6" w:rsidRPr="002C6DC6">
        <w:rPr>
          <w:sz w:val="24"/>
          <w:szCs w:val="24"/>
        </w:rPr>
        <w:t xml:space="preserve"> in that docket</w:t>
      </w:r>
      <w:r w:rsidRPr="002C6DC6">
        <w:rPr>
          <w:sz w:val="24"/>
          <w:szCs w:val="24"/>
        </w:rPr>
        <w:t>.</w:t>
      </w:r>
      <w:r w:rsidRPr="002C6DC6">
        <w:rPr>
          <w:rStyle w:val="FootnoteReference"/>
          <w:sz w:val="24"/>
          <w:szCs w:val="24"/>
        </w:rPr>
        <w:footnoteReference w:id="8"/>
      </w:r>
      <w:r w:rsidRPr="002C6DC6">
        <w:rPr>
          <w:sz w:val="24"/>
          <w:szCs w:val="24"/>
        </w:rPr>
        <w:t xml:space="preserve">  Consistent with this deadline, the </w:t>
      </w:r>
      <w:r w:rsidRPr="00C918D5">
        <w:rPr>
          <w:i/>
          <w:sz w:val="24"/>
          <w:szCs w:val="24"/>
        </w:rPr>
        <w:t>Second Report and Order</w:t>
      </w:r>
      <w:r w:rsidRPr="002C6DC6">
        <w:rPr>
          <w:sz w:val="24"/>
          <w:szCs w:val="24"/>
        </w:rPr>
        <w:t xml:space="preserve"> conditions any new LPAS licenses granted between now and that date, including licenses granted to newly eligible licensees, on the requirement to cease operating in the repurposed spectrum no later than that date.  Further, </w:t>
      </w:r>
      <w:r w:rsidR="007309B6" w:rsidRPr="002C6DC6">
        <w:rPr>
          <w:sz w:val="24"/>
          <w:szCs w:val="24"/>
        </w:rPr>
        <w:t xml:space="preserve">the </w:t>
      </w:r>
      <w:r w:rsidR="008C1683" w:rsidRPr="00C918D5">
        <w:rPr>
          <w:i/>
          <w:sz w:val="24"/>
          <w:szCs w:val="24"/>
        </w:rPr>
        <w:t>Second R</w:t>
      </w:r>
      <w:r w:rsidR="007309B6" w:rsidRPr="00C918D5">
        <w:rPr>
          <w:i/>
          <w:sz w:val="24"/>
          <w:szCs w:val="24"/>
        </w:rPr>
        <w:t xml:space="preserve">eport and </w:t>
      </w:r>
      <w:r w:rsidR="008C1683" w:rsidRPr="00C918D5">
        <w:rPr>
          <w:i/>
          <w:sz w:val="24"/>
          <w:szCs w:val="24"/>
        </w:rPr>
        <w:t>O</w:t>
      </w:r>
      <w:r w:rsidR="007309B6" w:rsidRPr="00C918D5">
        <w:rPr>
          <w:i/>
          <w:sz w:val="24"/>
          <w:szCs w:val="24"/>
        </w:rPr>
        <w:t>rder</w:t>
      </w:r>
      <w:r w:rsidR="007309B6" w:rsidRPr="002C6DC6">
        <w:rPr>
          <w:sz w:val="24"/>
          <w:szCs w:val="24"/>
        </w:rPr>
        <w:t xml:space="preserve"> </w:t>
      </w:r>
      <w:r w:rsidR="00C918D5" w:rsidRPr="002C6DC6">
        <w:rPr>
          <w:sz w:val="24"/>
          <w:szCs w:val="24"/>
        </w:rPr>
        <w:t>delegates’</w:t>
      </w:r>
      <w:r w:rsidRPr="002C6DC6">
        <w:rPr>
          <w:sz w:val="24"/>
          <w:szCs w:val="24"/>
        </w:rPr>
        <w:t xml:space="preserve"> authority to the Wireless Telecommunications Bureau (WTB) to modify these licenses to delete the frequencies identified as repurposed in the </w:t>
      </w:r>
      <w:r w:rsidRPr="002C6DC6">
        <w:rPr>
          <w:i/>
          <w:sz w:val="24"/>
          <w:szCs w:val="24"/>
        </w:rPr>
        <w:t>Channel Reassignment Public Notice</w:t>
      </w:r>
      <w:r w:rsidRPr="002C6DC6">
        <w:rPr>
          <w:sz w:val="24"/>
          <w:szCs w:val="24"/>
        </w:rPr>
        <w:t xml:space="preserve">, effective as of the end of the post-auction transition period, and to make any other related changes as necessary.  Following the post-auction transition period, </w:t>
      </w:r>
      <w:r w:rsidR="00AF376C" w:rsidRPr="002C6DC6">
        <w:rPr>
          <w:sz w:val="24"/>
          <w:szCs w:val="24"/>
        </w:rPr>
        <w:t xml:space="preserve">wireless microphone </w:t>
      </w:r>
      <w:r w:rsidRPr="002C6DC6">
        <w:rPr>
          <w:sz w:val="24"/>
          <w:szCs w:val="24"/>
        </w:rPr>
        <w:t>licensees may operate only in the bands allocated for TV broadcasting</w:t>
      </w:r>
      <w:r w:rsidR="00AF376C" w:rsidRPr="002C6DC6">
        <w:rPr>
          <w:sz w:val="24"/>
          <w:szCs w:val="24"/>
        </w:rPr>
        <w:t xml:space="preserve">, except as otherwise provided in the </w:t>
      </w:r>
      <w:r w:rsidR="00AF376C" w:rsidRPr="002C6DC6">
        <w:rPr>
          <w:i/>
          <w:sz w:val="24"/>
          <w:szCs w:val="24"/>
        </w:rPr>
        <w:t>Incentive Auction Report and Order</w:t>
      </w:r>
      <w:r w:rsidR="001A191E" w:rsidRPr="002C6DC6">
        <w:rPr>
          <w:sz w:val="24"/>
          <w:szCs w:val="24"/>
        </w:rPr>
        <w:t xml:space="preserve"> and the Commission’s rules</w:t>
      </w:r>
      <w:r w:rsidRPr="002C6DC6">
        <w:rPr>
          <w:sz w:val="24"/>
          <w:szCs w:val="24"/>
        </w:rPr>
        <w:t>.</w:t>
      </w:r>
      <w:r w:rsidR="00F67E53" w:rsidRPr="002C6DC6">
        <w:rPr>
          <w:sz w:val="24"/>
          <w:szCs w:val="24"/>
        </w:rPr>
        <w:t xml:space="preserve">  </w:t>
      </w:r>
    </w:p>
    <w:p w14:paraId="7D376BC5" w14:textId="77777777" w:rsidR="007D7CE1" w:rsidRPr="006D6AFD" w:rsidRDefault="007D7CE1" w:rsidP="005D7402">
      <w:pPr>
        <w:rPr>
          <w:sz w:val="24"/>
          <w:szCs w:val="24"/>
        </w:rPr>
      </w:pPr>
    </w:p>
    <w:p w14:paraId="522E6C8F" w14:textId="77777777" w:rsidR="007D7CE1" w:rsidRPr="002C6DC6" w:rsidRDefault="007D7CE1" w:rsidP="00734DE2">
      <w:pPr>
        <w:pStyle w:val="ListParagraph"/>
        <w:numPr>
          <w:ilvl w:val="0"/>
          <w:numId w:val="9"/>
        </w:numPr>
        <w:rPr>
          <w:b/>
          <w:color w:val="FF0000"/>
          <w:sz w:val="24"/>
          <w:szCs w:val="24"/>
        </w:rPr>
      </w:pPr>
      <w:r w:rsidRPr="002C6DC6">
        <w:rPr>
          <w:b/>
          <w:sz w:val="24"/>
          <w:szCs w:val="24"/>
        </w:rPr>
        <w:t>WEBLINK</w:t>
      </w:r>
    </w:p>
    <w:p w14:paraId="5A079DDD" w14:textId="2063E790" w:rsidR="005D7402" w:rsidRPr="002C6DC6" w:rsidRDefault="005D7402" w:rsidP="006F4D09">
      <w:pPr>
        <w:pStyle w:val="ListParagraph"/>
        <w:ind w:left="1080"/>
        <w:rPr>
          <w:sz w:val="24"/>
          <w:szCs w:val="24"/>
        </w:rPr>
      </w:pPr>
      <w:r w:rsidRPr="002C6DC6">
        <w:rPr>
          <w:sz w:val="24"/>
          <w:szCs w:val="24"/>
        </w:rPr>
        <w:t xml:space="preserve">A copy of the </w:t>
      </w:r>
      <w:r w:rsidRPr="002C6DC6">
        <w:rPr>
          <w:i/>
          <w:sz w:val="24"/>
          <w:szCs w:val="24"/>
        </w:rPr>
        <w:t xml:space="preserve">Report and Order </w:t>
      </w:r>
      <w:r w:rsidRPr="002C6DC6">
        <w:rPr>
          <w:sz w:val="24"/>
          <w:szCs w:val="24"/>
        </w:rPr>
        <w:t xml:space="preserve">is available at </w:t>
      </w:r>
      <w:hyperlink r:id="rId9" w:history="1">
        <w:r w:rsidR="009D0203" w:rsidRPr="002C6DC6">
          <w:rPr>
            <w:rStyle w:val="Hyperlink"/>
            <w:sz w:val="24"/>
            <w:szCs w:val="24"/>
          </w:rPr>
          <w:t>http://www.fcc.gov/document/wireless-microphones-second-report-and-order</w:t>
        </w:r>
      </w:hyperlink>
      <w:r w:rsidR="009D0203" w:rsidRPr="002C6DC6">
        <w:rPr>
          <w:sz w:val="24"/>
          <w:szCs w:val="24"/>
        </w:rPr>
        <w:t>.</w:t>
      </w:r>
    </w:p>
    <w:p w14:paraId="7140010C" w14:textId="77777777" w:rsidR="009D0203" w:rsidRPr="002C6DC6" w:rsidRDefault="009D0203" w:rsidP="006F4D09">
      <w:pPr>
        <w:pStyle w:val="ListParagraph"/>
        <w:ind w:left="1080"/>
        <w:rPr>
          <w:rStyle w:val="Hyperlink"/>
          <w:sz w:val="24"/>
          <w:szCs w:val="24"/>
        </w:rPr>
      </w:pPr>
    </w:p>
    <w:p w14:paraId="3F751A6D" w14:textId="77777777" w:rsidR="00441EE5" w:rsidRPr="002C6DC6" w:rsidRDefault="00441EE5" w:rsidP="00CB0EB7">
      <w:pPr>
        <w:rPr>
          <w:sz w:val="24"/>
          <w:szCs w:val="24"/>
        </w:rPr>
      </w:pPr>
    </w:p>
    <w:sectPr w:rsidR="00441EE5" w:rsidRPr="002C6DC6" w:rsidSect="0001104C">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C9E7" w14:textId="77777777" w:rsidR="00D718C8" w:rsidRDefault="00D718C8">
      <w:r>
        <w:separator/>
      </w:r>
    </w:p>
  </w:endnote>
  <w:endnote w:type="continuationSeparator" w:id="0">
    <w:p w14:paraId="52128DBF" w14:textId="77777777" w:rsidR="00D718C8" w:rsidRDefault="00D718C8">
      <w:r>
        <w:continuationSeparator/>
      </w:r>
    </w:p>
  </w:endnote>
  <w:endnote w:type="continuationNotice" w:id="1">
    <w:p w14:paraId="7927A853" w14:textId="77777777" w:rsidR="00D718C8" w:rsidRDefault="00D71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D66A" w14:textId="77777777" w:rsidR="000F15D8" w:rsidRDefault="000F1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693">
      <w:rPr>
        <w:rStyle w:val="PageNumber"/>
        <w:noProof/>
      </w:rPr>
      <w:t>4</w:t>
    </w:r>
    <w:r>
      <w:rPr>
        <w:rStyle w:val="PageNumber"/>
      </w:rPr>
      <w:fldChar w:fldCharType="end"/>
    </w:r>
  </w:p>
  <w:p w14:paraId="329F825E" w14:textId="77777777" w:rsidR="000F15D8" w:rsidRDefault="000F1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940D" w14:textId="77777777" w:rsidR="000F15D8" w:rsidRDefault="000F1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01B">
      <w:rPr>
        <w:rStyle w:val="PageNumber"/>
        <w:noProof/>
      </w:rPr>
      <w:t>2</w:t>
    </w:r>
    <w:r>
      <w:rPr>
        <w:rStyle w:val="PageNumber"/>
      </w:rPr>
      <w:fldChar w:fldCharType="end"/>
    </w:r>
  </w:p>
  <w:p w14:paraId="4F20AD09" w14:textId="77777777" w:rsidR="000F15D8" w:rsidRDefault="000F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B519" w14:textId="77777777" w:rsidR="008D2693" w:rsidRDefault="008D2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69228" w14:textId="77777777" w:rsidR="00D718C8" w:rsidRDefault="00D718C8">
      <w:r>
        <w:separator/>
      </w:r>
    </w:p>
  </w:footnote>
  <w:footnote w:type="continuationSeparator" w:id="0">
    <w:p w14:paraId="572874F8" w14:textId="77777777" w:rsidR="00D718C8" w:rsidRDefault="00D718C8">
      <w:r>
        <w:continuationSeparator/>
      </w:r>
    </w:p>
  </w:footnote>
  <w:footnote w:type="continuationNotice" w:id="1">
    <w:p w14:paraId="43C9EFC0" w14:textId="77777777" w:rsidR="00D718C8" w:rsidRDefault="00D718C8"/>
  </w:footnote>
  <w:footnote w:id="2">
    <w:p w14:paraId="23356177" w14:textId="19499F35" w:rsidR="007A7925" w:rsidRDefault="007A7925">
      <w:pPr>
        <w:pStyle w:val="FootnoteText"/>
      </w:pPr>
      <w:r>
        <w:rPr>
          <w:rStyle w:val="FootnoteReference"/>
        </w:rPr>
        <w:footnoteRef/>
      </w:r>
      <w:r>
        <w:t xml:space="preserve"> </w:t>
      </w:r>
      <w:hyperlink r:id="rId1" w:history="1">
        <w:r w:rsidR="00B4623C" w:rsidRPr="004944E8">
          <w:rPr>
            <w:rStyle w:val="Hyperlink"/>
          </w:rPr>
          <w:t>http://www.fcc.gov/document/wireless-microphones-second-report-and-order</w:t>
        </w:r>
      </w:hyperlink>
    </w:p>
    <w:p w14:paraId="2E472A58" w14:textId="77777777" w:rsidR="00B4623C" w:rsidRDefault="00B4623C">
      <w:pPr>
        <w:pStyle w:val="FootnoteText"/>
      </w:pPr>
    </w:p>
  </w:footnote>
  <w:footnote w:id="3">
    <w:p w14:paraId="55168D00" w14:textId="76B454FC" w:rsidR="000F15D8" w:rsidRPr="0079423D" w:rsidRDefault="000F15D8" w:rsidP="006015D6">
      <w:pPr>
        <w:pStyle w:val="FootnoteText"/>
      </w:pPr>
      <w:r>
        <w:rPr>
          <w:rStyle w:val="FootnoteReference"/>
        </w:rPr>
        <w:footnoteRef/>
      </w:r>
      <w:r>
        <w:t xml:space="preserve"> Subpart H of Part 74 provides for the licensing and operation of “low power auxiliary stations” (LPAS), which include wireless microphones.</w:t>
      </w:r>
    </w:p>
  </w:footnote>
  <w:footnote w:id="4">
    <w:p w14:paraId="5D2C1B87" w14:textId="77777777" w:rsidR="000F15D8" w:rsidRDefault="000F15D8" w:rsidP="005E648D">
      <w:pPr>
        <w:pStyle w:val="FootnoteText"/>
      </w:pPr>
      <w:r>
        <w:rPr>
          <w:rStyle w:val="FootnoteReference"/>
        </w:rPr>
        <w:footnoteRef/>
      </w:r>
      <w:r>
        <w:t xml:space="preserve"> </w:t>
      </w:r>
      <w:r w:rsidRPr="00527979">
        <w:t>47 C.F.R. § 74.803(b).</w:t>
      </w:r>
    </w:p>
  </w:footnote>
  <w:footnote w:id="5">
    <w:p w14:paraId="002904C8" w14:textId="77777777" w:rsidR="000F15D8" w:rsidRDefault="000F15D8" w:rsidP="005E648D">
      <w:pPr>
        <w:pStyle w:val="FootnoteText"/>
      </w:pPr>
      <w:r>
        <w:rPr>
          <w:rStyle w:val="FootnoteReference"/>
        </w:rPr>
        <w:footnoteRef/>
      </w:r>
      <w:r>
        <w:t xml:space="preserve"> </w:t>
      </w:r>
      <w:r w:rsidRPr="00527979">
        <w:t>47 C.F.R. §§ 74.803(b), 74.861(g).</w:t>
      </w:r>
    </w:p>
  </w:footnote>
  <w:footnote w:id="6">
    <w:p w14:paraId="40A90E00" w14:textId="77777777" w:rsidR="000F15D8" w:rsidRPr="00527979" w:rsidRDefault="000F15D8" w:rsidP="005E648D">
      <w:pPr>
        <w:pStyle w:val="FootnoteText"/>
      </w:pPr>
      <w:r>
        <w:rPr>
          <w:rStyle w:val="FootnoteReference"/>
        </w:rPr>
        <w:footnoteRef/>
      </w:r>
      <w:r>
        <w:t xml:space="preserve"> </w:t>
      </w:r>
      <w:r w:rsidRPr="00527979">
        <w:t>47 C.F.R. § 74.803(a).</w:t>
      </w:r>
    </w:p>
  </w:footnote>
  <w:footnote w:id="7">
    <w:p w14:paraId="2510ADB6" w14:textId="5AFACD88" w:rsidR="007A7925" w:rsidRDefault="007A7925">
      <w:pPr>
        <w:pStyle w:val="FootnoteText"/>
      </w:pPr>
      <w:r>
        <w:rPr>
          <w:rStyle w:val="FootnoteReference"/>
        </w:rPr>
        <w:footnoteRef/>
      </w:r>
      <w:r>
        <w:t xml:space="preserve"> </w:t>
      </w:r>
      <w:hyperlink r:id="rId2" w:history="1">
        <w:r w:rsidR="00B4623C" w:rsidRPr="00B4623C">
          <w:rPr>
            <w:rStyle w:val="Hyperlink"/>
          </w:rPr>
          <w:t>http://www.fcc.gov/document/fcc-adopts-rules-first-ever-incentive-auction-</w:t>
        </w:r>
        <w:r w:rsidR="00B4623C" w:rsidRPr="004944E8">
          <w:rPr>
            <w:rStyle w:val="Hyperlink"/>
          </w:rPr>
          <w:t>0</w:t>
        </w:r>
      </w:hyperlink>
    </w:p>
    <w:p w14:paraId="42B47D7F" w14:textId="77777777" w:rsidR="00B4623C" w:rsidRDefault="00B4623C">
      <w:pPr>
        <w:pStyle w:val="FootnoteText"/>
      </w:pPr>
    </w:p>
  </w:footnote>
  <w:footnote w:id="8">
    <w:p w14:paraId="308AE953" w14:textId="2B6ACEB2" w:rsidR="000F15D8" w:rsidRPr="0023650A" w:rsidRDefault="000F15D8" w:rsidP="005E648D">
      <w:pPr>
        <w:pStyle w:val="FootnoteText"/>
      </w:pPr>
      <w:r w:rsidRPr="00527979">
        <w:rPr>
          <w:rStyle w:val="FootnoteReference"/>
        </w:rPr>
        <w:footnoteRef/>
      </w:r>
      <w:r w:rsidRPr="00527979">
        <w:t xml:space="preserve"> </w:t>
      </w:r>
      <w:r w:rsidRPr="00527979">
        <w:rPr>
          <w:i/>
        </w:rPr>
        <w:t>See</w:t>
      </w:r>
      <w:r w:rsidRPr="00527979">
        <w:t xml:space="preserve"> </w:t>
      </w:r>
      <w:r w:rsidRPr="00C918D5">
        <w:rPr>
          <w:i/>
        </w:rPr>
        <w:t xml:space="preserve">Expanding the Economic and Innovation Opportunities of </w:t>
      </w:r>
      <w:r w:rsidR="003F4BC7" w:rsidRPr="00C918D5">
        <w:rPr>
          <w:i/>
        </w:rPr>
        <w:t>Spectrum Through</w:t>
      </w:r>
      <w:r w:rsidRPr="00C918D5">
        <w:rPr>
          <w:i/>
        </w:rPr>
        <w:t xml:space="preserve"> Incentive Auctions</w:t>
      </w:r>
      <w:r>
        <w:t xml:space="preserve">, </w:t>
      </w:r>
      <w:r>
        <w:rPr>
          <w:i/>
        </w:rPr>
        <w:t xml:space="preserve">Report and Order, </w:t>
      </w:r>
      <w:r>
        <w:t xml:space="preserve">FCC 14-50, GN Docket No. 12-268 (released June 2, 2014), </w:t>
      </w:r>
      <w:r w:rsidRPr="00527979">
        <w:t xml:space="preserve"> at ¶</w:t>
      </w:r>
      <w:r>
        <w:t>¶</w:t>
      </w:r>
      <w:r w:rsidRPr="00527979">
        <w:t xml:space="preserve"> </w:t>
      </w:r>
      <w:r>
        <w:t xml:space="preserve">525, 687.  The </w:t>
      </w:r>
      <w:r>
        <w:rPr>
          <w:i/>
        </w:rPr>
        <w:t xml:space="preserve">Incentive Auction Report and Order </w:t>
      </w:r>
      <w:r w:rsidRPr="004A7DCD">
        <w:t>also provides that during the transition period, to the extent that either licensed LPAS or unlicensed wireless microphone users operate in the 600 MHz spectrum, they will not be entitled to any interference protection from primary 600 MHz licensees, and that wireless microphone users cease operations in the 600 MHz band if their operations cause harmful interference to any 600 MHz licensee’s operations</w:t>
      </w:r>
      <w:r w:rsidRPr="0023650A">
        <w:rPr>
          <w:i/>
        </w:rPr>
        <w:t>.</w:t>
      </w:r>
      <w:r>
        <w:t xml:space="preserve">  </w:t>
      </w:r>
      <w:r>
        <w:rPr>
          <w:i/>
        </w:rPr>
        <w:t xml:space="preserve">Id. </w:t>
      </w:r>
      <w:r>
        <w:t>at ¶ 687.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A565" w14:textId="77777777" w:rsidR="008D2693" w:rsidRDefault="008D2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7CC2" w14:textId="77777777" w:rsidR="008D2693" w:rsidRDefault="008D2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6C42" w14:textId="77777777" w:rsidR="000F15D8" w:rsidRDefault="000F15D8">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1D6850B0" wp14:editId="45EC2D9A">
          <wp:simplePos x="0" y="0"/>
          <wp:positionH relativeFrom="column">
            <wp:posOffset>-403860</wp:posOffset>
          </wp:positionH>
          <wp:positionV relativeFrom="paragraph">
            <wp:posOffset>0</wp:posOffset>
          </wp:positionV>
          <wp:extent cx="865505" cy="8229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0CFE055C" w14:textId="77777777" w:rsidR="000F15D8" w:rsidRDefault="000F15D8">
    <w:pPr>
      <w:jc w:val="center"/>
    </w:pPr>
    <w:r>
      <w:rPr>
        <w:rFonts w:ascii="CG Times (W1)" w:hAnsi="CG Times (W1)"/>
        <w:sz w:val="28"/>
      </w:rPr>
      <w:t>Washington, D.C. 20554</w:t>
    </w:r>
  </w:p>
  <w:p w14:paraId="082044AF" w14:textId="77777777" w:rsidR="000F15D8" w:rsidRDefault="000F15D8">
    <w:pPr>
      <w:pStyle w:val="Header"/>
      <w:tabs>
        <w:tab w:val="clear" w:pos="4320"/>
      </w:tabs>
      <w:jc w:val="center"/>
      <w:rPr>
        <w:sz w:val="22"/>
      </w:rPr>
    </w:pPr>
  </w:p>
  <w:p w14:paraId="58F7B222" w14:textId="6F1B6C20" w:rsidR="000F15D8" w:rsidRPr="00725F05" w:rsidRDefault="006D6AFD">
    <w:pPr>
      <w:pStyle w:val="Header"/>
      <w:tabs>
        <w:tab w:val="clear" w:pos="4320"/>
      </w:tabs>
      <w:jc w:val="center"/>
      <w:rPr>
        <w:sz w:val="24"/>
        <w:szCs w:val="24"/>
      </w:rPr>
    </w:pPr>
    <w:r>
      <w:rPr>
        <w:sz w:val="24"/>
        <w:szCs w:val="24"/>
      </w:rPr>
      <w:t xml:space="preserve">August </w:t>
    </w:r>
    <w:r w:rsidR="00262313" w:rsidRPr="00262313">
      <w:rPr>
        <w:sz w:val="24"/>
        <w:szCs w:val="24"/>
      </w:rPr>
      <w:t>4</w:t>
    </w:r>
    <w:r w:rsidR="00262313">
      <w:rPr>
        <w:sz w:val="24"/>
        <w:szCs w:val="24"/>
      </w:rPr>
      <w:t>,</w:t>
    </w:r>
    <w:r w:rsidR="000F15D8" w:rsidRPr="00262313">
      <w:rPr>
        <w:sz w:val="24"/>
        <w:szCs w:val="24"/>
      </w:rPr>
      <w:t xml:space="preserve"> 2014</w:t>
    </w:r>
    <w:r w:rsidR="000F15D8" w:rsidRPr="00725F05">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7B5"/>
    <w:multiLevelType w:val="hybridMultilevel"/>
    <w:tmpl w:val="92B00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61D9E"/>
    <w:multiLevelType w:val="hybridMultilevel"/>
    <w:tmpl w:val="ADDC7CE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5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2626F"/>
    <w:multiLevelType w:val="hybridMultilevel"/>
    <w:tmpl w:val="7E169356"/>
    <w:lvl w:ilvl="0" w:tplc="C9961AFC">
      <w:start w:val="4"/>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212DF"/>
    <w:multiLevelType w:val="hybridMultilevel"/>
    <w:tmpl w:val="612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80354"/>
    <w:multiLevelType w:val="hybridMultilevel"/>
    <w:tmpl w:val="E326CE42"/>
    <w:lvl w:ilvl="0" w:tplc="EE06104E">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8">
    <w:nsid w:val="771A69FD"/>
    <w:multiLevelType w:val="hybridMultilevel"/>
    <w:tmpl w:val="D1F89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1104C"/>
    <w:rsid w:val="00046B59"/>
    <w:rsid w:val="00056AA4"/>
    <w:rsid w:val="00092972"/>
    <w:rsid w:val="00096071"/>
    <w:rsid w:val="0009654C"/>
    <w:rsid w:val="000D3AB8"/>
    <w:rsid w:val="000D5433"/>
    <w:rsid w:val="000E7559"/>
    <w:rsid w:val="000E7DF6"/>
    <w:rsid w:val="000F15D8"/>
    <w:rsid w:val="000F1CCD"/>
    <w:rsid w:val="001355DF"/>
    <w:rsid w:val="00161296"/>
    <w:rsid w:val="001646FB"/>
    <w:rsid w:val="00174379"/>
    <w:rsid w:val="00180669"/>
    <w:rsid w:val="001970AD"/>
    <w:rsid w:val="001A191E"/>
    <w:rsid w:val="001B0015"/>
    <w:rsid w:val="001B5480"/>
    <w:rsid w:val="001D1132"/>
    <w:rsid w:val="001E74B9"/>
    <w:rsid w:val="001F67B2"/>
    <w:rsid w:val="002140A4"/>
    <w:rsid w:val="00233AD4"/>
    <w:rsid w:val="00233E4D"/>
    <w:rsid w:val="0023650A"/>
    <w:rsid w:val="00240B8B"/>
    <w:rsid w:val="00262313"/>
    <w:rsid w:val="00277663"/>
    <w:rsid w:val="00281605"/>
    <w:rsid w:val="002B024B"/>
    <w:rsid w:val="002B692E"/>
    <w:rsid w:val="002C6DC6"/>
    <w:rsid w:val="003154DD"/>
    <w:rsid w:val="00342DCF"/>
    <w:rsid w:val="0035556A"/>
    <w:rsid w:val="00364716"/>
    <w:rsid w:val="00376F42"/>
    <w:rsid w:val="00397E63"/>
    <w:rsid w:val="003D6D57"/>
    <w:rsid w:val="003F4BC7"/>
    <w:rsid w:val="004148E3"/>
    <w:rsid w:val="00441EE5"/>
    <w:rsid w:val="0044551D"/>
    <w:rsid w:val="00492553"/>
    <w:rsid w:val="004926F2"/>
    <w:rsid w:val="00497F57"/>
    <w:rsid w:val="004A7DCD"/>
    <w:rsid w:val="004B76DC"/>
    <w:rsid w:val="004D3212"/>
    <w:rsid w:val="00503F79"/>
    <w:rsid w:val="005441FA"/>
    <w:rsid w:val="00566F9B"/>
    <w:rsid w:val="00575118"/>
    <w:rsid w:val="005A218D"/>
    <w:rsid w:val="005B09C5"/>
    <w:rsid w:val="005B2AC1"/>
    <w:rsid w:val="005D533E"/>
    <w:rsid w:val="005D7402"/>
    <w:rsid w:val="005D7A44"/>
    <w:rsid w:val="005E648D"/>
    <w:rsid w:val="005F0B28"/>
    <w:rsid w:val="005F66FF"/>
    <w:rsid w:val="006015D6"/>
    <w:rsid w:val="006360EC"/>
    <w:rsid w:val="0064637F"/>
    <w:rsid w:val="00657268"/>
    <w:rsid w:val="00667854"/>
    <w:rsid w:val="00670DB1"/>
    <w:rsid w:val="006A421D"/>
    <w:rsid w:val="006B4D6B"/>
    <w:rsid w:val="006C7133"/>
    <w:rsid w:val="006D6AFD"/>
    <w:rsid w:val="006F2594"/>
    <w:rsid w:val="006F4D09"/>
    <w:rsid w:val="006F530C"/>
    <w:rsid w:val="00725F05"/>
    <w:rsid w:val="007309B6"/>
    <w:rsid w:val="00734DE2"/>
    <w:rsid w:val="00760D47"/>
    <w:rsid w:val="00775023"/>
    <w:rsid w:val="007A3A15"/>
    <w:rsid w:val="007A7925"/>
    <w:rsid w:val="007B17F4"/>
    <w:rsid w:val="007C796A"/>
    <w:rsid w:val="007D7CE1"/>
    <w:rsid w:val="007E62CE"/>
    <w:rsid w:val="008031C4"/>
    <w:rsid w:val="00813D19"/>
    <w:rsid w:val="0084186F"/>
    <w:rsid w:val="008435AF"/>
    <w:rsid w:val="0084601B"/>
    <w:rsid w:val="00861E5F"/>
    <w:rsid w:val="0086422F"/>
    <w:rsid w:val="0087561D"/>
    <w:rsid w:val="008B6B57"/>
    <w:rsid w:val="008C1683"/>
    <w:rsid w:val="008D2693"/>
    <w:rsid w:val="008F0FC0"/>
    <w:rsid w:val="008F1FE7"/>
    <w:rsid w:val="00924CF3"/>
    <w:rsid w:val="00937D4A"/>
    <w:rsid w:val="00942AC0"/>
    <w:rsid w:val="00960583"/>
    <w:rsid w:val="00975159"/>
    <w:rsid w:val="009A54C2"/>
    <w:rsid w:val="009D0203"/>
    <w:rsid w:val="009D7421"/>
    <w:rsid w:val="00A16017"/>
    <w:rsid w:val="00A47A9E"/>
    <w:rsid w:val="00A579BB"/>
    <w:rsid w:val="00A81C44"/>
    <w:rsid w:val="00A95421"/>
    <w:rsid w:val="00AA3284"/>
    <w:rsid w:val="00AB322B"/>
    <w:rsid w:val="00AC1A6F"/>
    <w:rsid w:val="00AF376C"/>
    <w:rsid w:val="00B3480A"/>
    <w:rsid w:val="00B4623C"/>
    <w:rsid w:val="00B63284"/>
    <w:rsid w:val="00B7718C"/>
    <w:rsid w:val="00B80FBB"/>
    <w:rsid w:val="00BA5C83"/>
    <w:rsid w:val="00BE152D"/>
    <w:rsid w:val="00BE7C74"/>
    <w:rsid w:val="00BF0FE8"/>
    <w:rsid w:val="00C15670"/>
    <w:rsid w:val="00C23FEF"/>
    <w:rsid w:val="00C359D0"/>
    <w:rsid w:val="00C41A11"/>
    <w:rsid w:val="00C55AD6"/>
    <w:rsid w:val="00C67A74"/>
    <w:rsid w:val="00C8107D"/>
    <w:rsid w:val="00C918D5"/>
    <w:rsid w:val="00CA4BCB"/>
    <w:rsid w:val="00CB0EB7"/>
    <w:rsid w:val="00CB2F7E"/>
    <w:rsid w:val="00CF7F0B"/>
    <w:rsid w:val="00D05365"/>
    <w:rsid w:val="00D124DB"/>
    <w:rsid w:val="00D3334E"/>
    <w:rsid w:val="00D50A14"/>
    <w:rsid w:val="00D57249"/>
    <w:rsid w:val="00D718C8"/>
    <w:rsid w:val="00DC304A"/>
    <w:rsid w:val="00DC6B62"/>
    <w:rsid w:val="00DE6BE2"/>
    <w:rsid w:val="00DF6E93"/>
    <w:rsid w:val="00E11239"/>
    <w:rsid w:val="00E2797D"/>
    <w:rsid w:val="00E44620"/>
    <w:rsid w:val="00E72D8D"/>
    <w:rsid w:val="00E72F73"/>
    <w:rsid w:val="00E76894"/>
    <w:rsid w:val="00E80BDD"/>
    <w:rsid w:val="00E86082"/>
    <w:rsid w:val="00E9193F"/>
    <w:rsid w:val="00EE053C"/>
    <w:rsid w:val="00EE2261"/>
    <w:rsid w:val="00EE2A23"/>
    <w:rsid w:val="00EE7702"/>
    <w:rsid w:val="00F04FF8"/>
    <w:rsid w:val="00F05678"/>
    <w:rsid w:val="00F329A4"/>
    <w:rsid w:val="00F62BFF"/>
    <w:rsid w:val="00F64247"/>
    <w:rsid w:val="00F67E53"/>
    <w:rsid w:val="00F87F83"/>
    <w:rsid w:val="00FC579B"/>
    <w:rsid w:val="00FD7625"/>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87561D"/>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87561D"/>
  </w:style>
  <w:style w:type="character" w:styleId="FootnoteReference">
    <w:name w:val="footnote reference"/>
    <w:aliases w:val="Style 124,Appel note de bas de p,Style 12,(NECG) Footnote Reference,o,fr,Style 3,Style 17,FR,Style 13,Footnote Reference/,Style 6,Style 7,Style 4,Footnote Reference1"/>
    <w:uiPriority w:val="99"/>
    <w:rsid w:val="0087561D"/>
    <w:rPr>
      <w:rFonts w:ascii="Times New Roman" w:hAnsi="Times New Roman"/>
      <w:dstrike w:val="0"/>
      <w:color w:val="auto"/>
      <w:sz w:val="20"/>
      <w:vertAlign w:val="superscript"/>
    </w:rPr>
  </w:style>
  <w:style w:type="character" w:customStyle="1" w:styleId="ParaNumChar">
    <w:name w:val="ParaNum Char"/>
    <w:locked/>
    <w:rsid w:val="0087561D"/>
    <w:rPr>
      <w:snapToGrid w:val="0"/>
      <w:kern w:val="28"/>
      <w:sz w:val="22"/>
      <w:lang w:val="x-none" w:eastAsia="x-none"/>
    </w:rPr>
  </w:style>
  <w:style w:type="paragraph" w:customStyle="1" w:styleId="TOCTitle">
    <w:name w:val="TOC Title"/>
    <w:basedOn w:val="Normal"/>
    <w:rsid w:val="00A16017"/>
    <w:pPr>
      <w:widowControl w:val="0"/>
      <w:snapToGrid w:val="0"/>
      <w:spacing w:before="240" w:after="240"/>
      <w:jc w:val="center"/>
    </w:pPr>
    <w:rPr>
      <w:rFonts w:ascii="Times New Roman Bold" w:hAnsi="Times New Roman Bold"/>
      <w:b/>
      <w:caps/>
      <w:spacing w:val="-2"/>
      <w:kern w:val="28"/>
      <w:sz w:val="22"/>
    </w:rPr>
  </w:style>
  <w:style w:type="character" w:styleId="CommentReference">
    <w:name w:val="annotation reference"/>
    <w:basedOn w:val="DefaultParagraphFont"/>
    <w:uiPriority w:val="99"/>
    <w:semiHidden/>
    <w:unhideWhenUsed/>
    <w:rsid w:val="00DF6E93"/>
    <w:rPr>
      <w:sz w:val="16"/>
      <w:szCs w:val="16"/>
    </w:rPr>
  </w:style>
  <w:style w:type="paragraph" w:styleId="CommentText">
    <w:name w:val="annotation text"/>
    <w:basedOn w:val="Normal"/>
    <w:link w:val="CommentTextChar"/>
    <w:uiPriority w:val="99"/>
    <w:semiHidden/>
    <w:unhideWhenUsed/>
    <w:rsid w:val="00DF6E93"/>
  </w:style>
  <w:style w:type="character" w:customStyle="1" w:styleId="CommentTextChar">
    <w:name w:val="Comment Text Char"/>
    <w:basedOn w:val="DefaultParagraphFont"/>
    <w:link w:val="CommentText"/>
    <w:uiPriority w:val="99"/>
    <w:semiHidden/>
    <w:rsid w:val="00DF6E93"/>
  </w:style>
  <w:style w:type="paragraph" w:styleId="CommentSubject">
    <w:name w:val="annotation subject"/>
    <w:basedOn w:val="CommentText"/>
    <w:next w:val="CommentText"/>
    <w:link w:val="CommentSubjectChar"/>
    <w:uiPriority w:val="99"/>
    <w:semiHidden/>
    <w:unhideWhenUsed/>
    <w:rsid w:val="00DF6E93"/>
    <w:rPr>
      <w:b/>
      <w:bCs/>
    </w:rPr>
  </w:style>
  <w:style w:type="character" w:customStyle="1" w:styleId="CommentSubjectChar">
    <w:name w:val="Comment Subject Char"/>
    <w:basedOn w:val="CommentTextChar"/>
    <w:link w:val="CommentSubject"/>
    <w:uiPriority w:val="99"/>
    <w:semiHidden/>
    <w:rsid w:val="00DF6E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87561D"/>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87561D"/>
  </w:style>
  <w:style w:type="character" w:styleId="FootnoteReference">
    <w:name w:val="footnote reference"/>
    <w:aliases w:val="Style 124,Appel note de bas de p,Style 12,(NECG) Footnote Reference,o,fr,Style 3,Style 17,FR,Style 13,Footnote Reference/,Style 6,Style 7,Style 4,Footnote Reference1"/>
    <w:uiPriority w:val="99"/>
    <w:rsid w:val="0087561D"/>
    <w:rPr>
      <w:rFonts w:ascii="Times New Roman" w:hAnsi="Times New Roman"/>
      <w:dstrike w:val="0"/>
      <w:color w:val="auto"/>
      <w:sz w:val="20"/>
      <w:vertAlign w:val="superscript"/>
    </w:rPr>
  </w:style>
  <w:style w:type="character" w:customStyle="1" w:styleId="ParaNumChar">
    <w:name w:val="ParaNum Char"/>
    <w:locked/>
    <w:rsid w:val="0087561D"/>
    <w:rPr>
      <w:snapToGrid w:val="0"/>
      <w:kern w:val="28"/>
      <w:sz w:val="22"/>
      <w:lang w:val="x-none" w:eastAsia="x-none"/>
    </w:rPr>
  </w:style>
  <w:style w:type="paragraph" w:customStyle="1" w:styleId="TOCTitle">
    <w:name w:val="TOC Title"/>
    <w:basedOn w:val="Normal"/>
    <w:rsid w:val="00A16017"/>
    <w:pPr>
      <w:widowControl w:val="0"/>
      <w:snapToGrid w:val="0"/>
      <w:spacing w:before="240" w:after="240"/>
      <w:jc w:val="center"/>
    </w:pPr>
    <w:rPr>
      <w:rFonts w:ascii="Times New Roman Bold" w:hAnsi="Times New Roman Bold"/>
      <w:b/>
      <w:caps/>
      <w:spacing w:val="-2"/>
      <w:kern w:val="28"/>
      <w:sz w:val="22"/>
    </w:rPr>
  </w:style>
  <w:style w:type="character" w:styleId="CommentReference">
    <w:name w:val="annotation reference"/>
    <w:basedOn w:val="DefaultParagraphFont"/>
    <w:uiPriority w:val="99"/>
    <w:semiHidden/>
    <w:unhideWhenUsed/>
    <w:rsid w:val="00DF6E93"/>
    <w:rPr>
      <w:sz w:val="16"/>
      <w:szCs w:val="16"/>
    </w:rPr>
  </w:style>
  <w:style w:type="paragraph" w:styleId="CommentText">
    <w:name w:val="annotation text"/>
    <w:basedOn w:val="Normal"/>
    <w:link w:val="CommentTextChar"/>
    <w:uiPriority w:val="99"/>
    <w:semiHidden/>
    <w:unhideWhenUsed/>
    <w:rsid w:val="00DF6E93"/>
  </w:style>
  <w:style w:type="character" w:customStyle="1" w:styleId="CommentTextChar">
    <w:name w:val="Comment Text Char"/>
    <w:basedOn w:val="DefaultParagraphFont"/>
    <w:link w:val="CommentText"/>
    <w:uiPriority w:val="99"/>
    <w:semiHidden/>
    <w:rsid w:val="00DF6E93"/>
  </w:style>
  <w:style w:type="paragraph" w:styleId="CommentSubject">
    <w:name w:val="annotation subject"/>
    <w:basedOn w:val="CommentText"/>
    <w:next w:val="CommentText"/>
    <w:link w:val="CommentSubjectChar"/>
    <w:uiPriority w:val="99"/>
    <w:semiHidden/>
    <w:unhideWhenUsed/>
    <w:rsid w:val="00DF6E93"/>
    <w:rPr>
      <w:b/>
      <w:bCs/>
    </w:rPr>
  </w:style>
  <w:style w:type="character" w:customStyle="1" w:styleId="CommentSubjectChar">
    <w:name w:val="Comment Subject Char"/>
    <w:basedOn w:val="CommentTextChar"/>
    <w:link w:val="CommentSubject"/>
    <w:uiPriority w:val="99"/>
    <w:semiHidden/>
    <w:rsid w:val="00DF6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5203">
      <w:bodyDiv w:val="1"/>
      <w:marLeft w:val="0"/>
      <w:marRight w:val="0"/>
      <w:marTop w:val="0"/>
      <w:marBottom w:val="0"/>
      <w:divBdr>
        <w:top w:val="none" w:sz="0" w:space="0" w:color="auto"/>
        <w:left w:val="none" w:sz="0" w:space="0" w:color="auto"/>
        <w:bottom w:val="none" w:sz="0" w:space="0" w:color="auto"/>
        <w:right w:val="none" w:sz="0" w:space="0" w:color="auto"/>
      </w:divBdr>
    </w:div>
    <w:div w:id="9044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document/wireless-microphones-second-report-and-orde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document/fcc-adopts-rules-first-ever-incentive-auction-0" TargetMode="External"/><Relationship Id="rId1" Type="http://schemas.openxmlformats.org/officeDocument/2006/relationships/hyperlink" Target="http://www.fcc.gov/document/wireless-microphones-second-report-and-ord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5808</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2014-08-04T18:37:00Z</dcterms:created>
  <dcterms:modified xsi:type="dcterms:W3CDTF">2014-08-04T18:37:00Z</dcterms:modified>
  <cp:category> </cp:category>
  <cp:contentStatus> </cp:contentStatus>
</cp:coreProperties>
</file>