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3D7170" w:rsidRDefault="004C2EE3">
      <w:pPr>
        <w:jc w:val="center"/>
        <w:rPr>
          <w:b/>
        </w:rPr>
      </w:pPr>
      <w:bookmarkStart w:id="0" w:name="_GoBack"/>
      <w:bookmarkEnd w:id="0"/>
      <w:r w:rsidRPr="003D7170">
        <w:rPr>
          <w:rFonts w:ascii="Times New Roman Bold" w:hAnsi="Times New Roman Bold"/>
          <w:b/>
          <w:kern w:val="0"/>
          <w:szCs w:val="22"/>
        </w:rPr>
        <w:t>Before</w:t>
      </w:r>
      <w:r w:rsidRPr="003D7170">
        <w:rPr>
          <w:b/>
        </w:rPr>
        <w:t xml:space="preserve"> the</w:t>
      </w:r>
    </w:p>
    <w:p w:rsidR="00921803" w:rsidRPr="003D7170" w:rsidRDefault="00921803" w:rsidP="00921803">
      <w:pPr>
        <w:pStyle w:val="StyleBoldCentered"/>
      </w:pPr>
      <w:r w:rsidRPr="003D7170">
        <w:t>F</w:t>
      </w:r>
      <w:r w:rsidRPr="003D7170">
        <w:rPr>
          <w:caps w:val="0"/>
        </w:rPr>
        <w:t>ederal Communications Commission</w:t>
      </w:r>
    </w:p>
    <w:p w:rsidR="004C2EE3" w:rsidRPr="003D7170" w:rsidRDefault="00810B6F" w:rsidP="00096D8C">
      <w:pPr>
        <w:pStyle w:val="StyleBoldCentered"/>
      </w:pPr>
      <w:r w:rsidRPr="003D7170">
        <w:rPr>
          <w:caps w:val="0"/>
        </w:rPr>
        <w:t>Washington, D.C. 20554</w:t>
      </w:r>
    </w:p>
    <w:p w:rsidR="004C2EE3" w:rsidRPr="003D7170" w:rsidRDefault="004C2EE3" w:rsidP="0070224F"/>
    <w:p w:rsidR="004C2EE3" w:rsidRPr="003D7170" w:rsidRDefault="004C2EE3" w:rsidP="0070224F"/>
    <w:tbl>
      <w:tblPr>
        <w:tblW w:w="0" w:type="auto"/>
        <w:tblLayout w:type="fixed"/>
        <w:tblLook w:val="0000" w:firstRow="0" w:lastRow="0" w:firstColumn="0" w:lastColumn="0" w:noHBand="0" w:noVBand="0"/>
      </w:tblPr>
      <w:tblGrid>
        <w:gridCol w:w="4698"/>
        <w:gridCol w:w="630"/>
        <w:gridCol w:w="4248"/>
      </w:tblGrid>
      <w:tr w:rsidR="004C2EE3" w:rsidRPr="003D7170">
        <w:tc>
          <w:tcPr>
            <w:tcW w:w="4698" w:type="dxa"/>
          </w:tcPr>
          <w:p w:rsidR="004C2EE3" w:rsidRPr="003D7170" w:rsidRDefault="004C2EE3">
            <w:pPr>
              <w:tabs>
                <w:tab w:val="center" w:pos="4680"/>
              </w:tabs>
              <w:suppressAutoHyphens/>
              <w:rPr>
                <w:spacing w:val="-2"/>
              </w:rPr>
            </w:pPr>
            <w:r w:rsidRPr="003D7170">
              <w:rPr>
                <w:spacing w:val="-2"/>
              </w:rPr>
              <w:t>In the Matter of</w:t>
            </w:r>
          </w:p>
          <w:p w:rsidR="004C2EE3" w:rsidRPr="003D7170" w:rsidRDefault="004C2EE3">
            <w:pPr>
              <w:tabs>
                <w:tab w:val="center" w:pos="4680"/>
              </w:tabs>
              <w:suppressAutoHyphens/>
              <w:rPr>
                <w:spacing w:val="-2"/>
              </w:rPr>
            </w:pPr>
          </w:p>
          <w:p w:rsidR="004C2EE3" w:rsidRPr="003D7170" w:rsidRDefault="004A2C9A" w:rsidP="007115F7">
            <w:pPr>
              <w:tabs>
                <w:tab w:val="center" w:pos="4680"/>
              </w:tabs>
              <w:suppressAutoHyphens/>
              <w:rPr>
                <w:spacing w:val="-2"/>
              </w:rPr>
            </w:pPr>
            <w:r w:rsidRPr="003D7170">
              <w:rPr>
                <w:spacing w:val="-2"/>
              </w:rPr>
              <w:t xml:space="preserve">Pine Telephone T.V. </w:t>
            </w:r>
          </w:p>
          <w:p w:rsidR="004A2C9A" w:rsidRPr="003D7170" w:rsidRDefault="004A2C9A" w:rsidP="007115F7">
            <w:pPr>
              <w:tabs>
                <w:tab w:val="center" w:pos="4680"/>
              </w:tabs>
              <w:suppressAutoHyphens/>
              <w:rPr>
                <w:spacing w:val="-2"/>
              </w:rPr>
            </w:pPr>
          </w:p>
          <w:p w:rsidR="004A2C9A" w:rsidRPr="003D7170" w:rsidRDefault="004A2C9A" w:rsidP="007115F7">
            <w:pPr>
              <w:tabs>
                <w:tab w:val="center" w:pos="4680"/>
              </w:tabs>
              <w:suppressAutoHyphens/>
              <w:rPr>
                <w:spacing w:val="-2"/>
              </w:rPr>
            </w:pPr>
            <w:r w:rsidRPr="003D7170">
              <w:rPr>
                <w:spacing w:val="-2"/>
              </w:rPr>
              <w:t>For the Market Modification of the Television Markets for KBOI-TV and KTVB of Boise, Idaho; KIVI-TV and KTRV-TV of Nampa, Idaho; and KNIN-TV of Caldwell, Idaho</w:t>
            </w:r>
          </w:p>
        </w:tc>
        <w:tc>
          <w:tcPr>
            <w:tcW w:w="630" w:type="dxa"/>
          </w:tcPr>
          <w:p w:rsidR="004C2EE3" w:rsidRPr="003D7170" w:rsidRDefault="004C2EE3">
            <w:pPr>
              <w:tabs>
                <w:tab w:val="center" w:pos="4680"/>
              </w:tabs>
              <w:suppressAutoHyphens/>
              <w:rPr>
                <w:b/>
                <w:spacing w:val="-2"/>
              </w:rPr>
            </w:pPr>
            <w:r w:rsidRPr="003D7170">
              <w:rPr>
                <w:b/>
                <w:spacing w:val="-2"/>
              </w:rPr>
              <w:t>)</w:t>
            </w:r>
          </w:p>
          <w:p w:rsidR="004C2EE3" w:rsidRPr="003D7170" w:rsidRDefault="004C2EE3">
            <w:pPr>
              <w:tabs>
                <w:tab w:val="center" w:pos="4680"/>
              </w:tabs>
              <w:suppressAutoHyphens/>
              <w:rPr>
                <w:b/>
                <w:spacing w:val="-2"/>
              </w:rPr>
            </w:pPr>
            <w:r w:rsidRPr="003D7170">
              <w:rPr>
                <w:b/>
                <w:spacing w:val="-2"/>
              </w:rPr>
              <w:t>)</w:t>
            </w:r>
          </w:p>
          <w:p w:rsidR="004C2EE3" w:rsidRPr="003D7170" w:rsidRDefault="004C2EE3">
            <w:pPr>
              <w:tabs>
                <w:tab w:val="center" w:pos="4680"/>
              </w:tabs>
              <w:suppressAutoHyphens/>
              <w:rPr>
                <w:b/>
                <w:spacing w:val="-2"/>
              </w:rPr>
            </w:pPr>
            <w:r w:rsidRPr="003D7170">
              <w:rPr>
                <w:b/>
                <w:spacing w:val="-2"/>
              </w:rPr>
              <w:t>)</w:t>
            </w:r>
          </w:p>
          <w:p w:rsidR="004C2EE3" w:rsidRPr="003D7170" w:rsidRDefault="004C2EE3">
            <w:pPr>
              <w:tabs>
                <w:tab w:val="center" w:pos="4680"/>
              </w:tabs>
              <w:suppressAutoHyphens/>
              <w:rPr>
                <w:b/>
                <w:spacing w:val="-2"/>
              </w:rPr>
            </w:pPr>
            <w:r w:rsidRPr="003D7170">
              <w:rPr>
                <w:b/>
                <w:spacing w:val="-2"/>
              </w:rPr>
              <w:t>)</w:t>
            </w:r>
          </w:p>
          <w:p w:rsidR="004C2EE3" w:rsidRPr="003D7170" w:rsidRDefault="004C2EE3">
            <w:pPr>
              <w:tabs>
                <w:tab w:val="center" w:pos="4680"/>
              </w:tabs>
              <w:suppressAutoHyphens/>
              <w:rPr>
                <w:b/>
                <w:spacing w:val="-2"/>
              </w:rPr>
            </w:pPr>
            <w:r w:rsidRPr="003D7170">
              <w:rPr>
                <w:b/>
                <w:spacing w:val="-2"/>
              </w:rPr>
              <w:t>)</w:t>
            </w:r>
          </w:p>
          <w:p w:rsidR="004C2EE3" w:rsidRPr="003D7170" w:rsidRDefault="004C2EE3">
            <w:pPr>
              <w:tabs>
                <w:tab w:val="center" w:pos="4680"/>
              </w:tabs>
              <w:suppressAutoHyphens/>
              <w:rPr>
                <w:b/>
                <w:spacing w:val="-2"/>
              </w:rPr>
            </w:pPr>
            <w:r w:rsidRPr="003D7170">
              <w:rPr>
                <w:b/>
                <w:spacing w:val="-2"/>
              </w:rPr>
              <w:t>)</w:t>
            </w:r>
          </w:p>
          <w:p w:rsidR="004C2EE3" w:rsidRPr="003D7170" w:rsidRDefault="004C2EE3">
            <w:pPr>
              <w:tabs>
                <w:tab w:val="center" w:pos="4680"/>
              </w:tabs>
              <w:suppressAutoHyphens/>
              <w:rPr>
                <w:b/>
                <w:spacing w:val="-2"/>
              </w:rPr>
            </w:pPr>
            <w:r w:rsidRPr="003D7170">
              <w:rPr>
                <w:b/>
                <w:spacing w:val="-2"/>
              </w:rPr>
              <w:t>)</w:t>
            </w:r>
          </w:p>
          <w:p w:rsidR="004C2EE3" w:rsidRPr="003D7170" w:rsidRDefault="004C2EE3">
            <w:pPr>
              <w:tabs>
                <w:tab w:val="center" w:pos="4680"/>
              </w:tabs>
              <w:suppressAutoHyphens/>
              <w:rPr>
                <w:b/>
                <w:spacing w:val="-2"/>
              </w:rPr>
            </w:pPr>
            <w:r w:rsidRPr="003D7170">
              <w:rPr>
                <w:b/>
                <w:spacing w:val="-2"/>
              </w:rPr>
              <w:t>)</w:t>
            </w:r>
          </w:p>
          <w:p w:rsidR="004C2EE3" w:rsidRPr="003D7170" w:rsidRDefault="004C2EE3">
            <w:pPr>
              <w:tabs>
                <w:tab w:val="center" w:pos="4680"/>
              </w:tabs>
              <w:suppressAutoHyphens/>
              <w:rPr>
                <w:spacing w:val="-2"/>
              </w:rPr>
            </w:pPr>
            <w:r w:rsidRPr="003D7170">
              <w:rPr>
                <w:b/>
                <w:spacing w:val="-2"/>
              </w:rPr>
              <w:t>)</w:t>
            </w:r>
          </w:p>
        </w:tc>
        <w:tc>
          <w:tcPr>
            <w:tcW w:w="4248" w:type="dxa"/>
          </w:tcPr>
          <w:p w:rsidR="004C2EE3" w:rsidRPr="003D7170" w:rsidRDefault="004C2EE3">
            <w:pPr>
              <w:tabs>
                <w:tab w:val="center" w:pos="4680"/>
              </w:tabs>
              <w:suppressAutoHyphens/>
              <w:rPr>
                <w:spacing w:val="-2"/>
              </w:rPr>
            </w:pPr>
          </w:p>
          <w:p w:rsidR="004C2EE3" w:rsidRPr="003D7170" w:rsidRDefault="004C2EE3">
            <w:pPr>
              <w:pStyle w:val="TOAHeading"/>
              <w:tabs>
                <w:tab w:val="clear" w:pos="9360"/>
                <w:tab w:val="center" w:pos="4680"/>
              </w:tabs>
              <w:rPr>
                <w:spacing w:val="-2"/>
              </w:rPr>
            </w:pPr>
          </w:p>
          <w:p w:rsidR="004C2EE3" w:rsidRPr="003D7170" w:rsidRDefault="00803324">
            <w:pPr>
              <w:tabs>
                <w:tab w:val="center" w:pos="4680"/>
              </w:tabs>
              <w:suppressAutoHyphens/>
              <w:rPr>
                <w:spacing w:val="-2"/>
              </w:rPr>
            </w:pPr>
            <w:r w:rsidRPr="003D7170">
              <w:rPr>
                <w:spacing w:val="-2"/>
              </w:rPr>
              <w:t>CSR-8878-A</w:t>
            </w:r>
          </w:p>
          <w:p w:rsidR="00803324" w:rsidRPr="003D7170" w:rsidRDefault="00803324">
            <w:pPr>
              <w:tabs>
                <w:tab w:val="center" w:pos="4680"/>
              </w:tabs>
              <w:suppressAutoHyphens/>
              <w:rPr>
                <w:spacing w:val="-2"/>
              </w:rPr>
            </w:pPr>
            <w:r w:rsidRPr="003D7170">
              <w:rPr>
                <w:spacing w:val="-2"/>
              </w:rPr>
              <w:t>Docket No. 14-59</w:t>
            </w:r>
          </w:p>
        </w:tc>
      </w:tr>
    </w:tbl>
    <w:p w:rsidR="004C2EE3" w:rsidRPr="003D7170" w:rsidRDefault="004C2EE3" w:rsidP="0070224F"/>
    <w:p w:rsidR="00841AB1" w:rsidRPr="003D7170" w:rsidRDefault="00803324" w:rsidP="00F021FA">
      <w:pPr>
        <w:pStyle w:val="StyleBoldCentered"/>
      </w:pPr>
      <w:r w:rsidRPr="003D7170">
        <w:t>memorandum Opinion and Order</w:t>
      </w:r>
    </w:p>
    <w:p w:rsidR="004C2EE3" w:rsidRPr="003D7170" w:rsidRDefault="004C2EE3">
      <w:pPr>
        <w:tabs>
          <w:tab w:val="left" w:pos="-720"/>
        </w:tabs>
        <w:suppressAutoHyphens/>
        <w:spacing w:line="227" w:lineRule="auto"/>
        <w:rPr>
          <w:spacing w:val="-2"/>
        </w:rPr>
      </w:pPr>
    </w:p>
    <w:p w:rsidR="004C2EE3" w:rsidRPr="003D7170" w:rsidRDefault="004C2EE3" w:rsidP="00133F79">
      <w:pPr>
        <w:tabs>
          <w:tab w:val="left" w:pos="720"/>
          <w:tab w:val="right" w:pos="9360"/>
        </w:tabs>
        <w:suppressAutoHyphens/>
        <w:spacing w:line="227" w:lineRule="auto"/>
        <w:rPr>
          <w:spacing w:val="-2"/>
        </w:rPr>
      </w:pPr>
      <w:r w:rsidRPr="003D7170">
        <w:rPr>
          <w:b/>
          <w:spacing w:val="-2"/>
        </w:rPr>
        <w:t xml:space="preserve">Adopted:  </w:t>
      </w:r>
      <w:r w:rsidR="00C22D65">
        <w:rPr>
          <w:b/>
          <w:spacing w:val="-2"/>
        </w:rPr>
        <w:t>August 6, 2014</w:t>
      </w:r>
      <w:r w:rsidRPr="003D7170">
        <w:rPr>
          <w:b/>
          <w:spacing w:val="-2"/>
        </w:rPr>
        <w:tab/>
      </w:r>
      <w:r w:rsidR="00822CE0" w:rsidRPr="003D7170">
        <w:rPr>
          <w:b/>
          <w:spacing w:val="-2"/>
        </w:rPr>
        <w:t>Released</w:t>
      </w:r>
      <w:r w:rsidRPr="003D7170">
        <w:rPr>
          <w:b/>
          <w:spacing w:val="-2"/>
        </w:rPr>
        <w:t>:</w:t>
      </w:r>
      <w:r w:rsidR="00822CE0" w:rsidRPr="003D7170">
        <w:rPr>
          <w:b/>
          <w:spacing w:val="-2"/>
        </w:rPr>
        <w:t xml:space="preserve"> </w:t>
      </w:r>
      <w:r w:rsidRPr="003D7170">
        <w:rPr>
          <w:b/>
          <w:spacing w:val="-2"/>
        </w:rPr>
        <w:t xml:space="preserve"> </w:t>
      </w:r>
      <w:r w:rsidR="00C22D65">
        <w:rPr>
          <w:b/>
          <w:spacing w:val="-2"/>
        </w:rPr>
        <w:t>August 6, 2014</w:t>
      </w:r>
    </w:p>
    <w:p w:rsidR="00822CE0" w:rsidRPr="003D7170" w:rsidRDefault="00822CE0"/>
    <w:p w:rsidR="004C2EE3" w:rsidRPr="003D7170" w:rsidRDefault="004C2EE3">
      <w:pPr>
        <w:rPr>
          <w:spacing w:val="-2"/>
        </w:rPr>
      </w:pPr>
      <w:r w:rsidRPr="003D7170">
        <w:t xml:space="preserve">By </w:t>
      </w:r>
      <w:r w:rsidR="004E4A22" w:rsidRPr="003D7170">
        <w:t>the</w:t>
      </w:r>
      <w:r w:rsidR="002A2D2E" w:rsidRPr="003D7170">
        <w:t xml:space="preserve"> </w:t>
      </w:r>
      <w:r w:rsidR="00803324" w:rsidRPr="003D7170">
        <w:rPr>
          <w:spacing w:val="-2"/>
        </w:rPr>
        <w:t>Senior Deputy Chief, Policy Division, Media Bureau</w:t>
      </w:r>
      <w:r w:rsidRPr="003D7170">
        <w:rPr>
          <w:spacing w:val="-2"/>
        </w:rPr>
        <w:t>:</w:t>
      </w:r>
    </w:p>
    <w:p w:rsidR="00822CE0" w:rsidRPr="003D7170" w:rsidRDefault="00822CE0">
      <w:pPr>
        <w:rPr>
          <w:spacing w:val="-2"/>
        </w:rPr>
      </w:pPr>
    </w:p>
    <w:p w:rsidR="00412FC5" w:rsidRPr="003D7170" w:rsidRDefault="00412FC5" w:rsidP="00412FC5"/>
    <w:p w:rsidR="002C00E8" w:rsidRPr="003D7170" w:rsidRDefault="00B075BC" w:rsidP="002C00E8">
      <w:pPr>
        <w:pStyle w:val="Heading1"/>
      </w:pPr>
      <w:r w:rsidRPr="003D7170">
        <w:t>introduction</w:t>
      </w:r>
    </w:p>
    <w:p w:rsidR="00B075BC" w:rsidRPr="003D7170" w:rsidRDefault="00521CF5" w:rsidP="00B075BC">
      <w:pPr>
        <w:pStyle w:val="ParaNum"/>
      </w:pPr>
      <w:r w:rsidRPr="003D7170">
        <w:t xml:space="preserve">Pine Telephone T.V. (“Pine”) filed the above-captioned petition for special relief seeking to add the cable community of Halfway, located in Portland, Oregon, to the television markets of </w:t>
      </w:r>
      <w:r w:rsidR="00930244" w:rsidRPr="003D7170">
        <w:t xml:space="preserve">stations </w:t>
      </w:r>
      <w:r w:rsidRPr="003D7170">
        <w:rPr>
          <w:spacing w:val="-2"/>
        </w:rPr>
        <w:t>KBOI-TV and KTVB of Boise, Idaho; KIVI-TV and KTRV-TV of Nampa, Idaho; and KNIN-TV of Caldwell, Idaho.</w:t>
      </w:r>
      <w:r w:rsidR="00606177" w:rsidRPr="003D7170">
        <w:rPr>
          <w:rStyle w:val="FootnoteReference"/>
          <w:spacing w:val="-2"/>
        </w:rPr>
        <w:footnoteReference w:id="2"/>
      </w:r>
      <w:r w:rsidRPr="003D7170">
        <w:rPr>
          <w:spacing w:val="-2"/>
        </w:rPr>
        <w:t xml:space="preserve"> </w:t>
      </w:r>
      <w:r w:rsidR="00022B32" w:rsidRPr="003D7170">
        <w:rPr>
          <w:spacing w:val="-2"/>
        </w:rPr>
        <w:t xml:space="preserve"> The Petition is unopposed. </w:t>
      </w:r>
      <w:r w:rsidR="00967352" w:rsidRPr="003D7170">
        <w:rPr>
          <w:spacing w:val="-2"/>
        </w:rPr>
        <w:t xml:space="preserve"> For the reasons discussed below, we</w:t>
      </w:r>
      <w:r w:rsidR="00DE05E1" w:rsidRPr="003D7170">
        <w:rPr>
          <w:spacing w:val="-2"/>
        </w:rPr>
        <w:t xml:space="preserve"> grant</w:t>
      </w:r>
      <w:r w:rsidR="001438FA" w:rsidRPr="003D7170">
        <w:rPr>
          <w:spacing w:val="-2"/>
        </w:rPr>
        <w:t xml:space="preserve"> t</w:t>
      </w:r>
      <w:r w:rsidR="00DE05E1" w:rsidRPr="003D7170">
        <w:rPr>
          <w:spacing w:val="-2"/>
        </w:rPr>
        <w:t>he Petition</w:t>
      </w:r>
      <w:r w:rsidR="000D4B21">
        <w:rPr>
          <w:spacing w:val="-2"/>
        </w:rPr>
        <w:t xml:space="preserve"> with respect to KBOI-TV</w:t>
      </w:r>
      <w:r w:rsidR="00101451" w:rsidRPr="003D7170">
        <w:rPr>
          <w:spacing w:val="-2"/>
        </w:rPr>
        <w:t xml:space="preserve"> and KTVB, and deny the Petition with respect to KNIN-TV</w:t>
      </w:r>
      <w:r w:rsidR="00813A78">
        <w:rPr>
          <w:spacing w:val="-2"/>
        </w:rPr>
        <w:t>, KIVI-TV,</w:t>
      </w:r>
      <w:r w:rsidR="00101451" w:rsidRPr="003D7170">
        <w:rPr>
          <w:spacing w:val="-2"/>
        </w:rPr>
        <w:t xml:space="preserve"> and KTRV-TV</w:t>
      </w:r>
      <w:r w:rsidR="00DE05E1" w:rsidRPr="003D7170">
        <w:rPr>
          <w:spacing w:val="-2"/>
        </w:rPr>
        <w:t xml:space="preserve">. </w:t>
      </w:r>
    </w:p>
    <w:p w:rsidR="00967352" w:rsidRPr="003D7170" w:rsidRDefault="00967352" w:rsidP="00967352">
      <w:pPr>
        <w:pStyle w:val="Heading1"/>
      </w:pPr>
      <w:r w:rsidRPr="003D7170">
        <w:t>BACKground</w:t>
      </w:r>
    </w:p>
    <w:p w:rsidR="00967352" w:rsidRPr="003D7170" w:rsidRDefault="00967352" w:rsidP="00967352">
      <w:pPr>
        <w:pStyle w:val="ParaNum"/>
      </w:pPr>
      <w:r w:rsidRPr="003D7170">
        <w:t>Pursuant to Section 614 of the Communications Act of 1934, as amended (the “Act”), and implementing rules adopted by the Commission, commercial television broadcast stations are entitled to assert mandatory carriage rights on cable systems located within their markets.</w:t>
      </w:r>
      <w:r w:rsidRPr="003D7170">
        <w:rPr>
          <w:rStyle w:val="FootnoteReference"/>
        </w:rPr>
        <w:footnoteReference w:id="3"/>
      </w:r>
      <w:r w:rsidRPr="003D7170">
        <w:t xml:space="preserve">  A station’s market is its “designated market area,” or DMA, as defined by Nielsen Media Research.</w:t>
      </w:r>
      <w:r w:rsidRPr="003D7170">
        <w:rPr>
          <w:rStyle w:val="FootnoteReference"/>
        </w:rPr>
        <w:footnoteReference w:id="4"/>
      </w:r>
      <w:r w:rsidRPr="003D7170">
        <w:t xml:space="preserve">  A DMA is a geographic market designation that defines each television market exclusive of others, based on measured viewing patterns.  Essentially, each county in the United States is allocated to a market based on which home-market stations receive a preponderance of total viewing hours in the county.  For purposes of this calculation, the total television viewing audience attained by a broadcast station is considered, regardless of the delivery technology used to receive its signal – whether the signal is received over-the-air, or via </w:t>
      </w:r>
      <w:r w:rsidRPr="003D7170">
        <w:lastRenderedPageBreak/>
        <w:t>cable, wireless cable, DBS, SMATV or OVS systems.</w:t>
      </w:r>
      <w:r w:rsidRPr="003D7170">
        <w:rPr>
          <w:rStyle w:val="FootnoteReference"/>
        </w:rPr>
        <w:footnoteReference w:id="5"/>
      </w:r>
    </w:p>
    <w:p w:rsidR="00967352" w:rsidRPr="003D7170" w:rsidRDefault="00967352" w:rsidP="00967352">
      <w:pPr>
        <w:pStyle w:val="ParaNum"/>
      </w:pPr>
      <w:r w:rsidRPr="003D7170">
        <w:t>Under the Act, however, the Commission is also directed to consider changes in market areas.  Section 614(h)(1)(C) provides that the Commission may</w:t>
      </w:r>
      <w:r w:rsidRPr="003D7170">
        <w:rPr>
          <w:szCs w:val="22"/>
        </w:rPr>
        <w:t>:</w:t>
      </w:r>
    </w:p>
    <w:p w:rsidR="00967352" w:rsidRPr="003D7170" w:rsidRDefault="00967352" w:rsidP="00967352">
      <w:pPr>
        <w:pStyle w:val="ParaNum"/>
        <w:numPr>
          <w:ilvl w:val="0"/>
          <w:numId w:val="0"/>
        </w:numPr>
        <w:tabs>
          <w:tab w:val="left" w:pos="720"/>
        </w:tabs>
        <w:spacing w:after="0"/>
        <w:ind w:left="720" w:right="720" w:hanging="720"/>
        <w:rPr>
          <w:szCs w:val="22"/>
        </w:rPr>
      </w:pPr>
      <w:r w:rsidRPr="003D7170">
        <w:rPr>
          <w:szCs w:val="22"/>
        </w:rPr>
        <w:tab/>
        <w:t>with respect to a particular television broadcast station, include additional communities within its television market or exclude communities from such station’s market to better effectuate the purposes of this section.</w:t>
      </w:r>
      <w:r w:rsidRPr="003D7170">
        <w:rPr>
          <w:rStyle w:val="FootnoteReference"/>
          <w:szCs w:val="22"/>
        </w:rPr>
        <w:footnoteReference w:id="6"/>
      </w:r>
    </w:p>
    <w:p w:rsidR="00967352" w:rsidRPr="003D7170" w:rsidRDefault="00967352" w:rsidP="00967352">
      <w:pPr>
        <w:pStyle w:val="ParaNum"/>
        <w:numPr>
          <w:ilvl w:val="0"/>
          <w:numId w:val="0"/>
        </w:numPr>
        <w:spacing w:after="0"/>
        <w:rPr>
          <w:szCs w:val="22"/>
        </w:rPr>
      </w:pPr>
    </w:p>
    <w:p w:rsidR="00967352" w:rsidRPr="003D7170" w:rsidRDefault="00967352" w:rsidP="00967352">
      <w:pPr>
        <w:pStyle w:val="ParaNum"/>
        <w:numPr>
          <w:ilvl w:val="0"/>
          <w:numId w:val="0"/>
        </w:numPr>
        <w:rPr>
          <w:szCs w:val="22"/>
        </w:rPr>
      </w:pPr>
      <w:r w:rsidRPr="003D7170">
        <w:rPr>
          <w:szCs w:val="22"/>
        </w:rPr>
        <w:t>In considering such requests, the 1992 Cable Act provides that:</w:t>
      </w:r>
    </w:p>
    <w:p w:rsidR="00967352" w:rsidRPr="003D7170" w:rsidRDefault="00967352" w:rsidP="00967352">
      <w:pPr>
        <w:pStyle w:val="ParaNum"/>
        <w:numPr>
          <w:ilvl w:val="0"/>
          <w:numId w:val="0"/>
        </w:numPr>
        <w:tabs>
          <w:tab w:val="left" w:pos="720"/>
        </w:tabs>
        <w:spacing w:after="0"/>
        <w:ind w:left="720" w:right="720" w:hanging="720"/>
        <w:rPr>
          <w:szCs w:val="22"/>
        </w:rPr>
      </w:pPr>
      <w:r w:rsidRPr="003D7170">
        <w:rPr>
          <w:szCs w:val="22"/>
        </w:rPr>
        <w:tab/>
        <w:t xml:space="preserve">the Commission shall afford particular attention to the value of localism by taking into account such factors as -  </w:t>
      </w:r>
    </w:p>
    <w:p w:rsidR="00967352" w:rsidRPr="003D7170" w:rsidRDefault="00967352" w:rsidP="00967352">
      <w:pPr>
        <w:pStyle w:val="ParaNum"/>
        <w:numPr>
          <w:ilvl w:val="0"/>
          <w:numId w:val="0"/>
        </w:numPr>
        <w:spacing w:after="0"/>
        <w:rPr>
          <w:szCs w:val="22"/>
        </w:rPr>
      </w:pPr>
    </w:p>
    <w:p w:rsidR="00967352" w:rsidRPr="003D7170" w:rsidRDefault="00967352" w:rsidP="00967352">
      <w:pPr>
        <w:pStyle w:val="ParaNum"/>
        <w:widowControl/>
        <w:numPr>
          <w:ilvl w:val="0"/>
          <w:numId w:val="7"/>
        </w:numPr>
        <w:tabs>
          <w:tab w:val="clear" w:pos="2160"/>
          <w:tab w:val="left" w:pos="1620"/>
          <w:tab w:val="num" w:pos="1800"/>
        </w:tabs>
        <w:snapToGrid w:val="0"/>
        <w:spacing w:after="0"/>
        <w:ind w:left="1872"/>
        <w:rPr>
          <w:szCs w:val="22"/>
        </w:rPr>
      </w:pPr>
      <w:r w:rsidRPr="003D7170">
        <w:rPr>
          <w:szCs w:val="22"/>
        </w:rPr>
        <w:t>whether the station, or other stations located in the same area, have</w:t>
      </w:r>
    </w:p>
    <w:p w:rsidR="00967352" w:rsidRPr="003D7170" w:rsidRDefault="00967352" w:rsidP="00967352">
      <w:pPr>
        <w:pStyle w:val="ParaNum"/>
        <w:numPr>
          <w:ilvl w:val="0"/>
          <w:numId w:val="0"/>
        </w:numPr>
        <w:spacing w:after="0"/>
        <w:ind w:left="1152"/>
        <w:rPr>
          <w:szCs w:val="22"/>
        </w:rPr>
      </w:pPr>
      <w:r w:rsidRPr="003D7170">
        <w:rPr>
          <w:szCs w:val="22"/>
        </w:rPr>
        <w:t>been historically carried on the cable system or systems within such community;</w:t>
      </w:r>
    </w:p>
    <w:p w:rsidR="00967352" w:rsidRPr="003D7170" w:rsidRDefault="00967352" w:rsidP="00967352">
      <w:pPr>
        <w:pStyle w:val="ParaNum"/>
        <w:numPr>
          <w:ilvl w:val="0"/>
          <w:numId w:val="0"/>
        </w:numPr>
        <w:spacing w:after="0"/>
        <w:ind w:left="1152"/>
        <w:rPr>
          <w:szCs w:val="22"/>
        </w:rPr>
      </w:pPr>
    </w:p>
    <w:p w:rsidR="00967352" w:rsidRPr="003D7170" w:rsidRDefault="00967352" w:rsidP="00967352">
      <w:pPr>
        <w:pStyle w:val="ParaNum"/>
        <w:widowControl/>
        <w:numPr>
          <w:ilvl w:val="0"/>
          <w:numId w:val="7"/>
        </w:numPr>
        <w:tabs>
          <w:tab w:val="clear" w:pos="2160"/>
          <w:tab w:val="left" w:pos="1620"/>
        </w:tabs>
        <w:snapToGrid w:val="0"/>
        <w:spacing w:after="0"/>
        <w:ind w:left="1872"/>
        <w:rPr>
          <w:szCs w:val="22"/>
        </w:rPr>
      </w:pPr>
      <w:r w:rsidRPr="003D7170">
        <w:rPr>
          <w:szCs w:val="22"/>
        </w:rPr>
        <w:t xml:space="preserve">whether the television station provides coverage or other local service </w:t>
      </w:r>
    </w:p>
    <w:p w:rsidR="00967352" w:rsidRPr="003D7170" w:rsidRDefault="00967352" w:rsidP="00967352">
      <w:pPr>
        <w:pStyle w:val="ParaNum"/>
        <w:numPr>
          <w:ilvl w:val="0"/>
          <w:numId w:val="0"/>
        </w:numPr>
        <w:spacing w:after="0"/>
        <w:ind w:left="1152"/>
        <w:rPr>
          <w:szCs w:val="22"/>
        </w:rPr>
      </w:pPr>
      <w:r w:rsidRPr="003D7170">
        <w:rPr>
          <w:szCs w:val="22"/>
        </w:rPr>
        <w:t>to such community;</w:t>
      </w:r>
    </w:p>
    <w:p w:rsidR="00967352" w:rsidRPr="003D7170" w:rsidRDefault="00967352" w:rsidP="00967352">
      <w:pPr>
        <w:pStyle w:val="ParaNum"/>
        <w:numPr>
          <w:ilvl w:val="0"/>
          <w:numId w:val="0"/>
        </w:numPr>
        <w:spacing w:after="0"/>
        <w:ind w:left="1152"/>
        <w:rPr>
          <w:szCs w:val="22"/>
        </w:rPr>
      </w:pPr>
    </w:p>
    <w:p w:rsidR="00967352" w:rsidRPr="003D7170" w:rsidRDefault="00967352" w:rsidP="00967352">
      <w:pPr>
        <w:pStyle w:val="ParaNum"/>
        <w:widowControl/>
        <w:numPr>
          <w:ilvl w:val="0"/>
          <w:numId w:val="7"/>
        </w:numPr>
        <w:tabs>
          <w:tab w:val="clear" w:pos="2160"/>
          <w:tab w:val="left" w:pos="1620"/>
        </w:tabs>
        <w:snapToGrid w:val="0"/>
        <w:spacing w:after="0"/>
        <w:ind w:left="1872"/>
        <w:rPr>
          <w:szCs w:val="22"/>
        </w:rPr>
      </w:pPr>
      <w:r w:rsidRPr="003D7170">
        <w:rPr>
          <w:szCs w:val="22"/>
        </w:rPr>
        <w:t>whether any other television station that is eligible to be carried by a</w:t>
      </w:r>
    </w:p>
    <w:p w:rsidR="00967352" w:rsidRPr="003D7170" w:rsidRDefault="00967352" w:rsidP="00967352">
      <w:pPr>
        <w:pStyle w:val="ParaNum"/>
        <w:numPr>
          <w:ilvl w:val="0"/>
          <w:numId w:val="0"/>
        </w:numPr>
        <w:spacing w:after="0"/>
        <w:ind w:left="1152"/>
        <w:rPr>
          <w:szCs w:val="22"/>
        </w:rPr>
      </w:pPr>
      <w:r w:rsidRPr="003D7170">
        <w:rPr>
          <w:szCs w:val="22"/>
        </w:rPr>
        <w:t>cable system in such community in fulfillment of the requirements of this</w:t>
      </w:r>
    </w:p>
    <w:p w:rsidR="00967352" w:rsidRPr="003D7170" w:rsidRDefault="00967352" w:rsidP="00967352">
      <w:pPr>
        <w:pStyle w:val="ParaNum"/>
        <w:numPr>
          <w:ilvl w:val="0"/>
          <w:numId w:val="0"/>
        </w:numPr>
        <w:spacing w:after="0"/>
        <w:ind w:left="1152"/>
        <w:rPr>
          <w:szCs w:val="22"/>
        </w:rPr>
      </w:pPr>
      <w:r w:rsidRPr="003D7170">
        <w:rPr>
          <w:szCs w:val="22"/>
        </w:rPr>
        <w:t>section provides news coverage of issues of concern to such community or provides carriage or coverage of sporting and other events of interest to the community;</w:t>
      </w:r>
    </w:p>
    <w:p w:rsidR="00967352" w:rsidRPr="003D7170" w:rsidRDefault="00967352" w:rsidP="00967352">
      <w:pPr>
        <w:pStyle w:val="ParaNum"/>
        <w:numPr>
          <w:ilvl w:val="0"/>
          <w:numId w:val="0"/>
        </w:numPr>
        <w:spacing w:after="0"/>
        <w:ind w:left="1152"/>
        <w:rPr>
          <w:szCs w:val="22"/>
        </w:rPr>
      </w:pPr>
    </w:p>
    <w:p w:rsidR="00967352" w:rsidRPr="003D7170" w:rsidRDefault="00967352" w:rsidP="00967352">
      <w:pPr>
        <w:pStyle w:val="ParaNum"/>
        <w:numPr>
          <w:ilvl w:val="0"/>
          <w:numId w:val="0"/>
        </w:numPr>
        <w:tabs>
          <w:tab w:val="left" w:pos="1620"/>
        </w:tabs>
        <w:spacing w:after="0"/>
        <w:ind w:left="1152"/>
        <w:rPr>
          <w:szCs w:val="22"/>
        </w:rPr>
      </w:pPr>
      <w:r w:rsidRPr="003D7170">
        <w:rPr>
          <w:szCs w:val="22"/>
        </w:rPr>
        <w:t>(IV) evidence of viewing patterns in cable and noncable households within the areas served by the cable system or systems in such community.</w:t>
      </w:r>
      <w:r w:rsidRPr="003D7170">
        <w:rPr>
          <w:rStyle w:val="FootnoteReference"/>
          <w:szCs w:val="22"/>
        </w:rPr>
        <w:footnoteReference w:id="7"/>
      </w:r>
    </w:p>
    <w:p w:rsidR="00967352" w:rsidRPr="003D7170" w:rsidRDefault="00967352" w:rsidP="00967352">
      <w:pPr>
        <w:pStyle w:val="ParaNum"/>
        <w:numPr>
          <w:ilvl w:val="0"/>
          <w:numId w:val="0"/>
        </w:numPr>
        <w:spacing w:after="0"/>
        <w:ind w:left="1152"/>
        <w:rPr>
          <w:szCs w:val="22"/>
        </w:rPr>
      </w:pPr>
    </w:p>
    <w:p w:rsidR="00967352" w:rsidRPr="003D7170" w:rsidRDefault="00967352" w:rsidP="00967352">
      <w:pPr>
        <w:pStyle w:val="ParaNum"/>
      </w:pPr>
      <w:r w:rsidRPr="003D7170">
        <w:rPr>
          <w:szCs w:val="22"/>
        </w:rPr>
        <w:t>In adopting rules to implement this provision, the Commission indicated that requested changes should be considered on a community-by-community basis rather than on a county-by-county basis, and that they should be treated as specific to particular stations rather than applicable in common to all stations in the market.</w:t>
      </w:r>
      <w:r w:rsidRPr="003D7170">
        <w:rPr>
          <w:rStyle w:val="FootnoteReference"/>
          <w:szCs w:val="22"/>
        </w:rPr>
        <w:footnoteReference w:id="8"/>
      </w:r>
      <w:r w:rsidRPr="003D7170">
        <w:rPr>
          <w:szCs w:val="22"/>
        </w:rPr>
        <w:t xml:space="preserve">  In the </w:t>
      </w:r>
      <w:r w:rsidRPr="003D7170">
        <w:rPr>
          <w:i/>
          <w:szCs w:val="22"/>
        </w:rPr>
        <w:t xml:space="preserve">Modification Final Report and Order, </w:t>
      </w:r>
      <w:r w:rsidRPr="003D7170">
        <w:rPr>
          <w:szCs w:val="22"/>
        </w:rPr>
        <w:t>the Commission, in an effort to promote administrative efficiency, adopted a standardized evidence approach for modifications that requires the following evidence be submitted:</w:t>
      </w:r>
    </w:p>
    <w:p w:rsidR="00967352" w:rsidRPr="003D7170" w:rsidRDefault="00967352" w:rsidP="00967352">
      <w:pPr>
        <w:pStyle w:val="ParaNum"/>
        <w:widowControl/>
        <w:numPr>
          <w:ilvl w:val="0"/>
          <w:numId w:val="8"/>
        </w:numPr>
        <w:tabs>
          <w:tab w:val="left" w:pos="1440"/>
        </w:tabs>
        <w:snapToGrid w:val="0"/>
        <w:spacing w:after="0"/>
        <w:rPr>
          <w:szCs w:val="22"/>
        </w:rPr>
      </w:pPr>
      <w:r w:rsidRPr="003D7170">
        <w:rPr>
          <w:szCs w:val="22"/>
        </w:rPr>
        <w:t>A map or maps illustrating the relevant community locations and</w:t>
      </w:r>
    </w:p>
    <w:p w:rsidR="00967352" w:rsidRPr="003D7170" w:rsidRDefault="00967352" w:rsidP="00967352">
      <w:pPr>
        <w:pStyle w:val="ParaNum"/>
        <w:numPr>
          <w:ilvl w:val="0"/>
          <w:numId w:val="0"/>
        </w:numPr>
        <w:spacing w:after="0"/>
        <w:ind w:left="1440"/>
        <w:rPr>
          <w:szCs w:val="22"/>
        </w:rPr>
      </w:pPr>
      <w:r w:rsidRPr="003D7170">
        <w:rPr>
          <w:szCs w:val="22"/>
        </w:rPr>
        <w:t>geographic features, station transmitter sites, cable system headend locations,</w:t>
      </w:r>
    </w:p>
    <w:p w:rsidR="00967352" w:rsidRPr="003D7170" w:rsidRDefault="00967352" w:rsidP="00967352">
      <w:pPr>
        <w:pStyle w:val="ParaNum"/>
        <w:numPr>
          <w:ilvl w:val="0"/>
          <w:numId w:val="0"/>
        </w:numPr>
        <w:spacing w:after="0"/>
        <w:ind w:left="1440"/>
        <w:rPr>
          <w:szCs w:val="22"/>
        </w:rPr>
      </w:pPr>
      <w:r w:rsidRPr="003D7170">
        <w:rPr>
          <w:szCs w:val="22"/>
        </w:rPr>
        <w:t>terrain features that would affect station reception, mileage between the</w:t>
      </w:r>
    </w:p>
    <w:p w:rsidR="00967352" w:rsidRPr="003D7170" w:rsidRDefault="00967352" w:rsidP="00967352">
      <w:pPr>
        <w:pStyle w:val="ParaNum"/>
        <w:numPr>
          <w:ilvl w:val="0"/>
          <w:numId w:val="0"/>
        </w:numPr>
        <w:spacing w:after="0"/>
        <w:ind w:left="1440"/>
        <w:rPr>
          <w:szCs w:val="22"/>
        </w:rPr>
      </w:pPr>
      <w:r w:rsidRPr="003D7170">
        <w:rPr>
          <w:szCs w:val="22"/>
        </w:rPr>
        <w:t>community and the television station transmitter site, transportation routes</w:t>
      </w:r>
    </w:p>
    <w:p w:rsidR="00967352" w:rsidRPr="003D7170" w:rsidRDefault="00967352" w:rsidP="00967352">
      <w:pPr>
        <w:pStyle w:val="ParaNum"/>
        <w:numPr>
          <w:ilvl w:val="0"/>
          <w:numId w:val="0"/>
        </w:numPr>
        <w:spacing w:after="0"/>
        <w:ind w:left="1440"/>
        <w:rPr>
          <w:szCs w:val="22"/>
        </w:rPr>
      </w:pPr>
      <w:r w:rsidRPr="003D7170">
        <w:rPr>
          <w:szCs w:val="22"/>
        </w:rPr>
        <w:t xml:space="preserve">and any other evidence contributing to the scope of the market.    </w:t>
      </w:r>
    </w:p>
    <w:p w:rsidR="00967352" w:rsidRPr="003D7170" w:rsidRDefault="00967352" w:rsidP="00967352">
      <w:pPr>
        <w:pStyle w:val="ParaNum"/>
        <w:numPr>
          <w:ilvl w:val="0"/>
          <w:numId w:val="0"/>
        </w:numPr>
        <w:spacing w:after="0"/>
        <w:ind w:firstLine="720"/>
        <w:rPr>
          <w:szCs w:val="22"/>
        </w:rPr>
      </w:pPr>
    </w:p>
    <w:p w:rsidR="00967352" w:rsidRPr="003D7170" w:rsidRDefault="00967352" w:rsidP="00967352">
      <w:pPr>
        <w:pStyle w:val="ParaNum"/>
        <w:widowControl/>
        <w:numPr>
          <w:ilvl w:val="0"/>
          <w:numId w:val="8"/>
        </w:numPr>
        <w:tabs>
          <w:tab w:val="left" w:pos="1440"/>
        </w:tabs>
        <w:snapToGrid w:val="0"/>
        <w:spacing w:after="0"/>
        <w:rPr>
          <w:szCs w:val="22"/>
        </w:rPr>
      </w:pPr>
      <w:r w:rsidRPr="003D7170">
        <w:rPr>
          <w:szCs w:val="22"/>
        </w:rPr>
        <w:t>Grade B contour maps</w:t>
      </w:r>
      <w:r w:rsidRPr="003D7170">
        <w:rPr>
          <w:rStyle w:val="FootnoteReference"/>
          <w:szCs w:val="22"/>
        </w:rPr>
        <w:footnoteReference w:id="9"/>
      </w:r>
      <w:r w:rsidRPr="003D7170">
        <w:rPr>
          <w:szCs w:val="22"/>
        </w:rPr>
        <w:t xml:space="preserve"> delineating the station’s technical service</w:t>
      </w:r>
    </w:p>
    <w:p w:rsidR="00967352" w:rsidRPr="003D7170" w:rsidRDefault="00967352" w:rsidP="00967352">
      <w:pPr>
        <w:pStyle w:val="ParaNum"/>
        <w:numPr>
          <w:ilvl w:val="0"/>
          <w:numId w:val="0"/>
        </w:numPr>
        <w:spacing w:after="0"/>
        <w:ind w:left="1440"/>
        <w:rPr>
          <w:szCs w:val="22"/>
        </w:rPr>
      </w:pPr>
      <w:r w:rsidRPr="003D7170">
        <w:rPr>
          <w:szCs w:val="22"/>
        </w:rPr>
        <w:lastRenderedPageBreak/>
        <w:t>area</w:t>
      </w:r>
      <w:r w:rsidRPr="003D7170">
        <w:rPr>
          <w:rStyle w:val="FootnoteReference"/>
          <w:szCs w:val="22"/>
        </w:rPr>
        <w:footnoteReference w:id="10"/>
      </w:r>
      <w:r w:rsidRPr="003D7170">
        <w:rPr>
          <w:szCs w:val="22"/>
        </w:rPr>
        <w:t xml:space="preserve"> and showing the location of the cable system headends and communities</w:t>
      </w:r>
    </w:p>
    <w:p w:rsidR="00967352" w:rsidRPr="003D7170" w:rsidRDefault="00967352" w:rsidP="00967352">
      <w:pPr>
        <w:pStyle w:val="ParaNum"/>
        <w:numPr>
          <w:ilvl w:val="0"/>
          <w:numId w:val="0"/>
        </w:numPr>
        <w:spacing w:after="0"/>
        <w:ind w:left="1440"/>
        <w:rPr>
          <w:szCs w:val="22"/>
        </w:rPr>
      </w:pPr>
      <w:r w:rsidRPr="003D7170">
        <w:rPr>
          <w:szCs w:val="22"/>
        </w:rPr>
        <w:t>in relation to the service areas.</w:t>
      </w:r>
    </w:p>
    <w:p w:rsidR="00967352" w:rsidRPr="003D7170" w:rsidRDefault="00967352" w:rsidP="00967352">
      <w:pPr>
        <w:pStyle w:val="ParaNum"/>
        <w:numPr>
          <w:ilvl w:val="0"/>
          <w:numId w:val="0"/>
        </w:numPr>
        <w:spacing w:after="0"/>
        <w:ind w:left="1440"/>
        <w:rPr>
          <w:szCs w:val="22"/>
        </w:rPr>
      </w:pPr>
    </w:p>
    <w:p w:rsidR="00967352" w:rsidRPr="003D7170" w:rsidRDefault="00967352" w:rsidP="00967352">
      <w:pPr>
        <w:pStyle w:val="ParaNum"/>
        <w:widowControl/>
        <w:numPr>
          <w:ilvl w:val="0"/>
          <w:numId w:val="8"/>
        </w:numPr>
        <w:tabs>
          <w:tab w:val="left" w:pos="1440"/>
        </w:tabs>
        <w:snapToGrid w:val="0"/>
        <w:spacing w:after="0"/>
        <w:rPr>
          <w:szCs w:val="22"/>
        </w:rPr>
      </w:pPr>
      <w:r w:rsidRPr="003D7170">
        <w:rPr>
          <w:szCs w:val="22"/>
        </w:rPr>
        <w:t>Available data on shopping and labor patterns in the local</w:t>
      </w:r>
    </w:p>
    <w:p w:rsidR="00967352" w:rsidRPr="003D7170" w:rsidRDefault="00967352" w:rsidP="00967352">
      <w:pPr>
        <w:pStyle w:val="ParaNum"/>
        <w:numPr>
          <w:ilvl w:val="0"/>
          <w:numId w:val="0"/>
        </w:numPr>
        <w:spacing w:after="0"/>
        <w:ind w:left="1440"/>
        <w:rPr>
          <w:szCs w:val="22"/>
        </w:rPr>
      </w:pPr>
      <w:r w:rsidRPr="003D7170">
        <w:rPr>
          <w:szCs w:val="22"/>
        </w:rPr>
        <w:t>market.</w:t>
      </w:r>
    </w:p>
    <w:p w:rsidR="00967352" w:rsidRPr="003D7170" w:rsidRDefault="00967352" w:rsidP="00967352">
      <w:pPr>
        <w:pStyle w:val="ParaNum"/>
        <w:numPr>
          <w:ilvl w:val="0"/>
          <w:numId w:val="0"/>
        </w:numPr>
        <w:spacing w:after="0"/>
        <w:ind w:left="1440"/>
        <w:rPr>
          <w:szCs w:val="22"/>
        </w:rPr>
      </w:pPr>
    </w:p>
    <w:p w:rsidR="00967352" w:rsidRPr="003D7170" w:rsidRDefault="00967352" w:rsidP="00967352">
      <w:pPr>
        <w:pStyle w:val="ParaNum"/>
        <w:widowControl/>
        <w:numPr>
          <w:ilvl w:val="0"/>
          <w:numId w:val="8"/>
        </w:numPr>
        <w:tabs>
          <w:tab w:val="left" w:pos="1440"/>
        </w:tabs>
        <w:snapToGrid w:val="0"/>
        <w:spacing w:after="0"/>
        <w:rPr>
          <w:szCs w:val="22"/>
        </w:rPr>
      </w:pPr>
      <w:r w:rsidRPr="003D7170">
        <w:rPr>
          <w:szCs w:val="22"/>
        </w:rPr>
        <w:t>Television station programming information derived from station</w:t>
      </w:r>
    </w:p>
    <w:p w:rsidR="00967352" w:rsidRPr="003D7170" w:rsidRDefault="00967352" w:rsidP="00967352">
      <w:pPr>
        <w:pStyle w:val="ParaNum"/>
        <w:numPr>
          <w:ilvl w:val="0"/>
          <w:numId w:val="0"/>
        </w:numPr>
        <w:spacing w:after="0"/>
        <w:ind w:left="1440"/>
        <w:rPr>
          <w:szCs w:val="22"/>
        </w:rPr>
      </w:pPr>
      <w:r w:rsidRPr="003D7170">
        <w:rPr>
          <w:szCs w:val="22"/>
        </w:rPr>
        <w:t>logs or the local edition of the television guide.</w:t>
      </w:r>
    </w:p>
    <w:p w:rsidR="00967352" w:rsidRPr="003D7170" w:rsidRDefault="00967352" w:rsidP="00967352">
      <w:pPr>
        <w:pStyle w:val="ParaNum"/>
        <w:numPr>
          <w:ilvl w:val="0"/>
          <w:numId w:val="0"/>
        </w:numPr>
        <w:spacing w:after="0"/>
        <w:ind w:left="1440"/>
        <w:rPr>
          <w:szCs w:val="22"/>
        </w:rPr>
      </w:pPr>
    </w:p>
    <w:p w:rsidR="00967352" w:rsidRPr="003D7170" w:rsidRDefault="00967352" w:rsidP="00967352">
      <w:pPr>
        <w:pStyle w:val="ParaNum"/>
        <w:widowControl/>
        <w:numPr>
          <w:ilvl w:val="0"/>
          <w:numId w:val="8"/>
        </w:numPr>
        <w:tabs>
          <w:tab w:val="left" w:pos="1440"/>
        </w:tabs>
        <w:snapToGrid w:val="0"/>
        <w:spacing w:after="0"/>
        <w:rPr>
          <w:szCs w:val="22"/>
        </w:rPr>
      </w:pPr>
      <w:r w:rsidRPr="003D7170">
        <w:rPr>
          <w:szCs w:val="22"/>
        </w:rPr>
        <w:t>Cable system channel line-up cards or other exhibits establishing</w:t>
      </w:r>
    </w:p>
    <w:p w:rsidR="00967352" w:rsidRPr="003D7170" w:rsidRDefault="00967352" w:rsidP="00967352">
      <w:pPr>
        <w:pStyle w:val="ParaNum"/>
        <w:numPr>
          <w:ilvl w:val="0"/>
          <w:numId w:val="0"/>
        </w:numPr>
        <w:spacing w:after="0"/>
        <w:ind w:left="1440"/>
        <w:rPr>
          <w:szCs w:val="22"/>
        </w:rPr>
      </w:pPr>
      <w:r w:rsidRPr="003D7170">
        <w:rPr>
          <w:szCs w:val="22"/>
        </w:rPr>
        <w:t>historic carriage, such as television guide listings.</w:t>
      </w:r>
    </w:p>
    <w:p w:rsidR="00967352" w:rsidRPr="003D7170" w:rsidRDefault="00967352" w:rsidP="00967352">
      <w:pPr>
        <w:pStyle w:val="ParaNum"/>
        <w:numPr>
          <w:ilvl w:val="0"/>
          <w:numId w:val="0"/>
        </w:numPr>
        <w:spacing w:after="0"/>
        <w:ind w:left="1440"/>
        <w:rPr>
          <w:szCs w:val="22"/>
        </w:rPr>
      </w:pPr>
    </w:p>
    <w:p w:rsidR="00967352" w:rsidRPr="003D7170" w:rsidRDefault="00967352" w:rsidP="00967352">
      <w:pPr>
        <w:pStyle w:val="ParaNum"/>
        <w:widowControl/>
        <w:numPr>
          <w:ilvl w:val="0"/>
          <w:numId w:val="8"/>
        </w:numPr>
        <w:tabs>
          <w:tab w:val="left" w:pos="1440"/>
        </w:tabs>
        <w:snapToGrid w:val="0"/>
        <w:spacing w:after="0"/>
        <w:rPr>
          <w:szCs w:val="22"/>
        </w:rPr>
      </w:pPr>
      <w:r w:rsidRPr="003D7170">
        <w:rPr>
          <w:szCs w:val="22"/>
        </w:rPr>
        <w:t>Published audience data for the relevant station showing its</w:t>
      </w:r>
    </w:p>
    <w:p w:rsidR="00967352" w:rsidRPr="003D7170" w:rsidRDefault="00967352" w:rsidP="00967352">
      <w:pPr>
        <w:pStyle w:val="ParaNum"/>
        <w:numPr>
          <w:ilvl w:val="0"/>
          <w:numId w:val="0"/>
        </w:numPr>
        <w:spacing w:after="0"/>
        <w:ind w:left="1440"/>
        <w:rPr>
          <w:szCs w:val="22"/>
        </w:rPr>
      </w:pPr>
      <w:r w:rsidRPr="003D7170">
        <w:rPr>
          <w:szCs w:val="22"/>
        </w:rPr>
        <w:t>average all day audience (</w:t>
      </w:r>
      <w:r w:rsidRPr="003D7170">
        <w:rPr>
          <w:i/>
          <w:szCs w:val="22"/>
        </w:rPr>
        <w:t xml:space="preserve">i.e., </w:t>
      </w:r>
      <w:r w:rsidRPr="003D7170">
        <w:rPr>
          <w:szCs w:val="22"/>
        </w:rPr>
        <w:t>the reported audience averaged over</w:t>
      </w:r>
    </w:p>
    <w:p w:rsidR="00967352" w:rsidRPr="003D7170" w:rsidRDefault="00967352" w:rsidP="00967352">
      <w:pPr>
        <w:pStyle w:val="ParaNum"/>
        <w:numPr>
          <w:ilvl w:val="0"/>
          <w:numId w:val="0"/>
        </w:numPr>
        <w:spacing w:after="0"/>
        <w:ind w:left="1440"/>
        <w:rPr>
          <w:szCs w:val="22"/>
        </w:rPr>
      </w:pPr>
      <w:r w:rsidRPr="003D7170">
        <w:rPr>
          <w:szCs w:val="22"/>
        </w:rPr>
        <w:t>Sunday-Saturday, 7 a.m.-1 a.m., or an equivalent time period) for both</w:t>
      </w:r>
    </w:p>
    <w:p w:rsidR="00967352" w:rsidRPr="003D7170" w:rsidRDefault="00967352" w:rsidP="00967352">
      <w:pPr>
        <w:pStyle w:val="ParaNum"/>
        <w:numPr>
          <w:ilvl w:val="0"/>
          <w:numId w:val="0"/>
        </w:numPr>
        <w:spacing w:after="0"/>
        <w:ind w:left="1440"/>
        <w:rPr>
          <w:szCs w:val="22"/>
        </w:rPr>
      </w:pPr>
      <w:r w:rsidRPr="003D7170">
        <w:rPr>
          <w:szCs w:val="22"/>
        </w:rPr>
        <w:t xml:space="preserve">cable and noncable households or other specific audience indicia, such </w:t>
      </w:r>
    </w:p>
    <w:p w:rsidR="00967352" w:rsidRPr="003D7170" w:rsidRDefault="00967352" w:rsidP="00967352">
      <w:pPr>
        <w:pStyle w:val="ParaNum"/>
        <w:numPr>
          <w:ilvl w:val="0"/>
          <w:numId w:val="0"/>
        </w:numPr>
        <w:spacing w:after="0"/>
        <w:ind w:left="1440"/>
        <w:rPr>
          <w:szCs w:val="22"/>
        </w:rPr>
      </w:pPr>
      <w:r w:rsidRPr="003D7170">
        <w:rPr>
          <w:szCs w:val="22"/>
        </w:rPr>
        <w:t>as station advertising and sales data or viewer contribution records.</w:t>
      </w:r>
      <w:r w:rsidRPr="003D7170">
        <w:rPr>
          <w:rStyle w:val="FootnoteReference"/>
          <w:szCs w:val="22"/>
        </w:rPr>
        <w:footnoteReference w:id="11"/>
      </w:r>
    </w:p>
    <w:p w:rsidR="00967352" w:rsidRPr="003D7170" w:rsidRDefault="00967352" w:rsidP="00967352">
      <w:pPr>
        <w:pStyle w:val="ParaNum"/>
        <w:numPr>
          <w:ilvl w:val="0"/>
          <w:numId w:val="0"/>
        </w:numPr>
        <w:spacing w:after="0"/>
        <w:ind w:left="1440"/>
        <w:rPr>
          <w:szCs w:val="22"/>
        </w:rPr>
      </w:pPr>
    </w:p>
    <w:p w:rsidR="00967352" w:rsidRPr="003D7170" w:rsidRDefault="00967352" w:rsidP="00967352">
      <w:pPr>
        <w:pStyle w:val="ParaNum"/>
      </w:pPr>
      <w:r w:rsidRPr="003D7170">
        <w:rPr>
          <w:szCs w:val="22"/>
        </w:rPr>
        <w:t xml:space="preserve">Petitions for special relief to modify television markets that do not include the above evidence shall be dismissed without prejudice and may be re-filed at a later date with the appropriate filing fee.  The </w:t>
      </w:r>
      <w:r w:rsidRPr="003D7170">
        <w:rPr>
          <w:i/>
          <w:szCs w:val="22"/>
        </w:rPr>
        <w:t xml:space="preserve">Modification Final Report and Order </w:t>
      </w:r>
      <w:r w:rsidRPr="003D7170">
        <w:rPr>
          <w:szCs w:val="22"/>
        </w:rPr>
        <w:t>provides that parties may continue to submit whatever additional evidence they deem appropriate and relevant.</w:t>
      </w:r>
    </w:p>
    <w:p w:rsidR="00967352" w:rsidRPr="003D7170" w:rsidRDefault="00967352" w:rsidP="00967352">
      <w:pPr>
        <w:pStyle w:val="ParaNum"/>
      </w:pPr>
      <w:r w:rsidRPr="003D7170">
        <w:rPr>
          <w:szCs w:val="22"/>
        </w:rPr>
        <w:t xml:space="preserve">In the </w:t>
      </w:r>
      <w:r w:rsidRPr="003D7170">
        <w:rPr>
          <w:i/>
          <w:szCs w:val="22"/>
        </w:rPr>
        <w:t xml:space="preserve">Carriage of Digital Television Broadcast Signals First Report and Order </w:t>
      </w:r>
      <w:r w:rsidRPr="003D7170">
        <w:rPr>
          <w:szCs w:val="22"/>
        </w:rPr>
        <w:t>(“</w:t>
      </w:r>
      <w:r w:rsidRPr="003D7170">
        <w:rPr>
          <w:i/>
          <w:szCs w:val="22"/>
        </w:rPr>
        <w:t>DTV Must Carry Report and Order</w:t>
      </w:r>
      <w:r w:rsidRPr="003D7170">
        <w:rPr>
          <w:szCs w:val="22"/>
        </w:rPr>
        <w:t>”), the Commission concluded that under Section 614(a) of the Act, digital-only television stations had mandatory carriage rights, and amended its rules to reflect this.</w:t>
      </w:r>
      <w:r w:rsidRPr="003D7170">
        <w:rPr>
          <w:rStyle w:val="FootnoteReference"/>
          <w:szCs w:val="22"/>
        </w:rPr>
        <w:footnoteReference w:id="12"/>
      </w:r>
      <w:r w:rsidRPr="003D7170">
        <w:rPr>
          <w:szCs w:val="22"/>
        </w:rPr>
        <w:t xml:space="preserve">  The Commission also clarified its framework for analyzing market modifications for digital television stations.</w:t>
      </w:r>
      <w:r w:rsidRPr="003D7170">
        <w:rPr>
          <w:rStyle w:val="FootnoteReference"/>
          <w:szCs w:val="22"/>
        </w:rPr>
        <w:footnoteReference w:id="13"/>
      </w:r>
      <w:r w:rsidRPr="003D7170">
        <w:rPr>
          <w:szCs w:val="22"/>
        </w:rPr>
        <w:t xml:space="preserve">  It found that the statutory factors in Section 614(h), the current process for requesting market modifications, and the evidence needed to support such petitions, would be applicable to digital television modification petitions.</w:t>
      </w:r>
      <w:r w:rsidRPr="003D7170">
        <w:rPr>
          <w:rStyle w:val="FootnoteReference"/>
          <w:szCs w:val="22"/>
        </w:rPr>
        <w:footnoteReference w:id="14"/>
      </w:r>
      <w:r w:rsidRPr="003D7170">
        <w:rPr>
          <w:szCs w:val="22"/>
        </w:rPr>
        <w:t xml:space="preserve">  While the Commission presumed the market of a station’s digital signal would be coterminous with that station’s market area for its prior analog signal, it recognized that the technical coverage area of a digital television signal may not exactly replicate the technical coverage area of its former analog television signal.</w:t>
      </w:r>
      <w:r w:rsidRPr="003D7170">
        <w:rPr>
          <w:rStyle w:val="FootnoteReference"/>
          <w:szCs w:val="22"/>
        </w:rPr>
        <w:footnoteReference w:id="15"/>
      </w:r>
      <w:r w:rsidRPr="003D7170">
        <w:rPr>
          <w:szCs w:val="22"/>
        </w:rPr>
        <w:t xml:space="preserve">  Therefore, in deciding DTV market modifications, the Commission would take changes in signal strength and technical coverage into consideration, on a case-by-case basis.</w:t>
      </w:r>
    </w:p>
    <w:p w:rsidR="00967352" w:rsidRPr="003D7170" w:rsidRDefault="00967352" w:rsidP="00967352">
      <w:pPr>
        <w:pStyle w:val="Heading1"/>
      </w:pPr>
      <w:r w:rsidRPr="003D7170">
        <w:t>discussion</w:t>
      </w:r>
    </w:p>
    <w:p w:rsidR="00967352" w:rsidRPr="003D7170" w:rsidRDefault="006800F0" w:rsidP="00967352">
      <w:pPr>
        <w:pStyle w:val="ParaNum"/>
      </w:pPr>
      <w:r>
        <w:rPr>
          <w:szCs w:val="22"/>
        </w:rPr>
        <w:t>Pine is a newly formed cable television venture of Pine Telephone and has obtained a franchise to establish a cable system in Halfway</w:t>
      </w:r>
      <w:r w:rsidRPr="003D7170">
        <w:rPr>
          <w:szCs w:val="22"/>
        </w:rPr>
        <w:t>, Oregon (“Halfway”), which is located in the Portland, Oregon</w:t>
      </w:r>
      <w:r w:rsidRPr="006800F0">
        <w:rPr>
          <w:szCs w:val="22"/>
        </w:rPr>
        <w:t xml:space="preserve"> </w:t>
      </w:r>
      <w:r w:rsidRPr="003D7170">
        <w:rPr>
          <w:szCs w:val="22"/>
        </w:rPr>
        <w:t>Designated Market Area (“DMA”)</w:t>
      </w:r>
      <w:r>
        <w:rPr>
          <w:szCs w:val="22"/>
        </w:rPr>
        <w:t>.</w:t>
      </w:r>
      <w:r w:rsidR="00367BCB">
        <w:rPr>
          <w:rStyle w:val="FootnoteReference"/>
          <w:szCs w:val="22"/>
        </w:rPr>
        <w:footnoteReference w:id="16"/>
      </w:r>
      <w:r w:rsidRPr="003D7170">
        <w:rPr>
          <w:szCs w:val="22"/>
        </w:rPr>
        <w:t xml:space="preserve"> </w:t>
      </w:r>
      <w:r>
        <w:rPr>
          <w:szCs w:val="22"/>
        </w:rPr>
        <w:t xml:space="preserve">  </w:t>
      </w:r>
      <w:r w:rsidRPr="003D7170">
        <w:rPr>
          <w:szCs w:val="22"/>
        </w:rPr>
        <w:t xml:space="preserve">The Petition requests that the markets for </w:t>
      </w:r>
      <w:r>
        <w:rPr>
          <w:szCs w:val="22"/>
        </w:rPr>
        <w:t>five television broadcast stations</w:t>
      </w:r>
      <w:r w:rsidRPr="003D7170">
        <w:rPr>
          <w:szCs w:val="22"/>
        </w:rPr>
        <w:t xml:space="preserve"> be modified to include the cable community of Halfway</w:t>
      </w:r>
      <w:r w:rsidR="00367BCB">
        <w:rPr>
          <w:szCs w:val="22"/>
        </w:rPr>
        <w:t xml:space="preserve"> so that Pine may </w:t>
      </w:r>
      <w:r w:rsidR="00187295">
        <w:rPr>
          <w:szCs w:val="22"/>
        </w:rPr>
        <w:t>carry</w:t>
      </w:r>
      <w:r w:rsidR="00367BCB">
        <w:rPr>
          <w:szCs w:val="22"/>
        </w:rPr>
        <w:t xml:space="preserve"> them as local stations on its cable system</w:t>
      </w:r>
      <w:r w:rsidRPr="003D7170">
        <w:rPr>
          <w:szCs w:val="22"/>
        </w:rPr>
        <w:t>.</w:t>
      </w:r>
      <w:r w:rsidRPr="003D7170">
        <w:rPr>
          <w:rStyle w:val="FootnoteReference"/>
          <w:szCs w:val="22"/>
        </w:rPr>
        <w:footnoteReference w:id="17"/>
      </w:r>
      <w:r>
        <w:rPr>
          <w:szCs w:val="22"/>
        </w:rPr>
        <w:t xml:space="preserve">  </w:t>
      </w:r>
      <w:r w:rsidR="009D043D" w:rsidRPr="003D7170">
        <w:rPr>
          <w:szCs w:val="22"/>
        </w:rPr>
        <w:t>The</w:t>
      </w:r>
      <w:r w:rsidR="00D26988" w:rsidRPr="003D7170">
        <w:rPr>
          <w:szCs w:val="22"/>
        </w:rPr>
        <w:t xml:space="preserve"> five</w:t>
      </w:r>
      <w:r w:rsidR="009D043D" w:rsidRPr="003D7170">
        <w:rPr>
          <w:szCs w:val="22"/>
        </w:rPr>
        <w:t xml:space="preserve"> stations at issue in this Petition are </w:t>
      </w:r>
      <w:r w:rsidR="009D043D" w:rsidRPr="003D7170">
        <w:rPr>
          <w:spacing w:val="-2"/>
        </w:rPr>
        <w:t xml:space="preserve">KBOI-TV, KTVB, KIVI-TV, KTRV-TV, </w:t>
      </w:r>
      <w:r w:rsidR="00D26988" w:rsidRPr="003D7170">
        <w:rPr>
          <w:spacing w:val="-2"/>
        </w:rPr>
        <w:t xml:space="preserve">and </w:t>
      </w:r>
      <w:r w:rsidR="009D043D" w:rsidRPr="003D7170">
        <w:rPr>
          <w:spacing w:val="-2"/>
        </w:rPr>
        <w:t>KNIN-TV (</w:t>
      </w:r>
      <w:r w:rsidR="005A17CA" w:rsidRPr="003D7170">
        <w:rPr>
          <w:spacing w:val="-2"/>
        </w:rPr>
        <w:t xml:space="preserve">collectively </w:t>
      </w:r>
      <w:r w:rsidR="009D043D" w:rsidRPr="003D7170">
        <w:rPr>
          <w:spacing w:val="-2"/>
        </w:rPr>
        <w:t xml:space="preserve">“the </w:t>
      </w:r>
      <w:r w:rsidR="00DA595C" w:rsidRPr="003D7170">
        <w:rPr>
          <w:spacing w:val="-2"/>
        </w:rPr>
        <w:t xml:space="preserve">Boise </w:t>
      </w:r>
      <w:r w:rsidR="009D043D" w:rsidRPr="003D7170">
        <w:rPr>
          <w:spacing w:val="-2"/>
        </w:rPr>
        <w:t>Stations”).</w:t>
      </w:r>
      <w:r w:rsidR="00606177" w:rsidRPr="003D7170">
        <w:rPr>
          <w:rStyle w:val="FootnoteReference"/>
          <w:spacing w:val="-2"/>
        </w:rPr>
        <w:footnoteReference w:id="18"/>
      </w:r>
      <w:r w:rsidR="009D043D" w:rsidRPr="003D7170">
        <w:rPr>
          <w:spacing w:val="-2"/>
        </w:rPr>
        <w:t xml:space="preserve"> </w:t>
      </w:r>
      <w:r w:rsidR="009D043D" w:rsidRPr="003D7170">
        <w:rPr>
          <w:szCs w:val="22"/>
        </w:rPr>
        <w:t xml:space="preserve"> The </w:t>
      </w:r>
      <w:r w:rsidR="000F645E" w:rsidRPr="003D7170">
        <w:rPr>
          <w:szCs w:val="22"/>
        </w:rPr>
        <w:t xml:space="preserve">Boise </w:t>
      </w:r>
      <w:r w:rsidR="009D043D" w:rsidRPr="003D7170">
        <w:rPr>
          <w:szCs w:val="22"/>
        </w:rPr>
        <w:t>Stations all serve the Boise, Idaho</w:t>
      </w:r>
      <w:r>
        <w:rPr>
          <w:szCs w:val="22"/>
        </w:rPr>
        <w:t xml:space="preserve"> DMA</w:t>
      </w:r>
      <w:r w:rsidR="009D043D" w:rsidRPr="003D7170">
        <w:rPr>
          <w:szCs w:val="22"/>
        </w:rPr>
        <w:t>.</w:t>
      </w:r>
      <w:r w:rsidR="00941D29" w:rsidRPr="003D7170">
        <w:rPr>
          <w:rStyle w:val="FootnoteReference"/>
          <w:szCs w:val="22"/>
        </w:rPr>
        <w:footnoteReference w:id="19"/>
      </w:r>
      <w:r w:rsidR="009D043D" w:rsidRPr="003D7170">
        <w:rPr>
          <w:szCs w:val="22"/>
        </w:rPr>
        <w:t xml:space="preserve">  </w:t>
      </w:r>
    </w:p>
    <w:p w:rsidR="00D26988" w:rsidRPr="003D7170" w:rsidRDefault="00D26988" w:rsidP="00967352">
      <w:pPr>
        <w:pStyle w:val="ParaNum"/>
      </w:pPr>
      <w:r w:rsidRPr="003D7170">
        <w:rPr>
          <w:szCs w:val="22"/>
        </w:rPr>
        <w:t>The first statutory factor we consider in determining whether to grant a market modification petition is “whether the station, or other stations located in the same area have been historically carried on the cable system or systems within such community.”</w:t>
      </w:r>
      <w:r w:rsidRPr="003D7170">
        <w:rPr>
          <w:rStyle w:val="FootnoteReference"/>
          <w:szCs w:val="22"/>
        </w:rPr>
        <w:footnoteReference w:id="20"/>
      </w:r>
      <w:r w:rsidR="004F148D" w:rsidRPr="003D7170">
        <w:rPr>
          <w:szCs w:val="22"/>
        </w:rPr>
        <w:t xml:space="preserve">  Pine states that no cable system presently serves the community of Halfway.</w:t>
      </w:r>
      <w:r w:rsidR="001C64AF" w:rsidRPr="003D7170">
        <w:rPr>
          <w:rStyle w:val="FootnoteReference"/>
          <w:szCs w:val="22"/>
        </w:rPr>
        <w:footnoteReference w:id="21"/>
      </w:r>
      <w:r w:rsidR="004F148D" w:rsidRPr="003D7170">
        <w:rPr>
          <w:szCs w:val="22"/>
        </w:rPr>
        <w:t xml:space="preserve">  </w:t>
      </w:r>
      <w:r w:rsidR="003B2DA2" w:rsidRPr="003D7170">
        <w:rPr>
          <w:szCs w:val="22"/>
        </w:rPr>
        <w:t xml:space="preserve">The </w:t>
      </w:r>
      <w:r w:rsidR="00B62208" w:rsidRPr="003D7170">
        <w:rPr>
          <w:szCs w:val="22"/>
        </w:rPr>
        <w:t>exhibits provided</w:t>
      </w:r>
      <w:r w:rsidR="003B2DA2" w:rsidRPr="003D7170">
        <w:rPr>
          <w:szCs w:val="22"/>
        </w:rPr>
        <w:t xml:space="preserve"> </w:t>
      </w:r>
      <w:r w:rsidR="00B62208" w:rsidRPr="003D7170">
        <w:rPr>
          <w:szCs w:val="22"/>
        </w:rPr>
        <w:t>by Pine indicate</w:t>
      </w:r>
      <w:r w:rsidR="003B2DA2" w:rsidRPr="003D7170">
        <w:rPr>
          <w:szCs w:val="22"/>
        </w:rPr>
        <w:t xml:space="preserve"> that </w:t>
      </w:r>
      <w:r w:rsidR="004F148D" w:rsidRPr="003D7170">
        <w:rPr>
          <w:szCs w:val="22"/>
        </w:rPr>
        <w:t>Charter Communications provided cable service to Halfwa</w:t>
      </w:r>
      <w:r w:rsidR="002856C1" w:rsidRPr="003D7170">
        <w:rPr>
          <w:szCs w:val="22"/>
        </w:rPr>
        <w:t xml:space="preserve">y from 1999 to 2006 and carried </w:t>
      </w:r>
      <w:r w:rsidR="00CF6D18" w:rsidRPr="003D7170">
        <w:rPr>
          <w:szCs w:val="22"/>
        </w:rPr>
        <w:t xml:space="preserve">some of </w:t>
      </w:r>
      <w:r w:rsidR="004F148D" w:rsidRPr="003D7170">
        <w:rPr>
          <w:szCs w:val="22"/>
        </w:rPr>
        <w:t xml:space="preserve">the </w:t>
      </w:r>
      <w:r w:rsidR="00DA595C" w:rsidRPr="003D7170">
        <w:rPr>
          <w:szCs w:val="22"/>
        </w:rPr>
        <w:t xml:space="preserve">Boise </w:t>
      </w:r>
      <w:r w:rsidR="004F148D" w:rsidRPr="003D7170">
        <w:rPr>
          <w:szCs w:val="22"/>
        </w:rPr>
        <w:t>Stations on its system.</w:t>
      </w:r>
      <w:r w:rsidR="004F148D" w:rsidRPr="003D7170">
        <w:rPr>
          <w:rStyle w:val="FootnoteReference"/>
          <w:szCs w:val="22"/>
        </w:rPr>
        <w:footnoteReference w:id="22"/>
      </w:r>
      <w:r w:rsidR="004F148D" w:rsidRPr="003D7170">
        <w:rPr>
          <w:szCs w:val="22"/>
        </w:rPr>
        <w:t xml:space="preserve">  </w:t>
      </w:r>
      <w:r w:rsidR="00E27F39" w:rsidRPr="003D7170">
        <w:rPr>
          <w:szCs w:val="22"/>
        </w:rPr>
        <w:t>Prior to Charter</w:t>
      </w:r>
      <w:r w:rsidR="003B2DA2" w:rsidRPr="003D7170">
        <w:rPr>
          <w:szCs w:val="22"/>
        </w:rPr>
        <w:t>’s service</w:t>
      </w:r>
      <w:r w:rsidR="00E27F39" w:rsidRPr="003D7170">
        <w:rPr>
          <w:szCs w:val="22"/>
        </w:rPr>
        <w:t xml:space="preserve">, Halfway was served by Falcon Cable which </w:t>
      </w:r>
      <w:r w:rsidR="00974009" w:rsidRPr="003D7170">
        <w:rPr>
          <w:szCs w:val="22"/>
        </w:rPr>
        <w:t xml:space="preserve">also </w:t>
      </w:r>
      <w:r w:rsidR="00E27F39" w:rsidRPr="003D7170">
        <w:rPr>
          <w:szCs w:val="22"/>
        </w:rPr>
        <w:t xml:space="preserve">carried </w:t>
      </w:r>
      <w:r w:rsidR="006351A2" w:rsidRPr="003D7170">
        <w:rPr>
          <w:szCs w:val="22"/>
        </w:rPr>
        <w:t>KBOI-TV, KIVI-TV, and KTVB</w:t>
      </w:r>
      <w:r w:rsidR="00E27F39" w:rsidRPr="003D7170">
        <w:rPr>
          <w:szCs w:val="22"/>
        </w:rPr>
        <w:t xml:space="preserve"> in 1997</w:t>
      </w:r>
      <w:r w:rsidR="00652319" w:rsidRPr="003D7170">
        <w:rPr>
          <w:szCs w:val="22"/>
        </w:rPr>
        <w:t xml:space="preserve"> and marketed them as the local broadcast channels</w:t>
      </w:r>
      <w:r w:rsidR="00E27F39" w:rsidRPr="003D7170">
        <w:rPr>
          <w:szCs w:val="22"/>
        </w:rPr>
        <w:t>.</w:t>
      </w:r>
      <w:r w:rsidR="00E27F39" w:rsidRPr="003D7170">
        <w:rPr>
          <w:rStyle w:val="FootnoteReference"/>
          <w:szCs w:val="22"/>
        </w:rPr>
        <w:footnoteReference w:id="23"/>
      </w:r>
      <w:r w:rsidR="00E27F39" w:rsidRPr="003D7170">
        <w:rPr>
          <w:szCs w:val="22"/>
        </w:rPr>
        <w:t xml:space="preserve">  </w:t>
      </w:r>
    </w:p>
    <w:p w:rsidR="00D26988" w:rsidRPr="003D7170" w:rsidRDefault="00D26988" w:rsidP="00967352">
      <w:pPr>
        <w:pStyle w:val="ParaNum"/>
      </w:pPr>
      <w:r w:rsidRPr="003D7170">
        <w:rPr>
          <w:szCs w:val="22"/>
        </w:rPr>
        <w:t>The second statutory factor is “whether the television station provides coverage or other local service to such community.”</w:t>
      </w:r>
      <w:r w:rsidRPr="003D7170">
        <w:rPr>
          <w:rStyle w:val="FootnoteReference"/>
          <w:szCs w:val="22"/>
        </w:rPr>
        <w:footnoteReference w:id="24"/>
      </w:r>
      <w:r w:rsidR="005A17CA" w:rsidRPr="003D7170">
        <w:rPr>
          <w:szCs w:val="22"/>
        </w:rPr>
        <w:t xml:space="preserve">  Pine </w:t>
      </w:r>
      <w:r w:rsidR="003B2DA2" w:rsidRPr="003D7170">
        <w:rPr>
          <w:szCs w:val="22"/>
        </w:rPr>
        <w:t>provid</w:t>
      </w:r>
      <w:r w:rsidR="005A17CA" w:rsidRPr="003D7170">
        <w:rPr>
          <w:szCs w:val="22"/>
        </w:rPr>
        <w:t xml:space="preserve">es that </w:t>
      </w:r>
      <w:r w:rsidR="00A8567A" w:rsidRPr="003D7170">
        <w:rPr>
          <w:szCs w:val="22"/>
        </w:rPr>
        <w:t>Halfway is</w:t>
      </w:r>
      <w:r w:rsidR="005A17CA" w:rsidRPr="003D7170">
        <w:rPr>
          <w:szCs w:val="22"/>
        </w:rPr>
        <w:t xml:space="preserve"> </w:t>
      </w:r>
      <w:r w:rsidR="00C4192E" w:rsidRPr="003D7170">
        <w:rPr>
          <w:szCs w:val="22"/>
        </w:rPr>
        <w:t>located close to the</w:t>
      </w:r>
      <w:r w:rsidR="00A8567A" w:rsidRPr="003D7170">
        <w:rPr>
          <w:szCs w:val="22"/>
        </w:rPr>
        <w:t xml:space="preserve"> noise-limited contours of the </w:t>
      </w:r>
      <w:r w:rsidR="00DA595C" w:rsidRPr="003D7170">
        <w:rPr>
          <w:szCs w:val="22"/>
        </w:rPr>
        <w:t xml:space="preserve">Boise </w:t>
      </w:r>
      <w:r w:rsidR="00A8567A" w:rsidRPr="003D7170">
        <w:rPr>
          <w:szCs w:val="22"/>
        </w:rPr>
        <w:t>Stations’ signals.</w:t>
      </w:r>
      <w:r w:rsidR="00A8567A" w:rsidRPr="003D7170">
        <w:rPr>
          <w:rStyle w:val="FootnoteReference"/>
          <w:szCs w:val="22"/>
        </w:rPr>
        <w:footnoteReference w:id="25"/>
      </w:r>
      <w:r w:rsidR="00A8567A" w:rsidRPr="003D7170">
        <w:rPr>
          <w:szCs w:val="22"/>
        </w:rPr>
        <w:t xml:space="preserve">  Pine also states that the </w:t>
      </w:r>
      <w:r w:rsidR="00DA595C" w:rsidRPr="003D7170">
        <w:rPr>
          <w:szCs w:val="22"/>
        </w:rPr>
        <w:t xml:space="preserve">Boise </w:t>
      </w:r>
      <w:r w:rsidR="00A8567A" w:rsidRPr="003D7170">
        <w:rPr>
          <w:szCs w:val="22"/>
        </w:rPr>
        <w:t>Stations are closer geographically to Halfway than the stations in the Portland DMA.</w:t>
      </w:r>
      <w:r w:rsidR="00A8567A" w:rsidRPr="003D7170">
        <w:rPr>
          <w:rStyle w:val="FootnoteReference"/>
          <w:szCs w:val="22"/>
        </w:rPr>
        <w:footnoteReference w:id="26"/>
      </w:r>
      <w:r w:rsidR="00EE78CF" w:rsidRPr="003D7170">
        <w:rPr>
          <w:szCs w:val="22"/>
        </w:rPr>
        <w:t xml:space="preserve">  </w:t>
      </w:r>
      <w:r w:rsidR="00A8567A" w:rsidRPr="003D7170">
        <w:rPr>
          <w:szCs w:val="22"/>
        </w:rPr>
        <w:t xml:space="preserve">Pine states that the </w:t>
      </w:r>
      <w:r w:rsidR="00DA595C" w:rsidRPr="003D7170">
        <w:rPr>
          <w:szCs w:val="22"/>
        </w:rPr>
        <w:t xml:space="preserve">Boise </w:t>
      </w:r>
      <w:r w:rsidR="00A8567A" w:rsidRPr="003D7170">
        <w:rPr>
          <w:szCs w:val="22"/>
        </w:rPr>
        <w:t>Stations provide extensive local news, weather, and sports programming of interest to Halfway residents.</w:t>
      </w:r>
      <w:r w:rsidR="00A8567A" w:rsidRPr="003D7170">
        <w:rPr>
          <w:rStyle w:val="FootnoteReference"/>
          <w:szCs w:val="22"/>
        </w:rPr>
        <w:footnoteReference w:id="27"/>
      </w:r>
      <w:r w:rsidR="00EE78CF" w:rsidRPr="003D7170">
        <w:rPr>
          <w:szCs w:val="22"/>
        </w:rPr>
        <w:t xml:space="preserve">  Finally, Pine states that Halfway has strong economic ties to the Boise DMA</w:t>
      </w:r>
      <w:r w:rsidR="007E6DAC" w:rsidRPr="003D7170">
        <w:rPr>
          <w:szCs w:val="22"/>
        </w:rPr>
        <w:t xml:space="preserve"> based on labor patterns and Boise </w:t>
      </w:r>
      <w:r w:rsidR="00641E6E" w:rsidRPr="003D7170">
        <w:rPr>
          <w:szCs w:val="22"/>
        </w:rPr>
        <w:t xml:space="preserve">services </w:t>
      </w:r>
      <w:r w:rsidR="007E6DAC" w:rsidRPr="003D7170">
        <w:rPr>
          <w:szCs w:val="22"/>
        </w:rPr>
        <w:t>relied upon by Halfway residents</w:t>
      </w:r>
      <w:r w:rsidR="00EE78CF" w:rsidRPr="003D7170">
        <w:rPr>
          <w:szCs w:val="22"/>
        </w:rPr>
        <w:t>.</w:t>
      </w:r>
      <w:r w:rsidR="00941D29" w:rsidRPr="003D7170">
        <w:rPr>
          <w:rStyle w:val="FootnoteReference"/>
          <w:szCs w:val="22"/>
        </w:rPr>
        <w:footnoteReference w:id="28"/>
      </w:r>
      <w:r w:rsidR="00EE78CF" w:rsidRPr="003D7170">
        <w:rPr>
          <w:szCs w:val="22"/>
        </w:rPr>
        <w:t xml:space="preserve"> </w:t>
      </w:r>
    </w:p>
    <w:p w:rsidR="00D26988" w:rsidRPr="003D7170" w:rsidRDefault="00D26988" w:rsidP="00967352">
      <w:pPr>
        <w:pStyle w:val="ParaNum"/>
      </w:pPr>
      <w:r w:rsidRPr="003D7170">
        <w:rPr>
          <w:szCs w:val="22"/>
        </w:rPr>
        <w:t>The third statutory factor is “whether any other television station that is eligible to be carried by a cable system in such community in fulfillment of the requirements of this section provides news coverage of issues of concern to such community or provides carriage or coverage of sporting and other events of interest to the community.”</w:t>
      </w:r>
      <w:r w:rsidRPr="003D7170">
        <w:rPr>
          <w:rStyle w:val="FootnoteReference"/>
          <w:szCs w:val="22"/>
        </w:rPr>
        <w:footnoteReference w:id="29"/>
      </w:r>
      <w:r w:rsidR="00A8567A" w:rsidRPr="003D7170">
        <w:rPr>
          <w:szCs w:val="22"/>
        </w:rPr>
        <w:t xml:space="preserve">  Pine states that, aside from the </w:t>
      </w:r>
      <w:r w:rsidR="00DA595C" w:rsidRPr="003D7170">
        <w:rPr>
          <w:szCs w:val="22"/>
        </w:rPr>
        <w:t xml:space="preserve">Boise </w:t>
      </w:r>
      <w:r w:rsidR="00A8567A" w:rsidRPr="003D7170">
        <w:rPr>
          <w:szCs w:val="22"/>
        </w:rPr>
        <w:t>Stations, no other source has provided terrestrial commercial broadcast television coverage to Halfway.</w:t>
      </w:r>
      <w:r w:rsidR="00A8567A" w:rsidRPr="003D7170">
        <w:rPr>
          <w:rStyle w:val="FootnoteReference"/>
          <w:szCs w:val="22"/>
        </w:rPr>
        <w:footnoteReference w:id="30"/>
      </w:r>
      <w:r w:rsidR="00A8567A" w:rsidRPr="003D7170">
        <w:rPr>
          <w:szCs w:val="22"/>
        </w:rPr>
        <w:t xml:space="preserve"> </w:t>
      </w:r>
      <w:r w:rsidR="00F17185" w:rsidRPr="003D7170">
        <w:rPr>
          <w:szCs w:val="22"/>
        </w:rPr>
        <w:t xml:space="preserve"> </w:t>
      </w:r>
      <w:r w:rsidR="00194636">
        <w:rPr>
          <w:szCs w:val="22"/>
        </w:rPr>
        <w:t xml:space="preserve"> Pine asserts that </w:t>
      </w:r>
      <w:r w:rsidR="008B5770" w:rsidRPr="003D7170">
        <w:rPr>
          <w:szCs w:val="22"/>
        </w:rPr>
        <w:t xml:space="preserve">Halfway’s location is such that no other </w:t>
      </w:r>
      <w:r w:rsidR="00560386" w:rsidRPr="003D7170">
        <w:rPr>
          <w:szCs w:val="22"/>
        </w:rPr>
        <w:t xml:space="preserve">commercial </w:t>
      </w:r>
      <w:r w:rsidR="008B5770" w:rsidRPr="003D7170">
        <w:rPr>
          <w:szCs w:val="22"/>
        </w:rPr>
        <w:t xml:space="preserve">stations are able to </w:t>
      </w:r>
      <w:r w:rsidR="00560386" w:rsidRPr="003D7170">
        <w:rPr>
          <w:szCs w:val="22"/>
        </w:rPr>
        <w:t xml:space="preserve">cover the community due to the mountainous terrain </w:t>
      </w:r>
      <w:r w:rsidR="00194636">
        <w:rPr>
          <w:szCs w:val="22"/>
        </w:rPr>
        <w:t>and that</w:t>
      </w:r>
      <w:r w:rsidR="00560386" w:rsidRPr="003D7170">
        <w:rPr>
          <w:szCs w:val="22"/>
        </w:rPr>
        <w:t xml:space="preserve"> </w:t>
      </w:r>
      <w:r w:rsidR="00F17185" w:rsidRPr="003D7170">
        <w:rPr>
          <w:szCs w:val="22"/>
        </w:rPr>
        <w:t>Halfway only receives a noncommercial PBS broadcast signal via a translator station.</w:t>
      </w:r>
      <w:r w:rsidR="00194636" w:rsidRPr="00194636">
        <w:rPr>
          <w:rStyle w:val="FootnoteReference"/>
          <w:szCs w:val="22"/>
        </w:rPr>
        <w:t xml:space="preserve"> </w:t>
      </w:r>
      <w:r w:rsidR="00194636" w:rsidRPr="003D7170">
        <w:rPr>
          <w:rStyle w:val="FootnoteReference"/>
          <w:szCs w:val="22"/>
        </w:rPr>
        <w:footnoteReference w:id="31"/>
      </w:r>
    </w:p>
    <w:p w:rsidR="00606177" w:rsidRPr="003D7170" w:rsidRDefault="00D26988" w:rsidP="00967352">
      <w:pPr>
        <w:pStyle w:val="ParaNum"/>
      </w:pPr>
      <w:r w:rsidRPr="003D7170">
        <w:rPr>
          <w:szCs w:val="22"/>
        </w:rPr>
        <w:t>The fourth statutory factor concerns “evidence of viewing patterns in cable and noncable households within the areas served by the cable system or systems in such community.”</w:t>
      </w:r>
      <w:r w:rsidRPr="003D7170">
        <w:rPr>
          <w:rStyle w:val="FootnoteReference"/>
          <w:szCs w:val="22"/>
        </w:rPr>
        <w:footnoteReference w:id="32"/>
      </w:r>
      <w:r w:rsidR="00F17185" w:rsidRPr="003D7170">
        <w:rPr>
          <w:szCs w:val="22"/>
        </w:rPr>
        <w:t xml:space="preserve">  Pine states that Nielsen does not have viewership data for the </w:t>
      </w:r>
      <w:r w:rsidR="00DA595C" w:rsidRPr="003D7170">
        <w:rPr>
          <w:szCs w:val="22"/>
        </w:rPr>
        <w:t xml:space="preserve">Boise </w:t>
      </w:r>
      <w:r w:rsidR="00F17185" w:rsidRPr="003D7170">
        <w:rPr>
          <w:szCs w:val="22"/>
        </w:rPr>
        <w:t>Stations in Halfway.</w:t>
      </w:r>
      <w:r w:rsidR="005D0043" w:rsidRPr="003D7170">
        <w:rPr>
          <w:rStyle w:val="FootnoteReference"/>
          <w:szCs w:val="22"/>
        </w:rPr>
        <w:footnoteReference w:id="33"/>
      </w:r>
      <w:r w:rsidR="00F17185" w:rsidRPr="003D7170">
        <w:rPr>
          <w:szCs w:val="22"/>
        </w:rPr>
        <w:t xml:space="preserve">  Pine does not believe there is any published viewership data for Halfway because Halfway has been without cable servic</w:t>
      </w:r>
      <w:r w:rsidR="00CB42CC" w:rsidRPr="003D7170">
        <w:rPr>
          <w:szCs w:val="22"/>
        </w:rPr>
        <w:t xml:space="preserve">e since 2006 </w:t>
      </w:r>
      <w:r w:rsidR="00F17185" w:rsidRPr="003D7170">
        <w:rPr>
          <w:szCs w:val="22"/>
        </w:rPr>
        <w:t xml:space="preserve">and </w:t>
      </w:r>
      <w:r w:rsidR="00CB42CC" w:rsidRPr="003D7170">
        <w:rPr>
          <w:szCs w:val="22"/>
        </w:rPr>
        <w:t xml:space="preserve">without </w:t>
      </w:r>
      <w:r w:rsidR="00F17185" w:rsidRPr="003D7170">
        <w:rPr>
          <w:szCs w:val="22"/>
        </w:rPr>
        <w:t>all but one commercial television broadcast signal since 2013.</w:t>
      </w:r>
      <w:r w:rsidR="005D0043" w:rsidRPr="003D7170">
        <w:rPr>
          <w:rStyle w:val="FootnoteReference"/>
          <w:szCs w:val="22"/>
        </w:rPr>
        <w:footnoteReference w:id="34"/>
      </w:r>
      <w:r w:rsidR="00F17185" w:rsidRPr="003D7170">
        <w:rPr>
          <w:szCs w:val="22"/>
        </w:rPr>
        <w:t xml:space="preserve">  Pine argues that because the </w:t>
      </w:r>
      <w:r w:rsidR="00DA595C" w:rsidRPr="003D7170">
        <w:rPr>
          <w:szCs w:val="22"/>
        </w:rPr>
        <w:t xml:space="preserve">Boise </w:t>
      </w:r>
      <w:r w:rsidR="00F17185" w:rsidRPr="003D7170">
        <w:rPr>
          <w:szCs w:val="22"/>
        </w:rPr>
        <w:t xml:space="preserve">Stations are the only commercial broadcast stations to </w:t>
      </w:r>
      <w:r w:rsidR="00477FB2" w:rsidRPr="003D7170">
        <w:rPr>
          <w:szCs w:val="22"/>
        </w:rPr>
        <w:t xml:space="preserve">have </w:t>
      </w:r>
      <w:r w:rsidR="00F17185" w:rsidRPr="003D7170">
        <w:rPr>
          <w:szCs w:val="22"/>
        </w:rPr>
        <w:t>ever serve</w:t>
      </w:r>
      <w:r w:rsidR="00477FB2" w:rsidRPr="003D7170">
        <w:rPr>
          <w:szCs w:val="22"/>
        </w:rPr>
        <w:t>d</w:t>
      </w:r>
      <w:r w:rsidR="00F17185" w:rsidRPr="003D7170">
        <w:rPr>
          <w:szCs w:val="22"/>
        </w:rPr>
        <w:t xml:space="preserve"> Halfway, they are likely to </w:t>
      </w:r>
      <w:r w:rsidR="0041648C" w:rsidRPr="003D7170">
        <w:rPr>
          <w:szCs w:val="22"/>
        </w:rPr>
        <w:t>have</w:t>
      </w:r>
      <w:r w:rsidR="00F17185" w:rsidRPr="003D7170">
        <w:rPr>
          <w:szCs w:val="22"/>
        </w:rPr>
        <w:t xml:space="preserve"> significantly viewe</w:t>
      </w:r>
      <w:r w:rsidR="0041648C" w:rsidRPr="003D7170">
        <w:rPr>
          <w:szCs w:val="22"/>
        </w:rPr>
        <w:t>rship</w:t>
      </w:r>
      <w:r w:rsidR="00477FB2" w:rsidRPr="003D7170">
        <w:rPr>
          <w:szCs w:val="22"/>
        </w:rPr>
        <w:t xml:space="preserve"> in Halfway</w:t>
      </w:r>
      <w:r w:rsidR="005D0043" w:rsidRPr="003D7170">
        <w:rPr>
          <w:szCs w:val="22"/>
        </w:rPr>
        <w:t>.</w:t>
      </w:r>
      <w:r w:rsidR="005D0043" w:rsidRPr="003D7170">
        <w:rPr>
          <w:rStyle w:val="FootnoteReference"/>
          <w:szCs w:val="22"/>
        </w:rPr>
        <w:footnoteReference w:id="35"/>
      </w:r>
    </w:p>
    <w:p w:rsidR="00D26988" w:rsidRPr="003D7170" w:rsidRDefault="002D23EB" w:rsidP="00967352">
      <w:pPr>
        <w:pStyle w:val="ParaNum"/>
      </w:pPr>
      <w:r w:rsidRPr="003D7170">
        <w:rPr>
          <w:szCs w:val="22"/>
        </w:rPr>
        <w:t xml:space="preserve">With regard to </w:t>
      </w:r>
      <w:r w:rsidR="00941D29" w:rsidRPr="003D7170">
        <w:rPr>
          <w:szCs w:val="22"/>
        </w:rPr>
        <w:t xml:space="preserve">the first </w:t>
      </w:r>
      <w:r w:rsidR="00557EB8" w:rsidRPr="003D7170">
        <w:rPr>
          <w:szCs w:val="22"/>
        </w:rPr>
        <w:t xml:space="preserve">statutory </w:t>
      </w:r>
      <w:r w:rsidR="00941D29" w:rsidRPr="003D7170">
        <w:rPr>
          <w:szCs w:val="22"/>
        </w:rPr>
        <w:t xml:space="preserve">factor, we find that </w:t>
      </w:r>
      <w:r w:rsidR="00993E1C" w:rsidRPr="003D7170">
        <w:rPr>
          <w:szCs w:val="22"/>
        </w:rPr>
        <w:t>there is evidence of</w:t>
      </w:r>
      <w:r w:rsidR="00941D29" w:rsidRPr="003D7170">
        <w:rPr>
          <w:szCs w:val="22"/>
        </w:rPr>
        <w:t xml:space="preserve"> historical carriage</w:t>
      </w:r>
      <w:r w:rsidR="00342914" w:rsidRPr="003D7170">
        <w:rPr>
          <w:szCs w:val="22"/>
        </w:rPr>
        <w:t xml:space="preserve"> only</w:t>
      </w:r>
      <w:r w:rsidR="00941D29" w:rsidRPr="003D7170">
        <w:rPr>
          <w:szCs w:val="22"/>
        </w:rPr>
        <w:t xml:space="preserve"> for </w:t>
      </w:r>
      <w:r w:rsidRPr="003D7170">
        <w:rPr>
          <w:szCs w:val="22"/>
        </w:rPr>
        <w:t>KBOI-TV, KIVI-TV, and KTVB</w:t>
      </w:r>
      <w:r w:rsidR="00941D29" w:rsidRPr="003D7170">
        <w:rPr>
          <w:szCs w:val="22"/>
        </w:rPr>
        <w:t xml:space="preserve"> in Halfway.  </w:t>
      </w:r>
      <w:r w:rsidRPr="003D7170">
        <w:rPr>
          <w:szCs w:val="22"/>
        </w:rPr>
        <w:t xml:space="preserve">In addition to the exhibits provided by Pine, a review by the Commission of cable </w:t>
      </w:r>
      <w:r w:rsidR="00505C0F" w:rsidRPr="003D7170">
        <w:rPr>
          <w:szCs w:val="22"/>
        </w:rPr>
        <w:t xml:space="preserve">industry </w:t>
      </w:r>
      <w:r w:rsidRPr="003D7170">
        <w:rPr>
          <w:szCs w:val="22"/>
        </w:rPr>
        <w:t>guides shows that KBOI-TV, KIVI-TV, and KTVB have been carried on cable systems serving Halfway</w:t>
      </w:r>
      <w:r w:rsidR="00993E1C" w:rsidRPr="003D7170">
        <w:rPr>
          <w:szCs w:val="22"/>
        </w:rPr>
        <w:t xml:space="preserve"> since 1990</w:t>
      </w:r>
      <w:r w:rsidR="004C5A6C" w:rsidRPr="003D7170">
        <w:rPr>
          <w:szCs w:val="22"/>
        </w:rPr>
        <w:t xml:space="preserve"> and carriage remained until the discontinuation of cable services in the community</w:t>
      </w:r>
      <w:r w:rsidRPr="003D7170">
        <w:rPr>
          <w:szCs w:val="22"/>
        </w:rPr>
        <w:t>.</w:t>
      </w:r>
      <w:r w:rsidRPr="003D7170">
        <w:rPr>
          <w:rStyle w:val="FootnoteReference"/>
          <w:szCs w:val="22"/>
        </w:rPr>
        <w:footnoteReference w:id="36"/>
      </w:r>
      <w:r w:rsidRPr="003D7170">
        <w:rPr>
          <w:szCs w:val="22"/>
        </w:rPr>
        <w:t xml:space="preserve">  However, despite Pine’s claims that cable systems have carried all of the Boise Stations, our review of cable </w:t>
      </w:r>
      <w:r w:rsidR="00505C0F" w:rsidRPr="003D7170">
        <w:rPr>
          <w:szCs w:val="22"/>
        </w:rPr>
        <w:t xml:space="preserve">industry </w:t>
      </w:r>
      <w:r w:rsidRPr="003D7170">
        <w:rPr>
          <w:szCs w:val="22"/>
        </w:rPr>
        <w:t>guides reveals that neither KNIN-TV nor KTRV-TV has been carried by cable systems in Halfway.</w:t>
      </w:r>
      <w:r w:rsidR="0087345F" w:rsidRPr="003D7170">
        <w:rPr>
          <w:rStyle w:val="FootnoteReference"/>
          <w:szCs w:val="22"/>
        </w:rPr>
        <w:footnoteReference w:id="37"/>
      </w:r>
      <w:r w:rsidRPr="003D7170">
        <w:rPr>
          <w:szCs w:val="22"/>
        </w:rPr>
        <w:t xml:space="preserve"> </w:t>
      </w:r>
      <w:r w:rsidR="00F527FA">
        <w:rPr>
          <w:szCs w:val="22"/>
        </w:rPr>
        <w:t>Notably, n</w:t>
      </w:r>
      <w:r w:rsidR="00FF1C50" w:rsidRPr="003D7170">
        <w:rPr>
          <w:szCs w:val="22"/>
        </w:rPr>
        <w:t>o television station from the Portland DMA is listed except for the noncommercial PBS affiliate KOPB-TV.</w:t>
      </w:r>
      <w:r w:rsidR="00FF1C50" w:rsidRPr="003D7170">
        <w:rPr>
          <w:rStyle w:val="FootnoteReference"/>
          <w:szCs w:val="22"/>
        </w:rPr>
        <w:footnoteReference w:id="38"/>
      </w:r>
      <w:r w:rsidR="00FF1C50" w:rsidRPr="003D7170">
        <w:rPr>
          <w:szCs w:val="22"/>
        </w:rPr>
        <w:t xml:space="preserve">  </w:t>
      </w:r>
      <w:r w:rsidR="00612599" w:rsidRPr="003D7170">
        <w:rPr>
          <w:szCs w:val="22"/>
        </w:rPr>
        <w:t xml:space="preserve">Because cable systems </w:t>
      </w:r>
      <w:r w:rsidR="00652319" w:rsidRPr="003D7170">
        <w:rPr>
          <w:szCs w:val="22"/>
        </w:rPr>
        <w:t>in</w:t>
      </w:r>
      <w:r w:rsidR="00612599" w:rsidRPr="003D7170">
        <w:rPr>
          <w:szCs w:val="22"/>
        </w:rPr>
        <w:t xml:space="preserve"> Halfway have carried </w:t>
      </w:r>
      <w:r w:rsidRPr="003D7170">
        <w:rPr>
          <w:szCs w:val="22"/>
        </w:rPr>
        <w:t>KBOI-TV, KIVI-TV, and KTVB</w:t>
      </w:r>
      <w:r w:rsidR="00652319" w:rsidRPr="003D7170">
        <w:rPr>
          <w:szCs w:val="22"/>
        </w:rPr>
        <w:t xml:space="preserve"> </w:t>
      </w:r>
      <w:r w:rsidR="00310262" w:rsidRPr="003D7170">
        <w:rPr>
          <w:szCs w:val="22"/>
        </w:rPr>
        <w:t xml:space="preserve">for as long as there </w:t>
      </w:r>
      <w:r w:rsidR="005C70FE" w:rsidRPr="003D7170">
        <w:rPr>
          <w:szCs w:val="22"/>
        </w:rPr>
        <w:t>has been cable service</w:t>
      </w:r>
      <w:r w:rsidR="00310262" w:rsidRPr="003D7170">
        <w:rPr>
          <w:szCs w:val="22"/>
        </w:rPr>
        <w:t xml:space="preserve"> in Halfway</w:t>
      </w:r>
      <w:r w:rsidR="00612599" w:rsidRPr="003D7170">
        <w:rPr>
          <w:szCs w:val="22"/>
        </w:rPr>
        <w:t xml:space="preserve">, we find that these stations have </w:t>
      </w:r>
      <w:r w:rsidR="002B0B93" w:rsidRPr="003D7170">
        <w:rPr>
          <w:szCs w:val="22"/>
        </w:rPr>
        <w:t>demonstrable historic carriage,</w:t>
      </w:r>
      <w:r w:rsidR="00C754FC" w:rsidRPr="003D7170">
        <w:rPr>
          <w:szCs w:val="22"/>
        </w:rPr>
        <w:t xml:space="preserve"> </w:t>
      </w:r>
      <w:r w:rsidR="002B0B93" w:rsidRPr="003D7170">
        <w:rPr>
          <w:szCs w:val="22"/>
        </w:rPr>
        <w:t xml:space="preserve">whereas </w:t>
      </w:r>
      <w:r w:rsidRPr="003D7170">
        <w:rPr>
          <w:szCs w:val="22"/>
        </w:rPr>
        <w:t xml:space="preserve">KNIN-TV and KTRV-TV </w:t>
      </w:r>
      <w:r w:rsidR="00C754FC" w:rsidRPr="003D7170">
        <w:rPr>
          <w:szCs w:val="22"/>
        </w:rPr>
        <w:t>do</w:t>
      </w:r>
      <w:r w:rsidR="002B0B93" w:rsidRPr="003D7170">
        <w:rPr>
          <w:szCs w:val="22"/>
        </w:rPr>
        <w:t xml:space="preserve"> not</w:t>
      </w:r>
      <w:r w:rsidRPr="003D7170">
        <w:rPr>
          <w:szCs w:val="22"/>
        </w:rPr>
        <w:t>.</w:t>
      </w:r>
      <w:r w:rsidR="002B0B93" w:rsidRPr="003D7170">
        <w:rPr>
          <w:rStyle w:val="FootnoteReference"/>
          <w:szCs w:val="22"/>
        </w:rPr>
        <w:t xml:space="preserve"> </w:t>
      </w:r>
      <w:r w:rsidR="002B0B93" w:rsidRPr="003D7170">
        <w:rPr>
          <w:rStyle w:val="FootnoteReference"/>
          <w:szCs w:val="22"/>
        </w:rPr>
        <w:footnoteReference w:id="39"/>
      </w:r>
    </w:p>
    <w:p w:rsidR="00A503B7" w:rsidRPr="003D7170" w:rsidRDefault="00A449BE" w:rsidP="00967352">
      <w:pPr>
        <w:pStyle w:val="ParaNum"/>
      </w:pPr>
      <w:r w:rsidRPr="003D7170">
        <w:rPr>
          <w:szCs w:val="22"/>
        </w:rPr>
        <w:t xml:space="preserve">With regard to the second </w:t>
      </w:r>
      <w:r w:rsidR="00557EB8" w:rsidRPr="003D7170">
        <w:rPr>
          <w:szCs w:val="22"/>
        </w:rPr>
        <w:t xml:space="preserve">statutory </w:t>
      </w:r>
      <w:r w:rsidRPr="003D7170">
        <w:rPr>
          <w:szCs w:val="22"/>
        </w:rPr>
        <w:t xml:space="preserve">factor, we do not find that </w:t>
      </w:r>
      <w:r w:rsidR="00557EB8" w:rsidRPr="003D7170">
        <w:rPr>
          <w:szCs w:val="22"/>
        </w:rPr>
        <w:t>Pine has demonstrated that the second factor weighs in favor of market modification.</w:t>
      </w:r>
      <w:r w:rsidR="00BF3D0B" w:rsidRPr="003D7170">
        <w:rPr>
          <w:szCs w:val="22"/>
        </w:rPr>
        <w:t xml:space="preserve">  The contour maps show that while Halfway is close to the signal contours of the </w:t>
      </w:r>
      <w:r w:rsidR="00DA595C" w:rsidRPr="003D7170">
        <w:rPr>
          <w:szCs w:val="22"/>
        </w:rPr>
        <w:t xml:space="preserve">Boise </w:t>
      </w:r>
      <w:r w:rsidR="00BF3D0B" w:rsidRPr="003D7170">
        <w:rPr>
          <w:szCs w:val="22"/>
        </w:rPr>
        <w:t xml:space="preserve">Stations, it is located outside </w:t>
      </w:r>
      <w:r w:rsidR="002B0B93" w:rsidRPr="003D7170">
        <w:rPr>
          <w:szCs w:val="22"/>
        </w:rPr>
        <w:t xml:space="preserve">these </w:t>
      </w:r>
      <w:r w:rsidR="00BF3D0B" w:rsidRPr="003D7170">
        <w:rPr>
          <w:szCs w:val="22"/>
        </w:rPr>
        <w:t>signal coverage areas and would not receive a</w:t>
      </w:r>
      <w:r w:rsidR="0041648C" w:rsidRPr="003D7170">
        <w:rPr>
          <w:szCs w:val="22"/>
        </w:rPr>
        <w:t>n</w:t>
      </w:r>
      <w:r w:rsidR="00BF3D0B" w:rsidRPr="003D7170">
        <w:rPr>
          <w:szCs w:val="22"/>
        </w:rPr>
        <w:t xml:space="preserve"> </w:t>
      </w:r>
      <w:r w:rsidR="0041648C" w:rsidRPr="003D7170">
        <w:rPr>
          <w:szCs w:val="22"/>
        </w:rPr>
        <w:t>off-air</w:t>
      </w:r>
      <w:r w:rsidR="00BF3D0B" w:rsidRPr="003D7170">
        <w:rPr>
          <w:szCs w:val="22"/>
        </w:rPr>
        <w:t xml:space="preserve"> signal from the</w:t>
      </w:r>
      <w:r w:rsidR="002B0B93" w:rsidRPr="003D7170">
        <w:rPr>
          <w:szCs w:val="22"/>
        </w:rPr>
        <w:t xml:space="preserve"> stations</w:t>
      </w:r>
      <w:r w:rsidR="00BF3D0B" w:rsidRPr="003D7170">
        <w:rPr>
          <w:szCs w:val="22"/>
        </w:rPr>
        <w:t>.</w:t>
      </w:r>
      <w:r w:rsidR="00BF3D0B" w:rsidRPr="003D7170">
        <w:rPr>
          <w:rStyle w:val="FootnoteReference"/>
          <w:szCs w:val="22"/>
        </w:rPr>
        <w:footnoteReference w:id="40"/>
      </w:r>
      <w:r w:rsidR="00BF3D0B" w:rsidRPr="003D7170">
        <w:rPr>
          <w:szCs w:val="22"/>
        </w:rPr>
        <w:t xml:space="preserve">  </w:t>
      </w:r>
      <w:r w:rsidR="00557EB8" w:rsidRPr="003D7170">
        <w:rPr>
          <w:szCs w:val="22"/>
        </w:rPr>
        <w:t>F</w:t>
      </w:r>
      <w:r w:rsidR="00BF3D0B" w:rsidRPr="003D7170">
        <w:rPr>
          <w:szCs w:val="22"/>
        </w:rPr>
        <w:t>urthermore</w:t>
      </w:r>
      <w:r w:rsidR="00557EB8" w:rsidRPr="003D7170">
        <w:rPr>
          <w:szCs w:val="22"/>
        </w:rPr>
        <w:t xml:space="preserve">, Pine has provided little evidence regarding the </w:t>
      </w:r>
      <w:r w:rsidR="00C72977" w:rsidRPr="003D7170">
        <w:rPr>
          <w:szCs w:val="22"/>
        </w:rPr>
        <w:t xml:space="preserve">Boise </w:t>
      </w:r>
      <w:r w:rsidR="00557EB8" w:rsidRPr="003D7170">
        <w:rPr>
          <w:szCs w:val="22"/>
        </w:rPr>
        <w:t xml:space="preserve">Stations’ programming of interest to Halfway residents.  </w:t>
      </w:r>
      <w:r w:rsidR="00675CD4" w:rsidRPr="003D7170">
        <w:t>Pine provides twenty news stories from only KBOI-TV and KTVB.</w:t>
      </w:r>
      <w:r w:rsidR="00AD3A71" w:rsidRPr="003D7170">
        <w:rPr>
          <w:rStyle w:val="FootnoteReference"/>
        </w:rPr>
        <w:footnoteReference w:id="41"/>
      </w:r>
      <w:r w:rsidR="00675CD4" w:rsidRPr="003D7170">
        <w:t xml:space="preserve">  </w:t>
      </w:r>
      <w:r w:rsidR="00505C0F" w:rsidRPr="003D7170">
        <w:t>C</w:t>
      </w:r>
      <w:r w:rsidR="00BF3D0B" w:rsidRPr="003D7170">
        <w:rPr>
          <w:szCs w:val="22"/>
        </w:rPr>
        <w:t xml:space="preserve">ontrary to Pine’s claim that the </w:t>
      </w:r>
      <w:r w:rsidR="00C72977" w:rsidRPr="003D7170">
        <w:rPr>
          <w:szCs w:val="22"/>
        </w:rPr>
        <w:t xml:space="preserve">Boise </w:t>
      </w:r>
      <w:r w:rsidR="00BF3D0B" w:rsidRPr="003D7170">
        <w:rPr>
          <w:szCs w:val="22"/>
        </w:rPr>
        <w:t>Stations cover events that “directly involve Halfway,” many of the stories provided as evidence seem only marginally related to the community.</w:t>
      </w:r>
      <w:r w:rsidR="00BF3D0B" w:rsidRPr="003D7170">
        <w:rPr>
          <w:rStyle w:val="FootnoteReference"/>
          <w:szCs w:val="22"/>
        </w:rPr>
        <w:footnoteReference w:id="42"/>
      </w:r>
      <w:r w:rsidR="00BF3D0B" w:rsidRPr="003D7170">
        <w:rPr>
          <w:szCs w:val="22"/>
        </w:rPr>
        <w:t xml:space="preserve">  </w:t>
      </w:r>
      <w:r w:rsidR="00477FB2" w:rsidRPr="003D7170">
        <w:rPr>
          <w:szCs w:val="22"/>
        </w:rPr>
        <w:t>H</w:t>
      </w:r>
      <w:r w:rsidR="00DA595C" w:rsidRPr="003D7170">
        <w:rPr>
          <w:szCs w:val="22"/>
        </w:rPr>
        <w:t xml:space="preserve">owever, </w:t>
      </w:r>
      <w:r w:rsidR="00477FB2" w:rsidRPr="003D7170">
        <w:rPr>
          <w:szCs w:val="22"/>
        </w:rPr>
        <w:t xml:space="preserve">we note </w:t>
      </w:r>
      <w:r w:rsidR="004A104A">
        <w:rPr>
          <w:szCs w:val="22"/>
        </w:rPr>
        <w:t>that Halfway is a small remote, rural community isolate</w:t>
      </w:r>
      <w:r w:rsidR="00EB74A0">
        <w:rPr>
          <w:szCs w:val="22"/>
        </w:rPr>
        <w:t xml:space="preserve">d from Portland by distance and </w:t>
      </w:r>
      <w:r w:rsidR="004A104A">
        <w:rPr>
          <w:szCs w:val="22"/>
        </w:rPr>
        <w:t>terrain.</w:t>
      </w:r>
      <w:r w:rsidR="004A104A">
        <w:rPr>
          <w:rStyle w:val="FootnoteReference"/>
          <w:szCs w:val="22"/>
        </w:rPr>
        <w:footnoteReference w:id="43"/>
      </w:r>
      <w:r w:rsidR="004A104A">
        <w:rPr>
          <w:szCs w:val="22"/>
        </w:rPr>
        <w:t xml:space="preserve">  We also note </w:t>
      </w:r>
      <w:r w:rsidR="00DA595C" w:rsidRPr="003D7170">
        <w:rPr>
          <w:szCs w:val="22"/>
        </w:rPr>
        <w:t xml:space="preserve">that the </w:t>
      </w:r>
      <w:r w:rsidR="00C72977" w:rsidRPr="003D7170">
        <w:rPr>
          <w:szCs w:val="22"/>
        </w:rPr>
        <w:t xml:space="preserve">Boise </w:t>
      </w:r>
      <w:r w:rsidR="00DA595C" w:rsidRPr="003D7170">
        <w:rPr>
          <w:szCs w:val="22"/>
        </w:rPr>
        <w:t xml:space="preserve">Stations are much closer </w:t>
      </w:r>
      <w:r w:rsidR="00652319" w:rsidRPr="003D7170">
        <w:rPr>
          <w:szCs w:val="22"/>
        </w:rPr>
        <w:t xml:space="preserve">geographically </w:t>
      </w:r>
      <w:r w:rsidR="00DA595C" w:rsidRPr="003D7170">
        <w:rPr>
          <w:szCs w:val="22"/>
        </w:rPr>
        <w:t>to Halfway than stations in Portland</w:t>
      </w:r>
      <w:r w:rsidR="00652319" w:rsidRPr="003D7170">
        <w:rPr>
          <w:szCs w:val="22"/>
        </w:rPr>
        <w:t>.</w:t>
      </w:r>
      <w:r w:rsidR="0041648C" w:rsidRPr="003D7170">
        <w:rPr>
          <w:rStyle w:val="FootnoteReference"/>
          <w:szCs w:val="22"/>
        </w:rPr>
        <w:footnoteReference w:id="44"/>
      </w:r>
      <w:r w:rsidR="00652319" w:rsidRPr="003D7170">
        <w:rPr>
          <w:szCs w:val="22"/>
        </w:rPr>
        <w:t xml:space="preserve"> </w:t>
      </w:r>
      <w:r w:rsidR="00DA595C" w:rsidRPr="003D7170">
        <w:rPr>
          <w:szCs w:val="22"/>
        </w:rPr>
        <w:t xml:space="preserve"> </w:t>
      </w:r>
      <w:r w:rsidR="00652319" w:rsidRPr="003D7170">
        <w:rPr>
          <w:szCs w:val="22"/>
        </w:rPr>
        <w:t xml:space="preserve">Also, </w:t>
      </w:r>
      <w:r w:rsidR="00DA595C" w:rsidRPr="003D7170">
        <w:rPr>
          <w:szCs w:val="22"/>
        </w:rPr>
        <w:t xml:space="preserve">the Portland stations served </w:t>
      </w:r>
      <w:r w:rsidR="0041648C" w:rsidRPr="003D7170">
        <w:rPr>
          <w:szCs w:val="22"/>
        </w:rPr>
        <w:t xml:space="preserve">with the Petition </w:t>
      </w:r>
      <w:r w:rsidR="00DA595C" w:rsidRPr="003D7170">
        <w:rPr>
          <w:szCs w:val="22"/>
        </w:rPr>
        <w:t xml:space="preserve">by Pine </w:t>
      </w:r>
      <w:r w:rsidR="00652319" w:rsidRPr="003D7170">
        <w:rPr>
          <w:szCs w:val="22"/>
        </w:rPr>
        <w:t xml:space="preserve">apparently </w:t>
      </w:r>
      <w:r w:rsidR="00DA595C" w:rsidRPr="003D7170">
        <w:rPr>
          <w:szCs w:val="22"/>
        </w:rPr>
        <w:t xml:space="preserve">do not object to assertions that </w:t>
      </w:r>
      <w:r w:rsidR="00BD1B6B" w:rsidRPr="003D7170">
        <w:rPr>
          <w:szCs w:val="22"/>
        </w:rPr>
        <w:t xml:space="preserve">only </w:t>
      </w:r>
      <w:r w:rsidR="00DA595C" w:rsidRPr="003D7170">
        <w:rPr>
          <w:szCs w:val="22"/>
        </w:rPr>
        <w:t>the Boise Stations serve</w:t>
      </w:r>
      <w:r w:rsidR="00477FB2" w:rsidRPr="003D7170">
        <w:rPr>
          <w:szCs w:val="22"/>
        </w:rPr>
        <w:t xml:space="preserve"> Halfway.</w:t>
      </w:r>
      <w:r w:rsidR="00BE780D" w:rsidRPr="003D7170">
        <w:rPr>
          <w:szCs w:val="22"/>
        </w:rPr>
        <w:t xml:space="preserve"> </w:t>
      </w:r>
      <w:r w:rsidR="001438FA" w:rsidRPr="003D7170">
        <w:rPr>
          <w:szCs w:val="22"/>
        </w:rPr>
        <w:t xml:space="preserve"> </w:t>
      </w:r>
      <w:r w:rsidR="00BE780D" w:rsidRPr="003D7170">
        <w:rPr>
          <w:szCs w:val="22"/>
        </w:rPr>
        <w:t>Therefore, while we do not find that the second factor weighs in favor of</w:t>
      </w:r>
      <w:r w:rsidR="001438FA" w:rsidRPr="003D7170">
        <w:rPr>
          <w:szCs w:val="22"/>
        </w:rPr>
        <w:t xml:space="preserve"> the Petition</w:t>
      </w:r>
      <w:r w:rsidR="00BE780D" w:rsidRPr="003D7170">
        <w:rPr>
          <w:szCs w:val="22"/>
        </w:rPr>
        <w:t xml:space="preserve">, </w:t>
      </w:r>
      <w:r w:rsidR="00F01772" w:rsidRPr="003D7170">
        <w:rPr>
          <w:szCs w:val="22"/>
        </w:rPr>
        <w:t xml:space="preserve">we </w:t>
      </w:r>
      <w:r w:rsidR="001438FA" w:rsidRPr="003D7170">
        <w:rPr>
          <w:szCs w:val="22"/>
        </w:rPr>
        <w:t xml:space="preserve">do not </w:t>
      </w:r>
      <w:r w:rsidR="00BD1B6B" w:rsidRPr="003D7170">
        <w:rPr>
          <w:szCs w:val="22"/>
        </w:rPr>
        <w:t xml:space="preserve">consider </w:t>
      </w:r>
      <w:r w:rsidR="00F01772" w:rsidRPr="003D7170">
        <w:rPr>
          <w:szCs w:val="22"/>
        </w:rPr>
        <w:t>it</w:t>
      </w:r>
      <w:r w:rsidR="0041648C" w:rsidRPr="003D7170">
        <w:rPr>
          <w:szCs w:val="22"/>
        </w:rPr>
        <w:t xml:space="preserve"> </w:t>
      </w:r>
      <w:r w:rsidR="00F01772" w:rsidRPr="003D7170">
        <w:rPr>
          <w:szCs w:val="22"/>
        </w:rPr>
        <w:t>an absolute bar</w:t>
      </w:r>
      <w:r w:rsidR="001438FA" w:rsidRPr="003D7170">
        <w:rPr>
          <w:szCs w:val="22"/>
        </w:rPr>
        <w:t xml:space="preserve"> to modification</w:t>
      </w:r>
      <w:r w:rsidR="0041648C" w:rsidRPr="003D7170">
        <w:rPr>
          <w:szCs w:val="22"/>
        </w:rPr>
        <w:t xml:space="preserve"> either</w:t>
      </w:r>
      <w:r w:rsidR="00F01772" w:rsidRPr="003D7170">
        <w:rPr>
          <w:szCs w:val="22"/>
        </w:rPr>
        <w:t>.</w:t>
      </w:r>
      <w:r w:rsidR="00BE780D" w:rsidRPr="003D7170">
        <w:rPr>
          <w:szCs w:val="22"/>
        </w:rPr>
        <w:t xml:space="preserve"> </w:t>
      </w:r>
    </w:p>
    <w:p w:rsidR="009749A3" w:rsidRPr="003D7170" w:rsidRDefault="009749A3" w:rsidP="00967352">
      <w:pPr>
        <w:pStyle w:val="ParaNum"/>
      </w:pPr>
      <w:r w:rsidRPr="003D7170">
        <w:t xml:space="preserve">The third factor </w:t>
      </w:r>
      <w:r w:rsidR="002F367A" w:rsidRPr="003D7170">
        <w:t>has limited applicability in this proceeding</w:t>
      </w:r>
      <w:r w:rsidRPr="003D7170">
        <w:t xml:space="preserve">.  </w:t>
      </w:r>
      <w:r w:rsidRPr="003D7170">
        <w:rPr>
          <w:szCs w:val="22"/>
        </w:rPr>
        <w:t xml:space="preserve">As the Commission has said, </w:t>
      </w:r>
      <w:r w:rsidRPr="003D7170">
        <w:t>we believe this criterion was intended to enhance a station’s claim where it could be shown that other stations do not serve the communities at issue.</w:t>
      </w:r>
      <w:r w:rsidRPr="003D7170">
        <w:rPr>
          <w:rStyle w:val="FootnoteReference"/>
        </w:rPr>
        <w:t xml:space="preserve"> </w:t>
      </w:r>
      <w:r w:rsidRPr="003D7170">
        <w:rPr>
          <w:rStyle w:val="FootnoteReference"/>
        </w:rPr>
        <w:footnoteReference w:id="45"/>
      </w:r>
      <w:r w:rsidRPr="003D7170">
        <w:t xml:space="preserve">  </w:t>
      </w:r>
      <w:r w:rsidR="00147474" w:rsidRPr="003D7170">
        <w:t>Pine states</w:t>
      </w:r>
      <w:r w:rsidRPr="003D7170">
        <w:t xml:space="preserve"> that no </w:t>
      </w:r>
      <w:r w:rsidR="00147474" w:rsidRPr="003D7170">
        <w:t xml:space="preserve">commercial television </w:t>
      </w:r>
      <w:r w:rsidRPr="003D7170">
        <w:t>station</w:t>
      </w:r>
      <w:r w:rsidR="00147474" w:rsidRPr="003D7170">
        <w:t xml:space="preserve"> other than the Boise Stations has ever</w:t>
      </w:r>
      <w:r w:rsidRPr="003D7170">
        <w:t xml:space="preserve"> prov</w:t>
      </w:r>
      <w:r w:rsidR="00147474" w:rsidRPr="003D7170">
        <w:t>ided</w:t>
      </w:r>
      <w:r w:rsidRPr="003D7170">
        <w:t xml:space="preserve"> service to Halfway</w:t>
      </w:r>
      <w:r w:rsidR="00147474" w:rsidRPr="003D7170">
        <w:t xml:space="preserve">. </w:t>
      </w:r>
      <w:r w:rsidRPr="003D7170">
        <w:t xml:space="preserve"> </w:t>
      </w:r>
      <w:r w:rsidR="00147474" w:rsidRPr="003D7170">
        <w:t xml:space="preserve">The record indicates that the signal of a </w:t>
      </w:r>
      <w:r w:rsidR="00600F88" w:rsidRPr="003D7170">
        <w:t xml:space="preserve">noncommercial station, KTVR-TV, </w:t>
      </w:r>
      <w:r w:rsidR="00FA0B8B" w:rsidRPr="003D7170">
        <w:t xml:space="preserve">a </w:t>
      </w:r>
      <w:r w:rsidR="00600F88" w:rsidRPr="003D7170">
        <w:t>La Grande, Oregon</w:t>
      </w:r>
      <w:r w:rsidR="00FA0B8B" w:rsidRPr="003D7170">
        <w:t xml:space="preserve"> PBS </w:t>
      </w:r>
      <w:r w:rsidR="000C25C8" w:rsidRPr="003D7170">
        <w:t xml:space="preserve">affiliate </w:t>
      </w:r>
      <w:r w:rsidR="00FA0B8B" w:rsidRPr="003D7170">
        <w:t xml:space="preserve">station, </w:t>
      </w:r>
      <w:r w:rsidR="00147474" w:rsidRPr="003D7170">
        <w:t xml:space="preserve">currently reaches Halfway </w:t>
      </w:r>
      <w:r w:rsidR="004D11F8" w:rsidRPr="003D7170">
        <w:t xml:space="preserve">but does so </w:t>
      </w:r>
      <w:r w:rsidR="00147474" w:rsidRPr="003D7170">
        <w:t>via a translator station</w:t>
      </w:r>
      <w:r w:rsidR="004D11F8" w:rsidRPr="003D7170">
        <w:t>.</w:t>
      </w:r>
      <w:r w:rsidR="004D11F8" w:rsidRPr="003D7170">
        <w:rPr>
          <w:rStyle w:val="FootnoteReference"/>
        </w:rPr>
        <w:footnoteReference w:id="46"/>
      </w:r>
      <w:r w:rsidR="004D11F8" w:rsidRPr="003D7170">
        <w:t xml:space="preserve">  Furthermore,</w:t>
      </w:r>
      <w:r w:rsidR="00147474" w:rsidRPr="003D7170">
        <w:t xml:space="preserve"> there is no indication that it provides programming directed at Halfway.</w:t>
      </w:r>
      <w:r w:rsidR="00147474" w:rsidRPr="003D7170">
        <w:rPr>
          <w:rStyle w:val="FootnoteReference"/>
        </w:rPr>
        <w:footnoteReference w:id="47"/>
      </w:r>
      <w:r w:rsidR="00147474" w:rsidRPr="003D7170">
        <w:t xml:space="preserve">  Therefore, we conclude that no current in-market stations serve Halfway </w:t>
      </w:r>
      <w:r w:rsidRPr="003D7170">
        <w:t>in the form of signal coverage or local programming.</w:t>
      </w:r>
      <w:r w:rsidRPr="003D7170">
        <w:rPr>
          <w:rStyle w:val="FootnoteReference"/>
        </w:rPr>
        <w:footnoteReference w:id="48"/>
      </w:r>
      <w:r w:rsidRPr="003D7170">
        <w:t xml:space="preserve"> </w:t>
      </w:r>
      <w:r w:rsidR="00147474" w:rsidRPr="003D7170">
        <w:t xml:space="preserve"> </w:t>
      </w:r>
      <w:r w:rsidR="00D13CCE" w:rsidRPr="003D7170">
        <w:t>However, there is no evidence showing that the Boise St</w:t>
      </w:r>
      <w:r w:rsidR="00062529" w:rsidRPr="003D7170">
        <w:t xml:space="preserve">ations serve Halfway </w:t>
      </w:r>
      <w:r w:rsidR="00D13CCE" w:rsidRPr="003D7170">
        <w:t>in terms of signal coverage or local programming</w:t>
      </w:r>
      <w:r w:rsidR="00062529" w:rsidRPr="003D7170">
        <w:t xml:space="preserve"> either</w:t>
      </w:r>
      <w:r w:rsidR="00D13CCE" w:rsidRPr="003D7170">
        <w:t>.</w:t>
      </w:r>
      <w:r w:rsidR="00505C0F" w:rsidRPr="003D7170">
        <w:rPr>
          <w:rStyle w:val="FootnoteReference"/>
        </w:rPr>
        <w:footnoteReference w:id="49"/>
      </w:r>
      <w:r w:rsidR="00D13CCE" w:rsidRPr="003D7170">
        <w:t xml:space="preserve">  </w:t>
      </w:r>
      <w:r w:rsidR="001A1A7F" w:rsidRPr="003D7170">
        <w:t xml:space="preserve">We do not believe the enhancement factor was meant to apply </w:t>
      </w:r>
      <w:r w:rsidR="00F7378D" w:rsidRPr="003D7170">
        <w:t>absent some showing that</w:t>
      </w:r>
      <w:r w:rsidR="001A1A7F" w:rsidRPr="003D7170">
        <w:t xml:space="preserve"> </w:t>
      </w:r>
      <w:r w:rsidR="00F7378D" w:rsidRPr="003D7170">
        <w:t>the</w:t>
      </w:r>
      <w:r w:rsidR="001A1A7F" w:rsidRPr="003D7170">
        <w:t xml:space="preserve"> out-of-market station</w:t>
      </w:r>
      <w:r w:rsidR="003A566E" w:rsidRPr="003D7170">
        <w:t xml:space="preserve"> seeking inclusion</w:t>
      </w:r>
      <w:r w:rsidR="001A1A7F" w:rsidRPr="003D7170">
        <w:t xml:space="preserve"> serve</w:t>
      </w:r>
      <w:r w:rsidR="00F7378D" w:rsidRPr="003D7170">
        <w:t>d</w:t>
      </w:r>
      <w:r w:rsidR="001A1A7F" w:rsidRPr="003D7170">
        <w:t xml:space="preserve"> the community at issue.</w:t>
      </w:r>
      <w:r w:rsidR="00463153" w:rsidRPr="003D7170">
        <w:rPr>
          <w:rStyle w:val="FootnoteReference"/>
        </w:rPr>
        <w:footnoteReference w:id="50"/>
      </w:r>
      <w:r w:rsidR="001A1A7F" w:rsidRPr="003D7170">
        <w:t xml:space="preserve">  </w:t>
      </w:r>
      <w:r w:rsidRPr="003D7170">
        <w:t xml:space="preserve">Accordingly, </w:t>
      </w:r>
      <w:r w:rsidR="003A566E" w:rsidRPr="003D7170">
        <w:t xml:space="preserve">because </w:t>
      </w:r>
      <w:r w:rsidR="009223DE" w:rsidRPr="003D7170">
        <w:t xml:space="preserve">Pine has not provided adequate </w:t>
      </w:r>
      <w:r w:rsidR="00911519">
        <w:t>evidence</w:t>
      </w:r>
      <w:r w:rsidR="009223DE" w:rsidRPr="003D7170">
        <w:t xml:space="preserve"> that the Boise Stations serve </w:t>
      </w:r>
      <w:r w:rsidR="00911519">
        <w:t xml:space="preserve">or direct programming to the interest of </w:t>
      </w:r>
      <w:r w:rsidR="009223DE" w:rsidRPr="003D7170">
        <w:t>Halfway</w:t>
      </w:r>
      <w:r w:rsidR="003A566E" w:rsidRPr="003D7170">
        <w:t xml:space="preserve">, </w:t>
      </w:r>
      <w:r w:rsidRPr="003D7170">
        <w:t xml:space="preserve">we </w:t>
      </w:r>
      <w:r w:rsidR="009223DE" w:rsidRPr="003D7170">
        <w:t>decline to</w:t>
      </w:r>
      <w:r w:rsidR="003A566E" w:rsidRPr="003D7170">
        <w:t xml:space="preserve"> apply</w:t>
      </w:r>
      <w:r w:rsidRPr="003D7170">
        <w:t xml:space="preserve"> the enhancement factor </w:t>
      </w:r>
      <w:r w:rsidR="00CC2CCA" w:rsidRPr="003D7170">
        <w:t xml:space="preserve">in this instance </w:t>
      </w:r>
      <w:r w:rsidR="009223DE" w:rsidRPr="003D7170">
        <w:t>despite the absence of other stations serving the community</w:t>
      </w:r>
      <w:r w:rsidR="00147474" w:rsidRPr="003D7170">
        <w:t>.</w:t>
      </w:r>
    </w:p>
    <w:p w:rsidR="005021CA" w:rsidRPr="003D7170" w:rsidRDefault="00106617" w:rsidP="00967352">
      <w:pPr>
        <w:pStyle w:val="ParaNum"/>
      </w:pPr>
      <w:r w:rsidRPr="003D7170">
        <w:t xml:space="preserve">Pine presents no information with regard to the fourth factor and indicates that Nielsen does not have viewership data for the </w:t>
      </w:r>
      <w:r w:rsidR="00534C19" w:rsidRPr="003D7170">
        <w:t xml:space="preserve">Boise </w:t>
      </w:r>
      <w:r w:rsidR="00207D5B" w:rsidRPr="003D7170">
        <w:t>S</w:t>
      </w:r>
      <w:r w:rsidRPr="003D7170">
        <w:t xml:space="preserve">tations.  </w:t>
      </w:r>
      <w:r w:rsidR="00A612CB" w:rsidRPr="003D7170">
        <w:t>However, a</w:t>
      </w:r>
      <w:r w:rsidR="00001FDA" w:rsidRPr="003D7170">
        <w:t xml:space="preserve"> review </w:t>
      </w:r>
      <w:r w:rsidR="00FE74C9" w:rsidRPr="003D7170">
        <w:t xml:space="preserve">by the Commission </w:t>
      </w:r>
      <w:r w:rsidR="00001FDA" w:rsidRPr="003D7170">
        <w:t>of Nielsen</w:t>
      </w:r>
      <w:r w:rsidR="00A612CB" w:rsidRPr="003D7170">
        <w:t>’s</w:t>
      </w:r>
      <w:r w:rsidR="00305F45" w:rsidRPr="003D7170">
        <w:t xml:space="preserve"> </w:t>
      </w:r>
      <w:r w:rsidR="00565B40" w:rsidRPr="003D7170">
        <w:t>data</w:t>
      </w:r>
      <w:r w:rsidR="001A586C" w:rsidRPr="003D7170">
        <w:t xml:space="preserve"> shows that KBOI-TV,</w:t>
      </w:r>
      <w:r w:rsidR="00A612CB" w:rsidRPr="003D7170">
        <w:t xml:space="preserve"> KTVB</w:t>
      </w:r>
      <w:r w:rsidR="001A586C" w:rsidRPr="003D7170">
        <w:t>, and KTRV-TV</w:t>
      </w:r>
      <w:r w:rsidR="00A612CB" w:rsidRPr="003D7170">
        <w:t xml:space="preserve"> did have viewership numbers at</w:t>
      </w:r>
      <w:r w:rsidR="00565B40" w:rsidRPr="003D7170">
        <w:t xml:space="preserve"> </w:t>
      </w:r>
      <w:r w:rsidR="00A612CB" w:rsidRPr="003D7170">
        <w:t xml:space="preserve">one point in Baker County where </w:t>
      </w:r>
      <w:r w:rsidR="00565B40" w:rsidRPr="003D7170">
        <w:t>Halfway</w:t>
      </w:r>
      <w:r w:rsidR="00A612CB" w:rsidRPr="003D7170">
        <w:t xml:space="preserve"> is located</w:t>
      </w:r>
      <w:r w:rsidR="00001FDA" w:rsidRPr="003D7170">
        <w:t>.</w:t>
      </w:r>
      <w:r w:rsidR="00305F45" w:rsidRPr="003D7170">
        <w:rPr>
          <w:rStyle w:val="FootnoteReference"/>
        </w:rPr>
        <w:footnoteReference w:id="51"/>
      </w:r>
      <w:r w:rsidR="00001FDA" w:rsidRPr="003D7170">
        <w:t xml:space="preserve">  </w:t>
      </w:r>
      <w:r w:rsidR="0031043B">
        <w:t>B</w:t>
      </w:r>
      <w:r w:rsidR="00133747" w:rsidRPr="003D7170">
        <w:t xml:space="preserve">ased on the limited information </w:t>
      </w:r>
      <w:r w:rsidR="00B22C16" w:rsidRPr="003D7170">
        <w:t>available</w:t>
      </w:r>
      <w:r w:rsidR="00051CDB" w:rsidRPr="003D7170">
        <w:t>, we</w:t>
      </w:r>
      <w:r w:rsidR="00133747" w:rsidRPr="003D7170">
        <w:t xml:space="preserve"> agree with Pine that </w:t>
      </w:r>
      <w:r w:rsidR="00A612CB" w:rsidRPr="003D7170">
        <w:t>KBOI-T</w:t>
      </w:r>
      <w:r w:rsidR="00B048ED" w:rsidRPr="003D7170">
        <w:t>V</w:t>
      </w:r>
      <w:r w:rsidR="00133747" w:rsidRPr="003D7170">
        <w:t xml:space="preserve">, </w:t>
      </w:r>
      <w:r w:rsidR="00B048ED" w:rsidRPr="003D7170">
        <w:t>KTVB</w:t>
      </w:r>
      <w:r w:rsidR="000B3763" w:rsidRPr="003D7170">
        <w:t xml:space="preserve">, </w:t>
      </w:r>
      <w:r w:rsidR="0081622B" w:rsidRPr="003D7170">
        <w:t xml:space="preserve">and </w:t>
      </w:r>
      <w:r w:rsidR="001A11F8" w:rsidRPr="003D7170">
        <w:t>K</w:t>
      </w:r>
      <w:r w:rsidR="001A11F8">
        <w:t>TRV</w:t>
      </w:r>
      <w:r w:rsidR="0081622B" w:rsidRPr="003D7170">
        <w:t xml:space="preserve">-TV </w:t>
      </w:r>
      <w:r w:rsidR="000B3763" w:rsidRPr="003D7170">
        <w:t xml:space="preserve">are likely to </w:t>
      </w:r>
      <w:r w:rsidR="00464531" w:rsidRPr="003D7170">
        <w:t xml:space="preserve">have </w:t>
      </w:r>
      <w:r w:rsidR="00D71242" w:rsidRPr="003D7170">
        <w:t xml:space="preserve">had </w:t>
      </w:r>
      <w:r w:rsidR="00911519">
        <w:t xml:space="preserve">previous </w:t>
      </w:r>
      <w:r w:rsidR="00A612CB" w:rsidRPr="003D7170">
        <w:t>viewe</w:t>
      </w:r>
      <w:r w:rsidR="00464531" w:rsidRPr="003D7170">
        <w:t>rship</w:t>
      </w:r>
      <w:r w:rsidR="00A612CB" w:rsidRPr="003D7170">
        <w:t xml:space="preserve"> in Halfway</w:t>
      </w:r>
      <w:r w:rsidR="002D7565" w:rsidRPr="003D7170">
        <w:t>.</w:t>
      </w:r>
      <w:r w:rsidR="00DE51CC" w:rsidRPr="003D7170">
        <w:t xml:space="preserve">  </w:t>
      </w:r>
    </w:p>
    <w:p w:rsidR="002D23EB" w:rsidRPr="003D7170" w:rsidRDefault="002D23EB" w:rsidP="00427DF6">
      <w:pPr>
        <w:pStyle w:val="ParaNum"/>
      </w:pPr>
      <w:r w:rsidRPr="003D7170">
        <w:rPr>
          <w:szCs w:val="22"/>
        </w:rPr>
        <w:t>We grant the Petition with respect to KBOI-TV</w:t>
      </w:r>
      <w:r w:rsidR="00813A78">
        <w:rPr>
          <w:szCs w:val="22"/>
        </w:rPr>
        <w:t xml:space="preserve"> and</w:t>
      </w:r>
      <w:r w:rsidR="00051CDB" w:rsidRPr="003D7170">
        <w:rPr>
          <w:szCs w:val="22"/>
        </w:rPr>
        <w:t xml:space="preserve"> KTVB</w:t>
      </w:r>
      <w:r w:rsidR="006C6681" w:rsidRPr="003D7170">
        <w:rPr>
          <w:szCs w:val="22"/>
        </w:rPr>
        <w:t xml:space="preserve"> despite</w:t>
      </w:r>
      <w:r w:rsidR="00B22C16" w:rsidRPr="003D7170">
        <w:rPr>
          <w:szCs w:val="22"/>
        </w:rPr>
        <w:t xml:space="preserve"> the </w:t>
      </w:r>
      <w:r w:rsidR="00D448DE" w:rsidRPr="003D7170">
        <w:rPr>
          <w:szCs w:val="22"/>
        </w:rPr>
        <w:t xml:space="preserve">limited </w:t>
      </w:r>
      <w:r w:rsidR="00B22C16" w:rsidRPr="003D7170">
        <w:rPr>
          <w:szCs w:val="22"/>
        </w:rPr>
        <w:t>evidence submitted by Pine.</w:t>
      </w:r>
      <w:r w:rsidR="006C6681" w:rsidRPr="003D7170">
        <w:rPr>
          <w:rStyle w:val="FootnoteReference"/>
          <w:szCs w:val="22"/>
        </w:rPr>
        <w:footnoteReference w:id="52"/>
      </w:r>
      <w:r w:rsidR="00B22C16" w:rsidRPr="003D7170">
        <w:rPr>
          <w:szCs w:val="22"/>
        </w:rPr>
        <w:t xml:space="preserve">  </w:t>
      </w:r>
      <w:r w:rsidR="00712E3E" w:rsidRPr="003D7170">
        <w:rPr>
          <w:szCs w:val="22"/>
        </w:rPr>
        <w:t>W</w:t>
      </w:r>
      <w:r w:rsidRPr="003D7170">
        <w:rPr>
          <w:szCs w:val="22"/>
        </w:rPr>
        <w:t xml:space="preserve">e find that </w:t>
      </w:r>
      <w:r w:rsidR="00305EF7" w:rsidRPr="003D7170">
        <w:rPr>
          <w:szCs w:val="22"/>
        </w:rPr>
        <w:t>the</w:t>
      </w:r>
      <w:r w:rsidR="008A357F" w:rsidRPr="003D7170">
        <w:rPr>
          <w:szCs w:val="22"/>
        </w:rPr>
        <w:t xml:space="preserve"> </w:t>
      </w:r>
      <w:r w:rsidR="00FF1C50" w:rsidRPr="003D7170">
        <w:rPr>
          <w:szCs w:val="22"/>
        </w:rPr>
        <w:t>unique circumstances</w:t>
      </w:r>
      <w:r w:rsidR="00BB216A" w:rsidRPr="003D7170">
        <w:rPr>
          <w:szCs w:val="22"/>
        </w:rPr>
        <w:t xml:space="preserve"> </w:t>
      </w:r>
      <w:r w:rsidR="00FF1C50" w:rsidRPr="003D7170">
        <w:rPr>
          <w:szCs w:val="22"/>
        </w:rPr>
        <w:t xml:space="preserve">in this case—namely the </w:t>
      </w:r>
      <w:r w:rsidR="008A357F" w:rsidRPr="003D7170">
        <w:rPr>
          <w:szCs w:val="22"/>
        </w:rPr>
        <w:t xml:space="preserve">historical carriage </w:t>
      </w:r>
      <w:r w:rsidR="0031043B">
        <w:rPr>
          <w:szCs w:val="22"/>
        </w:rPr>
        <w:t>and viewership</w:t>
      </w:r>
      <w:r w:rsidR="0031043B" w:rsidRPr="003D7170">
        <w:rPr>
          <w:szCs w:val="22"/>
        </w:rPr>
        <w:t xml:space="preserve"> </w:t>
      </w:r>
      <w:r w:rsidR="008A357F" w:rsidRPr="003D7170">
        <w:rPr>
          <w:szCs w:val="22"/>
        </w:rPr>
        <w:t xml:space="preserve">of these stations in </w:t>
      </w:r>
      <w:r w:rsidRPr="003D7170">
        <w:rPr>
          <w:szCs w:val="22"/>
        </w:rPr>
        <w:t>Halfway</w:t>
      </w:r>
      <w:r w:rsidR="0031043B">
        <w:rPr>
          <w:szCs w:val="22"/>
        </w:rPr>
        <w:t>,</w:t>
      </w:r>
      <w:r w:rsidR="00F811DC" w:rsidRPr="003D7170">
        <w:rPr>
          <w:szCs w:val="22"/>
        </w:rPr>
        <w:t xml:space="preserve"> </w:t>
      </w:r>
      <w:r w:rsidR="0031043B">
        <w:rPr>
          <w:szCs w:val="22"/>
        </w:rPr>
        <w:t xml:space="preserve">combined with </w:t>
      </w:r>
      <w:r w:rsidR="00AB4622" w:rsidRPr="003D7170">
        <w:rPr>
          <w:szCs w:val="22"/>
        </w:rPr>
        <w:t xml:space="preserve">the </w:t>
      </w:r>
      <w:r w:rsidR="002562F0" w:rsidRPr="003D7170">
        <w:rPr>
          <w:szCs w:val="22"/>
        </w:rPr>
        <w:t xml:space="preserve">subsequent absence of a local cable system </w:t>
      </w:r>
      <w:r w:rsidR="0031043B">
        <w:rPr>
          <w:szCs w:val="22"/>
        </w:rPr>
        <w:t xml:space="preserve">in </w:t>
      </w:r>
      <w:r w:rsidR="00AB4622" w:rsidRPr="003D7170">
        <w:rPr>
          <w:szCs w:val="22"/>
        </w:rPr>
        <w:t>th</w:t>
      </w:r>
      <w:r w:rsidR="0031043B">
        <w:rPr>
          <w:szCs w:val="22"/>
        </w:rPr>
        <w:t>is remote</w:t>
      </w:r>
      <w:r w:rsidR="00AB4622" w:rsidRPr="003D7170">
        <w:rPr>
          <w:szCs w:val="22"/>
        </w:rPr>
        <w:t xml:space="preserve"> community </w:t>
      </w:r>
      <w:r w:rsidR="002562F0" w:rsidRPr="003D7170">
        <w:rPr>
          <w:szCs w:val="22"/>
        </w:rPr>
        <w:t xml:space="preserve">for several years, </w:t>
      </w:r>
      <w:r w:rsidR="0031043B">
        <w:rPr>
          <w:szCs w:val="22"/>
        </w:rPr>
        <w:t>and</w:t>
      </w:r>
      <w:r w:rsidR="00F811DC" w:rsidRPr="003D7170">
        <w:rPr>
          <w:szCs w:val="22"/>
        </w:rPr>
        <w:t xml:space="preserve"> the historical absence of any commercial Portland DMA station</w:t>
      </w:r>
      <w:r w:rsidR="002562F0" w:rsidRPr="003D7170">
        <w:rPr>
          <w:szCs w:val="22"/>
        </w:rPr>
        <w:t xml:space="preserve"> </w:t>
      </w:r>
      <w:r w:rsidR="00AB4622" w:rsidRPr="003D7170">
        <w:rPr>
          <w:szCs w:val="22"/>
        </w:rPr>
        <w:t>carriage</w:t>
      </w:r>
      <w:r w:rsidR="002562F0" w:rsidRPr="003D7170">
        <w:rPr>
          <w:szCs w:val="22"/>
        </w:rPr>
        <w:t xml:space="preserve"> in the community</w:t>
      </w:r>
      <w:r w:rsidR="00FF1C50" w:rsidRPr="003D7170">
        <w:rPr>
          <w:szCs w:val="22"/>
        </w:rPr>
        <w:t>—</w:t>
      </w:r>
      <w:r w:rsidR="00AB4622" w:rsidRPr="003D7170">
        <w:rPr>
          <w:szCs w:val="22"/>
        </w:rPr>
        <w:t xml:space="preserve">warrant the addition of </w:t>
      </w:r>
      <w:r w:rsidR="008A357F" w:rsidRPr="003D7170">
        <w:rPr>
          <w:szCs w:val="22"/>
        </w:rPr>
        <w:t xml:space="preserve">the </w:t>
      </w:r>
      <w:r w:rsidR="00F811DC" w:rsidRPr="003D7170">
        <w:rPr>
          <w:szCs w:val="22"/>
        </w:rPr>
        <w:t xml:space="preserve">Halfway </w:t>
      </w:r>
      <w:r w:rsidR="008A357F" w:rsidRPr="003D7170">
        <w:rPr>
          <w:szCs w:val="22"/>
        </w:rPr>
        <w:t>community</w:t>
      </w:r>
      <w:r w:rsidR="007C57F1">
        <w:rPr>
          <w:szCs w:val="22"/>
        </w:rPr>
        <w:t xml:space="preserve"> to the market of </w:t>
      </w:r>
      <w:r w:rsidR="007C57F1" w:rsidRPr="003D7170">
        <w:rPr>
          <w:szCs w:val="22"/>
        </w:rPr>
        <w:t>these stations</w:t>
      </w:r>
      <w:r w:rsidR="00F811DC" w:rsidRPr="003D7170">
        <w:rPr>
          <w:szCs w:val="22"/>
        </w:rPr>
        <w:t>.</w:t>
      </w:r>
      <w:r w:rsidR="00FF1C50" w:rsidRPr="003D7170">
        <w:rPr>
          <w:rStyle w:val="FootnoteReference"/>
          <w:szCs w:val="22"/>
        </w:rPr>
        <w:footnoteReference w:id="53"/>
      </w:r>
      <w:r w:rsidR="0081622B" w:rsidRPr="003D7170">
        <w:rPr>
          <w:szCs w:val="22"/>
        </w:rPr>
        <w:t xml:space="preserve"> </w:t>
      </w:r>
      <w:r w:rsidR="00F811DC" w:rsidRPr="003D7170">
        <w:rPr>
          <w:szCs w:val="22"/>
        </w:rPr>
        <w:t xml:space="preserve"> </w:t>
      </w:r>
      <w:r w:rsidR="00712E3E" w:rsidRPr="003D7170">
        <w:rPr>
          <w:szCs w:val="22"/>
        </w:rPr>
        <w:t xml:space="preserve">We </w:t>
      </w:r>
      <w:r w:rsidR="0031043B">
        <w:rPr>
          <w:szCs w:val="22"/>
        </w:rPr>
        <w:t xml:space="preserve">also </w:t>
      </w:r>
      <w:r w:rsidR="00305EF7" w:rsidRPr="003D7170">
        <w:rPr>
          <w:szCs w:val="22"/>
        </w:rPr>
        <w:t xml:space="preserve">note that these stations are </w:t>
      </w:r>
      <w:r w:rsidR="00464531" w:rsidRPr="003D7170">
        <w:rPr>
          <w:szCs w:val="22"/>
        </w:rPr>
        <w:t xml:space="preserve">significantly </w:t>
      </w:r>
      <w:r w:rsidR="00305EF7" w:rsidRPr="003D7170">
        <w:rPr>
          <w:szCs w:val="22"/>
        </w:rPr>
        <w:t>closer geographically to Halfway than the stations located in Portland</w:t>
      </w:r>
      <w:r w:rsidR="0031043B">
        <w:rPr>
          <w:szCs w:val="22"/>
        </w:rPr>
        <w:t>,</w:t>
      </w:r>
      <w:r w:rsidR="00305EF7" w:rsidRPr="003D7170">
        <w:rPr>
          <w:szCs w:val="22"/>
        </w:rPr>
        <w:t xml:space="preserve"> </w:t>
      </w:r>
      <w:r w:rsidR="0031043B">
        <w:rPr>
          <w:szCs w:val="22"/>
        </w:rPr>
        <w:t>and</w:t>
      </w:r>
      <w:r w:rsidR="00DB6FDC" w:rsidRPr="003D7170">
        <w:rPr>
          <w:szCs w:val="22"/>
        </w:rPr>
        <w:t xml:space="preserve">, no station in the Portland DMA </w:t>
      </w:r>
      <w:r w:rsidR="0031043B">
        <w:rPr>
          <w:szCs w:val="22"/>
        </w:rPr>
        <w:t xml:space="preserve">has </w:t>
      </w:r>
      <w:r w:rsidR="00DB6FDC" w:rsidRPr="003D7170">
        <w:rPr>
          <w:szCs w:val="22"/>
        </w:rPr>
        <w:t xml:space="preserve">opposed </w:t>
      </w:r>
      <w:r w:rsidR="00AB4622" w:rsidRPr="003D7170">
        <w:rPr>
          <w:szCs w:val="22"/>
        </w:rPr>
        <w:t>Pine’s</w:t>
      </w:r>
      <w:r w:rsidR="00DB6FDC" w:rsidRPr="003D7170">
        <w:rPr>
          <w:szCs w:val="22"/>
        </w:rPr>
        <w:t xml:space="preserve"> petition.</w:t>
      </w:r>
      <w:r w:rsidR="00E92A15" w:rsidRPr="003D7170">
        <w:rPr>
          <w:rStyle w:val="FootnoteReference"/>
          <w:szCs w:val="22"/>
        </w:rPr>
        <w:footnoteReference w:id="54"/>
      </w:r>
      <w:r w:rsidR="00744A8C" w:rsidRPr="003D7170">
        <w:rPr>
          <w:szCs w:val="22"/>
        </w:rPr>
        <w:t xml:space="preserve">  </w:t>
      </w:r>
      <w:r w:rsidR="00813A78">
        <w:rPr>
          <w:szCs w:val="22"/>
        </w:rPr>
        <w:t xml:space="preserve">Furthermore, both stations had viewership in Baker County at one point.  </w:t>
      </w:r>
      <w:r w:rsidR="00305EF7" w:rsidRPr="003D7170">
        <w:rPr>
          <w:szCs w:val="22"/>
        </w:rPr>
        <w:t>Accordingly, by virtue of their</w:t>
      </w:r>
      <w:r w:rsidR="00AF0188" w:rsidRPr="003D7170">
        <w:rPr>
          <w:szCs w:val="22"/>
        </w:rPr>
        <w:t xml:space="preserve"> record of </w:t>
      </w:r>
      <w:r w:rsidR="00427DF6" w:rsidRPr="003D7170">
        <w:rPr>
          <w:szCs w:val="22"/>
        </w:rPr>
        <w:t>historical carriage,</w:t>
      </w:r>
      <w:r w:rsidR="00813A78">
        <w:rPr>
          <w:szCs w:val="22"/>
        </w:rPr>
        <w:t xml:space="preserve"> their viewership,</w:t>
      </w:r>
      <w:r w:rsidR="00427DF6" w:rsidRPr="003D7170">
        <w:rPr>
          <w:szCs w:val="22"/>
        </w:rPr>
        <w:t xml:space="preserve"> </w:t>
      </w:r>
      <w:r w:rsidR="00305EF7" w:rsidRPr="003D7170">
        <w:rPr>
          <w:szCs w:val="22"/>
        </w:rPr>
        <w:t xml:space="preserve">their </w:t>
      </w:r>
      <w:r w:rsidR="00464531" w:rsidRPr="003D7170">
        <w:rPr>
          <w:szCs w:val="22"/>
        </w:rPr>
        <w:t xml:space="preserve">greater </w:t>
      </w:r>
      <w:r w:rsidR="00305EF7" w:rsidRPr="003D7170">
        <w:rPr>
          <w:szCs w:val="22"/>
        </w:rPr>
        <w:t>proximity to the Halfway communit</w:t>
      </w:r>
      <w:r w:rsidR="00911519">
        <w:rPr>
          <w:szCs w:val="22"/>
        </w:rPr>
        <w:t>y</w:t>
      </w:r>
      <w:r w:rsidR="00305EF7" w:rsidRPr="003D7170">
        <w:rPr>
          <w:szCs w:val="22"/>
        </w:rPr>
        <w:t xml:space="preserve">, </w:t>
      </w:r>
      <w:r w:rsidR="008A357F" w:rsidRPr="003D7170">
        <w:rPr>
          <w:szCs w:val="22"/>
        </w:rPr>
        <w:t xml:space="preserve">and </w:t>
      </w:r>
      <w:r w:rsidR="00305EF7" w:rsidRPr="003D7170">
        <w:rPr>
          <w:szCs w:val="22"/>
        </w:rPr>
        <w:t xml:space="preserve">the </w:t>
      </w:r>
      <w:r w:rsidR="00DB6FDC" w:rsidRPr="003D7170">
        <w:rPr>
          <w:szCs w:val="22"/>
        </w:rPr>
        <w:t>lack of opposition by in-market stations</w:t>
      </w:r>
      <w:r w:rsidR="004306EC" w:rsidRPr="003D7170">
        <w:rPr>
          <w:szCs w:val="22"/>
        </w:rPr>
        <w:t xml:space="preserve">, </w:t>
      </w:r>
      <w:r w:rsidR="00305EF7" w:rsidRPr="003D7170">
        <w:rPr>
          <w:szCs w:val="22"/>
        </w:rPr>
        <w:t xml:space="preserve">the markets of </w:t>
      </w:r>
      <w:r w:rsidR="008A357F" w:rsidRPr="003D7170">
        <w:rPr>
          <w:szCs w:val="22"/>
        </w:rPr>
        <w:t xml:space="preserve">stations </w:t>
      </w:r>
      <w:r w:rsidR="000376C1" w:rsidRPr="003D7170">
        <w:rPr>
          <w:szCs w:val="22"/>
        </w:rPr>
        <w:t xml:space="preserve">KBOI-TV and KTVB </w:t>
      </w:r>
      <w:r w:rsidR="00305EF7" w:rsidRPr="003D7170">
        <w:rPr>
          <w:szCs w:val="22"/>
        </w:rPr>
        <w:t xml:space="preserve">will be modified to include </w:t>
      </w:r>
      <w:r w:rsidR="0031043B">
        <w:rPr>
          <w:szCs w:val="22"/>
        </w:rPr>
        <w:t xml:space="preserve">the remote community of </w:t>
      </w:r>
      <w:r w:rsidR="00305EF7" w:rsidRPr="003D7170">
        <w:rPr>
          <w:szCs w:val="22"/>
        </w:rPr>
        <w:t>Halfway.</w:t>
      </w:r>
    </w:p>
    <w:p w:rsidR="002D23EB" w:rsidRPr="00813A78" w:rsidRDefault="002D23EB" w:rsidP="002D23EB">
      <w:pPr>
        <w:pStyle w:val="ParaNum"/>
      </w:pPr>
      <w:r w:rsidRPr="003D7170">
        <w:rPr>
          <w:szCs w:val="22"/>
        </w:rPr>
        <w:t xml:space="preserve">We deny the Petition with respect to KNIN-TV.  </w:t>
      </w:r>
      <w:r w:rsidR="001A11F8">
        <w:rPr>
          <w:szCs w:val="22"/>
        </w:rPr>
        <w:t>KNIN-TV</w:t>
      </w:r>
      <w:r w:rsidRPr="003D7170">
        <w:rPr>
          <w:szCs w:val="22"/>
        </w:rPr>
        <w:t xml:space="preserve"> </w:t>
      </w:r>
      <w:r w:rsidR="000376C1" w:rsidRPr="003D7170">
        <w:rPr>
          <w:szCs w:val="22"/>
        </w:rPr>
        <w:t xml:space="preserve">has </w:t>
      </w:r>
      <w:r w:rsidR="001A11F8">
        <w:rPr>
          <w:szCs w:val="22"/>
        </w:rPr>
        <w:t xml:space="preserve">not </w:t>
      </w:r>
      <w:r w:rsidR="000376C1" w:rsidRPr="003D7170">
        <w:rPr>
          <w:szCs w:val="22"/>
        </w:rPr>
        <w:t>been historically carried in Halfway</w:t>
      </w:r>
      <w:r w:rsidR="00E92A15">
        <w:rPr>
          <w:szCs w:val="22"/>
        </w:rPr>
        <w:t xml:space="preserve"> and</w:t>
      </w:r>
      <w:r w:rsidR="004A104A">
        <w:rPr>
          <w:szCs w:val="22"/>
        </w:rPr>
        <w:t xml:space="preserve"> </w:t>
      </w:r>
      <w:r w:rsidR="001A11F8">
        <w:rPr>
          <w:szCs w:val="22"/>
        </w:rPr>
        <w:t>does not</w:t>
      </w:r>
      <w:r w:rsidR="000376C1" w:rsidRPr="003D7170">
        <w:rPr>
          <w:szCs w:val="22"/>
        </w:rPr>
        <w:t xml:space="preserve"> </w:t>
      </w:r>
      <w:r w:rsidRPr="003D7170">
        <w:rPr>
          <w:szCs w:val="22"/>
        </w:rPr>
        <w:t>reach Halfway with a</w:t>
      </w:r>
      <w:r w:rsidR="00E75863" w:rsidRPr="003D7170">
        <w:rPr>
          <w:szCs w:val="22"/>
        </w:rPr>
        <w:t>n</w:t>
      </w:r>
      <w:r w:rsidRPr="003D7170">
        <w:rPr>
          <w:szCs w:val="22"/>
        </w:rPr>
        <w:t xml:space="preserve"> </w:t>
      </w:r>
      <w:r w:rsidR="000376C1" w:rsidRPr="003D7170">
        <w:rPr>
          <w:szCs w:val="22"/>
        </w:rPr>
        <w:t xml:space="preserve">off-air </w:t>
      </w:r>
      <w:r w:rsidRPr="003D7170">
        <w:rPr>
          <w:szCs w:val="22"/>
        </w:rPr>
        <w:t>signal</w:t>
      </w:r>
      <w:r w:rsidR="00F33B19" w:rsidRPr="003D7170">
        <w:rPr>
          <w:szCs w:val="22"/>
        </w:rPr>
        <w:t xml:space="preserve">.  </w:t>
      </w:r>
      <w:r w:rsidRPr="003D7170">
        <w:rPr>
          <w:szCs w:val="22"/>
        </w:rPr>
        <w:t xml:space="preserve">Pine has not provided any exhibits demonstrating that KNIN-TV provides local programming of interest to Halfway. </w:t>
      </w:r>
      <w:r w:rsidR="000376C1" w:rsidRPr="003D7170">
        <w:rPr>
          <w:szCs w:val="22"/>
        </w:rPr>
        <w:t xml:space="preserve"> Though </w:t>
      </w:r>
      <w:r w:rsidR="008A357F" w:rsidRPr="003D7170">
        <w:rPr>
          <w:szCs w:val="22"/>
        </w:rPr>
        <w:t>Pine represents that the Boise S</w:t>
      </w:r>
      <w:r w:rsidR="004A2BB4" w:rsidRPr="003D7170">
        <w:rPr>
          <w:szCs w:val="22"/>
        </w:rPr>
        <w:t>tations are</w:t>
      </w:r>
      <w:r w:rsidR="000376C1" w:rsidRPr="003D7170">
        <w:rPr>
          <w:szCs w:val="22"/>
        </w:rPr>
        <w:t xml:space="preserve"> </w:t>
      </w:r>
      <w:r w:rsidR="00E92A15">
        <w:rPr>
          <w:szCs w:val="22"/>
        </w:rPr>
        <w:t xml:space="preserve">all </w:t>
      </w:r>
      <w:r w:rsidR="000376C1" w:rsidRPr="003D7170">
        <w:rPr>
          <w:szCs w:val="22"/>
        </w:rPr>
        <w:t>similarly situated, w</w:t>
      </w:r>
      <w:r w:rsidRPr="003D7170">
        <w:rPr>
          <w:szCs w:val="22"/>
        </w:rPr>
        <w:t>e are not</w:t>
      </w:r>
      <w:r w:rsidR="00F33B19" w:rsidRPr="003D7170">
        <w:rPr>
          <w:szCs w:val="22"/>
        </w:rPr>
        <w:t xml:space="preserve"> prepared to grant </w:t>
      </w:r>
      <w:r w:rsidRPr="003D7170">
        <w:rPr>
          <w:szCs w:val="22"/>
        </w:rPr>
        <w:t>market modification based solely on statements made collectively for all of the Boise Stations without evidence specific to KNIN-TV.</w:t>
      </w:r>
      <w:r w:rsidR="00F33B19" w:rsidRPr="003D7170">
        <w:rPr>
          <w:szCs w:val="22"/>
        </w:rPr>
        <w:t xml:space="preserve">  Therefore, because there has been no showing of historical carriage, local service, or viewership for KNIN-TV, we deny the Petition with respect to </w:t>
      </w:r>
      <w:r w:rsidR="001A11F8">
        <w:rPr>
          <w:szCs w:val="22"/>
        </w:rPr>
        <w:t>KNIN-TV</w:t>
      </w:r>
      <w:r w:rsidR="00F33B19" w:rsidRPr="003D7170">
        <w:rPr>
          <w:szCs w:val="22"/>
        </w:rPr>
        <w:t xml:space="preserve">. </w:t>
      </w:r>
    </w:p>
    <w:p w:rsidR="00813A78" w:rsidRPr="003D7170" w:rsidRDefault="009430DF" w:rsidP="002D23EB">
      <w:pPr>
        <w:pStyle w:val="ParaNum"/>
      </w:pPr>
      <w:r>
        <w:t>W</w:t>
      </w:r>
      <w:r w:rsidR="00813A78">
        <w:t xml:space="preserve">e </w:t>
      </w:r>
      <w:r>
        <w:t xml:space="preserve">also </w:t>
      </w:r>
      <w:r w:rsidR="00813A78">
        <w:t>deny the Petition with respect to KIVI-TV</w:t>
      </w:r>
      <w:r w:rsidR="001A11F8">
        <w:t xml:space="preserve"> and KTRV-TV</w:t>
      </w:r>
      <w:r w:rsidR="00615AF1">
        <w:t>.</w:t>
      </w:r>
      <w:r w:rsidR="001A11F8">
        <w:t xml:space="preserve">  </w:t>
      </w:r>
      <w:r w:rsidR="00813A78">
        <w:t xml:space="preserve">Pine has not provided exhibits demonstrating that </w:t>
      </w:r>
      <w:r w:rsidR="001A11F8">
        <w:t>either</w:t>
      </w:r>
      <w:r w:rsidR="00813A78">
        <w:t xml:space="preserve"> </w:t>
      </w:r>
      <w:r w:rsidR="001A11F8">
        <w:t>KIVI-TV</w:t>
      </w:r>
      <w:r w:rsidR="00813A78">
        <w:t xml:space="preserve"> </w:t>
      </w:r>
      <w:r w:rsidR="001A11F8">
        <w:t xml:space="preserve">or KTRV-TV </w:t>
      </w:r>
      <w:r w:rsidR="00813A78">
        <w:t xml:space="preserve">reaches Halfway with an off-air signal or provides local programming </w:t>
      </w:r>
      <w:r w:rsidR="001A11F8">
        <w:t xml:space="preserve">of interest to Halfway.  </w:t>
      </w:r>
      <w:r w:rsidR="00615AF1">
        <w:t xml:space="preserve">Pine has not established viewership in Halfway for KIVI-TV and has not demonstrated historical carriage in Halfway for KTRV-TV.  Although we find that KIVI-TV has been historically carried in Halfway and that KTRV-TV likely had viewership in Halfway, we are not prepared to grant market modification based solely on one factor for each station.  </w:t>
      </w:r>
      <w:r w:rsidR="00813A78" w:rsidRPr="003D7170">
        <w:rPr>
          <w:szCs w:val="22"/>
        </w:rPr>
        <w:t xml:space="preserve">Therefore, </w:t>
      </w:r>
      <w:r w:rsidR="001A11F8">
        <w:rPr>
          <w:szCs w:val="22"/>
        </w:rPr>
        <w:t xml:space="preserve">because we find that the statutory market modification factors have not been sufficiently satisfied </w:t>
      </w:r>
      <w:r w:rsidR="00813A78" w:rsidRPr="003D7170">
        <w:rPr>
          <w:szCs w:val="22"/>
        </w:rPr>
        <w:t>for K</w:t>
      </w:r>
      <w:r w:rsidR="00813A78">
        <w:rPr>
          <w:szCs w:val="22"/>
        </w:rPr>
        <w:t>IVI</w:t>
      </w:r>
      <w:r w:rsidR="00813A78" w:rsidRPr="003D7170">
        <w:rPr>
          <w:szCs w:val="22"/>
        </w:rPr>
        <w:t>-TV</w:t>
      </w:r>
      <w:r w:rsidR="001A11F8">
        <w:rPr>
          <w:szCs w:val="22"/>
        </w:rPr>
        <w:t xml:space="preserve"> or KTRV-TV</w:t>
      </w:r>
      <w:r w:rsidR="00813A78">
        <w:rPr>
          <w:szCs w:val="22"/>
        </w:rPr>
        <w:t>,</w:t>
      </w:r>
      <w:r w:rsidR="00813A78" w:rsidRPr="003D7170">
        <w:rPr>
          <w:szCs w:val="22"/>
        </w:rPr>
        <w:t xml:space="preserve"> we deny th</w:t>
      </w:r>
      <w:r w:rsidR="00813A78">
        <w:rPr>
          <w:szCs w:val="22"/>
        </w:rPr>
        <w:t>e Petition with respect to</w:t>
      </w:r>
      <w:r w:rsidR="001A11F8">
        <w:rPr>
          <w:szCs w:val="22"/>
        </w:rPr>
        <w:t xml:space="preserve"> these stations</w:t>
      </w:r>
      <w:r w:rsidR="00813A78">
        <w:rPr>
          <w:szCs w:val="22"/>
        </w:rPr>
        <w:t>.</w:t>
      </w:r>
    </w:p>
    <w:p w:rsidR="00967352" w:rsidRPr="003D7170" w:rsidRDefault="00967352" w:rsidP="00967352">
      <w:pPr>
        <w:pStyle w:val="Heading1"/>
      </w:pPr>
      <w:r w:rsidRPr="003D7170">
        <w:t>Ordering Clauses</w:t>
      </w:r>
    </w:p>
    <w:p w:rsidR="00967352" w:rsidRPr="003D7170" w:rsidRDefault="00967352" w:rsidP="00967352">
      <w:pPr>
        <w:pStyle w:val="ParaNum"/>
      </w:pPr>
      <w:r w:rsidRPr="003D7170">
        <w:rPr>
          <w:szCs w:val="22"/>
        </w:rPr>
        <w:t xml:space="preserve">Accordingly, </w:t>
      </w:r>
      <w:r w:rsidRPr="003D7170">
        <w:rPr>
          <w:b/>
          <w:szCs w:val="22"/>
        </w:rPr>
        <w:t>IT IS ORDERED</w:t>
      </w:r>
      <w:r w:rsidRPr="003D7170">
        <w:rPr>
          <w:szCs w:val="22"/>
        </w:rPr>
        <w:t>, pursuant to Section 614(h) of the Communications Act of 1934, as amended, 47 U.S.C. § 534, and Section 76.59 of the Commission's rules, 47 C.F.R. § 76.59, that the captioned petition for special relief (CSR-8878-A), filed by</w:t>
      </w:r>
      <w:r w:rsidRPr="003D7170">
        <w:t xml:space="preserve"> Pine Telephone T.V., seeking modification of the markets of television stations </w:t>
      </w:r>
      <w:r w:rsidRPr="003D7170">
        <w:rPr>
          <w:spacing w:val="-2"/>
        </w:rPr>
        <w:t>KBOI-TV, KTVB, KIVI-TV, KTRV-TV, and KNIN-TV in the Portland</w:t>
      </w:r>
      <w:r w:rsidR="00F83953" w:rsidRPr="003D7170">
        <w:rPr>
          <w:spacing w:val="-2"/>
        </w:rPr>
        <w:t>, Oregon DMA</w:t>
      </w:r>
      <w:r w:rsidRPr="003D7170">
        <w:rPr>
          <w:spacing w:val="-2"/>
        </w:rPr>
        <w:t xml:space="preserve"> </w:t>
      </w:r>
      <w:r w:rsidR="001762C5" w:rsidRPr="003D7170">
        <w:rPr>
          <w:b/>
          <w:spacing w:val="-2"/>
        </w:rPr>
        <w:t>IS GRANTED</w:t>
      </w:r>
      <w:r w:rsidR="000376C1" w:rsidRPr="003D7170">
        <w:rPr>
          <w:b/>
          <w:spacing w:val="-2"/>
        </w:rPr>
        <w:t xml:space="preserve"> IN PART</w:t>
      </w:r>
      <w:r w:rsidR="00350DB2">
        <w:rPr>
          <w:spacing w:val="-2"/>
        </w:rPr>
        <w:t xml:space="preserve"> with respect to KBOI-TV and</w:t>
      </w:r>
      <w:r w:rsidR="000376C1" w:rsidRPr="003D7170">
        <w:rPr>
          <w:spacing w:val="-2"/>
        </w:rPr>
        <w:t xml:space="preserve"> KTVB and </w:t>
      </w:r>
      <w:r w:rsidR="000376C1" w:rsidRPr="003D7170">
        <w:rPr>
          <w:b/>
          <w:spacing w:val="-2"/>
        </w:rPr>
        <w:t>IS DENIED IN PART</w:t>
      </w:r>
      <w:r w:rsidR="000376C1" w:rsidRPr="003D7170">
        <w:rPr>
          <w:spacing w:val="-2"/>
        </w:rPr>
        <w:t xml:space="preserve"> with respect to KTRV-TV</w:t>
      </w:r>
      <w:r w:rsidR="00350DB2">
        <w:rPr>
          <w:spacing w:val="-2"/>
        </w:rPr>
        <w:t xml:space="preserve">, </w:t>
      </w:r>
      <w:r w:rsidR="00350DB2" w:rsidRPr="003D7170">
        <w:rPr>
          <w:spacing w:val="-2"/>
        </w:rPr>
        <w:t>KIVI-TV</w:t>
      </w:r>
      <w:r w:rsidR="00350DB2">
        <w:rPr>
          <w:spacing w:val="-2"/>
        </w:rPr>
        <w:t>,</w:t>
      </w:r>
      <w:r w:rsidR="000376C1" w:rsidRPr="003D7170">
        <w:rPr>
          <w:spacing w:val="-2"/>
        </w:rPr>
        <w:t xml:space="preserve"> and KNIN-TV</w:t>
      </w:r>
      <w:r w:rsidR="001762C5" w:rsidRPr="003D7170">
        <w:rPr>
          <w:spacing w:val="-2"/>
        </w:rPr>
        <w:t>.</w:t>
      </w:r>
    </w:p>
    <w:p w:rsidR="00967352" w:rsidRPr="003D7170" w:rsidRDefault="00967352" w:rsidP="007701F3">
      <w:pPr>
        <w:pStyle w:val="ParaNum"/>
        <w:rPr>
          <w:szCs w:val="22"/>
        </w:rPr>
      </w:pPr>
      <w:r w:rsidRPr="003D7170">
        <w:rPr>
          <w:szCs w:val="22"/>
        </w:rPr>
        <w:t>This action is taken pursuant to authority delegated by Section 0.283 of the Commission's rules.</w:t>
      </w:r>
      <w:r w:rsidR="00911519" w:rsidRPr="00911519">
        <w:rPr>
          <w:rStyle w:val="FootnoteReference"/>
          <w:szCs w:val="22"/>
        </w:rPr>
        <w:t xml:space="preserve"> </w:t>
      </w:r>
      <w:r w:rsidR="00911519">
        <w:rPr>
          <w:rStyle w:val="FootnoteReference"/>
          <w:szCs w:val="22"/>
        </w:rPr>
        <w:footnoteReference w:id="55"/>
      </w:r>
    </w:p>
    <w:p w:rsidR="00967352" w:rsidRPr="003D7170" w:rsidRDefault="00967352" w:rsidP="00967352">
      <w:pPr>
        <w:pStyle w:val="ParaNum"/>
        <w:numPr>
          <w:ilvl w:val="0"/>
          <w:numId w:val="0"/>
        </w:numPr>
        <w:ind w:left="4320"/>
        <w:rPr>
          <w:szCs w:val="22"/>
        </w:rPr>
      </w:pPr>
      <w:r w:rsidRPr="003D7170">
        <w:rPr>
          <w:szCs w:val="22"/>
        </w:rPr>
        <w:t>FEDERAL COMMUNICATIONS COMMISSION</w:t>
      </w:r>
    </w:p>
    <w:p w:rsidR="00967352" w:rsidRPr="003D7170" w:rsidRDefault="00967352" w:rsidP="00967352">
      <w:pPr>
        <w:pStyle w:val="ParaNum"/>
        <w:numPr>
          <w:ilvl w:val="0"/>
          <w:numId w:val="0"/>
        </w:numPr>
        <w:ind w:left="4320"/>
        <w:rPr>
          <w:szCs w:val="22"/>
        </w:rPr>
      </w:pPr>
    </w:p>
    <w:p w:rsidR="00967352" w:rsidRPr="003D7170" w:rsidRDefault="00967352" w:rsidP="00967352">
      <w:pPr>
        <w:pStyle w:val="ParaNum"/>
        <w:numPr>
          <w:ilvl w:val="0"/>
          <w:numId w:val="0"/>
        </w:numPr>
        <w:ind w:left="4320"/>
        <w:rPr>
          <w:szCs w:val="22"/>
        </w:rPr>
      </w:pPr>
    </w:p>
    <w:p w:rsidR="00967352" w:rsidRPr="003D7170" w:rsidRDefault="00967352" w:rsidP="00967352">
      <w:pPr>
        <w:pStyle w:val="ParaNum"/>
        <w:numPr>
          <w:ilvl w:val="0"/>
          <w:numId w:val="0"/>
        </w:numPr>
        <w:spacing w:after="0"/>
        <w:ind w:left="4320"/>
        <w:rPr>
          <w:szCs w:val="22"/>
        </w:rPr>
      </w:pPr>
      <w:r w:rsidRPr="003D7170">
        <w:rPr>
          <w:szCs w:val="22"/>
        </w:rPr>
        <w:t>Steven A. Broeckaert</w:t>
      </w:r>
    </w:p>
    <w:p w:rsidR="00967352" w:rsidRPr="003D7170" w:rsidRDefault="00967352" w:rsidP="00967352">
      <w:pPr>
        <w:pStyle w:val="ParaNum"/>
        <w:numPr>
          <w:ilvl w:val="0"/>
          <w:numId w:val="0"/>
        </w:numPr>
        <w:spacing w:after="0"/>
        <w:ind w:left="4320"/>
        <w:rPr>
          <w:szCs w:val="22"/>
        </w:rPr>
      </w:pPr>
      <w:r w:rsidRPr="003D7170">
        <w:rPr>
          <w:szCs w:val="22"/>
        </w:rPr>
        <w:t>Senior Deputy Chief, Policy Division</w:t>
      </w:r>
    </w:p>
    <w:p w:rsidR="00967352" w:rsidRPr="003D7170" w:rsidRDefault="00967352" w:rsidP="00967352">
      <w:pPr>
        <w:pStyle w:val="ParaNum"/>
        <w:numPr>
          <w:ilvl w:val="0"/>
          <w:numId w:val="0"/>
        </w:numPr>
        <w:spacing w:after="0"/>
        <w:ind w:left="4320"/>
      </w:pPr>
      <w:r w:rsidRPr="003D7170">
        <w:rPr>
          <w:szCs w:val="22"/>
        </w:rPr>
        <w:t>Media Bureau</w:t>
      </w:r>
    </w:p>
    <w:p w:rsidR="00967352" w:rsidRPr="003D7170" w:rsidRDefault="00967352" w:rsidP="00967352">
      <w:pPr>
        <w:pStyle w:val="ParaNum"/>
        <w:numPr>
          <w:ilvl w:val="0"/>
          <w:numId w:val="0"/>
        </w:numPr>
      </w:pPr>
    </w:p>
    <w:p w:rsidR="00967352" w:rsidRPr="003D7170" w:rsidRDefault="00967352" w:rsidP="00967352">
      <w:pPr>
        <w:pStyle w:val="ParaNum"/>
        <w:numPr>
          <w:ilvl w:val="0"/>
          <w:numId w:val="0"/>
        </w:numPr>
        <w:ind w:firstLine="720"/>
      </w:pPr>
    </w:p>
    <w:p w:rsidR="00967352" w:rsidRPr="003D7170" w:rsidRDefault="00967352" w:rsidP="00967352">
      <w:pPr>
        <w:pStyle w:val="ParaNum"/>
        <w:numPr>
          <w:ilvl w:val="0"/>
          <w:numId w:val="0"/>
        </w:numPr>
      </w:pPr>
    </w:p>
    <w:p w:rsidR="00967352" w:rsidRPr="003D7170" w:rsidRDefault="00967352" w:rsidP="00967352">
      <w:pPr>
        <w:pStyle w:val="ParaNum"/>
        <w:numPr>
          <w:ilvl w:val="0"/>
          <w:numId w:val="0"/>
        </w:numPr>
      </w:pPr>
    </w:p>
    <w:p w:rsidR="00967352" w:rsidRPr="003D7170" w:rsidRDefault="00967352" w:rsidP="00967352">
      <w:pPr>
        <w:pStyle w:val="ParaNum"/>
        <w:numPr>
          <w:ilvl w:val="0"/>
          <w:numId w:val="0"/>
        </w:numPr>
      </w:pPr>
    </w:p>
    <w:sectPr w:rsidR="00967352" w:rsidRPr="003D717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14" w:rsidRDefault="00BC7214">
      <w:pPr>
        <w:spacing w:line="20" w:lineRule="exact"/>
      </w:pPr>
    </w:p>
  </w:endnote>
  <w:endnote w:type="continuationSeparator" w:id="0">
    <w:p w:rsidR="00BC7214" w:rsidRDefault="00BC7214">
      <w:r>
        <w:t xml:space="preserve"> </w:t>
      </w:r>
    </w:p>
  </w:endnote>
  <w:endnote w:type="continuationNotice" w:id="1">
    <w:p w:rsidR="00BC7214" w:rsidRDefault="00BC72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62086" w:rsidP="0055614C">
    <w:pPr>
      <w:pStyle w:val="Footer"/>
      <w:framePr w:wrap="around" w:vAnchor="text" w:hAnchor="margin" w:xAlign="center" w:y="1"/>
    </w:pPr>
    <w:r>
      <w:fldChar w:fldCharType="begin"/>
    </w:r>
    <w:r w:rsidR="00D25FB5">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62086" w:rsidP="0055614C">
    <w:pPr>
      <w:pStyle w:val="Footer"/>
      <w:framePr w:wrap="around" w:vAnchor="text" w:hAnchor="margin" w:xAlign="center" w:y="1"/>
    </w:pPr>
    <w:r>
      <w:fldChar w:fldCharType="begin"/>
    </w:r>
    <w:r w:rsidR="00D25FB5">
      <w:instrText xml:space="preserve">PAGE  </w:instrText>
    </w:r>
    <w:r>
      <w:fldChar w:fldCharType="separate"/>
    </w:r>
    <w:r w:rsidR="001B106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14" w:rsidRDefault="00BC7214">
      <w:r>
        <w:separator/>
      </w:r>
    </w:p>
  </w:footnote>
  <w:footnote w:type="continuationSeparator" w:id="0">
    <w:p w:rsidR="00BC7214" w:rsidRDefault="00BC7214" w:rsidP="00C721AC">
      <w:pPr>
        <w:spacing w:before="120"/>
        <w:rPr>
          <w:sz w:val="20"/>
        </w:rPr>
      </w:pPr>
      <w:r>
        <w:rPr>
          <w:sz w:val="20"/>
        </w:rPr>
        <w:t xml:space="preserve">(Continued from previous page)  </w:t>
      </w:r>
      <w:r>
        <w:rPr>
          <w:sz w:val="20"/>
        </w:rPr>
        <w:separator/>
      </w:r>
    </w:p>
  </w:footnote>
  <w:footnote w:type="continuationNotice" w:id="1">
    <w:p w:rsidR="00BC7214" w:rsidRDefault="00BC7214" w:rsidP="00C721AC">
      <w:pPr>
        <w:jc w:val="right"/>
        <w:rPr>
          <w:sz w:val="20"/>
        </w:rPr>
      </w:pPr>
      <w:r>
        <w:rPr>
          <w:sz w:val="20"/>
        </w:rPr>
        <w:t>(continued….)</w:t>
      </w:r>
    </w:p>
  </w:footnote>
  <w:footnote w:id="2">
    <w:p w:rsidR="00606177" w:rsidRPr="003D7170" w:rsidRDefault="00606177">
      <w:pPr>
        <w:pStyle w:val="FootnoteText"/>
      </w:pPr>
      <w:r w:rsidRPr="003D7170">
        <w:rPr>
          <w:rStyle w:val="FootnoteReference"/>
        </w:rPr>
        <w:footnoteRef/>
      </w:r>
      <w:r w:rsidRPr="003D7170">
        <w:t xml:space="preserve"> Petition for Special Relief of Pine Telephone T.V., </w:t>
      </w:r>
      <w:r w:rsidR="00015C31" w:rsidRPr="003D7170">
        <w:t xml:space="preserve">filed </w:t>
      </w:r>
      <w:r w:rsidR="00197791">
        <w:t>Apr</w:t>
      </w:r>
      <w:r w:rsidR="00015C31" w:rsidRPr="003D7170">
        <w:t>. 7, 2014, at iii, 1 (“Petition”).</w:t>
      </w:r>
    </w:p>
  </w:footnote>
  <w:footnote w:id="3">
    <w:p w:rsidR="00967352" w:rsidRPr="003D7170" w:rsidRDefault="00967352" w:rsidP="00967352">
      <w:pPr>
        <w:pStyle w:val="FootnoteText"/>
      </w:pPr>
      <w:r w:rsidRPr="003D7170">
        <w:rPr>
          <w:rStyle w:val="FootnoteReference"/>
        </w:rPr>
        <w:footnoteRef/>
      </w:r>
      <w:r w:rsidRPr="003D7170">
        <w:t xml:space="preserve"> </w:t>
      </w:r>
      <w:r w:rsidRPr="003D7170">
        <w:rPr>
          <w:i/>
        </w:rPr>
        <w:t xml:space="preserve">Implementation of the Cable Television Consumer Protection and Competition Act of 1992, Broadcast Signal Carriage Issues, </w:t>
      </w:r>
      <w:r w:rsidRPr="003D7170">
        <w:t>8 FCC Rcd 2965, 2976-2977 (1993) (</w:t>
      </w:r>
      <w:r w:rsidRPr="003D7170">
        <w:rPr>
          <w:i/>
        </w:rPr>
        <w:t>“Must Carry Order”</w:t>
      </w:r>
      <w:r w:rsidRPr="003D7170">
        <w:t xml:space="preserve">). </w:t>
      </w:r>
    </w:p>
  </w:footnote>
  <w:footnote w:id="4">
    <w:p w:rsidR="00967352" w:rsidRPr="003D7170" w:rsidRDefault="00967352" w:rsidP="00967352">
      <w:pPr>
        <w:pStyle w:val="FootnoteText"/>
      </w:pPr>
      <w:r w:rsidRPr="003D7170">
        <w:rPr>
          <w:rStyle w:val="FootnoteReference"/>
        </w:rPr>
        <w:footnoteRef/>
      </w:r>
      <w:r w:rsidRPr="003D7170">
        <w:t xml:space="preserve"> Section 614(h)(1)(C) of the Communications Act, as amended by the Telecommunications Act of 1996, provides that a station’s market shall be determined by the Commission by regulation or order using, where available, commercial publications which delineate television markets based on viewing patterns.  </w:t>
      </w:r>
      <w:r w:rsidRPr="003D7170">
        <w:rPr>
          <w:i/>
        </w:rPr>
        <w:t xml:space="preserve">See </w:t>
      </w:r>
      <w:r w:rsidRPr="003D7170">
        <w:t xml:space="preserve">47 U.S.C. §534(h)(1)(C).  Section 76.55(e) requires that a commercial broadcast television station’s market be defined by The Nielsen Company’s DMAs.  47 C.F.R. § 76.55(e); </w:t>
      </w:r>
      <w:r w:rsidRPr="003D7170">
        <w:rPr>
          <w:i/>
        </w:rPr>
        <w:t xml:space="preserve">see Definition of Markets for Purposes of the Cable Television Broadcast Signal Carriage Rules, </w:t>
      </w:r>
      <w:r w:rsidRPr="003D7170">
        <w:t>14 FCC Rcd 8366 (1999) (</w:t>
      </w:r>
      <w:r w:rsidRPr="003D7170">
        <w:rPr>
          <w:i/>
        </w:rPr>
        <w:t>“Modification Final Report and Order”</w:t>
      </w:r>
      <w:r w:rsidRPr="003D7170">
        <w:t xml:space="preserve">). </w:t>
      </w:r>
    </w:p>
  </w:footnote>
  <w:footnote w:id="5">
    <w:p w:rsidR="00967352" w:rsidRPr="003D7170" w:rsidRDefault="00967352" w:rsidP="00967352">
      <w:pPr>
        <w:pStyle w:val="FootnoteText"/>
      </w:pPr>
      <w:r w:rsidRPr="003D7170">
        <w:rPr>
          <w:rStyle w:val="FootnoteReference"/>
        </w:rPr>
        <w:footnoteRef/>
      </w:r>
      <w:r w:rsidRPr="003D7170">
        <w:t xml:space="preserve"> For a more complete description of how counties are allocated, </w:t>
      </w:r>
      <w:r w:rsidRPr="003D7170">
        <w:rPr>
          <w:i/>
        </w:rPr>
        <w:t xml:space="preserve">see </w:t>
      </w:r>
      <w:r w:rsidRPr="003D7170">
        <w:t xml:space="preserve">Nielsen Media Research’s </w:t>
      </w:r>
      <w:r w:rsidRPr="003D7170">
        <w:rPr>
          <w:i/>
        </w:rPr>
        <w:t>Nielsen Station Index:  Methodology Techniques and Data Interpretation.</w:t>
      </w:r>
      <w:r w:rsidRPr="003D7170">
        <w:t xml:space="preserve"> </w:t>
      </w:r>
    </w:p>
  </w:footnote>
  <w:footnote w:id="6">
    <w:p w:rsidR="00967352" w:rsidRPr="003D7170" w:rsidRDefault="00967352" w:rsidP="00967352">
      <w:pPr>
        <w:pStyle w:val="FootnoteText"/>
      </w:pPr>
      <w:r w:rsidRPr="003D7170">
        <w:rPr>
          <w:rStyle w:val="FootnoteReference"/>
        </w:rPr>
        <w:footnoteRef/>
      </w:r>
      <w:r w:rsidRPr="003D7170">
        <w:t xml:space="preserve"> 47 U.S.C. § 534(h)(1)(C). </w:t>
      </w:r>
    </w:p>
  </w:footnote>
  <w:footnote w:id="7">
    <w:p w:rsidR="00967352" w:rsidRPr="003D7170" w:rsidRDefault="00967352" w:rsidP="00967352">
      <w:pPr>
        <w:pStyle w:val="FootnoteText"/>
      </w:pPr>
      <w:r w:rsidRPr="003D7170">
        <w:rPr>
          <w:rStyle w:val="FootnoteReference"/>
        </w:rPr>
        <w:footnoteRef/>
      </w:r>
      <w:r w:rsidRPr="003D7170">
        <w:t xml:space="preserve"> </w:t>
      </w:r>
      <w:r w:rsidRPr="003D7170">
        <w:rPr>
          <w:i/>
        </w:rPr>
        <w:t>Id.</w:t>
      </w:r>
      <w:r w:rsidRPr="003D7170">
        <w:t xml:space="preserve"> </w:t>
      </w:r>
    </w:p>
  </w:footnote>
  <w:footnote w:id="8">
    <w:p w:rsidR="00967352" w:rsidRPr="003D7170" w:rsidRDefault="00967352" w:rsidP="00967352">
      <w:pPr>
        <w:pStyle w:val="FootnoteText"/>
      </w:pPr>
      <w:r w:rsidRPr="003D7170">
        <w:rPr>
          <w:rStyle w:val="FootnoteReference"/>
        </w:rPr>
        <w:footnoteRef/>
      </w:r>
      <w:r w:rsidRPr="003D7170">
        <w:t xml:space="preserve"> </w:t>
      </w:r>
      <w:r w:rsidRPr="003D7170">
        <w:rPr>
          <w:i/>
        </w:rPr>
        <w:t xml:space="preserve">Must Carry Order, </w:t>
      </w:r>
      <w:r w:rsidRPr="003D7170">
        <w:t xml:space="preserve">8 FCC Rcd 2965, 2977 n.139. </w:t>
      </w:r>
    </w:p>
  </w:footnote>
  <w:footnote w:id="9">
    <w:p w:rsidR="00967352" w:rsidRPr="003D7170" w:rsidRDefault="00967352" w:rsidP="00967352">
      <w:pPr>
        <w:pStyle w:val="FootnoteText"/>
      </w:pPr>
      <w:r w:rsidRPr="003D7170">
        <w:rPr>
          <w:rStyle w:val="FootnoteReference"/>
        </w:rPr>
        <w:footnoteRef/>
      </w:r>
      <w:r w:rsidRPr="003D7170">
        <w:t xml:space="preserve"> Service area maps using Longley-Rice (version 1.2.2) propagation curves may also be included to support a technical service exhibit.  The Longley-Rice model provides a more accurate representation of a station’s technical coverage area because it takes into account such factors as mountains and valleys that are not specifically reflected in a traditional Grade B contour analysis.  In situations involving mountainous terrain or other unusual geographic features, Longley-Rice propagation studies can aid in determining whether or not a television station actually provides local service to a community under factor two of the market modification test. </w:t>
      </w:r>
    </w:p>
  </w:footnote>
  <w:footnote w:id="10">
    <w:p w:rsidR="00967352" w:rsidRPr="003D7170" w:rsidRDefault="00967352" w:rsidP="00967352">
      <w:pPr>
        <w:pStyle w:val="FootnoteText"/>
      </w:pPr>
      <w:r w:rsidRPr="003D7170">
        <w:rPr>
          <w:rStyle w:val="FootnoteReference"/>
        </w:rPr>
        <w:footnoteRef/>
      </w:r>
      <w:r w:rsidRPr="003D7170">
        <w:t xml:space="preserve"> While the Grade B contour defined an analog television station's service area, </w:t>
      </w:r>
      <w:r w:rsidRPr="003D7170">
        <w:rPr>
          <w:i/>
        </w:rPr>
        <w:t xml:space="preserve">see </w:t>
      </w:r>
      <w:r w:rsidRPr="003D7170">
        <w:t xml:space="preserve">47 C.F.R. § 73.683(a), with the completion of the full power digital television transition on June 12, 2009, there are no longer any full power analog stations.  Instead, as set forth in Section 73.622(e), a station's DTV service area is defined as the area within its noise-limited contour where its signal strength is predicted to exceed the noise-limited service level – which for VHF stations is 28 dBu.  </w:t>
      </w:r>
      <w:r w:rsidRPr="003D7170">
        <w:rPr>
          <w:i/>
        </w:rPr>
        <w:t>See</w:t>
      </w:r>
      <w:r w:rsidRPr="003D7170">
        <w:t xml:space="preserve"> 47 C.F.R. § 73.622(e).</w:t>
      </w:r>
      <w:r w:rsidRPr="003D7170">
        <w:rPr>
          <w:i/>
        </w:rPr>
        <w:t xml:space="preserve">  </w:t>
      </w:r>
      <w:r w:rsidRPr="003D7170">
        <w:t xml:space="preserve">Accordingly, the Commission has treated a digital station’s noise limited service contour as the functional equivalent of an analog station’s Grade B contour.  </w:t>
      </w:r>
      <w:r w:rsidRPr="003D7170">
        <w:rPr>
          <w:rFonts w:eastAsia="MS Mincho"/>
          <w:i/>
          <w:iCs/>
          <w:szCs w:val="22"/>
          <w:lang w:eastAsia="ja-JP"/>
        </w:rPr>
        <w:t>See Report To Congress: The Satellite Home Viewer Extension and Reauthorization Act of 2004; Study of Digital Television Field Strength Standards and Testing Procedures</w:t>
      </w:r>
      <w:r w:rsidRPr="003D7170">
        <w:t>,</w:t>
      </w:r>
      <w:r w:rsidRPr="003D7170">
        <w:rPr>
          <w:i/>
        </w:rPr>
        <w:t xml:space="preserve"> </w:t>
      </w:r>
      <w:r w:rsidRPr="003D7170">
        <w:t>20 FCC Rcd 19504, 19507 ¶ 3, 19554 ¶ 111 (2005);</w:t>
      </w:r>
      <w:r w:rsidRPr="003D7170">
        <w:rPr>
          <w:i/>
        </w:rPr>
        <w:t xml:space="preserve"> Implementation of the Satellite Home Viewer Extension and Reauthorization Act of 2004, Implementation of Section 340 of the Communications Act, </w:t>
      </w:r>
      <w:r w:rsidRPr="003D7170">
        <w:t>Report and Order</w:t>
      </w:r>
      <w:r w:rsidRPr="003D7170">
        <w:rPr>
          <w:i/>
        </w:rPr>
        <w:t xml:space="preserve">, </w:t>
      </w:r>
      <w:r w:rsidRPr="003D7170">
        <w:t xml:space="preserve">20 FCC Rcd 17278, 17292 ¶ 31 (2005).  </w:t>
      </w:r>
      <w:r w:rsidRPr="003D7170">
        <w:rPr>
          <w:i/>
        </w:rPr>
        <w:t>See also Lenfest Broadcasting, LLC</w:t>
      </w:r>
      <w:r w:rsidRPr="003D7170">
        <w:t>, 19 FCC Rcd 8970, 8974 ¶ 7 n.27 (2004) (“For digital stations operating on channels 14-69 [UHF stations], for market modification purposes the 41 dBu DTV service area contour is the digital equivalent of an analog station's Grade B contour.”).</w:t>
      </w:r>
    </w:p>
  </w:footnote>
  <w:footnote w:id="11">
    <w:p w:rsidR="00967352" w:rsidRPr="003D7170" w:rsidRDefault="00967352" w:rsidP="00967352">
      <w:pPr>
        <w:pStyle w:val="FootnoteText"/>
      </w:pPr>
      <w:r w:rsidRPr="003D7170">
        <w:rPr>
          <w:rStyle w:val="FootnoteReference"/>
        </w:rPr>
        <w:footnoteRef/>
      </w:r>
      <w:r w:rsidR="005D11A3" w:rsidRPr="003D7170">
        <w:t xml:space="preserve"> 47 C</w:t>
      </w:r>
      <w:r w:rsidR="00D43FAA" w:rsidRPr="003D7170">
        <w:t>.</w:t>
      </w:r>
      <w:r w:rsidR="005D11A3" w:rsidRPr="003D7170">
        <w:t>F.</w:t>
      </w:r>
      <w:r w:rsidRPr="003D7170">
        <w:t xml:space="preserve">R. § 76.59(b). </w:t>
      </w:r>
    </w:p>
  </w:footnote>
  <w:footnote w:id="12">
    <w:p w:rsidR="00967352" w:rsidRPr="003D7170" w:rsidRDefault="00967352" w:rsidP="00967352">
      <w:pPr>
        <w:pStyle w:val="FootnoteText"/>
      </w:pPr>
      <w:r w:rsidRPr="003D7170">
        <w:rPr>
          <w:rStyle w:val="FootnoteReference"/>
        </w:rPr>
        <w:footnoteRef/>
      </w:r>
      <w:r w:rsidRPr="003D7170">
        <w:t xml:space="preserve"> </w:t>
      </w:r>
      <w:r w:rsidRPr="003D7170">
        <w:rPr>
          <w:i/>
        </w:rPr>
        <w:t>See</w:t>
      </w:r>
      <w:r w:rsidRPr="003D7170">
        <w:t xml:space="preserve"> 16 FCC Rcd 2598, 2606 ¶ 15, 2610 ¶ 28 (2001); 47 C.F.R. §76.64(f)(4).  </w:t>
      </w:r>
    </w:p>
  </w:footnote>
  <w:footnote w:id="13">
    <w:p w:rsidR="00967352" w:rsidRPr="003D7170" w:rsidRDefault="00967352" w:rsidP="00967352">
      <w:pPr>
        <w:pStyle w:val="FootnoteText"/>
      </w:pPr>
      <w:r w:rsidRPr="003D7170">
        <w:rPr>
          <w:rStyle w:val="FootnoteReference"/>
        </w:rPr>
        <w:footnoteRef/>
      </w:r>
      <w:r w:rsidRPr="003D7170">
        <w:t xml:space="preserve"> </w:t>
      </w:r>
      <w:r w:rsidRPr="003D7170">
        <w:rPr>
          <w:i/>
        </w:rPr>
        <w:t xml:space="preserve">See </w:t>
      </w:r>
      <w:r w:rsidRPr="003D7170">
        <w:t xml:space="preserve">16 FCC Rcd at 2635-36 ¶¶ 84-85.  The Commission affirmed that for digital signal carriage issues, it would continue to rely on the Nielsen Company’s market designations, publications, and assignments it used for analog signal carriage issues.  </w:t>
      </w:r>
      <w:r w:rsidRPr="003D7170">
        <w:rPr>
          <w:i/>
        </w:rPr>
        <w:t>See id.</w:t>
      </w:r>
      <w:r w:rsidRPr="003D7170">
        <w:t xml:space="preserve"> at 2636 ¶ 85.</w:t>
      </w:r>
    </w:p>
  </w:footnote>
  <w:footnote w:id="14">
    <w:p w:rsidR="00967352" w:rsidRPr="003D7170" w:rsidRDefault="00967352" w:rsidP="00967352">
      <w:pPr>
        <w:pStyle w:val="FootnoteText"/>
      </w:pPr>
      <w:r w:rsidRPr="003D7170">
        <w:rPr>
          <w:rStyle w:val="FootnoteReference"/>
        </w:rPr>
        <w:footnoteRef/>
      </w:r>
      <w:r w:rsidRPr="003D7170">
        <w:rPr>
          <w:i/>
        </w:rPr>
        <w:t>See DTV Must Carry Report and Order</w:t>
      </w:r>
      <w:r w:rsidRPr="003D7170">
        <w:t>, 16 FCC Rcd at 2636 ¶ 85.</w:t>
      </w:r>
    </w:p>
  </w:footnote>
  <w:footnote w:id="15">
    <w:p w:rsidR="00967352" w:rsidRPr="003D7170" w:rsidRDefault="00967352" w:rsidP="00967352">
      <w:pPr>
        <w:pStyle w:val="FootnoteText"/>
      </w:pPr>
      <w:r w:rsidRPr="003D7170">
        <w:rPr>
          <w:rStyle w:val="FootnoteReference"/>
        </w:rPr>
        <w:footnoteRef/>
      </w:r>
      <w:r w:rsidRPr="003D7170">
        <w:t xml:space="preserve"> </w:t>
      </w:r>
      <w:r w:rsidRPr="003D7170">
        <w:rPr>
          <w:i/>
        </w:rPr>
        <w:t>See id.</w:t>
      </w:r>
      <w:r w:rsidRPr="003D7170">
        <w:t xml:space="preserve">  In adopting technical rules for the digital transmission of broadcast signals, the Commission attempted to ensure that a station’s digital over-the-air coverage area would replicate as closely as possible its former analog coverage area.  </w:t>
      </w:r>
      <w:r w:rsidRPr="003D7170">
        <w:rPr>
          <w:i/>
        </w:rPr>
        <w:t>See id.</w:t>
      </w:r>
      <w:r w:rsidRPr="003D7170">
        <w:t xml:space="preserve"> at 2636 ¶ 85 n.254, citing </w:t>
      </w:r>
      <w:r w:rsidRPr="003D7170">
        <w:rPr>
          <w:i/>
        </w:rPr>
        <w:t>Sixth DTV Report and Order</w:t>
      </w:r>
      <w:r w:rsidRPr="003D7170">
        <w:t>, 12 FCC Rcd 14588, 14605 ¶ 29 (1997).</w:t>
      </w:r>
    </w:p>
  </w:footnote>
  <w:footnote w:id="16">
    <w:p w:rsidR="00367BCB" w:rsidRDefault="00367BCB">
      <w:pPr>
        <w:pStyle w:val="FootnoteText"/>
      </w:pPr>
      <w:r>
        <w:rPr>
          <w:rStyle w:val="FootnoteReference"/>
        </w:rPr>
        <w:footnoteRef/>
      </w:r>
      <w:r>
        <w:t xml:space="preserve"> Petition at 2-4</w:t>
      </w:r>
      <w:r w:rsidR="00C90E87">
        <w:t>, Exhibit 4</w:t>
      </w:r>
      <w:r>
        <w:t>.</w:t>
      </w:r>
    </w:p>
  </w:footnote>
  <w:footnote w:id="17">
    <w:p w:rsidR="006800F0" w:rsidRPr="003D7170" w:rsidRDefault="006800F0" w:rsidP="006800F0">
      <w:pPr>
        <w:pStyle w:val="FootnoteText"/>
      </w:pPr>
      <w:r w:rsidRPr="003D7170">
        <w:rPr>
          <w:rStyle w:val="FootnoteReference"/>
        </w:rPr>
        <w:footnoteRef/>
      </w:r>
      <w:r w:rsidRPr="003D7170">
        <w:t xml:space="preserve"> </w:t>
      </w:r>
      <w:r w:rsidRPr="003D7170">
        <w:rPr>
          <w:i/>
        </w:rPr>
        <w:t>Id.</w:t>
      </w:r>
      <w:r w:rsidRPr="003D7170">
        <w:t xml:space="preserve"> at 1-2</w:t>
      </w:r>
      <w:r w:rsidR="00367BCB">
        <w:t>, 4</w:t>
      </w:r>
      <w:r w:rsidRPr="003D7170">
        <w:t>.</w:t>
      </w:r>
    </w:p>
  </w:footnote>
  <w:footnote w:id="18">
    <w:p w:rsidR="00606177" w:rsidRPr="003D7170" w:rsidRDefault="00606177">
      <w:pPr>
        <w:pStyle w:val="FootnoteText"/>
      </w:pPr>
      <w:r w:rsidRPr="003D7170">
        <w:rPr>
          <w:rStyle w:val="FootnoteReference"/>
        </w:rPr>
        <w:footnoteRef/>
      </w:r>
      <w:r w:rsidRPr="003D7170">
        <w:t xml:space="preserve"> </w:t>
      </w:r>
      <w:r w:rsidR="00367BCB" w:rsidRPr="00367BCB">
        <w:rPr>
          <w:i/>
        </w:rPr>
        <w:t>Id.</w:t>
      </w:r>
      <w:r w:rsidR="00367BCB" w:rsidRPr="003D7170">
        <w:t xml:space="preserve"> </w:t>
      </w:r>
      <w:r w:rsidRPr="003D7170">
        <w:t>at iii.</w:t>
      </w:r>
    </w:p>
  </w:footnote>
  <w:footnote w:id="19">
    <w:p w:rsidR="00941D29" w:rsidRPr="003D7170" w:rsidRDefault="00941D29">
      <w:pPr>
        <w:pStyle w:val="FootnoteText"/>
      </w:pPr>
      <w:r w:rsidRPr="003D7170">
        <w:rPr>
          <w:rStyle w:val="FootnoteReference"/>
        </w:rPr>
        <w:footnoteRef/>
      </w:r>
      <w:r w:rsidRPr="003D7170">
        <w:t xml:space="preserve"> </w:t>
      </w:r>
      <w:r w:rsidRPr="003D7170">
        <w:rPr>
          <w:i/>
        </w:rPr>
        <w:t>Id.</w:t>
      </w:r>
    </w:p>
  </w:footnote>
  <w:footnote w:id="20">
    <w:p w:rsidR="00D26988" w:rsidRPr="003D7170" w:rsidRDefault="00D26988">
      <w:pPr>
        <w:pStyle w:val="FootnoteText"/>
      </w:pPr>
      <w:r w:rsidRPr="003D7170">
        <w:rPr>
          <w:rStyle w:val="FootnoteReference"/>
        </w:rPr>
        <w:footnoteRef/>
      </w:r>
      <w:r w:rsidRPr="003D7170">
        <w:t xml:space="preserve"> 47 U.S.C. § 534(h)(1)(C)</w:t>
      </w:r>
      <w:r w:rsidR="00494391" w:rsidRPr="003D7170">
        <w:t>(ii)(I)</w:t>
      </w:r>
      <w:r w:rsidRPr="003D7170">
        <w:t>.</w:t>
      </w:r>
    </w:p>
  </w:footnote>
  <w:footnote w:id="21">
    <w:p w:rsidR="001C64AF" w:rsidRPr="003D7170" w:rsidRDefault="001C64AF">
      <w:pPr>
        <w:pStyle w:val="FootnoteText"/>
      </w:pPr>
      <w:r w:rsidRPr="003D7170">
        <w:rPr>
          <w:rStyle w:val="FootnoteReference"/>
        </w:rPr>
        <w:footnoteRef/>
      </w:r>
      <w:r w:rsidRPr="003D7170">
        <w:t xml:space="preserve"> </w:t>
      </w:r>
      <w:r w:rsidRPr="003D7170">
        <w:rPr>
          <w:i/>
        </w:rPr>
        <w:t>See</w:t>
      </w:r>
      <w:r w:rsidRPr="003D7170">
        <w:t xml:space="preserve"> Petition at 8, Exhibit 2.</w:t>
      </w:r>
    </w:p>
  </w:footnote>
  <w:footnote w:id="22">
    <w:p w:rsidR="001C64AF" w:rsidRPr="003D7170" w:rsidRDefault="004F148D">
      <w:pPr>
        <w:pStyle w:val="FootnoteText"/>
      </w:pPr>
      <w:r w:rsidRPr="003D7170">
        <w:rPr>
          <w:rStyle w:val="FootnoteReference"/>
        </w:rPr>
        <w:footnoteRef/>
      </w:r>
      <w:r w:rsidRPr="003D7170">
        <w:t xml:space="preserve"> </w:t>
      </w:r>
      <w:r w:rsidR="001C64AF" w:rsidRPr="003D7170">
        <w:rPr>
          <w:i/>
        </w:rPr>
        <w:t>See</w:t>
      </w:r>
      <w:r w:rsidR="001C64AF" w:rsidRPr="003D7170">
        <w:t xml:space="preserve"> </w:t>
      </w:r>
      <w:r w:rsidR="001C64AF" w:rsidRPr="003D7170">
        <w:rPr>
          <w:i/>
        </w:rPr>
        <w:t>id.</w:t>
      </w:r>
      <w:r w:rsidR="00652319" w:rsidRPr="003D7170">
        <w:rPr>
          <w:i/>
        </w:rPr>
        <w:t xml:space="preserve"> </w:t>
      </w:r>
      <w:r w:rsidR="005A15DC" w:rsidRPr="003D7170">
        <w:t xml:space="preserve"> </w:t>
      </w:r>
      <w:r w:rsidR="00652319" w:rsidRPr="003D7170">
        <w:rPr>
          <w:i/>
        </w:rPr>
        <w:t>But</w:t>
      </w:r>
      <w:r w:rsidR="00652319" w:rsidRPr="003D7170">
        <w:t xml:space="preserve"> </w:t>
      </w:r>
      <w:r w:rsidR="005A15DC" w:rsidRPr="003D7170">
        <w:rPr>
          <w:i/>
        </w:rPr>
        <w:t>see</w:t>
      </w:r>
      <w:r w:rsidR="005A15DC" w:rsidRPr="003D7170">
        <w:t xml:space="preserve"> </w:t>
      </w:r>
      <w:r w:rsidR="00652319" w:rsidRPr="003D7170">
        <w:t>Television and Cable Factbook (Halfway, Oregon), Volumes 2008, 2007, 2006, 2005, 2000, 1998, 1991, and 1990 (showing that only KBOI-TV, KIVI-TV, and KTVB have been carried by cable systems in Halfway).</w:t>
      </w:r>
      <w:r w:rsidR="004C5A6C" w:rsidRPr="003D7170">
        <w:t xml:space="preserve">  The cable industry guides also indicate that Charter’s cable service in Halfway continued until 2008. </w:t>
      </w:r>
      <w:r w:rsidR="00F811DC" w:rsidRPr="003D7170">
        <w:rPr>
          <w:i/>
        </w:rPr>
        <w:t xml:space="preserve">See </w:t>
      </w:r>
      <w:r w:rsidR="00F811DC" w:rsidRPr="003D7170">
        <w:t>Television and Cable Factbook (Halfway, Oregon), Volume 2008.</w:t>
      </w:r>
    </w:p>
  </w:footnote>
  <w:footnote w:id="23">
    <w:p w:rsidR="00E27F39" w:rsidRPr="003D7170" w:rsidRDefault="00E27F39">
      <w:pPr>
        <w:pStyle w:val="FootnoteText"/>
      </w:pPr>
      <w:r w:rsidRPr="003D7170">
        <w:rPr>
          <w:rStyle w:val="FootnoteReference"/>
        </w:rPr>
        <w:footnoteRef/>
      </w:r>
      <w:r w:rsidRPr="003D7170">
        <w:t xml:space="preserve"> </w:t>
      </w:r>
      <w:r w:rsidRPr="003D7170">
        <w:rPr>
          <w:i/>
        </w:rPr>
        <w:t xml:space="preserve">See </w:t>
      </w:r>
      <w:r w:rsidR="00F811DC" w:rsidRPr="003D7170">
        <w:t>Petition</w:t>
      </w:r>
      <w:r w:rsidRPr="003D7170">
        <w:t xml:space="preserve"> at 8, Exhibit 6.  Pine notes that KBOI-TV was </w:t>
      </w:r>
      <w:r w:rsidR="00101451" w:rsidRPr="003D7170">
        <w:t>previously</w:t>
      </w:r>
      <w:r w:rsidRPr="003D7170">
        <w:t xml:space="preserve"> designated as KBCI. </w:t>
      </w:r>
      <w:r w:rsidR="0038317E" w:rsidRPr="003D7170">
        <w:rPr>
          <w:i/>
        </w:rPr>
        <w:t>Id.</w:t>
      </w:r>
      <w:r w:rsidR="0038317E" w:rsidRPr="003D7170">
        <w:t xml:space="preserve"> at 8, n. 21.</w:t>
      </w:r>
    </w:p>
  </w:footnote>
  <w:footnote w:id="24">
    <w:p w:rsidR="00D26988" w:rsidRPr="003D7170" w:rsidRDefault="00D26988">
      <w:pPr>
        <w:pStyle w:val="FootnoteText"/>
      </w:pPr>
      <w:r w:rsidRPr="003D7170">
        <w:rPr>
          <w:rStyle w:val="FootnoteReference"/>
        </w:rPr>
        <w:footnoteRef/>
      </w:r>
      <w:r w:rsidRPr="003D7170">
        <w:t xml:space="preserve"> </w:t>
      </w:r>
      <w:r w:rsidR="00494391" w:rsidRPr="003D7170">
        <w:t>47 U.S.C. § 534(h)(1)(C)(ii)(II).</w:t>
      </w:r>
    </w:p>
  </w:footnote>
  <w:footnote w:id="25">
    <w:p w:rsidR="00A8567A" w:rsidRPr="003D7170" w:rsidRDefault="00A8567A">
      <w:pPr>
        <w:pStyle w:val="FootnoteText"/>
      </w:pPr>
      <w:r w:rsidRPr="003D7170">
        <w:rPr>
          <w:rStyle w:val="FootnoteReference"/>
        </w:rPr>
        <w:footnoteRef/>
      </w:r>
      <w:r w:rsidRPr="003D7170">
        <w:t xml:space="preserve"> </w:t>
      </w:r>
      <w:r w:rsidR="00450038" w:rsidRPr="003D7170">
        <w:t>Petition at 8-9.</w:t>
      </w:r>
    </w:p>
  </w:footnote>
  <w:footnote w:id="26">
    <w:p w:rsidR="00A8567A" w:rsidRPr="003D7170" w:rsidRDefault="00A8567A">
      <w:pPr>
        <w:pStyle w:val="FootnoteText"/>
      </w:pPr>
      <w:r w:rsidRPr="003D7170">
        <w:rPr>
          <w:rStyle w:val="FootnoteReference"/>
        </w:rPr>
        <w:footnoteRef/>
      </w:r>
      <w:r w:rsidRPr="003D7170">
        <w:t xml:space="preserve"> </w:t>
      </w:r>
      <w:r w:rsidR="00450038" w:rsidRPr="003D7170">
        <w:rPr>
          <w:i/>
        </w:rPr>
        <w:t>Id.</w:t>
      </w:r>
      <w:r w:rsidR="00450038" w:rsidRPr="003D7170">
        <w:t xml:space="preserve"> at 9-10.</w:t>
      </w:r>
    </w:p>
  </w:footnote>
  <w:footnote w:id="27">
    <w:p w:rsidR="00A8567A" w:rsidRPr="003D7170" w:rsidRDefault="00A8567A">
      <w:pPr>
        <w:pStyle w:val="FootnoteText"/>
      </w:pPr>
      <w:r w:rsidRPr="003D7170">
        <w:rPr>
          <w:rStyle w:val="FootnoteReference"/>
        </w:rPr>
        <w:footnoteRef/>
      </w:r>
      <w:r w:rsidRPr="003D7170">
        <w:t xml:space="preserve"> </w:t>
      </w:r>
      <w:r w:rsidR="00450038" w:rsidRPr="003D7170">
        <w:rPr>
          <w:i/>
        </w:rPr>
        <w:t>Id.</w:t>
      </w:r>
      <w:r w:rsidR="00450038" w:rsidRPr="003D7170">
        <w:t xml:space="preserve"> at 10-11.</w:t>
      </w:r>
    </w:p>
  </w:footnote>
  <w:footnote w:id="28">
    <w:p w:rsidR="00941D29" w:rsidRPr="003D7170" w:rsidRDefault="00941D29">
      <w:pPr>
        <w:pStyle w:val="FootnoteText"/>
      </w:pPr>
      <w:r w:rsidRPr="003D7170">
        <w:rPr>
          <w:rStyle w:val="FootnoteReference"/>
        </w:rPr>
        <w:footnoteRef/>
      </w:r>
      <w:r w:rsidRPr="003D7170">
        <w:t xml:space="preserve"> </w:t>
      </w:r>
      <w:r w:rsidR="00450038" w:rsidRPr="003D7170">
        <w:rPr>
          <w:i/>
        </w:rPr>
        <w:t>Id.</w:t>
      </w:r>
      <w:r w:rsidR="00450038" w:rsidRPr="003D7170">
        <w:t xml:space="preserve"> at 11-13.</w:t>
      </w:r>
    </w:p>
  </w:footnote>
  <w:footnote w:id="29">
    <w:p w:rsidR="00D26988" w:rsidRPr="003D7170" w:rsidRDefault="00D26988">
      <w:pPr>
        <w:pStyle w:val="FootnoteText"/>
      </w:pPr>
      <w:r w:rsidRPr="003D7170">
        <w:rPr>
          <w:rStyle w:val="FootnoteReference"/>
        </w:rPr>
        <w:footnoteRef/>
      </w:r>
      <w:r w:rsidRPr="003D7170">
        <w:t xml:space="preserve"> </w:t>
      </w:r>
      <w:r w:rsidR="00494391" w:rsidRPr="003D7170">
        <w:t>47 U.S.C. § 534(h)(1)(C)(ii)(III)</w:t>
      </w:r>
    </w:p>
  </w:footnote>
  <w:footnote w:id="30">
    <w:p w:rsidR="00A8567A" w:rsidRPr="003D7170" w:rsidRDefault="00A8567A">
      <w:pPr>
        <w:pStyle w:val="FootnoteText"/>
      </w:pPr>
      <w:r w:rsidRPr="003D7170">
        <w:rPr>
          <w:rStyle w:val="FootnoteReference"/>
        </w:rPr>
        <w:footnoteRef/>
      </w:r>
      <w:r w:rsidRPr="003D7170">
        <w:t xml:space="preserve"> </w:t>
      </w:r>
      <w:r w:rsidR="00FF4B34" w:rsidRPr="003D7170">
        <w:t>Petition at 13.</w:t>
      </w:r>
    </w:p>
  </w:footnote>
  <w:footnote w:id="31">
    <w:p w:rsidR="00194636" w:rsidRPr="003D7170" w:rsidRDefault="00194636" w:rsidP="00194636">
      <w:pPr>
        <w:pStyle w:val="FootnoteText"/>
      </w:pPr>
      <w:r w:rsidRPr="003D7170">
        <w:rPr>
          <w:rStyle w:val="FootnoteReference"/>
        </w:rPr>
        <w:footnoteRef/>
      </w:r>
      <w:r w:rsidRPr="003D7170">
        <w:t xml:space="preserve"> </w:t>
      </w:r>
      <w:r w:rsidRPr="003D7170">
        <w:rPr>
          <w:i/>
        </w:rPr>
        <w:t>Id.</w:t>
      </w:r>
      <w:r w:rsidRPr="003D7170">
        <w:t xml:space="preserve"> at Exhibit 2, ¶ 4.</w:t>
      </w:r>
    </w:p>
  </w:footnote>
  <w:footnote w:id="32">
    <w:p w:rsidR="00D26988" w:rsidRPr="003D7170" w:rsidRDefault="00D26988">
      <w:pPr>
        <w:pStyle w:val="FootnoteText"/>
      </w:pPr>
      <w:r w:rsidRPr="003D7170">
        <w:rPr>
          <w:rStyle w:val="FootnoteReference"/>
        </w:rPr>
        <w:footnoteRef/>
      </w:r>
      <w:r w:rsidRPr="003D7170">
        <w:t xml:space="preserve"> </w:t>
      </w:r>
      <w:r w:rsidR="00494391" w:rsidRPr="003D7170">
        <w:t>47 U.S.C. § 534(h)(1)(C)(ii)(IV)</w:t>
      </w:r>
    </w:p>
  </w:footnote>
  <w:footnote w:id="33">
    <w:p w:rsidR="005D0043" w:rsidRPr="003D7170" w:rsidRDefault="005D0043">
      <w:pPr>
        <w:pStyle w:val="FootnoteText"/>
      </w:pPr>
      <w:r w:rsidRPr="003D7170">
        <w:rPr>
          <w:rStyle w:val="FootnoteReference"/>
        </w:rPr>
        <w:footnoteRef/>
      </w:r>
      <w:r w:rsidRPr="003D7170">
        <w:t xml:space="preserve"> </w:t>
      </w:r>
      <w:r w:rsidR="00FF4B34" w:rsidRPr="003D7170">
        <w:t>Petition at 14.</w:t>
      </w:r>
    </w:p>
  </w:footnote>
  <w:footnote w:id="34">
    <w:p w:rsidR="005D0043" w:rsidRPr="003D7170" w:rsidRDefault="005D0043">
      <w:pPr>
        <w:pStyle w:val="FootnoteText"/>
      </w:pPr>
      <w:r w:rsidRPr="003D7170">
        <w:rPr>
          <w:rStyle w:val="FootnoteReference"/>
        </w:rPr>
        <w:footnoteRef/>
      </w:r>
      <w:r w:rsidRPr="003D7170">
        <w:t xml:space="preserve"> </w:t>
      </w:r>
      <w:r w:rsidR="00FF4B34" w:rsidRPr="003D7170">
        <w:rPr>
          <w:i/>
        </w:rPr>
        <w:t>Id.</w:t>
      </w:r>
    </w:p>
  </w:footnote>
  <w:footnote w:id="35">
    <w:p w:rsidR="005D0043" w:rsidRPr="003D7170" w:rsidRDefault="005D0043">
      <w:pPr>
        <w:pStyle w:val="FootnoteText"/>
      </w:pPr>
      <w:r w:rsidRPr="003D7170">
        <w:rPr>
          <w:rStyle w:val="FootnoteReference"/>
        </w:rPr>
        <w:footnoteRef/>
      </w:r>
      <w:r w:rsidRPr="003D7170">
        <w:t xml:space="preserve"> </w:t>
      </w:r>
      <w:r w:rsidR="00FF4B34" w:rsidRPr="003D7170">
        <w:rPr>
          <w:i/>
        </w:rPr>
        <w:t>Id.</w:t>
      </w:r>
    </w:p>
  </w:footnote>
  <w:footnote w:id="36">
    <w:p w:rsidR="002D23EB" w:rsidRPr="003D7170" w:rsidRDefault="002D23EB" w:rsidP="002D23EB">
      <w:pPr>
        <w:pStyle w:val="FootnoteText"/>
      </w:pPr>
      <w:r w:rsidRPr="003D7170">
        <w:rPr>
          <w:rStyle w:val="FootnoteReference"/>
        </w:rPr>
        <w:footnoteRef/>
      </w:r>
      <w:r w:rsidRPr="003D7170">
        <w:t xml:space="preserve"> </w:t>
      </w:r>
      <w:r w:rsidRPr="003D7170">
        <w:rPr>
          <w:i/>
        </w:rPr>
        <w:t>Id.</w:t>
      </w:r>
      <w:r w:rsidR="00675CD4" w:rsidRPr="003D7170">
        <w:t xml:space="preserve"> at Exhibits 2, 3, </w:t>
      </w:r>
      <w:r w:rsidRPr="003D7170">
        <w:t xml:space="preserve">5; </w:t>
      </w:r>
      <w:r w:rsidR="00194636" w:rsidRPr="008D015A">
        <w:rPr>
          <w:i/>
        </w:rPr>
        <w:t>see</w:t>
      </w:r>
      <w:r w:rsidR="00194636">
        <w:t xml:space="preserve"> </w:t>
      </w:r>
      <w:r w:rsidRPr="003D7170">
        <w:t>Television and Cable Factbook</w:t>
      </w:r>
      <w:r w:rsidR="00DA4A7E" w:rsidRPr="003D7170">
        <w:t xml:space="preserve"> (Halfway, Oregon), Volumes 2008, 2007, 2006,</w:t>
      </w:r>
      <w:r w:rsidRPr="003D7170">
        <w:t xml:space="preserve"> 2005</w:t>
      </w:r>
      <w:r w:rsidR="00993E1C" w:rsidRPr="003D7170">
        <w:t xml:space="preserve">, </w:t>
      </w:r>
      <w:r w:rsidR="00505C0F" w:rsidRPr="003D7170">
        <w:t xml:space="preserve">2000, 1998, </w:t>
      </w:r>
      <w:r w:rsidR="00993E1C" w:rsidRPr="003D7170">
        <w:t>1991, and 1990</w:t>
      </w:r>
      <w:r w:rsidRPr="003D7170">
        <w:t>.</w:t>
      </w:r>
      <w:r w:rsidR="00FF1C50" w:rsidRPr="003D7170">
        <w:t xml:space="preserve">  </w:t>
      </w:r>
    </w:p>
  </w:footnote>
  <w:footnote w:id="37">
    <w:p w:rsidR="0087345F" w:rsidRPr="003D7170" w:rsidRDefault="0087345F">
      <w:pPr>
        <w:pStyle w:val="FootnoteText"/>
      </w:pPr>
      <w:r w:rsidRPr="003D7170">
        <w:rPr>
          <w:rStyle w:val="FootnoteReference"/>
        </w:rPr>
        <w:footnoteRef/>
      </w:r>
      <w:r w:rsidRPr="003D7170">
        <w:t xml:space="preserve"> </w:t>
      </w:r>
      <w:r w:rsidRPr="003D7170">
        <w:rPr>
          <w:i/>
        </w:rPr>
        <w:t>See</w:t>
      </w:r>
      <w:r w:rsidRPr="003D7170">
        <w:t xml:space="preserve"> Petition at Exhibit 2, ¶ 5; </w:t>
      </w:r>
      <w:r w:rsidR="00DA4A7E" w:rsidRPr="003D7170">
        <w:t xml:space="preserve">Television and Cable Factbook (Halfway, Oregon), Volumes 2008, 2007, </w:t>
      </w:r>
      <w:r w:rsidR="008D32B0" w:rsidRPr="003D7170">
        <w:t xml:space="preserve">2006, 2005, </w:t>
      </w:r>
      <w:r w:rsidR="00505C0F" w:rsidRPr="003D7170">
        <w:t xml:space="preserve">2000, 1998, </w:t>
      </w:r>
      <w:r w:rsidR="008D32B0" w:rsidRPr="003D7170">
        <w:t>1991, and 1990</w:t>
      </w:r>
      <w:r w:rsidRPr="003D7170">
        <w:t>.</w:t>
      </w:r>
    </w:p>
  </w:footnote>
  <w:footnote w:id="38">
    <w:p w:rsidR="00FF1C50" w:rsidRPr="003D7170" w:rsidRDefault="00FF1C50">
      <w:pPr>
        <w:pStyle w:val="FootnoteText"/>
      </w:pPr>
      <w:r w:rsidRPr="003D7170">
        <w:rPr>
          <w:rStyle w:val="FootnoteReference"/>
        </w:rPr>
        <w:footnoteRef/>
      </w:r>
      <w:r w:rsidRPr="003D7170">
        <w:t xml:space="preserve"> </w:t>
      </w:r>
      <w:r w:rsidRPr="003D7170">
        <w:rPr>
          <w:i/>
        </w:rPr>
        <w:t>See</w:t>
      </w:r>
      <w:r w:rsidRPr="003D7170">
        <w:t xml:space="preserve"> Television and Cable Factbook (Halfway, Oregon), Volumes 2008, 2007, 2006, 2005, 2000, 1998, 1991, and 1990 (listing </w:t>
      </w:r>
      <w:r w:rsidRPr="003D7170">
        <w:rPr>
          <w:szCs w:val="22"/>
        </w:rPr>
        <w:t>KBOI-TV, KIVI-TV, KTVB, and KOPB-TV as the only off-air programming carried by cable systems in Halfway)</w:t>
      </w:r>
      <w:r w:rsidRPr="003D7170">
        <w:t>.</w:t>
      </w:r>
    </w:p>
  </w:footnote>
  <w:footnote w:id="39">
    <w:p w:rsidR="002B0B93" w:rsidRPr="003D7170" w:rsidRDefault="002B0B93" w:rsidP="002B0B93">
      <w:pPr>
        <w:pStyle w:val="FootnoteText"/>
      </w:pPr>
      <w:r w:rsidRPr="003D7170">
        <w:rPr>
          <w:rStyle w:val="FootnoteReference"/>
        </w:rPr>
        <w:footnoteRef/>
      </w:r>
      <w:r w:rsidRPr="003D7170">
        <w:t xml:space="preserve"> </w:t>
      </w:r>
      <w:r w:rsidR="00190AB3" w:rsidRPr="003D7170">
        <w:rPr>
          <w:i/>
        </w:rPr>
        <w:t>See</w:t>
      </w:r>
      <w:r w:rsidR="00FF1C50" w:rsidRPr="003D7170">
        <w:t xml:space="preserve"> </w:t>
      </w:r>
      <w:r w:rsidR="00FF1C50" w:rsidRPr="003D7170">
        <w:rPr>
          <w:i/>
        </w:rPr>
        <w:t>id</w:t>
      </w:r>
      <w:r w:rsidRPr="003D7170">
        <w:rPr>
          <w:i/>
        </w:rPr>
        <w:t>.</w:t>
      </w:r>
      <w:r w:rsidRPr="003D7170">
        <w:rPr>
          <w:szCs w:val="22"/>
        </w:rPr>
        <w:t xml:space="preserve">  </w:t>
      </w:r>
      <w:r w:rsidR="00190AB3" w:rsidRPr="003D7170">
        <w:rPr>
          <w:szCs w:val="22"/>
        </w:rPr>
        <w:t xml:space="preserve">We find historical carriage in this instance despite the lack of any carriage </w:t>
      </w:r>
      <w:r w:rsidR="00193FBE" w:rsidRPr="003D7170">
        <w:rPr>
          <w:szCs w:val="22"/>
        </w:rPr>
        <w:t xml:space="preserve">for the past six years </w:t>
      </w:r>
      <w:r w:rsidR="00190AB3" w:rsidRPr="003D7170">
        <w:rPr>
          <w:szCs w:val="22"/>
        </w:rPr>
        <w:t>due to the unique circumstances of the Halfway community where no cable system ha</w:t>
      </w:r>
      <w:r w:rsidR="008F5395" w:rsidRPr="003D7170">
        <w:rPr>
          <w:szCs w:val="22"/>
        </w:rPr>
        <w:t>s operated</w:t>
      </w:r>
      <w:r w:rsidR="00407F96" w:rsidRPr="003D7170">
        <w:rPr>
          <w:szCs w:val="22"/>
        </w:rPr>
        <w:t xml:space="preserve"> during the corresponding</w:t>
      </w:r>
      <w:r w:rsidR="00193FBE" w:rsidRPr="003D7170">
        <w:rPr>
          <w:szCs w:val="22"/>
        </w:rPr>
        <w:t xml:space="preserve"> time period</w:t>
      </w:r>
      <w:r w:rsidR="00190AB3" w:rsidRPr="003D7170">
        <w:rPr>
          <w:szCs w:val="22"/>
        </w:rPr>
        <w:t xml:space="preserve">. </w:t>
      </w:r>
      <w:r w:rsidR="00193FBE" w:rsidRPr="003D7170">
        <w:rPr>
          <w:szCs w:val="22"/>
        </w:rPr>
        <w:t xml:space="preserve"> </w:t>
      </w:r>
      <w:r w:rsidR="00193FBE" w:rsidRPr="003D7170">
        <w:rPr>
          <w:i/>
          <w:szCs w:val="22"/>
        </w:rPr>
        <w:t>See</w:t>
      </w:r>
      <w:r w:rsidR="00193FBE" w:rsidRPr="003D7170">
        <w:rPr>
          <w:szCs w:val="22"/>
        </w:rPr>
        <w:t xml:space="preserve"> Petition at 3, 8, Exhibit 2</w:t>
      </w:r>
      <w:r w:rsidR="00F811DC" w:rsidRPr="003D7170">
        <w:rPr>
          <w:szCs w:val="22"/>
        </w:rPr>
        <w:t>.</w:t>
      </w:r>
    </w:p>
  </w:footnote>
  <w:footnote w:id="40">
    <w:p w:rsidR="00BF3D0B" w:rsidRPr="003D7170" w:rsidRDefault="00BF3D0B">
      <w:pPr>
        <w:pStyle w:val="FootnoteText"/>
      </w:pPr>
      <w:r w:rsidRPr="003D7170">
        <w:rPr>
          <w:rStyle w:val="FootnoteReference"/>
        </w:rPr>
        <w:footnoteRef/>
      </w:r>
      <w:r w:rsidRPr="003D7170">
        <w:t xml:space="preserve"> </w:t>
      </w:r>
      <w:r w:rsidR="00FF4B34" w:rsidRPr="003D7170">
        <w:rPr>
          <w:i/>
        </w:rPr>
        <w:t xml:space="preserve">See </w:t>
      </w:r>
      <w:r w:rsidR="005C665B" w:rsidRPr="003D7170">
        <w:t xml:space="preserve">Petition </w:t>
      </w:r>
      <w:r w:rsidR="00FF4B34" w:rsidRPr="003D7170">
        <w:t>at Exhibit 1.</w:t>
      </w:r>
      <w:r w:rsidR="00477FB2" w:rsidRPr="003D7170">
        <w:t xml:space="preserve">  Indeed, the Petition indic</w:t>
      </w:r>
      <w:r w:rsidR="0041648C" w:rsidRPr="003D7170">
        <w:t>ates that signals were</w:t>
      </w:r>
      <w:r w:rsidR="00477FB2" w:rsidRPr="003D7170">
        <w:t xml:space="preserve"> received by Halfway </w:t>
      </w:r>
      <w:r w:rsidR="0041648C" w:rsidRPr="003D7170">
        <w:t xml:space="preserve">only </w:t>
      </w:r>
      <w:r w:rsidR="00477FB2" w:rsidRPr="003D7170">
        <w:t xml:space="preserve">through translator stations which are being decommissioned, meaning that Halfway would not receive the off-air signals of the Boise Stations.  </w:t>
      </w:r>
      <w:r w:rsidR="00911519">
        <w:t>T</w:t>
      </w:r>
      <w:r w:rsidR="00305EF7" w:rsidRPr="003D7170">
        <w:t xml:space="preserve">he Commission </w:t>
      </w:r>
      <w:r w:rsidR="00911519">
        <w:t>does</w:t>
      </w:r>
      <w:r w:rsidR="00305EF7" w:rsidRPr="003D7170">
        <w:t xml:space="preserve"> </w:t>
      </w:r>
      <w:r w:rsidR="002B0B93" w:rsidRPr="003D7170">
        <w:t xml:space="preserve">not </w:t>
      </w:r>
      <w:r w:rsidR="00305EF7" w:rsidRPr="003D7170">
        <w:t>grant market modification</w:t>
      </w:r>
      <w:r w:rsidR="002B0B93" w:rsidRPr="003D7170">
        <w:t>s</w:t>
      </w:r>
      <w:r w:rsidR="00305EF7" w:rsidRPr="003D7170">
        <w:t xml:space="preserve"> </w:t>
      </w:r>
      <w:r w:rsidR="002B0B93" w:rsidRPr="003D7170">
        <w:t xml:space="preserve">to include communities in the markets of </w:t>
      </w:r>
      <w:r w:rsidR="00305EF7" w:rsidRPr="003D7170">
        <w:t xml:space="preserve">stations </w:t>
      </w:r>
      <w:r w:rsidR="002B0B93" w:rsidRPr="003D7170">
        <w:t xml:space="preserve">on the basis that </w:t>
      </w:r>
      <w:r w:rsidR="00D71242" w:rsidRPr="003D7170">
        <w:t>these stations</w:t>
      </w:r>
      <w:r w:rsidR="002B0B93" w:rsidRPr="003D7170">
        <w:t xml:space="preserve"> </w:t>
      </w:r>
      <w:r w:rsidR="00305EF7" w:rsidRPr="003D7170">
        <w:t xml:space="preserve">reach </w:t>
      </w:r>
      <w:r w:rsidR="002B0B93" w:rsidRPr="003D7170">
        <w:t>the</w:t>
      </w:r>
      <w:r w:rsidR="00305EF7" w:rsidRPr="003D7170">
        <w:t xml:space="preserve"> communit</w:t>
      </w:r>
      <w:r w:rsidR="002B0B93" w:rsidRPr="003D7170">
        <w:t>ies</w:t>
      </w:r>
      <w:r w:rsidR="00305EF7" w:rsidRPr="003D7170">
        <w:t xml:space="preserve"> </w:t>
      </w:r>
      <w:r w:rsidR="00E92A15">
        <w:t xml:space="preserve">via </w:t>
      </w:r>
      <w:r w:rsidR="00305EF7" w:rsidRPr="003D7170">
        <w:t>translator</w:t>
      </w:r>
      <w:r w:rsidR="00E92A15">
        <w:t>s</w:t>
      </w:r>
      <w:r w:rsidR="00305EF7" w:rsidRPr="003D7170">
        <w:t>.</w:t>
      </w:r>
      <w:r w:rsidR="005C665B" w:rsidRPr="003D7170">
        <w:t xml:space="preserve">  </w:t>
      </w:r>
      <w:r w:rsidR="009D2403" w:rsidRPr="003D7170">
        <w:rPr>
          <w:i/>
        </w:rPr>
        <w:t>See</w:t>
      </w:r>
      <w:r w:rsidR="009D2403" w:rsidRPr="003D7170">
        <w:t xml:space="preserve"> </w:t>
      </w:r>
      <w:r w:rsidR="009D2403" w:rsidRPr="003D7170">
        <w:rPr>
          <w:i/>
        </w:rPr>
        <w:t>e.g.</w:t>
      </w:r>
      <w:r w:rsidR="00486D6F" w:rsidRPr="003D7170">
        <w:t xml:space="preserve">, </w:t>
      </w:r>
      <w:r w:rsidR="00486D6F" w:rsidRPr="003D7170">
        <w:rPr>
          <w:i/>
        </w:rPr>
        <w:t>Comcast Cable Comm’</w:t>
      </w:r>
      <w:r w:rsidR="009D2403" w:rsidRPr="003D7170">
        <w:rPr>
          <w:i/>
        </w:rPr>
        <w:t>s, LLC</w:t>
      </w:r>
      <w:r w:rsidR="009D2403" w:rsidRPr="003D7170">
        <w:t xml:space="preserve">, 26 FCC Rcd 14453, 14460 &amp; n.61 (2011); </w:t>
      </w:r>
      <w:r w:rsidR="009D2403" w:rsidRPr="003D7170">
        <w:rPr>
          <w:i/>
        </w:rPr>
        <w:t>Dynamic Cablevision of Florida, Ltd.</w:t>
      </w:r>
      <w:r w:rsidR="009D2403" w:rsidRPr="003D7170">
        <w:t xml:space="preserve">, 12 FCC Rcd 9952, 9958 (1997); </w:t>
      </w:r>
      <w:r w:rsidR="009D2403" w:rsidRPr="003D7170">
        <w:rPr>
          <w:i/>
        </w:rPr>
        <w:t>Petition of Time Warner of New York City Cable Group</w:t>
      </w:r>
      <w:r w:rsidR="009D2403" w:rsidRPr="003D7170">
        <w:t>, 11 FCC Rcd 6528, 6539 (1996).</w:t>
      </w:r>
    </w:p>
  </w:footnote>
  <w:footnote w:id="41">
    <w:p w:rsidR="00AD3A71" w:rsidRPr="003D7170" w:rsidRDefault="00AD3A71">
      <w:pPr>
        <w:pStyle w:val="FootnoteText"/>
      </w:pPr>
      <w:r w:rsidRPr="003D7170">
        <w:rPr>
          <w:rStyle w:val="FootnoteReference"/>
        </w:rPr>
        <w:footnoteRef/>
      </w:r>
      <w:r w:rsidRPr="003D7170">
        <w:t xml:space="preserve"> </w:t>
      </w:r>
      <w:r w:rsidRPr="003D7170">
        <w:rPr>
          <w:i/>
        </w:rPr>
        <w:t>See</w:t>
      </w:r>
      <w:r w:rsidRPr="003D7170">
        <w:t xml:space="preserve"> </w:t>
      </w:r>
      <w:r w:rsidR="009B2D51" w:rsidRPr="009B2D51">
        <w:t>Petition</w:t>
      </w:r>
      <w:r w:rsidRPr="003D7170">
        <w:t xml:space="preserve"> at Exhibit 6.</w:t>
      </w:r>
    </w:p>
  </w:footnote>
  <w:footnote w:id="42">
    <w:p w:rsidR="00BF3D0B" w:rsidRPr="003D7170" w:rsidRDefault="00BF3D0B">
      <w:pPr>
        <w:pStyle w:val="FootnoteText"/>
      </w:pPr>
      <w:r w:rsidRPr="003D7170">
        <w:rPr>
          <w:rStyle w:val="FootnoteReference"/>
        </w:rPr>
        <w:footnoteRef/>
      </w:r>
      <w:r w:rsidRPr="003D7170">
        <w:t xml:space="preserve"> </w:t>
      </w:r>
      <w:r w:rsidR="004532D0" w:rsidRPr="003D7170">
        <w:rPr>
          <w:i/>
        </w:rPr>
        <w:t>See id.</w:t>
      </w:r>
      <w:r w:rsidR="00BF3DAF" w:rsidRPr="003D7170">
        <w:t xml:space="preserve"> at </w:t>
      </w:r>
      <w:r w:rsidR="00675CD4" w:rsidRPr="003D7170">
        <w:t xml:space="preserve">10-11, </w:t>
      </w:r>
      <w:r w:rsidR="00BF3DAF" w:rsidRPr="003D7170">
        <w:t>Exhibit</w:t>
      </w:r>
      <w:r w:rsidR="00675CD4" w:rsidRPr="003D7170">
        <w:t xml:space="preserve"> 6.</w:t>
      </w:r>
      <w:r w:rsidR="004532D0" w:rsidRPr="003D7170">
        <w:t xml:space="preserve">  </w:t>
      </w:r>
      <w:r w:rsidR="00592DDA" w:rsidRPr="003D7170">
        <w:t>M</w:t>
      </w:r>
      <w:r w:rsidR="004532D0" w:rsidRPr="003D7170">
        <w:t xml:space="preserve">ost of the stories </w:t>
      </w:r>
      <w:r w:rsidR="000979A0" w:rsidRPr="003D7170">
        <w:t xml:space="preserve">provided </w:t>
      </w:r>
      <w:r w:rsidR="004532D0" w:rsidRPr="003D7170">
        <w:t>merely take place in the region between Oregon and Idaho</w:t>
      </w:r>
      <w:r w:rsidR="00BF3DAF" w:rsidRPr="003D7170">
        <w:t xml:space="preserve"> </w:t>
      </w:r>
      <w:r w:rsidR="008A1F8A" w:rsidRPr="003D7170">
        <w:t>and do not concern</w:t>
      </w:r>
      <w:r w:rsidR="00BF3DAF" w:rsidRPr="003D7170">
        <w:t xml:space="preserve"> Halfway specifically</w:t>
      </w:r>
      <w:r w:rsidR="004532D0" w:rsidRPr="003D7170">
        <w:t>.</w:t>
      </w:r>
      <w:r w:rsidR="008C157C" w:rsidRPr="003D7170">
        <w:t xml:space="preserve">  </w:t>
      </w:r>
    </w:p>
  </w:footnote>
  <w:footnote w:id="43">
    <w:p w:rsidR="004A104A" w:rsidRDefault="004A104A">
      <w:pPr>
        <w:pStyle w:val="FootnoteText"/>
      </w:pPr>
      <w:r>
        <w:rPr>
          <w:rStyle w:val="FootnoteReference"/>
        </w:rPr>
        <w:footnoteRef/>
      </w:r>
      <w:r>
        <w:t xml:space="preserve"> Petition at 2-3.</w:t>
      </w:r>
    </w:p>
  </w:footnote>
  <w:footnote w:id="44">
    <w:p w:rsidR="0041648C" w:rsidRPr="003D7170" w:rsidRDefault="0041648C">
      <w:pPr>
        <w:pStyle w:val="FootnoteText"/>
      </w:pPr>
      <w:r w:rsidRPr="003D7170">
        <w:rPr>
          <w:rStyle w:val="FootnoteReference"/>
        </w:rPr>
        <w:footnoteRef/>
      </w:r>
      <w:r w:rsidRPr="003D7170">
        <w:t xml:space="preserve"> </w:t>
      </w:r>
      <w:r w:rsidR="004A104A" w:rsidRPr="004A104A">
        <w:rPr>
          <w:i/>
        </w:rPr>
        <w:t>Id.</w:t>
      </w:r>
      <w:r w:rsidR="004A104A" w:rsidRPr="003D7170">
        <w:t xml:space="preserve"> </w:t>
      </w:r>
      <w:r w:rsidR="00592DDA" w:rsidRPr="003D7170">
        <w:t>at 9-10.</w:t>
      </w:r>
    </w:p>
  </w:footnote>
  <w:footnote w:id="45">
    <w:p w:rsidR="009749A3" w:rsidRPr="003D7170" w:rsidRDefault="009749A3" w:rsidP="009749A3">
      <w:pPr>
        <w:pStyle w:val="FootnoteText"/>
      </w:pPr>
      <w:r w:rsidRPr="003D7170">
        <w:rPr>
          <w:rStyle w:val="FootnoteReference"/>
        </w:rPr>
        <w:footnoteRef/>
      </w:r>
      <w:r w:rsidRPr="003D7170">
        <w:rPr>
          <w:i/>
        </w:rPr>
        <w:t xml:space="preserve"> See e.g., Great Trails Broadcasting Corp., </w:t>
      </w:r>
      <w:r w:rsidRPr="003D7170">
        <w:t xml:space="preserve">10 FCC Rcd 8629, 8633, ¶ 23 (1995); </w:t>
      </w:r>
      <w:r w:rsidRPr="003D7170">
        <w:rPr>
          <w:i/>
        </w:rPr>
        <w:t xml:space="preserve">Paxson San Jose License, Inc., </w:t>
      </w:r>
      <w:r w:rsidRPr="003D7170">
        <w:t xml:space="preserve">12 FCC Rcd 17520, 17526, ¶ 13 (1997). </w:t>
      </w:r>
    </w:p>
  </w:footnote>
  <w:footnote w:id="46">
    <w:p w:rsidR="004D11F8" w:rsidRPr="003D7170" w:rsidRDefault="004D11F8">
      <w:pPr>
        <w:pStyle w:val="FootnoteText"/>
      </w:pPr>
      <w:r w:rsidRPr="003D7170">
        <w:rPr>
          <w:rStyle w:val="FootnoteReference"/>
        </w:rPr>
        <w:footnoteRef/>
      </w:r>
      <w:r w:rsidRPr="003D7170">
        <w:t xml:space="preserve"> </w:t>
      </w:r>
      <w:r w:rsidR="00334213" w:rsidRPr="00334213">
        <w:t>Petition</w:t>
      </w:r>
      <w:r w:rsidR="005D3C35" w:rsidRPr="003D7170">
        <w:t xml:space="preserve"> at Exhibit 2, ¶4. </w:t>
      </w:r>
    </w:p>
  </w:footnote>
  <w:footnote w:id="47">
    <w:p w:rsidR="00147474" w:rsidRPr="003D7170" w:rsidRDefault="00147474" w:rsidP="00147474">
      <w:pPr>
        <w:pStyle w:val="FootnoteText"/>
      </w:pPr>
      <w:r w:rsidRPr="003D7170">
        <w:rPr>
          <w:rStyle w:val="FootnoteReference"/>
        </w:rPr>
        <w:footnoteRef/>
      </w:r>
      <w:r w:rsidRPr="003D7170">
        <w:t xml:space="preserve"> </w:t>
      </w:r>
      <w:r w:rsidRPr="003D7170">
        <w:rPr>
          <w:i/>
        </w:rPr>
        <w:t>Id.</w:t>
      </w:r>
      <w:r w:rsidRPr="003D7170">
        <w:t xml:space="preserve"> </w:t>
      </w:r>
    </w:p>
  </w:footnote>
  <w:footnote w:id="48">
    <w:p w:rsidR="009749A3" w:rsidRPr="003D7170" w:rsidRDefault="009749A3" w:rsidP="009749A3">
      <w:pPr>
        <w:pStyle w:val="FootnoteText"/>
      </w:pPr>
      <w:r w:rsidRPr="003D7170">
        <w:rPr>
          <w:rStyle w:val="FootnoteReference"/>
        </w:rPr>
        <w:footnoteRef/>
      </w:r>
      <w:r w:rsidRPr="003D7170">
        <w:t xml:space="preserve"> </w:t>
      </w:r>
      <w:r w:rsidR="009B2D51" w:rsidRPr="009B2D51">
        <w:rPr>
          <w:i/>
        </w:rPr>
        <w:t>Id.</w:t>
      </w:r>
      <w:r w:rsidR="009B2D51" w:rsidRPr="003D7170">
        <w:t xml:space="preserve"> </w:t>
      </w:r>
      <w:r w:rsidR="005D3C35" w:rsidRPr="003D7170">
        <w:t>at 13 and Exhibit 2, ¶¶ 3-4.</w:t>
      </w:r>
      <w:r w:rsidRPr="003D7170">
        <w:t xml:space="preserve">  </w:t>
      </w:r>
      <w:r w:rsidR="009C1CDE" w:rsidRPr="003D7170">
        <w:t xml:space="preserve">This conclusion is further supported by the cable industry guides which do not show any other commercial station being carried on cable systems in Halfway.  </w:t>
      </w:r>
      <w:r w:rsidR="00C42684" w:rsidRPr="003D7170">
        <w:rPr>
          <w:i/>
        </w:rPr>
        <w:t>See</w:t>
      </w:r>
      <w:r w:rsidR="00C42684" w:rsidRPr="003D7170">
        <w:t xml:space="preserve"> Television and Cable Factbook (Halfway, Oregon), Volumes 2008, 2007, 2006, 2005, 2000, 1998, 1991, and 1990.</w:t>
      </w:r>
    </w:p>
  </w:footnote>
  <w:footnote w:id="49">
    <w:p w:rsidR="00505C0F" w:rsidRPr="003D7170" w:rsidRDefault="00505C0F">
      <w:pPr>
        <w:pStyle w:val="FootnoteText"/>
      </w:pPr>
      <w:r w:rsidRPr="003D7170">
        <w:rPr>
          <w:rStyle w:val="FootnoteReference"/>
        </w:rPr>
        <w:footnoteRef/>
      </w:r>
      <w:r w:rsidRPr="003D7170">
        <w:rPr>
          <w:i/>
        </w:rPr>
        <w:t xml:space="preserve"> </w:t>
      </w:r>
      <w:r w:rsidR="00B14D3C" w:rsidRPr="003D7170">
        <w:rPr>
          <w:i/>
        </w:rPr>
        <w:t>See supra</w:t>
      </w:r>
      <w:r w:rsidR="00B14D3C" w:rsidRPr="003D7170">
        <w:t xml:space="preserve"> ¶ 13.</w:t>
      </w:r>
    </w:p>
  </w:footnote>
  <w:footnote w:id="50">
    <w:p w:rsidR="00463153" w:rsidRPr="003D7170" w:rsidRDefault="00463153">
      <w:pPr>
        <w:pStyle w:val="FootnoteText"/>
      </w:pPr>
      <w:r w:rsidRPr="003D7170">
        <w:rPr>
          <w:rStyle w:val="FootnoteReference"/>
        </w:rPr>
        <w:footnoteRef/>
      </w:r>
      <w:r w:rsidRPr="003D7170">
        <w:t xml:space="preserve"> </w:t>
      </w:r>
      <w:r w:rsidR="00B61935" w:rsidRPr="003D7170">
        <w:rPr>
          <w:i/>
        </w:rPr>
        <w:t xml:space="preserve">See </w:t>
      </w:r>
      <w:r w:rsidR="00CC2CCA" w:rsidRPr="003D7170">
        <w:rPr>
          <w:i/>
        </w:rPr>
        <w:t xml:space="preserve">Mediaone of Mass., Inc., </w:t>
      </w:r>
      <w:r w:rsidR="00CC2CCA" w:rsidRPr="003D7170">
        <w:t>13 FCC Rcd 3017, 3025 ¶ 21 (1998)</w:t>
      </w:r>
      <w:r w:rsidR="00452589" w:rsidRPr="003D7170">
        <w:t xml:space="preserve"> (explaining how signal coverage and local service </w:t>
      </w:r>
      <w:r w:rsidR="00EA7783" w:rsidRPr="003D7170">
        <w:t>influence</w:t>
      </w:r>
      <w:r w:rsidR="00452589" w:rsidRPr="003D7170">
        <w:t xml:space="preserve"> the enhancement factor analysis)</w:t>
      </w:r>
      <w:r w:rsidR="000A4138" w:rsidRPr="003D7170">
        <w:t>.</w:t>
      </w:r>
    </w:p>
  </w:footnote>
  <w:footnote w:id="51">
    <w:p w:rsidR="00305F45" w:rsidRPr="003D7170" w:rsidRDefault="00305F45">
      <w:pPr>
        <w:pStyle w:val="FootnoteText"/>
      </w:pPr>
      <w:r w:rsidRPr="003D7170">
        <w:rPr>
          <w:rStyle w:val="FootnoteReference"/>
        </w:rPr>
        <w:footnoteRef/>
      </w:r>
      <w:r w:rsidR="00A612CB" w:rsidRPr="003D7170">
        <w:t xml:space="preserve"> 2009</w:t>
      </w:r>
      <w:r w:rsidRPr="003D7170">
        <w:t xml:space="preserve"> County Coverage Summary for Baker County, OR, Nielsen Company</w:t>
      </w:r>
      <w:r w:rsidR="00BF7591" w:rsidRPr="003D7170">
        <w:t xml:space="preserve"> (showing viewership data for </w:t>
      </w:r>
      <w:r w:rsidR="00E34EB8" w:rsidRPr="003D7170">
        <w:t xml:space="preserve">KBOI-TV (then designated as </w:t>
      </w:r>
      <w:r w:rsidR="00BF7591" w:rsidRPr="003D7170">
        <w:t>KB</w:t>
      </w:r>
      <w:r w:rsidR="00557397" w:rsidRPr="003D7170">
        <w:t>C</w:t>
      </w:r>
      <w:r w:rsidR="00BF7591" w:rsidRPr="003D7170">
        <w:t>I-TV</w:t>
      </w:r>
      <w:r w:rsidR="00E34EB8" w:rsidRPr="003D7170">
        <w:t>)</w:t>
      </w:r>
      <w:r w:rsidR="00BF7591" w:rsidRPr="003D7170">
        <w:t xml:space="preserve"> and KTVB)</w:t>
      </w:r>
      <w:r w:rsidRPr="003D7170">
        <w:t xml:space="preserve">.  </w:t>
      </w:r>
      <w:r w:rsidR="00DF2C3E" w:rsidRPr="003D7170">
        <w:t xml:space="preserve">KBOI-TV </w:t>
      </w:r>
      <w:r w:rsidR="00DB06F1" w:rsidRPr="003D7170">
        <w:t xml:space="preserve">and KTVB </w:t>
      </w:r>
      <w:r w:rsidR="00DF2C3E" w:rsidRPr="003D7170">
        <w:t>ha</w:t>
      </w:r>
      <w:r w:rsidR="00DB06F1" w:rsidRPr="003D7170">
        <w:t>ve</w:t>
      </w:r>
      <w:r w:rsidR="00DF2C3E" w:rsidRPr="003D7170">
        <w:t xml:space="preserve"> </w:t>
      </w:r>
      <w:r w:rsidR="00DF2C3E" w:rsidRPr="003D7170">
        <w:rPr>
          <w:szCs w:val="22"/>
        </w:rPr>
        <w:t>share</w:t>
      </w:r>
      <w:r w:rsidR="00DB06F1" w:rsidRPr="003D7170">
        <w:rPr>
          <w:szCs w:val="22"/>
        </w:rPr>
        <w:t>s</w:t>
      </w:r>
      <w:r w:rsidR="00DF2C3E" w:rsidRPr="003D7170">
        <w:rPr>
          <w:szCs w:val="22"/>
        </w:rPr>
        <w:t xml:space="preserve"> of 4 </w:t>
      </w:r>
      <w:r w:rsidR="00DB06F1" w:rsidRPr="003D7170">
        <w:rPr>
          <w:szCs w:val="22"/>
        </w:rPr>
        <w:t xml:space="preserve">and 6 and </w:t>
      </w:r>
      <w:r w:rsidR="00DF2C3E" w:rsidRPr="003D7170">
        <w:rPr>
          <w:szCs w:val="22"/>
        </w:rPr>
        <w:t>total average cume</w:t>
      </w:r>
      <w:r w:rsidR="00DB06F1" w:rsidRPr="003D7170">
        <w:rPr>
          <w:szCs w:val="22"/>
        </w:rPr>
        <w:t>s</w:t>
      </w:r>
      <w:r w:rsidR="00DF2C3E" w:rsidRPr="003D7170">
        <w:rPr>
          <w:szCs w:val="22"/>
        </w:rPr>
        <w:t xml:space="preserve"> of 10 </w:t>
      </w:r>
      <w:r w:rsidR="00DB06F1" w:rsidRPr="003D7170">
        <w:rPr>
          <w:szCs w:val="22"/>
        </w:rPr>
        <w:t>and 40</w:t>
      </w:r>
      <w:r w:rsidR="00164C17" w:rsidRPr="003D7170">
        <w:t xml:space="preserve"> respectively</w:t>
      </w:r>
      <w:r w:rsidR="00DB06F1" w:rsidRPr="003D7170">
        <w:rPr>
          <w:szCs w:val="22"/>
        </w:rPr>
        <w:t xml:space="preserve"> </w:t>
      </w:r>
      <w:r w:rsidR="00DF2C3E" w:rsidRPr="003D7170">
        <w:rPr>
          <w:szCs w:val="22"/>
        </w:rPr>
        <w:t xml:space="preserve">during the Sunday-Saturday, 7 a.m.-1 a.m. time period in Baker County. </w:t>
      </w:r>
    </w:p>
  </w:footnote>
  <w:footnote w:id="52">
    <w:p w:rsidR="006C6681" w:rsidRPr="003D7170" w:rsidRDefault="006C6681">
      <w:pPr>
        <w:pStyle w:val="FootnoteText"/>
      </w:pPr>
      <w:r w:rsidRPr="003D7170">
        <w:rPr>
          <w:rStyle w:val="FootnoteReference"/>
        </w:rPr>
        <w:footnoteRef/>
      </w:r>
      <w:r w:rsidRPr="003D7170">
        <w:t xml:space="preserve"> </w:t>
      </w:r>
      <w:r w:rsidRPr="003D7170">
        <w:rPr>
          <w:i/>
        </w:rPr>
        <w:t>See generally</w:t>
      </w:r>
      <w:r w:rsidRPr="003D7170">
        <w:t xml:space="preserve"> </w:t>
      </w:r>
      <w:r w:rsidRPr="003D7170">
        <w:rPr>
          <w:i/>
        </w:rPr>
        <w:t>supra</w:t>
      </w:r>
      <w:r w:rsidRPr="003D7170">
        <w:t xml:space="preserve"> text accompanying notes 36</w:t>
      </w:r>
      <w:r w:rsidR="00A53C14" w:rsidRPr="003D7170">
        <w:t>, 39-41</w:t>
      </w:r>
      <w:r w:rsidRPr="003D7170">
        <w:t>.</w:t>
      </w:r>
    </w:p>
  </w:footnote>
  <w:footnote w:id="53">
    <w:p w:rsidR="00FF1C50" w:rsidRPr="003D7170" w:rsidRDefault="00FF1C50">
      <w:pPr>
        <w:pStyle w:val="FootnoteText"/>
      </w:pPr>
      <w:r w:rsidRPr="003D7170">
        <w:rPr>
          <w:rStyle w:val="FootnoteReference"/>
        </w:rPr>
        <w:footnoteRef/>
      </w:r>
      <w:r w:rsidRPr="003D7170">
        <w:t xml:space="preserve"> </w:t>
      </w:r>
      <w:r w:rsidRPr="003D7170">
        <w:rPr>
          <w:i/>
        </w:rPr>
        <w:t>See supra</w:t>
      </w:r>
      <w:r w:rsidRPr="003D7170">
        <w:t xml:space="preserve"> ¶ 12.</w:t>
      </w:r>
    </w:p>
  </w:footnote>
  <w:footnote w:id="54">
    <w:p w:rsidR="00E92A15" w:rsidRPr="003D7170" w:rsidRDefault="00E92A15" w:rsidP="00E92A15">
      <w:pPr>
        <w:pStyle w:val="FootnoteText"/>
      </w:pPr>
      <w:r w:rsidRPr="003D7170">
        <w:rPr>
          <w:rStyle w:val="FootnoteReference"/>
        </w:rPr>
        <w:footnoteRef/>
      </w:r>
      <w:r w:rsidRPr="003D7170">
        <w:t xml:space="preserve"> Petition at 9-10.  </w:t>
      </w:r>
      <w:r w:rsidRPr="003D7170">
        <w:rPr>
          <w:szCs w:val="22"/>
        </w:rPr>
        <w:t xml:space="preserve">While we would typically resist adding an out-of-market affiliate to in-market affiliate’s market, so as to not unduly upset the concept of affiliation, the in-market Portland DMA stations are separated from Halfway by mountain ranges and significant distance and have not opposed Pine’s Petition on the grounds that modification </w:t>
      </w:r>
      <w:r w:rsidRPr="003D7170">
        <w:t xml:space="preserve">would displace their carriage.    </w:t>
      </w:r>
    </w:p>
  </w:footnote>
  <w:footnote w:id="55">
    <w:p w:rsidR="00911519" w:rsidRDefault="00911519" w:rsidP="00911519">
      <w:pPr>
        <w:pStyle w:val="FootnoteText"/>
      </w:pPr>
      <w:r>
        <w:rPr>
          <w:rStyle w:val="FootnoteReference"/>
        </w:rPr>
        <w:footnoteRef/>
      </w:r>
      <w:r>
        <w:t xml:space="preserve"> </w:t>
      </w:r>
      <w:r>
        <w:rPr>
          <w:szCs w:val="22"/>
        </w:rPr>
        <w:t>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11" w:rsidRDefault="00B35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F7C1F">
      <w:t>DA 14-1142</w:t>
    </w:r>
  </w:p>
  <w:p w:rsidR="00D25FB5" w:rsidRDefault="008D015A">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D4A9A85" wp14:editId="22169E2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D015A"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B075BC">
      <w:rPr>
        <w:spacing w:val="-2"/>
      </w:rPr>
      <w:t xml:space="preserve">DA </w:t>
    </w:r>
    <w:r w:rsidR="00AF7C1F">
      <w:rPr>
        <w:spacing w:val="-2"/>
      </w:rPr>
      <w:t>14-1142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0DD289F"/>
    <w:multiLevelType w:val="hybridMultilevel"/>
    <w:tmpl w:val="84182622"/>
    <w:lvl w:ilvl="0" w:tplc="48E4AB34">
      <w:start w:val="1"/>
      <w:numFmt w:val="decimal"/>
      <w:lvlText w:val="(%1)"/>
      <w:lvlJc w:val="left"/>
      <w:pPr>
        <w:tabs>
          <w:tab w:val="num" w:pos="1815"/>
        </w:tabs>
        <w:ind w:left="1815" w:hanging="375"/>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7D8272F"/>
    <w:multiLevelType w:val="hybridMultilevel"/>
    <w:tmpl w:val="F3C2EA0E"/>
    <w:lvl w:ilvl="0" w:tplc="3604C37C">
      <w:start w:val="1"/>
      <w:numFmt w:val="upp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24"/>
    <w:rsid w:val="0000026C"/>
    <w:rsid w:val="00001FDA"/>
    <w:rsid w:val="00015C31"/>
    <w:rsid w:val="00022B32"/>
    <w:rsid w:val="00036039"/>
    <w:rsid w:val="000376C1"/>
    <w:rsid w:val="00037F90"/>
    <w:rsid w:val="000420F5"/>
    <w:rsid w:val="00051CDB"/>
    <w:rsid w:val="00053898"/>
    <w:rsid w:val="00055240"/>
    <w:rsid w:val="00062529"/>
    <w:rsid w:val="00084D66"/>
    <w:rsid w:val="000875BF"/>
    <w:rsid w:val="00096D8C"/>
    <w:rsid w:val="000979A0"/>
    <w:rsid w:val="000A4138"/>
    <w:rsid w:val="000A77DA"/>
    <w:rsid w:val="000B3763"/>
    <w:rsid w:val="000C0B65"/>
    <w:rsid w:val="000C25C8"/>
    <w:rsid w:val="000C691E"/>
    <w:rsid w:val="000D11D8"/>
    <w:rsid w:val="000D4B21"/>
    <w:rsid w:val="000E05FE"/>
    <w:rsid w:val="000E191F"/>
    <w:rsid w:val="000E1E76"/>
    <w:rsid w:val="000E20EC"/>
    <w:rsid w:val="000E3D42"/>
    <w:rsid w:val="000F645E"/>
    <w:rsid w:val="00101451"/>
    <w:rsid w:val="00106617"/>
    <w:rsid w:val="00122BD5"/>
    <w:rsid w:val="00133747"/>
    <w:rsid w:val="00133F79"/>
    <w:rsid w:val="00137DBE"/>
    <w:rsid w:val="001438FA"/>
    <w:rsid w:val="00147474"/>
    <w:rsid w:val="00157B02"/>
    <w:rsid w:val="00164C17"/>
    <w:rsid w:val="001762C5"/>
    <w:rsid w:val="001802F9"/>
    <w:rsid w:val="00187295"/>
    <w:rsid w:val="00190AB3"/>
    <w:rsid w:val="00192C8E"/>
    <w:rsid w:val="00193FBE"/>
    <w:rsid w:val="00194636"/>
    <w:rsid w:val="00194A66"/>
    <w:rsid w:val="001974AF"/>
    <w:rsid w:val="00197791"/>
    <w:rsid w:val="001A11F8"/>
    <w:rsid w:val="001A11FD"/>
    <w:rsid w:val="001A1A7F"/>
    <w:rsid w:val="001A586C"/>
    <w:rsid w:val="001B1060"/>
    <w:rsid w:val="001C64AF"/>
    <w:rsid w:val="001D6BCF"/>
    <w:rsid w:val="001E01CA"/>
    <w:rsid w:val="00207D5B"/>
    <w:rsid w:val="00226118"/>
    <w:rsid w:val="00231AE0"/>
    <w:rsid w:val="002562F0"/>
    <w:rsid w:val="00275CF5"/>
    <w:rsid w:val="0028301F"/>
    <w:rsid w:val="00285017"/>
    <w:rsid w:val="002856C1"/>
    <w:rsid w:val="002861CA"/>
    <w:rsid w:val="00287759"/>
    <w:rsid w:val="002A2D2E"/>
    <w:rsid w:val="002B0B93"/>
    <w:rsid w:val="002C00E8"/>
    <w:rsid w:val="002D23EB"/>
    <w:rsid w:val="002D7565"/>
    <w:rsid w:val="002E705C"/>
    <w:rsid w:val="002F367A"/>
    <w:rsid w:val="002F594A"/>
    <w:rsid w:val="00305EF7"/>
    <w:rsid w:val="00305F45"/>
    <w:rsid w:val="00310262"/>
    <w:rsid w:val="0031043B"/>
    <w:rsid w:val="0033323E"/>
    <w:rsid w:val="00334213"/>
    <w:rsid w:val="00342914"/>
    <w:rsid w:val="00343749"/>
    <w:rsid w:val="00350DB2"/>
    <w:rsid w:val="003517D5"/>
    <w:rsid w:val="003660ED"/>
    <w:rsid w:val="00367BCB"/>
    <w:rsid w:val="0038317E"/>
    <w:rsid w:val="003A566E"/>
    <w:rsid w:val="003A7987"/>
    <w:rsid w:val="003B0550"/>
    <w:rsid w:val="003B2DA2"/>
    <w:rsid w:val="003B694F"/>
    <w:rsid w:val="003D5443"/>
    <w:rsid w:val="003D7170"/>
    <w:rsid w:val="003E05CF"/>
    <w:rsid w:val="003F171C"/>
    <w:rsid w:val="003F3C71"/>
    <w:rsid w:val="00407F96"/>
    <w:rsid w:val="0041190C"/>
    <w:rsid w:val="00412FC5"/>
    <w:rsid w:val="00415914"/>
    <w:rsid w:val="0041648C"/>
    <w:rsid w:val="00422276"/>
    <w:rsid w:val="004242F1"/>
    <w:rsid w:val="00427DF6"/>
    <w:rsid w:val="004306EC"/>
    <w:rsid w:val="00445A00"/>
    <w:rsid w:val="00450038"/>
    <w:rsid w:val="00451B0F"/>
    <w:rsid w:val="00452589"/>
    <w:rsid w:val="004532D0"/>
    <w:rsid w:val="00463153"/>
    <w:rsid w:val="00464531"/>
    <w:rsid w:val="00474E2F"/>
    <w:rsid w:val="00477FB2"/>
    <w:rsid w:val="00486D6F"/>
    <w:rsid w:val="00491543"/>
    <w:rsid w:val="00494391"/>
    <w:rsid w:val="004A104A"/>
    <w:rsid w:val="004A2BB4"/>
    <w:rsid w:val="004A2C9A"/>
    <w:rsid w:val="004A7F61"/>
    <w:rsid w:val="004B7C58"/>
    <w:rsid w:val="004C070F"/>
    <w:rsid w:val="004C2EE3"/>
    <w:rsid w:val="004C5298"/>
    <w:rsid w:val="004C5A6C"/>
    <w:rsid w:val="004D11F8"/>
    <w:rsid w:val="004E4A22"/>
    <w:rsid w:val="004E70DB"/>
    <w:rsid w:val="004F148D"/>
    <w:rsid w:val="005021CA"/>
    <w:rsid w:val="00505C0F"/>
    <w:rsid w:val="00511968"/>
    <w:rsid w:val="00512841"/>
    <w:rsid w:val="0052117A"/>
    <w:rsid w:val="00521CF5"/>
    <w:rsid w:val="00534C19"/>
    <w:rsid w:val="005458FB"/>
    <w:rsid w:val="0055614C"/>
    <w:rsid w:val="00557397"/>
    <w:rsid w:val="00557EB8"/>
    <w:rsid w:val="00560386"/>
    <w:rsid w:val="00565B40"/>
    <w:rsid w:val="00570C93"/>
    <w:rsid w:val="005845F0"/>
    <w:rsid w:val="00592DDA"/>
    <w:rsid w:val="005A15DC"/>
    <w:rsid w:val="005A17CA"/>
    <w:rsid w:val="005C665B"/>
    <w:rsid w:val="005C70FE"/>
    <w:rsid w:val="005D0043"/>
    <w:rsid w:val="005D11A3"/>
    <w:rsid w:val="005D3C35"/>
    <w:rsid w:val="005E14C2"/>
    <w:rsid w:val="00600F88"/>
    <w:rsid w:val="00606177"/>
    <w:rsid w:val="00607BA5"/>
    <w:rsid w:val="0061180A"/>
    <w:rsid w:val="00612599"/>
    <w:rsid w:val="00615AF1"/>
    <w:rsid w:val="00626EB6"/>
    <w:rsid w:val="006351A2"/>
    <w:rsid w:val="00641E6E"/>
    <w:rsid w:val="00652319"/>
    <w:rsid w:val="00655D03"/>
    <w:rsid w:val="0065650A"/>
    <w:rsid w:val="006754CD"/>
    <w:rsid w:val="00675CD4"/>
    <w:rsid w:val="006800F0"/>
    <w:rsid w:val="00683388"/>
    <w:rsid w:val="00683F84"/>
    <w:rsid w:val="00694FA2"/>
    <w:rsid w:val="006A0EBA"/>
    <w:rsid w:val="006A6A81"/>
    <w:rsid w:val="006B200E"/>
    <w:rsid w:val="006B5BC5"/>
    <w:rsid w:val="006B5D9C"/>
    <w:rsid w:val="006C3914"/>
    <w:rsid w:val="006C6681"/>
    <w:rsid w:val="006F7393"/>
    <w:rsid w:val="00700D80"/>
    <w:rsid w:val="0070224F"/>
    <w:rsid w:val="007115F7"/>
    <w:rsid w:val="00712E3E"/>
    <w:rsid w:val="00744A8C"/>
    <w:rsid w:val="00754647"/>
    <w:rsid w:val="0076126C"/>
    <w:rsid w:val="007672B3"/>
    <w:rsid w:val="007701F3"/>
    <w:rsid w:val="00771ABD"/>
    <w:rsid w:val="00773F26"/>
    <w:rsid w:val="007852B3"/>
    <w:rsid w:val="00785689"/>
    <w:rsid w:val="0079754B"/>
    <w:rsid w:val="007A1E6D"/>
    <w:rsid w:val="007B0EB2"/>
    <w:rsid w:val="007C27F1"/>
    <w:rsid w:val="007C57F1"/>
    <w:rsid w:val="007E6DAC"/>
    <w:rsid w:val="00803324"/>
    <w:rsid w:val="008060B5"/>
    <w:rsid w:val="00810762"/>
    <w:rsid w:val="00810B6F"/>
    <w:rsid w:val="00813A78"/>
    <w:rsid w:val="0081622B"/>
    <w:rsid w:val="00822CE0"/>
    <w:rsid w:val="00841AB1"/>
    <w:rsid w:val="00856ADB"/>
    <w:rsid w:val="0087345F"/>
    <w:rsid w:val="008A1F8A"/>
    <w:rsid w:val="008A357F"/>
    <w:rsid w:val="008B1F92"/>
    <w:rsid w:val="008B5770"/>
    <w:rsid w:val="008C157C"/>
    <w:rsid w:val="008C68F1"/>
    <w:rsid w:val="008D015A"/>
    <w:rsid w:val="008D32B0"/>
    <w:rsid w:val="008F5395"/>
    <w:rsid w:val="00902D6E"/>
    <w:rsid w:val="00911519"/>
    <w:rsid w:val="00916CD4"/>
    <w:rsid w:val="00921803"/>
    <w:rsid w:val="009223DE"/>
    <w:rsid w:val="00926503"/>
    <w:rsid w:val="00930244"/>
    <w:rsid w:val="00937B3F"/>
    <w:rsid w:val="00941D29"/>
    <w:rsid w:val="009429A4"/>
    <w:rsid w:val="009430DF"/>
    <w:rsid w:val="00960087"/>
    <w:rsid w:val="009663B5"/>
    <w:rsid w:val="0096730E"/>
    <w:rsid w:val="00967352"/>
    <w:rsid w:val="009726D8"/>
    <w:rsid w:val="00973636"/>
    <w:rsid w:val="00974009"/>
    <w:rsid w:val="009749A3"/>
    <w:rsid w:val="0098512A"/>
    <w:rsid w:val="00993E1C"/>
    <w:rsid w:val="00994C1D"/>
    <w:rsid w:val="00995251"/>
    <w:rsid w:val="009979CC"/>
    <w:rsid w:val="009A75D6"/>
    <w:rsid w:val="009B2D51"/>
    <w:rsid w:val="009C1CDE"/>
    <w:rsid w:val="009D043D"/>
    <w:rsid w:val="009D2403"/>
    <w:rsid w:val="009F76DB"/>
    <w:rsid w:val="00A224CA"/>
    <w:rsid w:val="00A310B0"/>
    <w:rsid w:val="00A32C3B"/>
    <w:rsid w:val="00A449BE"/>
    <w:rsid w:val="00A45F4F"/>
    <w:rsid w:val="00A503B7"/>
    <w:rsid w:val="00A53C14"/>
    <w:rsid w:val="00A600A9"/>
    <w:rsid w:val="00A612CB"/>
    <w:rsid w:val="00A831DD"/>
    <w:rsid w:val="00A8567A"/>
    <w:rsid w:val="00A96924"/>
    <w:rsid w:val="00AA55B7"/>
    <w:rsid w:val="00AA57EB"/>
    <w:rsid w:val="00AA5B9E"/>
    <w:rsid w:val="00AB2407"/>
    <w:rsid w:val="00AB4622"/>
    <w:rsid w:val="00AB53DF"/>
    <w:rsid w:val="00AD3A71"/>
    <w:rsid w:val="00AE0C0D"/>
    <w:rsid w:val="00AE284B"/>
    <w:rsid w:val="00AF0188"/>
    <w:rsid w:val="00AF7C1F"/>
    <w:rsid w:val="00B03C45"/>
    <w:rsid w:val="00B048ED"/>
    <w:rsid w:val="00B075BC"/>
    <w:rsid w:val="00B07E5C"/>
    <w:rsid w:val="00B14D3C"/>
    <w:rsid w:val="00B22C16"/>
    <w:rsid w:val="00B34DFB"/>
    <w:rsid w:val="00B35611"/>
    <w:rsid w:val="00B57439"/>
    <w:rsid w:val="00B61935"/>
    <w:rsid w:val="00B62086"/>
    <w:rsid w:val="00B62208"/>
    <w:rsid w:val="00B811F7"/>
    <w:rsid w:val="00B84C09"/>
    <w:rsid w:val="00B85C86"/>
    <w:rsid w:val="00B97C60"/>
    <w:rsid w:val="00BA5DC6"/>
    <w:rsid w:val="00BA6196"/>
    <w:rsid w:val="00BA79D4"/>
    <w:rsid w:val="00BB216A"/>
    <w:rsid w:val="00BC6D8C"/>
    <w:rsid w:val="00BC7214"/>
    <w:rsid w:val="00BD1B6B"/>
    <w:rsid w:val="00BE14E8"/>
    <w:rsid w:val="00BE780D"/>
    <w:rsid w:val="00BF3D0B"/>
    <w:rsid w:val="00BF3DAF"/>
    <w:rsid w:val="00BF7591"/>
    <w:rsid w:val="00C05388"/>
    <w:rsid w:val="00C1766B"/>
    <w:rsid w:val="00C22D65"/>
    <w:rsid w:val="00C23D63"/>
    <w:rsid w:val="00C31C42"/>
    <w:rsid w:val="00C33897"/>
    <w:rsid w:val="00C34006"/>
    <w:rsid w:val="00C4192E"/>
    <w:rsid w:val="00C42684"/>
    <w:rsid w:val="00C426B1"/>
    <w:rsid w:val="00C50689"/>
    <w:rsid w:val="00C61A11"/>
    <w:rsid w:val="00C66160"/>
    <w:rsid w:val="00C721AC"/>
    <w:rsid w:val="00C72977"/>
    <w:rsid w:val="00C754FC"/>
    <w:rsid w:val="00C87C50"/>
    <w:rsid w:val="00C90D6A"/>
    <w:rsid w:val="00C90E87"/>
    <w:rsid w:val="00CA247E"/>
    <w:rsid w:val="00CB42CC"/>
    <w:rsid w:val="00CB4AE7"/>
    <w:rsid w:val="00CB7A64"/>
    <w:rsid w:val="00CC2CCA"/>
    <w:rsid w:val="00CC72B6"/>
    <w:rsid w:val="00CF6D18"/>
    <w:rsid w:val="00D0218D"/>
    <w:rsid w:val="00D13CCE"/>
    <w:rsid w:val="00D25FB5"/>
    <w:rsid w:val="00D26988"/>
    <w:rsid w:val="00D43CC3"/>
    <w:rsid w:val="00D43FAA"/>
    <w:rsid w:val="00D44223"/>
    <w:rsid w:val="00D448DE"/>
    <w:rsid w:val="00D465BA"/>
    <w:rsid w:val="00D71242"/>
    <w:rsid w:val="00D767D7"/>
    <w:rsid w:val="00D80587"/>
    <w:rsid w:val="00DA2529"/>
    <w:rsid w:val="00DA4A7E"/>
    <w:rsid w:val="00DA595C"/>
    <w:rsid w:val="00DB06F1"/>
    <w:rsid w:val="00DB130A"/>
    <w:rsid w:val="00DB2EBB"/>
    <w:rsid w:val="00DB6FDC"/>
    <w:rsid w:val="00DC10A1"/>
    <w:rsid w:val="00DC21B2"/>
    <w:rsid w:val="00DC655F"/>
    <w:rsid w:val="00DC71BD"/>
    <w:rsid w:val="00DD0105"/>
    <w:rsid w:val="00DD0B59"/>
    <w:rsid w:val="00DD7EBD"/>
    <w:rsid w:val="00DE05E1"/>
    <w:rsid w:val="00DE47EF"/>
    <w:rsid w:val="00DE51CC"/>
    <w:rsid w:val="00DF2C3E"/>
    <w:rsid w:val="00DF62B6"/>
    <w:rsid w:val="00DF7592"/>
    <w:rsid w:val="00DF7A25"/>
    <w:rsid w:val="00E01073"/>
    <w:rsid w:val="00E07225"/>
    <w:rsid w:val="00E27F39"/>
    <w:rsid w:val="00E34EB8"/>
    <w:rsid w:val="00E5409F"/>
    <w:rsid w:val="00E60F6F"/>
    <w:rsid w:val="00E75863"/>
    <w:rsid w:val="00E92A15"/>
    <w:rsid w:val="00EA0483"/>
    <w:rsid w:val="00EA76A8"/>
    <w:rsid w:val="00EA7783"/>
    <w:rsid w:val="00EA7E5D"/>
    <w:rsid w:val="00EB74A0"/>
    <w:rsid w:val="00EE6488"/>
    <w:rsid w:val="00EE78CF"/>
    <w:rsid w:val="00EF5664"/>
    <w:rsid w:val="00F01772"/>
    <w:rsid w:val="00F021FA"/>
    <w:rsid w:val="00F16A42"/>
    <w:rsid w:val="00F17185"/>
    <w:rsid w:val="00F33B19"/>
    <w:rsid w:val="00F425EA"/>
    <w:rsid w:val="00F527FA"/>
    <w:rsid w:val="00F62A82"/>
    <w:rsid w:val="00F62E97"/>
    <w:rsid w:val="00F64209"/>
    <w:rsid w:val="00F7378D"/>
    <w:rsid w:val="00F811DC"/>
    <w:rsid w:val="00F83953"/>
    <w:rsid w:val="00F85C70"/>
    <w:rsid w:val="00F925C5"/>
    <w:rsid w:val="00F93BF5"/>
    <w:rsid w:val="00FA0B8B"/>
    <w:rsid w:val="00FA21EE"/>
    <w:rsid w:val="00FB61B3"/>
    <w:rsid w:val="00FD5278"/>
    <w:rsid w:val="00FE74C9"/>
    <w:rsid w:val="00FF1C50"/>
    <w:rsid w:val="00FF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1 Char,Footnote Text Char Char2 Char Char,Footnote Text Char2 Char Char Char Char,Footnote Text Char Char2 Char Char Char Char,Footnote Text Char3,Footnote Text Char Char2"/>
    <w:link w:val="FootnoteTextChar"/>
    <w:rsid w:val="000E3D42"/>
    <w:pPr>
      <w:spacing w:after="120"/>
    </w:pPr>
  </w:style>
  <w:style w:type="character" w:styleId="FootnoteReference">
    <w:name w:val="footnote reference"/>
    <w:aliases w:val="Style 12,(NECG) 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3 Char Char,Footnote Text Char2 Char1 Char Char,Footnote Text Char Char2 Char Char Char,Footnote Text Char2 Char Char Char Char Char,Footnote Text Char Char2 Char Char Char Char Char,Footnote Text Char3 Char1"/>
    <w:basedOn w:val="DefaultParagraphFont"/>
    <w:link w:val="FootnoteText"/>
    <w:rsid w:val="00967352"/>
  </w:style>
  <w:style w:type="paragraph" w:styleId="BalloonText">
    <w:name w:val="Balloon Text"/>
    <w:basedOn w:val="Normal"/>
    <w:link w:val="BalloonTextChar"/>
    <w:rsid w:val="00464531"/>
    <w:rPr>
      <w:rFonts w:ascii="Tahoma" w:hAnsi="Tahoma" w:cs="Tahoma"/>
      <w:sz w:val="16"/>
      <w:szCs w:val="16"/>
    </w:rPr>
  </w:style>
  <w:style w:type="character" w:customStyle="1" w:styleId="BalloonTextChar">
    <w:name w:val="Balloon Text Char"/>
    <w:basedOn w:val="DefaultParagraphFont"/>
    <w:link w:val="BalloonText"/>
    <w:rsid w:val="00464531"/>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1 Char,Footnote Text Char Char2 Char Char,Footnote Text Char2 Char Char Char Char,Footnote Text Char Char2 Char Char Char Char,Footnote Text Char3,Footnote Text Char Char2"/>
    <w:link w:val="FootnoteTextChar"/>
    <w:rsid w:val="000E3D42"/>
    <w:pPr>
      <w:spacing w:after="120"/>
    </w:pPr>
  </w:style>
  <w:style w:type="character" w:styleId="FootnoteReference">
    <w:name w:val="footnote reference"/>
    <w:aliases w:val="Style 12,(NECG) 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3 Char Char,Footnote Text Char2 Char1 Char Char,Footnote Text Char Char2 Char Char Char,Footnote Text Char2 Char Char Char Char Char,Footnote Text Char Char2 Char Char Char Char Char,Footnote Text Char3 Char1"/>
    <w:basedOn w:val="DefaultParagraphFont"/>
    <w:link w:val="FootnoteText"/>
    <w:rsid w:val="00967352"/>
  </w:style>
  <w:style w:type="paragraph" w:styleId="BalloonText">
    <w:name w:val="Balloon Text"/>
    <w:basedOn w:val="Normal"/>
    <w:link w:val="BalloonTextChar"/>
    <w:rsid w:val="00464531"/>
    <w:rPr>
      <w:rFonts w:ascii="Tahoma" w:hAnsi="Tahoma" w:cs="Tahoma"/>
      <w:sz w:val="16"/>
      <w:szCs w:val="16"/>
    </w:rPr>
  </w:style>
  <w:style w:type="character" w:customStyle="1" w:styleId="BalloonTextChar">
    <w:name w:val="Balloon Text Char"/>
    <w:basedOn w:val="DefaultParagraphFont"/>
    <w:link w:val="BalloonText"/>
    <w:rsid w:val="00464531"/>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692">
      <w:bodyDiv w:val="1"/>
      <w:marLeft w:val="0"/>
      <w:marRight w:val="0"/>
      <w:marTop w:val="0"/>
      <w:marBottom w:val="0"/>
      <w:divBdr>
        <w:top w:val="none" w:sz="0" w:space="0" w:color="auto"/>
        <w:left w:val="none" w:sz="0" w:space="0" w:color="auto"/>
        <w:bottom w:val="none" w:sz="0" w:space="0" w:color="auto"/>
        <w:right w:val="none" w:sz="0" w:space="0" w:color="auto"/>
      </w:divBdr>
      <w:divsChild>
        <w:div w:id="1190946773">
          <w:marLeft w:val="0"/>
          <w:marRight w:val="0"/>
          <w:marTop w:val="0"/>
          <w:marBottom w:val="0"/>
          <w:divBdr>
            <w:top w:val="none" w:sz="0" w:space="0" w:color="auto"/>
            <w:left w:val="single" w:sz="6" w:space="0" w:color="BBBBBB"/>
            <w:bottom w:val="single" w:sz="6" w:space="0" w:color="BBBBBB"/>
            <w:right w:val="single" w:sz="6" w:space="0" w:color="BBBBBB"/>
          </w:divBdr>
          <w:divsChild>
            <w:div w:id="1366710977">
              <w:marLeft w:val="0"/>
              <w:marRight w:val="0"/>
              <w:marTop w:val="0"/>
              <w:marBottom w:val="0"/>
              <w:divBdr>
                <w:top w:val="none" w:sz="0" w:space="0" w:color="auto"/>
                <w:left w:val="none" w:sz="0" w:space="0" w:color="auto"/>
                <w:bottom w:val="none" w:sz="0" w:space="0" w:color="auto"/>
                <w:right w:val="none" w:sz="0" w:space="0" w:color="auto"/>
              </w:divBdr>
              <w:divsChild>
                <w:div w:id="1061753592">
                  <w:marLeft w:val="0"/>
                  <w:marRight w:val="0"/>
                  <w:marTop w:val="0"/>
                  <w:marBottom w:val="0"/>
                  <w:divBdr>
                    <w:top w:val="none" w:sz="0" w:space="0" w:color="auto"/>
                    <w:left w:val="none" w:sz="0" w:space="0" w:color="auto"/>
                    <w:bottom w:val="none" w:sz="0" w:space="0" w:color="auto"/>
                    <w:right w:val="none" w:sz="0" w:space="0" w:color="auto"/>
                  </w:divBdr>
                  <w:divsChild>
                    <w:div w:id="160123684">
                      <w:marLeft w:val="0"/>
                      <w:marRight w:val="0"/>
                      <w:marTop w:val="0"/>
                      <w:marBottom w:val="0"/>
                      <w:divBdr>
                        <w:top w:val="none" w:sz="0" w:space="0" w:color="auto"/>
                        <w:left w:val="none" w:sz="0" w:space="0" w:color="auto"/>
                        <w:bottom w:val="none" w:sz="0" w:space="0" w:color="auto"/>
                        <w:right w:val="none" w:sz="0" w:space="0" w:color="auto"/>
                      </w:divBdr>
                      <w:divsChild>
                        <w:div w:id="528446486">
                          <w:marLeft w:val="0"/>
                          <w:marRight w:val="0"/>
                          <w:marTop w:val="0"/>
                          <w:marBottom w:val="0"/>
                          <w:divBdr>
                            <w:top w:val="none" w:sz="0" w:space="0" w:color="auto"/>
                            <w:left w:val="none" w:sz="0" w:space="0" w:color="auto"/>
                            <w:bottom w:val="none" w:sz="0" w:space="0" w:color="auto"/>
                            <w:right w:val="none" w:sz="0" w:space="0" w:color="auto"/>
                          </w:divBdr>
                          <w:divsChild>
                            <w:div w:id="2074967270">
                              <w:marLeft w:val="0"/>
                              <w:marRight w:val="0"/>
                              <w:marTop w:val="0"/>
                              <w:marBottom w:val="0"/>
                              <w:divBdr>
                                <w:top w:val="none" w:sz="0" w:space="0" w:color="auto"/>
                                <w:left w:val="none" w:sz="0" w:space="0" w:color="auto"/>
                                <w:bottom w:val="none" w:sz="0" w:space="0" w:color="auto"/>
                                <w:right w:val="none" w:sz="0" w:space="0" w:color="auto"/>
                              </w:divBdr>
                              <w:divsChild>
                                <w:div w:id="2056932113">
                                  <w:marLeft w:val="0"/>
                                  <w:marRight w:val="0"/>
                                  <w:marTop w:val="0"/>
                                  <w:marBottom w:val="0"/>
                                  <w:divBdr>
                                    <w:top w:val="none" w:sz="0" w:space="0" w:color="auto"/>
                                    <w:left w:val="none" w:sz="0" w:space="0" w:color="auto"/>
                                    <w:bottom w:val="none" w:sz="0" w:space="0" w:color="auto"/>
                                    <w:right w:val="none" w:sz="0" w:space="0" w:color="auto"/>
                                  </w:divBdr>
                                  <w:divsChild>
                                    <w:div w:id="823353340">
                                      <w:marLeft w:val="0"/>
                                      <w:marRight w:val="0"/>
                                      <w:marTop w:val="0"/>
                                      <w:marBottom w:val="0"/>
                                      <w:divBdr>
                                        <w:top w:val="none" w:sz="0" w:space="0" w:color="auto"/>
                                        <w:left w:val="none" w:sz="0" w:space="0" w:color="auto"/>
                                        <w:bottom w:val="none" w:sz="0" w:space="0" w:color="auto"/>
                                        <w:right w:val="none" w:sz="0" w:space="0" w:color="auto"/>
                                      </w:divBdr>
                                      <w:divsChild>
                                        <w:div w:id="786966866">
                                          <w:marLeft w:val="1200"/>
                                          <w:marRight w:val="1200"/>
                                          <w:marTop w:val="0"/>
                                          <w:marBottom w:val="0"/>
                                          <w:divBdr>
                                            <w:top w:val="none" w:sz="0" w:space="0" w:color="auto"/>
                                            <w:left w:val="none" w:sz="0" w:space="0" w:color="auto"/>
                                            <w:bottom w:val="none" w:sz="0" w:space="0" w:color="auto"/>
                                            <w:right w:val="none" w:sz="0" w:space="0" w:color="auto"/>
                                          </w:divBdr>
                                          <w:divsChild>
                                            <w:div w:id="1012687917">
                                              <w:marLeft w:val="0"/>
                                              <w:marRight w:val="0"/>
                                              <w:marTop w:val="0"/>
                                              <w:marBottom w:val="0"/>
                                              <w:divBdr>
                                                <w:top w:val="none" w:sz="0" w:space="0" w:color="auto"/>
                                                <w:left w:val="none" w:sz="0" w:space="0" w:color="auto"/>
                                                <w:bottom w:val="none" w:sz="0" w:space="0" w:color="auto"/>
                                                <w:right w:val="none" w:sz="0" w:space="0" w:color="auto"/>
                                              </w:divBdr>
                                              <w:divsChild>
                                                <w:div w:id="876040212">
                                                  <w:marLeft w:val="0"/>
                                                  <w:marRight w:val="0"/>
                                                  <w:marTop w:val="240"/>
                                                  <w:marBottom w:val="0"/>
                                                  <w:divBdr>
                                                    <w:top w:val="none" w:sz="0" w:space="0" w:color="auto"/>
                                                    <w:left w:val="none" w:sz="0" w:space="0" w:color="auto"/>
                                                    <w:bottom w:val="none" w:sz="0" w:space="0" w:color="auto"/>
                                                    <w:right w:val="none" w:sz="0" w:space="0" w:color="auto"/>
                                                  </w:divBdr>
                                                  <w:divsChild>
                                                    <w:div w:id="2013100385">
                                                      <w:marLeft w:val="0"/>
                                                      <w:marRight w:val="0"/>
                                                      <w:marTop w:val="0"/>
                                                      <w:marBottom w:val="0"/>
                                                      <w:divBdr>
                                                        <w:top w:val="none" w:sz="0" w:space="0" w:color="auto"/>
                                                        <w:left w:val="none" w:sz="0" w:space="0" w:color="auto"/>
                                                        <w:bottom w:val="none" w:sz="0" w:space="0" w:color="auto"/>
                                                        <w:right w:val="none" w:sz="0" w:space="0" w:color="auto"/>
                                                      </w:divBdr>
                                                      <w:divsChild>
                                                        <w:div w:id="90668557">
                                                          <w:marLeft w:val="1275"/>
                                                          <w:marRight w:val="0"/>
                                                          <w:marTop w:val="0"/>
                                                          <w:marBottom w:val="0"/>
                                                          <w:divBdr>
                                                            <w:top w:val="none" w:sz="0" w:space="0" w:color="auto"/>
                                                            <w:left w:val="none" w:sz="0" w:space="0" w:color="auto"/>
                                                            <w:bottom w:val="none" w:sz="0" w:space="0" w:color="auto"/>
                                                            <w:right w:val="none" w:sz="0" w:space="0" w:color="auto"/>
                                                          </w:divBdr>
                                                          <w:divsChild>
                                                            <w:div w:id="855773822">
                                                              <w:marLeft w:val="0"/>
                                                              <w:marRight w:val="0"/>
                                                              <w:marTop w:val="0"/>
                                                              <w:marBottom w:val="0"/>
                                                              <w:divBdr>
                                                                <w:top w:val="none" w:sz="0" w:space="0" w:color="auto"/>
                                                                <w:left w:val="none" w:sz="0" w:space="0" w:color="auto"/>
                                                                <w:bottom w:val="none" w:sz="0" w:space="0" w:color="auto"/>
                                                                <w:right w:val="none" w:sz="0" w:space="0" w:color="auto"/>
                                                              </w:divBdr>
                                                              <w:divsChild>
                                                                <w:div w:id="9196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43555">
      <w:bodyDiv w:val="1"/>
      <w:marLeft w:val="0"/>
      <w:marRight w:val="0"/>
      <w:marTop w:val="0"/>
      <w:marBottom w:val="0"/>
      <w:divBdr>
        <w:top w:val="none" w:sz="0" w:space="0" w:color="auto"/>
        <w:left w:val="none" w:sz="0" w:space="0" w:color="auto"/>
        <w:bottom w:val="none" w:sz="0" w:space="0" w:color="auto"/>
        <w:right w:val="none" w:sz="0" w:space="0" w:color="auto"/>
      </w:divBdr>
      <w:divsChild>
        <w:div w:id="340935194">
          <w:marLeft w:val="0"/>
          <w:marRight w:val="0"/>
          <w:marTop w:val="0"/>
          <w:marBottom w:val="0"/>
          <w:divBdr>
            <w:top w:val="none" w:sz="0" w:space="0" w:color="auto"/>
            <w:left w:val="single" w:sz="6" w:space="0" w:color="BBBBBB"/>
            <w:bottom w:val="single" w:sz="6" w:space="0" w:color="BBBBBB"/>
            <w:right w:val="single" w:sz="6" w:space="0" w:color="BBBBBB"/>
          </w:divBdr>
          <w:divsChild>
            <w:div w:id="1545824017">
              <w:marLeft w:val="0"/>
              <w:marRight w:val="0"/>
              <w:marTop w:val="0"/>
              <w:marBottom w:val="0"/>
              <w:divBdr>
                <w:top w:val="none" w:sz="0" w:space="0" w:color="auto"/>
                <w:left w:val="none" w:sz="0" w:space="0" w:color="auto"/>
                <w:bottom w:val="none" w:sz="0" w:space="0" w:color="auto"/>
                <w:right w:val="none" w:sz="0" w:space="0" w:color="auto"/>
              </w:divBdr>
              <w:divsChild>
                <w:div w:id="1998680364">
                  <w:marLeft w:val="0"/>
                  <w:marRight w:val="0"/>
                  <w:marTop w:val="0"/>
                  <w:marBottom w:val="0"/>
                  <w:divBdr>
                    <w:top w:val="none" w:sz="0" w:space="0" w:color="auto"/>
                    <w:left w:val="none" w:sz="0" w:space="0" w:color="auto"/>
                    <w:bottom w:val="none" w:sz="0" w:space="0" w:color="auto"/>
                    <w:right w:val="none" w:sz="0" w:space="0" w:color="auto"/>
                  </w:divBdr>
                  <w:divsChild>
                    <w:div w:id="953707407">
                      <w:marLeft w:val="0"/>
                      <w:marRight w:val="0"/>
                      <w:marTop w:val="0"/>
                      <w:marBottom w:val="0"/>
                      <w:divBdr>
                        <w:top w:val="none" w:sz="0" w:space="0" w:color="auto"/>
                        <w:left w:val="none" w:sz="0" w:space="0" w:color="auto"/>
                        <w:bottom w:val="none" w:sz="0" w:space="0" w:color="auto"/>
                        <w:right w:val="none" w:sz="0" w:space="0" w:color="auto"/>
                      </w:divBdr>
                      <w:divsChild>
                        <w:div w:id="1764760459">
                          <w:marLeft w:val="0"/>
                          <w:marRight w:val="0"/>
                          <w:marTop w:val="0"/>
                          <w:marBottom w:val="0"/>
                          <w:divBdr>
                            <w:top w:val="none" w:sz="0" w:space="0" w:color="auto"/>
                            <w:left w:val="none" w:sz="0" w:space="0" w:color="auto"/>
                            <w:bottom w:val="none" w:sz="0" w:space="0" w:color="auto"/>
                            <w:right w:val="none" w:sz="0" w:space="0" w:color="auto"/>
                          </w:divBdr>
                          <w:divsChild>
                            <w:div w:id="1512792821">
                              <w:marLeft w:val="0"/>
                              <w:marRight w:val="0"/>
                              <w:marTop w:val="0"/>
                              <w:marBottom w:val="0"/>
                              <w:divBdr>
                                <w:top w:val="none" w:sz="0" w:space="0" w:color="auto"/>
                                <w:left w:val="none" w:sz="0" w:space="0" w:color="auto"/>
                                <w:bottom w:val="none" w:sz="0" w:space="0" w:color="auto"/>
                                <w:right w:val="none" w:sz="0" w:space="0" w:color="auto"/>
                              </w:divBdr>
                              <w:divsChild>
                                <w:div w:id="945423883">
                                  <w:marLeft w:val="0"/>
                                  <w:marRight w:val="0"/>
                                  <w:marTop w:val="0"/>
                                  <w:marBottom w:val="0"/>
                                  <w:divBdr>
                                    <w:top w:val="none" w:sz="0" w:space="0" w:color="auto"/>
                                    <w:left w:val="none" w:sz="0" w:space="0" w:color="auto"/>
                                    <w:bottom w:val="none" w:sz="0" w:space="0" w:color="auto"/>
                                    <w:right w:val="none" w:sz="0" w:space="0" w:color="auto"/>
                                  </w:divBdr>
                                  <w:divsChild>
                                    <w:div w:id="1877810319">
                                      <w:marLeft w:val="0"/>
                                      <w:marRight w:val="0"/>
                                      <w:marTop w:val="0"/>
                                      <w:marBottom w:val="0"/>
                                      <w:divBdr>
                                        <w:top w:val="none" w:sz="0" w:space="0" w:color="auto"/>
                                        <w:left w:val="none" w:sz="0" w:space="0" w:color="auto"/>
                                        <w:bottom w:val="none" w:sz="0" w:space="0" w:color="auto"/>
                                        <w:right w:val="none" w:sz="0" w:space="0" w:color="auto"/>
                                      </w:divBdr>
                                      <w:divsChild>
                                        <w:div w:id="1093208895">
                                          <w:marLeft w:val="1200"/>
                                          <w:marRight w:val="1200"/>
                                          <w:marTop w:val="0"/>
                                          <w:marBottom w:val="0"/>
                                          <w:divBdr>
                                            <w:top w:val="none" w:sz="0" w:space="0" w:color="auto"/>
                                            <w:left w:val="none" w:sz="0" w:space="0" w:color="auto"/>
                                            <w:bottom w:val="none" w:sz="0" w:space="0" w:color="auto"/>
                                            <w:right w:val="none" w:sz="0" w:space="0" w:color="auto"/>
                                          </w:divBdr>
                                          <w:divsChild>
                                            <w:div w:id="649942067">
                                              <w:marLeft w:val="0"/>
                                              <w:marRight w:val="0"/>
                                              <w:marTop w:val="0"/>
                                              <w:marBottom w:val="0"/>
                                              <w:divBdr>
                                                <w:top w:val="none" w:sz="0" w:space="0" w:color="auto"/>
                                                <w:left w:val="none" w:sz="0" w:space="0" w:color="auto"/>
                                                <w:bottom w:val="none" w:sz="0" w:space="0" w:color="auto"/>
                                                <w:right w:val="none" w:sz="0" w:space="0" w:color="auto"/>
                                              </w:divBdr>
                                              <w:divsChild>
                                                <w:div w:id="291063994">
                                                  <w:marLeft w:val="0"/>
                                                  <w:marRight w:val="0"/>
                                                  <w:marTop w:val="0"/>
                                                  <w:marBottom w:val="0"/>
                                                  <w:divBdr>
                                                    <w:top w:val="single" w:sz="6" w:space="5" w:color="D6D6D6"/>
                                                    <w:left w:val="none" w:sz="0" w:space="0" w:color="auto"/>
                                                    <w:bottom w:val="none" w:sz="0" w:space="0" w:color="auto"/>
                                                    <w:right w:val="none" w:sz="0" w:space="0" w:color="auto"/>
                                                  </w:divBdr>
                                                  <w:divsChild>
                                                    <w:div w:id="753010949">
                                                      <w:marLeft w:val="0"/>
                                                      <w:marRight w:val="0"/>
                                                      <w:marTop w:val="0"/>
                                                      <w:marBottom w:val="0"/>
                                                      <w:divBdr>
                                                        <w:top w:val="none" w:sz="0" w:space="0" w:color="auto"/>
                                                        <w:left w:val="none" w:sz="0" w:space="0" w:color="auto"/>
                                                        <w:bottom w:val="none" w:sz="0" w:space="0" w:color="auto"/>
                                                        <w:right w:val="none" w:sz="0" w:space="0" w:color="auto"/>
                                                      </w:divBdr>
                                                      <w:divsChild>
                                                        <w:div w:id="1319261615">
                                                          <w:marLeft w:val="0"/>
                                                          <w:marRight w:val="0"/>
                                                          <w:marTop w:val="0"/>
                                                          <w:marBottom w:val="0"/>
                                                          <w:divBdr>
                                                            <w:top w:val="none" w:sz="0" w:space="0" w:color="auto"/>
                                                            <w:left w:val="none" w:sz="0" w:space="0" w:color="auto"/>
                                                            <w:bottom w:val="none" w:sz="0" w:space="0" w:color="auto"/>
                                                            <w:right w:val="none" w:sz="0" w:space="0" w:color="auto"/>
                                                          </w:divBdr>
                                                          <w:divsChild>
                                                            <w:div w:id="18724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048129">
      <w:bodyDiv w:val="1"/>
      <w:marLeft w:val="0"/>
      <w:marRight w:val="0"/>
      <w:marTop w:val="0"/>
      <w:marBottom w:val="0"/>
      <w:divBdr>
        <w:top w:val="none" w:sz="0" w:space="0" w:color="auto"/>
        <w:left w:val="none" w:sz="0" w:space="0" w:color="auto"/>
        <w:bottom w:val="none" w:sz="0" w:space="0" w:color="auto"/>
        <w:right w:val="none" w:sz="0" w:space="0" w:color="auto"/>
      </w:divBdr>
      <w:divsChild>
        <w:div w:id="875387200">
          <w:marLeft w:val="0"/>
          <w:marRight w:val="0"/>
          <w:marTop w:val="0"/>
          <w:marBottom w:val="0"/>
          <w:divBdr>
            <w:top w:val="none" w:sz="0" w:space="0" w:color="auto"/>
            <w:left w:val="single" w:sz="6" w:space="0" w:color="BBBBBB"/>
            <w:bottom w:val="single" w:sz="6" w:space="0" w:color="BBBBBB"/>
            <w:right w:val="single" w:sz="6" w:space="0" w:color="BBBBBB"/>
          </w:divBdr>
          <w:divsChild>
            <w:div w:id="35201968">
              <w:marLeft w:val="0"/>
              <w:marRight w:val="0"/>
              <w:marTop w:val="0"/>
              <w:marBottom w:val="0"/>
              <w:divBdr>
                <w:top w:val="none" w:sz="0" w:space="0" w:color="auto"/>
                <w:left w:val="none" w:sz="0" w:space="0" w:color="auto"/>
                <w:bottom w:val="none" w:sz="0" w:space="0" w:color="auto"/>
                <w:right w:val="none" w:sz="0" w:space="0" w:color="auto"/>
              </w:divBdr>
              <w:divsChild>
                <w:div w:id="596258939">
                  <w:marLeft w:val="0"/>
                  <w:marRight w:val="0"/>
                  <w:marTop w:val="0"/>
                  <w:marBottom w:val="0"/>
                  <w:divBdr>
                    <w:top w:val="none" w:sz="0" w:space="0" w:color="auto"/>
                    <w:left w:val="none" w:sz="0" w:space="0" w:color="auto"/>
                    <w:bottom w:val="none" w:sz="0" w:space="0" w:color="auto"/>
                    <w:right w:val="none" w:sz="0" w:space="0" w:color="auto"/>
                  </w:divBdr>
                  <w:divsChild>
                    <w:div w:id="1238050729">
                      <w:marLeft w:val="0"/>
                      <w:marRight w:val="0"/>
                      <w:marTop w:val="0"/>
                      <w:marBottom w:val="0"/>
                      <w:divBdr>
                        <w:top w:val="none" w:sz="0" w:space="0" w:color="auto"/>
                        <w:left w:val="none" w:sz="0" w:space="0" w:color="auto"/>
                        <w:bottom w:val="none" w:sz="0" w:space="0" w:color="auto"/>
                        <w:right w:val="none" w:sz="0" w:space="0" w:color="auto"/>
                      </w:divBdr>
                      <w:divsChild>
                        <w:div w:id="2076314917">
                          <w:marLeft w:val="0"/>
                          <w:marRight w:val="0"/>
                          <w:marTop w:val="0"/>
                          <w:marBottom w:val="0"/>
                          <w:divBdr>
                            <w:top w:val="none" w:sz="0" w:space="0" w:color="auto"/>
                            <w:left w:val="none" w:sz="0" w:space="0" w:color="auto"/>
                            <w:bottom w:val="none" w:sz="0" w:space="0" w:color="auto"/>
                            <w:right w:val="none" w:sz="0" w:space="0" w:color="auto"/>
                          </w:divBdr>
                          <w:divsChild>
                            <w:div w:id="1065109038">
                              <w:marLeft w:val="0"/>
                              <w:marRight w:val="0"/>
                              <w:marTop w:val="0"/>
                              <w:marBottom w:val="0"/>
                              <w:divBdr>
                                <w:top w:val="none" w:sz="0" w:space="0" w:color="auto"/>
                                <w:left w:val="none" w:sz="0" w:space="0" w:color="auto"/>
                                <w:bottom w:val="none" w:sz="0" w:space="0" w:color="auto"/>
                                <w:right w:val="none" w:sz="0" w:space="0" w:color="auto"/>
                              </w:divBdr>
                              <w:divsChild>
                                <w:div w:id="1098256033">
                                  <w:marLeft w:val="0"/>
                                  <w:marRight w:val="0"/>
                                  <w:marTop w:val="0"/>
                                  <w:marBottom w:val="0"/>
                                  <w:divBdr>
                                    <w:top w:val="none" w:sz="0" w:space="0" w:color="auto"/>
                                    <w:left w:val="none" w:sz="0" w:space="0" w:color="auto"/>
                                    <w:bottom w:val="none" w:sz="0" w:space="0" w:color="auto"/>
                                    <w:right w:val="none" w:sz="0" w:space="0" w:color="auto"/>
                                  </w:divBdr>
                                  <w:divsChild>
                                    <w:div w:id="278679923">
                                      <w:marLeft w:val="0"/>
                                      <w:marRight w:val="0"/>
                                      <w:marTop w:val="0"/>
                                      <w:marBottom w:val="0"/>
                                      <w:divBdr>
                                        <w:top w:val="none" w:sz="0" w:space="0" w:color="auto"/>
                                        <w:left w:val="none" w:sz="0" w:space="0" w:color="auto"/>
                                        <w:bottom w:val="none" w:sz="0" w:space="0" w:color="auto"/>
                                        <w:right w:val="none" w:sz="0" w:space="0" w:color="auto"/>
                                      </w:divBdr>
                                      <w:divsChild>
                                        <w:div w:id="2145191957">
                                          <w:marLeft w:val="1200"/>
                                          <w:marRight w:val="1200"/>
                                          <w:marTop w:val="0"/>
                                          <w:marBottom w:val="0"/>
                                          <w:divBdr>
                                            <w:top w:val="none" w:sz="0" w:space="0" w:color="auto"/>
                                            <w:left w:val="none" w:sz="0" w:space="0" w:color="auto"/>
                                            <w:bottom w:val="none" w:sz="0" w:space="0" w:color="auto"/>
                                            <w:right w:val="none" w:sz="0" w:space="0" w:color="auto"/>
                                          </w:divBdr>
                                          <w:divsChild>
                                            <w:div w:id="371199867">
                                              <w:marLeft w:val="0"/>
                                              <w:marRight w:val="0"/>
                                              <w:marTop w:val="0"/>
                                              <w:marBottom w:val="0"/>
                                              <w:divBdr>
                                                <w:top w:val="none" w:sz="0" w:space="0" w:color="auto"/>
                                                <w:left w:val="none" w:sz="0" w:space="0" w:color="auto"/>
                                                <w:bottom w:val="none" w:sz="0" w:space="0" w:color="auto"/>
                                                <w:right w:val="none" w:sz="0" w:space="0" w:color="auto"/>
                                              </w:divBdr>
                                              <w:divsChild>
                                                <w:div w:id="1894660004">
                                                  <w:marLeft w:val="0"/>
                                                  <w:marRight w:val="0"/>
                                                  <w:marTop w:val="240"/>
                                                  <w:marBottom w:val="0"/>
                                                  <w:divBdr>
                                                    <w:top w:val="none" w:sz="0" w:space="0" w:color="auto"/>
                                                    <w:left w:val="none" w:sz="0" w:space="0" w:color="auto"/>
                                                    <w:bottom w:val="none" w:sz="0" w:space="0" w:color="auto"/>
                                                    <w:right w:val="none" w:sz="0" w:space="0" w:color="auto"/>
                                                  </w:divBdr>
                                                  <w:divsChild>
                                                    <w:div w:id="582878201">
                                                      <w:marLeft w:val="0"/>
                                                      <w:marRight w:val="0"/>
                                                      <w:marTop w:val="0"/>
                                                      <w:marBottom w:val="0"/>
                                                      <w:divBdr>
                                                        <w:top w:val="none" w:sz="0" w:space="0" w:color="auto"/>
                                                        <w:left w:val="none" w:sz="0" w:space="0" w:color="auto"/>
                                                        <w:bottom w:val="none" w:sz="0" w:space="0" w:color="auto"/>
                                                        <w:right w:val="none" w:sz="0" w:space="0" w:color="auto"/>
                                                      </w:divBdr>
                                                      <w:divsChild>
                                                        <w:div w:id="1565094847">
                                                          <w:marLeft w:val="1275"/>
                                                          <w:marRight w:val="0"/>
                                                          <w:marTop w:val="0"/>
                                                          <w:marBottom w:val="0"/>
                                                          <w:divBdr>
                                                            <w:top w:val="none" w:sz="0" w:space="0" w:color="auto"/>
                                                            <w:left w:val="none" w:sz="0" w:space="0" w:color="auto"/>
                                                            <w:bottom w:val="none" w:sz="0" w:space="0" w:color="auto"/>
                                                            <w:right w:val="none" w:sz="0" w:space="0" w:color="auto"/>
                                                          </w:divBdr>
                                                          <w:divsChild>
                                                            <w:div w:id="2016225742">
                                                              <w:marLeft w:val="0"/>
                                                              <w:marRight w:val="0"/>
                                                              <w:marTop w:val="0"/>
                                                              <w:marBottom w:val="0"/>
                                                              <w:divBdr>
                                                                <w:top w:val="none" w:sz="0" w:space="0" w:color="auto"/>
                                                                <w:left w:val="none" w:sz="0" w:space="0" w:color="auto"/>
                                                                <w:bottom w:val="none" w:sz="0" w:space="0" w:color="auto"/>
                                                                <w:right w:val="none" w:sz="0" w:space="0" w:color="auto"/>
                                                              </w:divBdr>
                                                              <w:divsChild>
                                                                <w:div w:id="12554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8280632">
      <w:bodyDiv w:val="1"/>
      <w:marLeft w:val="0"/>
      <w:marRight w:val="0"/>
      <w:marTop w:val="0"/>
      <w:marBottom w:val="0"/>
      <w:divBdr>
        <w:top w:val="none" w:sz="0" w:space="0" w:color="auto"/>
        <w:left w:val="none" w:sz="0" w:space="0" w:color="auto"/>
        <w:bottom w:val="none" w:sz="0" w:space="0" w:color="auto"/>
        <w:right w:val="none" w:sz="0" w:space="0" w:color="auto"/>
      </w:divBdr>
      <w:divsChild>
        <w:div w:id="1761946536">
          <w:marLeft w:val="0"/>
          <w:marRight w:val="0"/>
          <w:marTop w:val="0"/>
          <w:marBottom w:val="0"/>
          <w:divBdr>
            <w:top w:val="none" w:sz="0" w:space="0" w:color="auto"/>
            <w:left w:val="single" w:sz="6" w:space="0" w:color="BBBBBB"/>
            <w:bottom w:val="single" w:sz="6" w:space="0" w:color="BBBBBB"/>
            <w:right w:val="single" w:sz="6" w:space="0" w:color="BBBBBB"/>
          </w:divBdr>
          <w:divsChild>
            <w:div w:id="1197811490">
              <w:marLeft w:val="0"/>
              <w:marRight w:val="0"/>
              <w:marTop w:val="0"/>
              <w:marBottom w:val="0"/>
              <w:divBdr>
                <w:top w:val="none" w:sz="0" w:space="0" w:color="auto"/>
                <w:left w:val="none" w:sz="0" w:space="0" w:color="auto"/>
                <w:bottom w:val="none" w:sz="0" w:space="0" w:color="auto"/>
                <w:right w:val="none" w:sz="0" w:space="0" w:color="auto"/>
              </w:divBdr>
              <w:divsChild>
                <w:div w:id="1486822080">
                  <w:marLeft w:val="0"/>
                  <w:marRight w:val="0"/>
                  <w:marTop w:val="0"/>
                  <w:marBottom w:val="0"/>
                  <w:divBdr>
                    <w:top w:val="none" w:sz="0" w:space="0" w:color="auto"/>
                    <w:left w:val="none" w:sz="0" w:space="0" w:color="auto"/>
                    <w:bottom w:val="none" w:sz="0" w:space="0" w:color="auto"/>
                    <w:right w:val="none" w:sz="0" w:space="0" w:color="auto"/>
                  </w:divBdr>
                  <w:divsChild>
                    <w:div w:id="183908818">
                      <w:marLeft w:val="0"/>
                      <w:marRight w:val="0"/>
                      <w:marTop w:val="0"/>
                      <w:marBottom w:val="0"/>
                      <w:divBdr>
                        <w:top w:val="none" w:sz="0" w:space="0" w:color="auto"/>
                        <w:left w:val="none" w:sz="0" w:space="0" w:color="auto"/>
                        <w:bottom w:val="none" w:sz="0" w:space="0" w:color="auto"/>
                        <w:right w:val="none" w:sz="0" w:space="0" w:color="auto"/>
                      </w:divBdr>
                      <w:divsChild>
                        <w:div w:id="229271439">
                          <w:marLeft w:val="0"/>
                          <w:marRight w:val="0"/>
                          <w:marTop w:val="0"/>
                          <w:marBottom w:val="0"/>
                          <w:divBdr>
                            <w:top w:val="none" w:sz="0" w:space="0" w:color="auto"/>
                            <w:left w:val="none" w:sz="0" w:space="0" w:color="auto"/>
                            <w:bottom w:val="none" w:sz="0" w:space="0" w:color="auto"/>
                            <w:right w:val="none" w:sz="0" w:space="0" w:color="auto"/>
                          </w:divBdr>
                          <w:divsChild>
                            <w:div w:id="1349332542">
                              <w:marLeft w:val="0"/>
                              <w:marRight w:val="0"/>
                              <w:marTop w:val="0"/>
                              <w:marBottom w:val="0"/>
                              <w:divBdr>
                                <w:top w:val="none" w:sz="0" w:space="0" w:color="auto"/>
                                <w:left w:val="none" w:sz="0" w:space="0" w:color="auto"/>
                                <w:bottom w:val="none" w:sz="0" w:space="0" w:color="auto"/>
                                <w:right w:val="none" w:sz="0" w:space="0" w:color="auto"/>
                              </w:divBdr>
                              <w:divsChild>
                                <w:div w:id="1202092903">
                                  <w:marLeft w:val="0"/>
                                  <w:marRight w:val="0"/>
                                  <w:marTop w:val="0"/>
                                  <w:marBottom w:val="0"/>
                                  <w:divBdr>
                                    <w:top w:val="none" w:sz="0" w:space="0" w:color="auto"/>
                                    <w:left w:val="none" w:sz="0" w:space="0" w:color="auto"/>
                                    <w:bottom w:val="none" w:sz="0" w:space="0" w:color="auto"/>
                                    <w:right w:val="none" w:sz="0" w:space="0" w:color="auto"/>
                                  </w:divBdr>
                                  <w:divsChild>
                                    <w:div w:id="2092044821">
                                      <w:marLeft w:val="0"/>
                                      <w:marRight w:val="0"/>
                                      <w:marTop w:val="0"/>
                                      <w:marBottom w:val="0"/>
                                      <w:divBdr>
                                        <w:top w:val="none" w:sz="0" w:space="0" w:color="auto"/>
                                        <w:left w:val="none" w:sz="0" w:space="0" w:color="auto"/>
                                        <w:bottom w:val="none" w:sz="0" w:space="0" w:color="auto"/>
                                        <w:right w:val="none" w:sz="0" w:space="0" w:color="auto"/>
                                      </w:divBdr>
                                      <w:divsChild>
                                        <w:div w:id="1044594215">
                                          <w:marLeft w:val="1200"/>
                                          <w:marRight w:val="1200"/>
                                          <w:marTop w:val="0"/>
                                          <w:marBottom w:val="0"/>
                                          <w:divBdr>
                                            <w:top w:val="none" w:sz="0" w:space="0" w:color="auto"/>
                                            <w:left w:val="none" w:sz="0" w:space="0" w:color="auto"/>
                                            <w:bottom w:val="none" w:sz="0" w:space="0" w:color="auto"/>
                                            <w:right w:val="none" w:sz="0" w:space="0" w:color="auto"/>
                                          </w:divBdr>
                                          <w:divsChild>
                                            <w:div w:id="1843004601">
                                              <w:marLeft w:val="0"/>
                                              <w:marRight w:val="0"/>
                                              <w:marTop w:val="0"/>
                                              <w:marBottom w:val="0"/>
                                              <w:divBdr>
                                                <w:top w:val="none" w:sz="0" w:space="0" w:color="auto"/>
                                                <w:left w:val="none" w:sz="0" w:space="0" w:color="auto"/>
                                                <w:bottom w:val="none" w:sz="0" w:space="0" w:color="auto"/>
                                                <w:right w:val="none" w:sz="0" w:space="0" w:color="auto"/>
                                              </w:divBdr>
                                              <w:divsChild>
                                                <w:div w:id="1869490018">
                                                  <w:marLeft w:val="0"/>
                                                  <w:marRight w:val="0"/>
                                                  <w:marTop w:val="0"/>
                                                  <w:marBottom w:val="0"/>
                                                  <w:divBdr>
                                                    <w:top w:val="none" w:sz="0" w:space="0" w:color="auto"/>
                                                    <w:left w:val="none" w:sz="0" w:space="0" w:color="auto"/>
                                                    <w:bottom w:val="none" w:sz="0" w:space="0" w:color="auto"/>
                                                    <w:right w:val="none" w:sz="0" w:space="0" w:color="auto"/>
                                                  </w:divBdr>
                                                  <w:divsChild>
                                                    <w:div w:id="2060125204">
                                                      <w:marLeft w:val="0"/>
                                                      <w:marRight w:val="0"/>
                                                      <w:marTop w:val="240"/>
                                                      <w:marBottom w:val="240"/>
                                                      <w:divBdr>
                                                        <w:top w:val="none" w:sz="0" w:space="0" w:color="auto"/>
                                                        <w:left w:val="none" w:sz="0" w:space="0" w:color="auto"/>
                                                        <w:bottom w:val="none" w:sz="0" w:space="0" w:color="auto"/>
                                                        <w:right w:val="none" w:sz="0" w:space="0" w:color="auto"/>
                                                      </w:divBdr>
                                                      <w:divsChild>
                                                        <w:div w:id="20544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2634</Words>
  <Characters>14394</Characters>
  <Application>Microsoft Office Word</Application>
  <DocSecurity>0</DocSecurity>
  <Lines>246</Lines>
  <Paragraphs>78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17039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2014-08-05T14:34:00Z</cp:lastPrinted>
  <dcterms:created xsi:type="dcterms:W3CDTF">2014-08-06T14:58:00Z</dcterms:created>
  <dcterms:modified xsi:type="dcterms:W3CDTF">2014-08-06T14:58:00Z</dcterms:modified>
  <cp:category> </cp:category>
  <cp:contentStatus> </cp:contentStatus>
</cp:coreProperties>
</file>