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9C" w:rsidRPr="00D849DE" w:rsidRDefault="00B56C65" w:rsidP="00D849DE">
      <w:pPr>
        <w:ind w:left="5760" w:firstLine="720"/>
        <w:rPr>
          <w:b/>
          <w:sz w:val="22"/>
          <w:szCs w:val="22"/>
        </w:rPr>
      </w:pPr>
      <w:bookmarkStart w:id="0" w:name="_GoBack"/>
      <w:bookmarkEnd w:id="0"/>
      <w:r w:rsidRPr="00D849DE">
        <w:rPr>
          <w:b/>
          <w:sz w:val="22"/>
          <w:szCs w:val="22"/>
        </w:rPr>
        <w:t>DA 14</w:t>
      </w:r>
      <w:r w:rsidR="00E7519C" w:rsidRPr="00D849DE">
        <w:rPr>
          <w:b/>
          <w:sz w:val="22"/>
          <w:szCs w:val="22"/>
        </w:rPr>
        <w:t>-</w:t>
      </w:r>
      <w:r w:rsidR="000B7D47">
        <w:rPr>
          <w:b/>
          <w:sz w:val="22"/>
          <w:szCs w:val="22"/>
        </w:rPr>
        <w:t>1172</w:t>
      </w:r>
    </w:p>
    <w:p w:rsidR="00E7519C" w:rsidRPr="00D849DE" w:rsidRDefault="00E7519C" w:rsidP="00D849DE">
      <w:pPr>
        <w:ind w:left="5760" w:firstLine="720"/>
        <w:rPr>
          <w:b/>
          <w:sz w:val="22"/>
          <w:szCs w:val="22"/>
        </w:rPr>
      </w:pPr>
      <w:r w:rsidRPr="00D849DE">
        <w:rPr>
          <w:b/>
          <w:sz w:val="22"/>
          <w:szCs w:val="22"/>
        </w:rPr>
        <w:t>Released:</w:t>
      </w:r>
      <w:r w:rsidR="00D849DE">
        <w:rPr>
          <w:b/>
          <w:sz w:val="22"/>
          <w:szCs w:val="22"/>
        </w:rPr>
        <w:t xml:space="preserve"> August 12, 2014</w:t>
      </w:r>
    </w:p>
    <w:p w:rsidR="00024E3C" w:rsidRPr="005D445A" w:rsidRDefault="00024E3C" w:rsidP="00395C8B">
      <w:pPr>
        <w:ind w:left="7200"/>
        <w:rPr>
          <w:sz w:val="22"/>
          <w:szCs w:val="22"/>
        </w:rPr>
      </w:pPr>
    </w:p>
    <w:p w:rsidR="00D849DE" w:rsidRDefault="00D849DE" w:rsidP="00395C8B">
      <w:pPr>
        <w:suppressAutoHyphens/>
        <w:rPr>
          <w:sz w:val="22"/>
          <w:szCs w:val="22"/>
        </w:rPr>
      </w:pPr>
    </w:p>
    <w:p w:rsidR="005823D6" w:rsidRPr="005D445A" w:rsidRDefault="00395C8B" w:rsidP="00395C8B">
      <w:pPr>
        <w:suppressAutoHyphens/>
        <w:rPr>
          <w:sz w:val="22"/>
          <w:szCs w:val="22"/>
        </w:rPr>
      </w:pPr>
      <w:r w:rsidRPr="005D445A">
        <w:rPr>
          <w:sz w:val="22"/>
          <w:szCs w:val="22"/>
        </w:rPr>
        <w:t>KWWL</w:t>
      </w:r>
      <w:r w:rsidR="006B3D64">
        <w:rPr>
          <w:sz w:val="22"/>
          <w:szCs w:val="22"/>
        </w:rPr>
        <w:t xml:space="preserve"> Television</w:t>
      </w:r>
      <w:r w:rsidR="00482A45" w:rsidRPr="005D445A">
        <w:rPr>
          <w:sz w:val="22"/>
          <w:szCs w:val="22"/>
        </w:rPr>
        <w:t>,</w:t>
      </w:r>
      <w:r w:rsidR="006B3D64">
        <w:rPr>
          <w:sz w:val="22"/>
          <w:szCs w:val="22"/>
        </w:rPr>
        <w:t xml:space="preserve"> Inc.</w:t>
      </w:r>
    </w:p>
    <w:p w:rsidR="006B3D64" w:rsidRDefault="006B3D64" w:rsidP="008A3CBF">
      <w:pPr>
        <w:suppressAutoHyphens/>
        <w:rPr>
          <w:sz w:val="22"/>
          <w:szCs w:val="22"/>
        </w:rPr>
      </w:pPr>
      <w:r>
        <w:rPr>
          <w:sz w:val="22"/>
          <w:szCs w:val="22"/>
        </w:rPr>
        <w:t xml:space="preserve">P.O. Box </w:t>
      </w:r>
      <w:r w:rsidR="00961661" w:rsidRPr="005D445A">
        <w:rPr>
          <w:sz w:val="22"/>
          <w:szCs w:val="22"/>
        </w:rPr>
        <w:t>909</w:t>
      </w:r>
    </w:p>
    <w:p w:rsidR="00D366B1" w:rsidRPr="005D445A" w:rsidRDefault="00961661" w:rsidP="00395C8B">
      <w:pPr>
        <w:suppressAutoHyphens/>
        <w:rPr>
          <w:sz w:val="22"/>
          <w:szCs w:val="22"/>
        </w:rPr>
      </w:pPr>
      <w:r w:rsidRPr="005D445A">
        <w:rPr>
          <w:sz w:val="22"/>
          <w:szCs w:val="22"/>
        </w:rPr>
        <w:t>Quincy, IL 62306</w:t>
      </w:r>
    </w:p>
    <w:p w:rsidR="00E14569" w:rsidRPr="005D445A" w:rsidRDefault="00E14569" w:rsidP="00395C8B">
      <w:pPr>
        <w:suppressAutoHyphens/>
        <w:rPr>
          <w:sz w:val="22"/>
          <w:szCs w:val="22"/>
        </w:rPr>
      </w:pPr>
    </w:p>
    <w:p w:rsidR="00961661" w:rsidRPr="005D445A" w:rsidRDefault="00961661" w:rsidP="00395C8B">
      <w:pPr>
        <w:suppressAutoHyphens/>
        <w:ind w:left="5040" w:firstLine="720"/>
        <w:rPr>
          <w:sz w:val="22"/>
          <w:szCs w:val="22"/>
        </w:rPr>
      </w:pPr>
      <w:r w:rsidRPr="005D445A">
        <w:rPr>
          <w:sz w:val="22"/>
          <w:szCs w:val="22"/>
        </w:rPr>
        <w:t>Re:</w:t>
      </w:r>
      <w:r w:rsidRPr="005D445A">
        <w:rPr>
          <w:sz w:val="22"/>
          <w:szCs w:val="22"/>
        </w:rPr>
        <w:tab/>
      </w:r>
      <w:r w:rsidR="00395C8B" w:rsidRPr="005D445A">
        <w:rPr>
          <w:sz w:val="22"/>
          <w:szCs w:val="22"/>
        </w:rPr>
        <w:t>KWWL</w:t>
      </w:r>
      <w:r w:rsidR="006B3D64">
        <w:rPr>
          <w:sz w:val="22"/>
          <w:szCs w:val="22"/>
        </w:rPr>
        <w:t>(TV)</w:t>
      </w:r>
    </w:p>
    <w:p w:rsidR="00CA3A14" w:rsidRPr="005D445A" w:rsidRDefault="00395C8B" w:rsidP="00395C8B">
      <w:pPr>
        <w:suppressAutoHyphens/>
        <w:ind w:left="5760" w:firstLine="720"/>
        <w:rPr>
          <w:sz w:val="22"/>
          <w:szCs w:val="22"/>
        </w:rPr>
      </w:pPr>
      <w:r w:rsidRPr="005D445A">
        <w:rPr>
          <w:sz w:val="22"/>
          <w:szCs w:val="22"/>
        </w:rPr>
        <w:t>Waterloo, I</w:t>
      </w:r>
      <w:r w:rsidR="00F07041">
        <w:rPr>
          <w:sz w:val="22"/>
          <w:szCs w:val="22"/>
        </w:rPr>
        <w:t>owa</w:t>
      </w:r>
    </w:p>
    <w:p w:rsidR="009145CD" w:rsidRPr="005D445A" w:rsidRDefault="00322882" w:rsidP="00395C8B">
      <w:pPr>
        <w:suppressAutoHyphens/>
        <w:ind w:left="4320" w:hanging="660"/>
        <w:rPr>
          <w:sz w:val="22"/>
          <w:szCs w:val="22"/>
        </w:rPr>
      </w:pPr>
      <w:r w:rsidRPr="005D445A">
        <w:rPr>
          <w:sz w:val="22"/>
          <w:szCs w:val="22"/>
        </w:rPr>
        <w:tab/>
      </w:r>
      <w:r w:rsidR="00D95A81" w:rsidRPr="005D445A">
        <w:rPr>
          <w:sz w:val="22"/>
          <w:szCs w:val="22"/>
        </w:rPr>
        <w:tab/>
      </w:r>
      <w:r w:rsidR="00D95A81" w:rsidRPr="005D445A">
        <w:rPr>
          <w:sz w:val="22"/>
          <w:szCs w:val="22"/>
        </w:rPr>
        <w:tab/>
      </w:r>
      <w:r w:rsidR="00F22863" w:rsidRPr="005D445A">
        <w:rPr>
          <w:sz w:val="22"/>
          <w:szCs w:val="22"/>
        </w:rPr>
        <w:tab/>
      </w:r>
      <w:r w:rsidR="00D366B1" w:rsidRPr="005D445A">
        <w:rPr>
          <w:sz w:val="22"/>
          <w:szCs w:val="22"/>
        </w:rPr>
        <w:t>Facility ID No.</w:t>
      </w:r>
      <w:r w:rsidR="00395C8B" w:rsidRPr="005D445A">
        <w:rPr>
          <w:sz w:val="22"/>
          <w:szCs w:val="22"/>
        </w:rPr>
        <w:t xml:space="preserve"> 593</w:t>
      </w:r>
    </w:p>
    <w:p w:rsidR="009145CD" w:rsidRPr="005D445A" w:rsidRDefault="009145CD" w:rsidP="00395C8B">
      <w:pPr>
        <w:suppressAutoHyphens/>
        <w:ind w:left="4320" w:hanging="660"/>
        <w:rPr>
          <w:sz w:val="22"/>
          <w:szCs w:val="22"/>
        </w:rPr>
      </w:pPr>
      <w:r w:rsidRPr="005D445A">
        <w:rPr>
          <w:sz w:val="22"/>
          <w:szCs w:val="22"/>
        </w:rPr>
        <w:tab/>
      </w:r>
      <w:r w:rsidR="00D95A81" w:rsidRPr="005D445A">
        <w:rPr>
          <w:sz w:val="22"/>
          <w:szCs w:val="22"/>
        </w:rPr>
        <w:tab/>
      </w:r>
      <w:r w:rsidR="00D95A81" w:rsidRPr="005D445A">
        <w:rPr>
          <w:sz w:val="22"/>
          <w:szCs w:val="22"/>
        </w:rPr>
        <w:tab/>
      </w:r>
      <w:r w:rsidR="00F22863" w:rsidRPr="005D445A">
        <w:rPr>
          <w:sz w:val="22"/>
          <w:szCs w:val="22"/>
        </w:rPr>
        <w:tab/>
      </w:r>
      <w:r w:rsidR="00322882" w:rsidRPr="005D445A">
        <w:rPr>
          <w:sz w:val="22"/>
          <w:szCs w:val="22"/>
        </w:rPr>
        <w:t xml:space="preserve">FRN: </w:t>
      </w:r>
      <w:r w:rsidR="00395C8B" w:rsidRPr="005D445A">
        <w:rPr>
          <w:sz w:val="22"/>
          <w:szCs w:val="22"/>
        </w:rPr>
        <w:t>0014910558</w:t>
      </w:r>
    </w:p>
    <w:p w:rsidR="00E14569" w:rsidRPr="005D445A" w:rsidRDefault="00E14569" w:rsidP="00760806">
      <w:pPr>
        <w:pStyle w:val="BodyTextIndent"/>
        <w:ind w:left="0" w:firstLine="0"/>
        <w:rPr>
          <w:rFonts w:ascii="Times New Roman" w:hAnsi="Times New Roman"/>
          <w:sz w:val="22"/>
          <w:szCs w:val="22"/>
        </w:rPr>
      </w:pPr>
    </w:p>
    <w:p w:rsidR="00B31D4D" w:rsidRPr="005D445A" w:rsidRDefault="00B31D4D" w:rsidP="00760806">
      <w:pPr>
        <w:pStyle w:val="BodyTextIndent"/>
        <w:ind w:left="0" w:firstLine="0"/>
        <w:rPr>
          <w:rFonts w:ascii="Times New Roman" w:hAnsi="Times New Roman"/>
          <w:sz w:val="22"/>
          <w:szCs w:val="22"/>
        </w:rPr>
      </w:pPr>
      <w:r w:rsidRPr="005D445A">
        <w:rPr>
          <w:rFonts w:ascii="Times New Roman" w:hAnsi="Times New Roman"/>
          <w:sz w:val="22"/>
          <w:szCs w:val="22"/>
        </w:rPr>
        <w:t>Dear</w:t>
      </w:r>
      <w:r w:rsidR="008B3FB9" w:rsidRPr="005D445A">
        <w:rPr>
          <w:rFonts w:ascii="Times New Roman" w:hAnsi="Times New Roman"/>
          <w:sz w:val="22"/>
          <w:szCs w:val="22"/>
        </w:rPr>
        <w:t xml:space="preserve"> </w:t>
      </w:r>
      <w:r w:rsidR="00322882" w:rsidRPr="005D445A">
        <w:rPr>
          <w:rFonts w:ascii="Times New Roman" w:hAnsi="Times New Roman"/>
          <w:sz w:val="22"/>
          <w:szCs w:val="22"/>
        </w:rPr>
        <w:t>Licensee</w:t>
      </w:r>
      <w:r w:rsidR="00FC47D7" w:rsidRPr="005D445A">
        <w:rPr>
          <w:rFonts w:ascii="Times New Roman" w:hAnsi="Times New Roman"/>
          <w:sz w:val="22"/>
          <w:szCs w:val="22"/>
        </w:rPr>
        <w:t>:</w:t>
      </w:r>
    </w:p>
    <w:p w:rsidR="00B31D4D" w:rsidRPr="005D445A" w:rsidRDefault="00B31D4D">
      <w:pPr>
        <w:jc w:val="both"/>
        <w:rPr>
          <w:sz w:val="22"/>
          <w:szCs w:val="22"/>
        </w:rPr>
      </w:pPr>
    </w:p>
    <w:p w:rsidR="0097671B" w:rsidRPr="005D445A" w:rsidRDefault="00322882" w:rsidP="00BC547D">
      <w:pPr>
        <w:spacing w:after="240"/>
        <w:ind w:firstLine="720"/>
        <w:jc w:val="both"/>
        <w:rPr>
          <w:sz w:val="22"/>
          <w:szCs w:val="22"/>
        </w:rPr>
      </w:pPr>
      <w:r w:rsidRPr="005D445A">
        <w:rPr>
          <w:sz w:val="22"/>
          <w:szCs w:val="22"/>
        </w:rPr>
        <w:t>This letter</w:t>
      </w:r>
      <w:r w:rsidR="0097671B" w:rsidRPr="005D445A">
        <w:rPr>
          <w:sz w:val="22"/>
          <w:szCs w:val="22"/>
        </w:rPr>
        <w:t xml:space="preserve"> refers to your license renewal application for</w:t>
      </w:r>
      <w:r w:rsidRPr="005D445A">
        <w:rPr>
          <w:sz w:val="22"/>
          <w:szCs w:val="22"/>
        </w:rPr>
        <w:t xml:space="preserve"> </w:t>
      </w:r>
      <w:r w:rsidR="00395C8B" w:rsidRPr="005D445A">
        <w:rPr>
          <w:sz w:val="22"/>
          <w:szCs w:val="22"/>
        </w:rPr>
        <w:t>KWWL</w:t>
      </w:r>
      <w:r w:rsidR="006B3D64">
        <w:rPr>
          <w:sz w:val="22"/>
          <w:szCs w:val="22"/>
        </w:rPr>
        <w:t xml:space="preserve">(TV), </w:t>
      </w:r>
      <w:r w:rsidR="00395C8B" w:rsidRPr="005D445A">
        <w:rPr>
          <w:sz w:val="22"/>
          <w:szCs w:val="22"/>
        </w:rPr>
        <w:t>Waterloo,</w:t>
      </w:r>
      <w:r w:rsidR="00482A45" w:rsidRPr="005D445A">
        <w:rPr>
          <w:sz w:val="22"/>
          <w:szCs w:val="22"/>
        </w:rPr>
        <w:t xml:space="preserve"> Iowa</w:t>
      </w:r>
      <w:r w:rsidR="006B3D64">
        <w:rPr>
          <w:sz w:val="22"/>
          <w:szCs w:val="22"/>
        </w:rPr>
        <w:t xml:space="preserve"> </w:t>
      </w:r>
      <w:r w:rsidRPr="005D445A">
        <w:rPr>
          <w:sz w:val="22"/>
          <w:szCs w:val="22"/>
        </w:rPr>
        <w:t>(the “Station”)</w:t>
      </w:r>
      <w:r w:rsidR="0000108B" w:rsidRPr="005D445A">
        <w:rPr>
          <w:rStyle w:val="FootnoteReference"/>
          <w:sz w:val="22"/>
          <w:szCs w:val="22"/>
        </w:rPr>
        <w:footnoteReference w:id="2"/>
      </w:r>
      <w:r w:rsidR="0097671B" w:rsidRPr="005D445A">
        <w:rPr>
          <w:sz w:val="22"/>
          <w:szCs w:val="22"/>
        </w:rPr>
        <w:t xml:space="preserve"> and </w:t>
      </w:r>
      <w:r w:rsidR="0000108B" w:rsidRPr="005D445A">
        <w:rPr>
          <w:sz w:val="22"/>
          <w:szCs w:val="22"/>
        </w:rPr>
        <w:t xml:space="preserve">hereby </w:t>
      </w:r>
      <w:r w:rsidR="0097671B" w:rsidRPr="005D445A">
        <w:rPr>
          <w:sz w:val="22"/>
          <w:szCs w:val="22"/>
        </w:rPr>
        <w:t>admonishes the Station</w:t>
      </w:r>
      <w:r w:rsidRPr="005D445A">
        <w:rPr>
          <w:sz w:val="22"/>
          <w:szCs w:val="22"/>
        </w:rPr>
        <w:t xml:space="preserve"> for its failure to comply with the limits on commercial matter in children’s programming</w:t>
      </w:r>
      <w:r w:rsidR="009D263E" w:rsidRPr="005D445A">
        <w:rPr>
          <w:sz w:val="22"/>
          <w:szCs w:val="22"/>
        </w:rPr>
        <w:t>.</w:t>
      </w:r>
    </w:p>
    <w:p w:rsidR="00D34165" w:rsidRPr="005D445A" w:rsidRDefault="009D263E" w:rsidP="000F0527">
      <w:pPr>
        <w:spacing w:after="240"/>
        <w:ind w:firstLine="720"/>
        <w:jc w:val="both"/>
        <w:rPr>
          <w:sz w:val="22"/>
          <w:szCs w:val="22"/>
        </w:rPr>
      </w:pPr>
      <w:r w:rsidRPr="005D445A">
        <w:rPr>
          <w:sz w:val="22"/>
          <w:szCs w:val="22"/>
        </w:rPr>
        <w:t xml:space="preserve">In the Children's Television Act of 1990, Pub. L. No. 101-437, 104 Stat. 996-1000, </w:t>
      </w:r>
      <w:r w:rsidRPr="005D445A">
        <w:rPr>
          <w:i/>
          <w:iCs/>
          <w:sz w:val="22"/>
          <w:szCs w:val="22"/>
        </w:rPr>
        <w:t>codified at</w:t>
      </w:r>
      <w:r w:rsidRPr="005D445A">
        <w:rPr>
          <w:sz w:val="22"/>
          <w:szCs w:val="22"/>
        </w:rPr>
        <w:t xml:space="preserve"> 47 U.S.C. Sections 303a, 303b and 394, Congress directed the Commission to adopt rules, </w:t>
      </w:r>
      <w:r w:rsidRPr="005D445A">
        <w:rPr>
          <w:i/>
          <w:iCs/>
          <w:sz w:val="22"/>
          <w:szCs w:val="22"/>
        </w:rPr>
        <w:t>inter alia,</w:t>
      </w:r>
      <w:r w:rsidRPr="005D445A">
        <w:rPr>
          <w:sz w:val="22"/>
          <w:szCs w:val="22"/>
        </w:rPr>
        <w:t xml:space="preserve"> limiting the </w:t>
      </w:r>
      <w:r w:rsidR="00AF4312" w:rsidRPr="005D445A">
        <w:rPr>
          <w:sz w:val="22"/>
          <w:szCs w:val="22"/>
        </w:rPr>
        <w:t xml:space="preserve">amount of </w:t>
      </w:r>
      <w:r w:rsidRPr="005D445A">
        <w:rPr>
          <w:sz w:val="22"/>
          <w:szCs w:val="22"/>
        </w:rPr>
        <w:t xml:space="preserve">commercial matter that </w:t>
      </w:r>
      <w:r w:rsidR="00C62133" w:rsidRPr="005D445A">
        <w:rPr>
          <w:sz w:val="22"/>
          <w:szCs w:val="22"/>
        </w:rPr>
        <w:t xml:space="preserve">commercial </w:t>
      </w:r>
      <w:r w:rsidRPr="005D445A">
        <w:rPr>
          <w:sz w:val="22"/>
          <w:szCs w:val="22"/>
        </w:rPr>
        <w:t>television stations may air during children's programming, and to consider in its review of television license renewals the extent to which the licensee has complied with such commercial limits.  Pursuant to this statutory mandate, the Commission adopted Section 73.670 of the Rules, 47 C.F.R. § 73.670, which limits the amount of commercial matter which may be aired during children's programming to 10.5 minutes per hour on weekends and 12 minutes per hour on weekdays.</w:t>
      </w:r>
      <w:r w:rsidRPr="005D445A">
        <w:rPr>
          <w:rStyle w:val="FootnoteReference"/>
          <w:sz w:val="22"/>
          <w:szCs w:val="22"/>
        </w:rPr>
        <w:footnoteReference w:id="3"/>
      </w:r>
      <w:r w:rsidRPr="005D445A">
        <w:rPr>
          <w:sz w:val="22"/>
          <w:szCs w:val="22"/>
        </w:rPr>
        <w:t xml:space="preserve">  The</w:t>
      </w:r>
      <w:r w:rsidR="00AF4312" w:rsidRPr="005D445A">
        <w:rPr>
          <w:sz w:val="22"/>
          <w:szCs w:val="22"/>
        </w:rPr>
        <w:t>se</w:t>
      </w:r>
      <w:r w:rsidRPr="005D445A">
        <w:rPr>
          <w:sz w:val="22"/>
          <w:szCs w:val="22"/>
        </w:rPr>
        <w:t xml:space="preserve"> commercial limitations became effective on January 1, 1992.</w:t>
      </w:r>
      <w:bookmarkStart w:id="1" w:name="FN[FN2]"/>
      <w:bookmarkEnd w:id="1"/>
      <w:r w:rsidRPr="005D445A">
        <w:rPr>
          <w:rStyle w:val="FootnoteReference"/>
          <w:sz w:val="22"/>
          <w:szCs w:val="22"/>
        </w:rPr>
        <w:footnoteReference w:id="4"/>
      </w:r>
      <w:r w:rsidR="000F0527" w:rsidRPr="005D445A">
        <w:rPr>
          <w:sz w:val="22"/>
          <w:szCs w:val="22"/>
        </w:rPr>
        <w:t xml:space="preserve">  </w:t>
      </w:r>
    </w:p>
    <w:p w:rsidR="007A2D37" w:rsidRPr="005D445A" w:rsidRDefault="00AF4312" w:rsidP="000F0527">
      <w:pPr>
        <w:spacing w:after="240"/>
        <w:ind w:firstLine="720"/>
        <w:jc w:val="both"/>
        <w:rPr>
          <w:sz w:val="22"/>
          <w:szCs w:val="22"/>
        </w:rPr>
      </w:pPr>
      <w:r w:rsidRPr="005D445A">
        <w:rPr>
          <w:sz w:val="22"/>
          <w:szCs w:val="22"/>
        </w:rPr>
        <w:t>I</w:t>
      </w:r>
      <w:r w:rsidR="00010FFF" w:rsidRPr="005D445A">
        <w:rPr>
          <w:sz w:val="22"/>
          <w:szCs w:val="22"/>
        </w:rPr>
        <w:t>n</w:t>
      </w:r>
      <w:r w:rsidR="008202C9" w:rsidRPr="005D445A">
        <w:rPr>
          <w:sz w:val="22"/>
          <w:szCs w:val="22"/>
        </w:rPr>
        <w:t xml:space="preserve"> furtherance of the CTA’s </w:t>
      </w:r>
      <w:r w:rsidRPr="005D445A">
        <w:rPr>
          <w:sz w:val="22"/>
          <w:szCs w:val="22"/>
        </w:rPr>
        <w:t>underlying purpose</w:t>
      </w:r>
      <w:r w:rsidR="008202C9" w:rsidRPr="005D445A">
        <w:rPr>
          <w:sz w:val="22"/>
          <w:szCs w:val="22"/>
        </w:rPr>
        <w:t xml:space="preserve"> to protect children from excessive and inappropriate commercial messages</w:t>
      </w:r>
      <w:r w:rsidR="00205327" w:rsidRPr="005D445A">
        <w:rPr>
          <w:sz w:val="22"/>
          <w:szCs w:val="22"/>
        </w:rPr>
        <w:t xml:space="preserve">, </w:t>
      </w:r>
      <w:r w:rsidR="000F0527" w:rsidRPr="005D445A">
        <w:rPr>
          <w:rStyle w:val="FootnoteReference"/>
          <w:sz w:val="22"/>
          <w:szCs w:val="22"/>
        </w:rPr>
        <w:t xml:space="preserve"> </w:t>
      </w:r>
      <w:r w:rsidRPr="005D445A">
        <w:rPr>
          <w:sz w:val="22"/>
          <w:szCs w:val="22"/>
        </w:rPr>
        <w:t xml:space="preserve">the </w:t>
      </w:r>
      <w:r w:rsidR="008202C9" w:rsidRPr="005D445A">
        <w:rPr>
          <w:sz w:val="22"/>
          <w:szCs w:val="22"/>
        </w:rPr>
        <w:t xml:space="preserve">Commission adopted the website </w:t>
      </w:r>
      <w:r w:rsidR="00781984" w:rsidRPr="005D445A">
        <w:rPr>
          <w:sz w:val="22"/>
          <w:szCs w:val="22"/>
        </w:rPr>
        <w:t>address</w:t>
      </w:r>
      <w:r w:rsidR="008202C9" w:rsidRPr="005D445A">
        <w:rPr>
          <w:sz w:val="22"/>
          <w:szCs w:val="22"/>
        </w:rPr>
        <w:t xml:space="preserve"> rule</w:t>
      </w:r>
      <w:r w:rsidR="00781984" w:rsidRPr="005D445A">
        <w:rPr>
          <w:sz w:val="22"/>
          <w:szCs w:val="22"/>
        </w:rPr>
        <w:t>s</w:t>
      </w:r>
      <w:r w:rsidRPr="005D445A">
        <w:rPr>
          <w:sz w:val="22"/>
          <w:szCs w:val="22"/>
        </w:rPr>
        <w:t>.</w:t>
      </w:r>
      <w:r w:rsidR="000F0527" w:rsidRPr="005D445A">
        <w:rPr>
          <w:rStyle w:val="FootnoteReference"/>
          <w:sz w:val="22"/>
          <w:szCs w:val="22"/>
        </w:rPr>
        <w:footnoteReference w:id="5"/>
      </w:r>
      <w:r w:rsidRPr="005D445A">
        <w:rPr>
          <w:sz w:val="22"/>
          <w:szCs w:val="22"/>
        </w:rPr>
        <w:t xml:space="preserve">  The website </w:t>
      </w:r>
      <w:r w:rsidR="00781984" w:rsidRPr="005D445A">
        <w:rPr>
          <w:sz w:val="22"/>
          <w:szCs w:val="22"/>
        </w:rPr>
        <w:t>address</w:t>
      </w:r>
      <w:r w:rsidRPr="005D445A">
        <w:rPr>
          <w:sz w:val="22"/>
          <w:szCs w:val="22"/>
        </w:rPr>
        <w:t xml:space="preserve"> rule</w:t>
      </w:r>
      <w:r w:rsidR="00781984" w:rsidRPr="005D445A">
        <w:rPr>
          <w:sz w:val="22"/>
          <w:szCs w:val="22"/>
        </w:rPr>
        <w:t>s</w:t>
      </w:r>
      <w:r w:rsidRPr="005D445A">
        <w:rPr>
          <w:sz w:val="22"/>
          <w:szCs w:val="22"/>
        </w:rPr>
        <w:t xml:space="preserve"> </w:t>
      </w:r>
      <w:r w:rsidR="008202C9" w:rsidRPr="005D445A">
        <w:rPr>
          <w:sz w:val="22"/>
          <w:szCs w:val="22"/>
        </w:rPr>
        <w:t>restrict the display of Internet web addresses during children’s programming</w:t>
      </w:r>
      <w:r w:rsidR="009023E0" w:rsidRPr="005D445A">
        <w:rPr>
          <w:sz w:val="22"/>
          <w:szCs w:val="22"/>
        </w:rPr>
        <w:t xml:space="preserve"> directed at children ages 12 and under</w:t>
      </w:r>
      <w:r w:rsidR="008202C9" w:rsidRPr="005D445A">
        <w:rPr>
          <w:sz w:val="22"/>
          <w:szCs w:val="22"/>
        </w:rPr>
        <w:t>.</w:t>
      </w:r>
      <w:r w:rsidR="000F0527" w:rsidRPr="005D445A">
        <w:rPr>
          <w:rStyle w:val="FootnoteReference"/>
          <w:sz w:val="22"/>
          <w:szCs w:val="22"/>
        </w:rPr>
        <w:footnoteReference w:id="6"/>
      </w:r>
      <w:r w:rsidR="008202C9" w:rsidRPr="005D445A">
        <w:rPr>
          <w:sz w:val="22"/>
          <w:szCs w:val="22"/>
        </w:rPr>
        <w:t xml:space="preserve">   Specifically, </w:t>
      </w:r>
      <w:r w:rsidR="0004196D" w:rsidRPr="005D445A">
        <w:rPr>
          <w:sz w:val="22"/>
          <w:szCs w:val="22"/>
        </w:rPr>
        <w:t>Section 73.670(b)</w:t>
      </w:r>
      <w:r w:rsidR="00C31DF1" w:rsidRPr="005D445A">
        <w:rPr>
          <w:sz w:val="22"/>
          <w:szCs w:val="22"/>
        </w:rPr>
        <w:t xml:space="preserve"> permits the</w:t>
      </w:r>
      <w:r w:rsidR="008202C9" w:rsidRPr="005D445A">
        <w:rPr>
          <w:sz w:val="22"/>
          <w:szCs w:val="22"/>
        </w:rPr>
        <w:t xml:space="preserve"> display of</w:t>
      </w:r>
      <w:r w:rsidR="00C31DF1" w:rsidRPr="005D445A">
        <w:rPr>
          <w:sz w:val="22"/>
          <w:szCs w:val="22"/>
        </w:rPr>
        <w:t xml:space="preserve"> </w:t>
      </w:r>
      <w:r w:rsidR="008202C9" w:rsidRPr="005D445A">
        <w:rPr>
          <w:sz w:val="22"/>
          <w:szCs w:val="22"/>
        </w:rPr>
        <w:t xml:space="preserve">Internet website </w:t>
      </w:r>
      <w:r w:rsidR="008202C9" w:rsidRPr="005D445A">
        <w:rPr>
          <w:sz w:val="22"/>
          <w:szCs w:val="22"/>
        </w:rPr>
        <w:lastRenderedPageBreak/>
        <w:t>address</w:t>
      </w:r>
      <w:r w:rsidR="00C31DF1" w:rsidRPr="005D445A">
        <w:rPr>
          <w:sz w:val="22"/>
          <w:szCs w:val="22"/>
        </w:rPr>
        <w:t>es</w:t>
      </w:r>
      <w:r w:rsidR="009023E0" w:rsidRPr="005D445A">
        <w:rPr>
          <w:sz w:val="22"/>
          <w:szCs w:val="22"/>
        </w:rPr>
        <w:t xml:space="preserve"> during program material or promotional material not counted as commercial time </w:t>
      </w:r>
      <w:r w:rsidR="00781984" w:rsidRPr="005D445A">
        <w:rPr>
          <w:sz w:val="22"/>
          <w:szCs w:val="22"/>
        </w:rPr>
        <w:t xml:space="preserve">only </w:t>
      </w:r>
      <w:r w:rsidR="009023E0" w:rsidRPr="005D445A">
        <w:rPr>
          <w:sz w:val="22"/>
          <w:szCs w:val="22"/>
        </w:rPr>
        <w:t>if:</w:t>
      </w:r>
      <w:r w:rsidR="00C45A3F" w:rsidRPr="005D445A">
        <w:rPr>
          <w:sz w:val="22"/>
          <w:szCs w:val="22"/>
        </w:rPr>
        <w:t xml:space="preserve">  </w:t>
      </w:r>
      <w:r w:rsidR="000B5C3D" w:rsidRPr="005D445A">
        <w:rPr>
          <w:sz w:val="22"/>
          <w:szCs w:val="22"/>
        </w:rPr>
        <w:t xml:space="preserve">(1) the website offers a substantial amount of </w:t>
      </w:r>
      <w:r w:rsidR="000B5C3D" w:rsidRPr="005D445A">
        <w:rPr>
          <w:i/>
          <w:iCs/>
          <w:sz w:val="22"/>
          <w:szCs w:val="22"/>
        </w:rPr>
        <w:t xml:space="preserve">bona fide </w:t>
      </w:r>
      <w:r w:rsidR="000B5C3D" w:rsidRPr="005D445A">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000B5C3D" w:rsidRPr="005D445A">
        <w:rPr>
          <w:i/>
          <w:iCs/>
          <w:sz w:val="22"/>
          <w:szCs w:val="22"/>
        </w:rPr>
        <w:t>e.g.</w:t>
      </w:r>
      <w:r w:rsidR="000B5C3D" w:rsidRPr="005D445A">
        <w:rPr>
          <w:sz w:val="22"/>
          <w:szCs w:val="22"/>
        </w:rPr>
        <w:t>, contains no links labeled “store” and no links to another page with commercial material)</w:t>
      </w:r>
      <w:r w:rsidR="008202C9" w:rsidRPr="005D445A">
        <w:rPr>
          <w:sz w:val="22"/>
          <w:szCs w:val="22"/>
        </w:rPr>
        <w:t>.</w:t>
      </w:r>
      <w:r w:rsidR="008202C9" w:rsidRPr="005D445A">
        <w:rPr>
          <w:rStyle w:val="FootnoteReference"/>
          <w:sz w:val="22"/>
          <w:szCs w:val="22"/>
        </w:rPr>
        <w:footnoteReference w:id="7"/>
      </w:r>
      <w:r w:rsidR="00AF5C36" w:rsidRPr="005D445A">
        <w:rPr>
          <w:sz w:val="22"/>
          <w:szCs w:val="22"/>
        </w:rPr>
        <w:t xml:space="preserve">  </w:t>
      </w:r>
    </w:p>
    <w:p w:rsidR="00266895" w:rsidRPr="005D445A" w:rsidRDefault="00D366B1" w:rsidP="00BC547D">
      <w:pPr>
        <w:autoSpaceDE w:val="0"/>
        <w:autoSpaceDN w:val="0"/>
        <w:adjustRightInd w:val="0"/>
        <w:spacing w:after="240"/>
        <w:ind w:firstLine="720"/>
        <w:jc w:val="both"/>
        <w:rPr>
          <w:color w:val="000000"/>
          <w:sz w:val="22"/>
          <w:szCs w:val="22"/>
        </w:rPr>
      </w:pPr>
      <w:r w:rsidRPr="005D445A">
        <w:rPr>
          <w:color w:val="000000"/>
          <w:sz w:val="22"/>
          <w:szCs w:val="22"/>
        </w:rPr>
        <w:t xml:space="preserve">On </w:t>
      </w:r>
      <w:r w:rsidR="003B7683">
        <w:rPr>
          <w:color w:val="000000"/>
          <w:sz w:val="22"/>
          <w:szCs w:val="22"/>
        </w:rPr>
        <w:t>January 17, 2014</w:t>
      </w:r>
      <w:r w:rsidR="0000108B" w:rsidRPr="005D445A">
        <w:rPr>
          <w:color w:val="000000"/>
          <w:sz w:val="22"/>
          <w:szCs w:val="22"/>
        </w:rPr>
        <w:t>,</w:t>
      </w:r>
      <w:r w:rsidR="0097671B" w:rsidRPr="005D445A">
        <w:rPr>
          <w:color w:val="000000"/>
          <w:sz w:val="22"/>
          <w:szCs w:val="22"/>
        </w:rPr>
        <w:t xml:space="preserve"> you filed </w:t>
      </w:r>
      <w:r w:rsidR="003B7683">
        <w:rPr>
          <w:color w:val="000000"/>
          <w:sz w:val="22"/>
          <w:szCs w:val="22"/>
        </w:rPr>
        <w:t>an amendment to the</w:t>
      </w:r>
      <w:r w:rsidR="0097671B" w:rsidRPr="005D445A">
        <w:rPr>
          <w:color w:val="000000"/>
          <w:sz w:val="22"/>
          <w:szCs w:val="22"/>
        </w:rPr>
        <w:t xml:space="preserve"> above-referenced license renewal application for </w:t>
      </w:r>
      <w:r w:rsidR="0000108B" w:rsidRPr="005D445A">
        <w:rPr>
          <w:color w:val="000000"/>
          <w:sz w:val="22"/>
          <w:szCs w:val="22"/>
        </w:rPr>
        <w:t>the Station</w:t>
      </w:r>
      <w:r w:rsidR="006B0810" w:rsidRPr="005D445A">
        <w:rPr>
          <w:color w:val="000000"/>
          <w:sz w:val="22"/>
          <w:szCs w:val="22"/>
        </w:rPr>
        <w:t xml:space="preserve">.  </w:t>
      </w:r>
      <w:r w:rsidR="0097671B" w:rsidRPr="005D445A">
        <w:rPr>
          <w:color w:val="000000"/>
          <w:sz w:val="22"/>
          <w:szCs w:val="22"/>
        </w:rPr>
        <w:t xml:space="preserve">In response to Section IV, Question 5 </w:t>
      </w:r>
      <w:r w:rsidR="0000108B" w:rsidRPr="005D445A">
        <w:rPr>
          <w:color w:val="000000"/>
          <w:sz w:val="22"/>
          <w:szCs w:val="22"/>
        </w:rPr>
        <w:t xml:space="preserve">of that application, you </w:t>
      </w:r>
      <w:r w:rsidR="00A10CDB" w:rsidRPr="005D445A">
        <w:rPr>
          <w:color w:val="000000"/>
          <w:sz w:val="22"/>
          <w:szCs w:val="22"/>
        </w:rPr>
        <w:t>attached an exhibit which</w:t>
      </w:r>
      <w:r w:rsidR="004C05FB" w:rsidRPr="005D445A">
        <w:rPr>
          <w:color w:val="000000"/>
          <w:sz w:val="22"/>
          <w:szCs w:val="22"/>
        </w:rPr>
        <w:t xml:space="preserve"> </w:t>
      </w:r>
      <w:r w:rsidR="00D541B0" w:rsidRPr="005D445A">
        <w:rPr>
          <w:color w:val="000000"/>
          <w:sz w:val="22"/>
          <w:szCs w:val="22"/>
        </w:rPr>
        <w:t xml:space="preserve">admitted </w:t>
      </w:r>
      <w:r w:rsidR="00104B57" w:rsidRPr="005D445A">
        <w:rPr>
          <w:color w:val="000000"/>
          <w:sz w:val="22"/>
          <w:szCs w:val="22"/>
        </w:rPr>
        <w:t xml:space="preserve">that on October 12, 2013, </w:t>
      </w:r>
      <w:r w:rsidR="00A71A2D" w:rsidRPr="005D445A">
        <w:rPr>
          <w:color w:val="000000"/>
          <w:sz w:val="22"/>
          <w:szCs w:val="22"/>
        </w:rPr>
        <w:t>the Station</w:t>
      </w:r>
      <w:r w:rsidR="00104B57" w:rsidRPr="005D445A">
        <w:rPr>
          <w:color w:val="000000"/>
          <w:sz w:val="22"/>
          <w:szCs w:val="22"/>
        </w:rPr>
        <w:t xml:space="preserve"> </w:t>
      </w:r>
      <w:r w:rsidR="008202C9" w:rsidRPr="005D445A">
        <w:rPr>
          <w:color w:val="000000"/>
          <w:sz w:val="22"/>
          <w:szCs w:val="22"/>
        </w:rPr>
        <w:t>aired the URL address for the website “www.lazytown.com,” (</w:t>
      </w:r>
      <w:r w:rsidR="008202C9" w:rsidRPr="002043E8">
        <w:rPr>
          <w:i/>
          <w:color w:val="000000"/>
          <w:sz w:val="22"/>
          <w:szCs w:val="22"/>
        </w:rPr>
        <w:t>last visited</w:t>
      </w:r>
      <w:r w:rsidR="008202C9" w:rsidRPr="005D445A">
        <w:rPr>
          <w:color w:val="000000"/>
          <w:sz w:val="22"/>
          <w:szCs w:val="22"/>
        </w:rPr>
        <w:t xml:space="preserve"> </w:t>
      </w:r>
      <w:r w:rsidR="00100B7A">
        <w:rPr>
          <w:color w:val="000000"/>
          <w:sz w:val="22"/>
          <w:szCs w:val="22"/>
        </w:rPr>
        <w:t>Jul</w:t>
      </w:r>
      <w:r w:rsidR="008202C9" w:rsidRPr="005D445A">
        <w:rPr>
          <w:color w:val="000000"/>
          <w:sz w:val="22"/>
          <w:szCs w:val="22"/>
        </w:rPr>
        <w:t xml:space="preserve">. </w:t>
      </w:r>
      <w:r w:rsidR="00100B7A">
        <w:rPr>
          <w:color w:val="000000"/>
          <w:sz w:val="22"/>
          <w:szCs w:val="22"/>
        </w:rPr>
        <w:t>2</w:t>
      </w:r>
      <w:r w:rsidR="008202C9" w:rsidRPr="005D445A">
        <w:rPr>
          <w:color w:val="000000"/>
          <w:sz w:val="22"/>
          <w:szCs w:val="22"/>
        </w:rPr>
        <w:t>, 2014) which appeared during the closing credits of the NBC Network supplied children’s program “LazyTown.”</w:t>
      </w:r>
      <w:r w:rsidR="008202C9" w:rsidRPr="005D445A">
        <w:rPr>
          <w:rStyle w:val="FootnoteReference"/>
          <w:color w:val="000000"/>
          <w:sz w:val="22"/>
          <w:szCs w:val="22"/>
        </w:rPr>
        <w:footnoteReference w:id="8"/>
      </w:r>
      <w:r w:rsidR="008202C9" w:rsidRPr="005D445A">
        <w:rPr>
          <w:color w:val="000000"/>
          <w:sz w:val="22"/>
          <w:szCs w:val="22"/>
        </w:rPr>
        <w:t xml:space="preserve">  The inclusion of the website address is described by a NBC Network communication sent to the Station as being “inadvertently included” and “fleeting.”  NBC Network goes on to describe the precautions it takes to avoid such incidents and states that it is working “to develop and implement additional procedures to minimize the possibility of a re-occurrence of this isolated incident.”  You argue that </w:t>
      </w:r>
      <w:r w:rsidR="003D66FA" w:rsidRPr="005D445A">
        <w:rPr>
          <w:color w:val="000000"/>
          <w:sz w:val="22"/>
          <w:szCs w:val="22"/>
        </w:rPr>
        <w:t xml:space="preserve">because the website address was displayed for an “exceedingly short duration” and would not have been “discernible to a reasonable child viewer,” the display was </w:t>
      </w:r>
      <w:r w:rsidR="008202C9" w:rsidRPr="005D445A">
        <w:rPr>
          <w:color w:val="000000"/>
          <w:sz w:val="22"/>
          <w:szCs w:val="22"/>
        </w:rPr>
        <w:t>not a violation of the rules or</w:t>
      </w:r>
      <w:r w:rsidR="003D66FA" w:rsidRPr="005D445A">
        <w:rPr>
          <w:color w:val="000000"/>
          <w:sz w:val="22"/>
          <w:szCs w:val="22"/>
        </w:rPr>
        <w:t xml:space="preserve"> was,</w:t>
      </w:r>
      <w:r w:rsidR="006B7B7B" w:rsidRPr="005D445A">
        <w:rPr>
          <w:color w:val="000000"/>
          <w:sz w:val="22"/>
          <w:szCs w:val="22"/>
        </w:rPr>
        <w:t xml:space="preserve"> </w:t>
      </w:r>
      <w:r w:rsidR="008202C9" w:rsidRPr="005D445A">
        <w:rPr>
          <w:color w:val="000000"/>
          <w:sz w:val="22"/>
          <w:szCs w:val="22"/>
        </w:rPr>
        <w:t>at most</w:t>
      </w:r>
      <w:r w:rsidR="003D66FA" w:rsidRPr="005D445A">
        <w:rPr>
          <w:color w:val="000000"/>
          <w:sz w:val="22"/>
          <w:szCs w:val="22"/>
        </w:rPr>
        <w:t>,</w:t>
      </w:r>
      <w:r w:rsidR="008202C9" w:rsidRPr="005D445A">
        <w:rPr>
          <w:color w:val="000000"/>
          <w:sz w:val="22"/>
          <w:szCs w:val="22"/>
        </w:rPr>
        <w:t xml:space="preserve"> a </w:t>
      </w:r>
      <w:r w:rsidR="008202C9" w:rsidRPr="005D445A">
        <w:rPr>
          <w:i/>
          <w:color w:val="000000"/>
          <w:sz w:val="22"/>
          <w:szCs w:val="22"/>
        </w:rPr>
        <w:t>de minimis</w:t>
      </w:r>
      <w:r w:rsidR="008202C9" w:rsidRPr="005D445A">
        <w:rPr>
          <w:color w:val="000000"/>
          <w:sz w:val="22"/>
          <w:szCs w:val="22"/>
        </w:rPr>
        <w:t xml:space="preserve"> violation</w:t>
      </w:r>
      <w:r w:rsidR="003D66FA" w:rsidRPr="005D445A">
        <w:rPr>
          <w:color w:val="000000"/>
          <w:sz w:val="22"/>
          <w:szCs w:val="22"/>
        </w:rPr>
        <w:t>.</w:t>
      </w:r>
      <w:r w:rsidR="008E15D8" w:rsidRPr="005D445A">
        <w:rPr>
          <w:color w:val="000000"/>
          <w:sz w:val="22"/>
          <w:szCs w:val="22"/>
        </w:rPr>
        <w:t xml:space="preserve">  </w:t>
      </w:r>
      <w:r w:rsidR="00603CC7" w:rsidRPr="005D445A">
        <w:rPr>
          <w:color w:val="000000"/>
          <w:sz w:val="22"/>
          <w:szCs w:val="22"/>
        </w:rPr>
        <w:t xml:space="preserve">You </w:t>
      </w:r>
      <w:r w:rsidR="0098425C" w:rsidRPr="005D445A">
        <w:rPr>
          <w:color w:val="000000"/>
          <w:sz w:val="22"/>
          <w:szCs w:val="22"/>
        </w:rPr>
        <w:t>request</w:t>
      </w:r>
      <w:r w:rsidR="00603CC7" w:rsidRPr="005D445A">
        <w:rPr>
          <w:color w:val="000000"/>
          <w:sz w:val="22"/>
          <w:szCs w:val="22"/>
        </w:rPr>
        <w:t xml:space="preserve"> that</w:t>
      </w:r>
      <w:r w:rsidR="003D66FA" w:rsidRPr="005D445A">
        <w:rPr>
          <w:color w:val="000000"/>
          <w:sz w:val="22"/>
          <w:szCs w:val="22"/>
        </w:rPr>
        <w:t>,</w:t>
      </w:r>
      <w:r w:rsidR="00603CC7" w:rsidRPr="005D445A">
        <w:rPr>
          <w:color w:val="000000"/>
          <w:sz w:val="22"/>
          <w:szCs w:val="22"/>
        </w:rPr>
        <w:t xml:space="preserve"> if the Commission finds the display of the website address to be other than a </w:t>
      </w:r>
      <w:r w:rsidR="00603CC7" w:rsidRPr="005D445A">
        <w:rPr>
          <w:i/>
          <w:color w:val="000000"/>
          <w:sz w:val="22"/>
          <w:szCs w:val="22"/>
        </w:rPr>
        <w:t>de minimis</w:t>
      </w:r>
      <w:r w:rsidR="00603CC7" w:rsidRPr="005D445A">
        <w:rPr>
          <w:color w:val="000000"/>
          <w:sz w:val="22"/>
          <w:szCs w:val="22"/>
        </w:rPr>
        <w:t xml:space="preserve"> violation of Section 73.760, the violation </w:t>
      </w:r>
      <w:r w:rsidR="005D445A">
        <w:rPr>
          <w:color w:val="000000"/>
          <w:sz w:val="22"/>
          <w:szCs w:val="22"/>
        </w:rPr>
        <w:t>should be treated in a similar manner to recent</w:t>
      </w:r>
      <w:r w:rsidR="005D445A" w:rsidRPr="005D445A">
        <w:rPr>
          <w:color w:val="000000"/>
          <w:sz w:val="22"/>
          <w:szCs w:val="22"/>
        </w:rPr>
        <w:t xml:space="preserve"> “host-selling” violation</w:t>
      </w:r>
      <w:r w:rsidR="005D445A">
        <w:rPr>
          <w:color w:val="000000"/>
          <w:sz w:val="22"/>
          <w:szCs w:val="22"/>
        </w:rPr>
        <w:t>s</w:t>
      </w:r>
      <w:r w:rsidR="005D445A" w:rsidRPr="005D445A">
        <w:rPr>
          <w:color w:val="000000"/>
          <w:sz w:val="22"/>
          <w:szCs w:val="22"/>
        </w:rPr>
        <w:t xml:space="preserve">, </w:t>
      </w:r>
      <w:r w:rsidR="00807875">
        <w:rPr>
          <w:color w:val="000000"/>
          <w:sz w:val="22"/>
          <w:szCs w:val="22"/>
        </w:rPr>
        <w:t>which resulted in</w:t>
      </w:r>
      <w:r w:rsidR="00603CC7" w:rsidRPr="005D445A">
        <w:rPr>
          <w:color w:val="000000"/>
          <w:sz w:val="22"/>
          <w:szCs w:val="22"/>
        </w:rPr>
        <w:t xml:space="preserve"> </w:t>
      </w:r>
      <w:r w:rsidR="004D6B2F">
        <w:rPr>
          <w:color w:val="000000"/>
          <w:sz w:val="22"/>
          <w:szCs w:val="22"/>
        </w:rPr>
        <w:t xml:space="preserve">the </w:t>
      </w:r>
      <w:r w:rsidR="00603CC7" w:rsidRPr="005D445A">
        <w:rPr>
          <w:color w:val="000000"/>
          <w:sz w:val="22"/>
          <w:szCs w:val="22"/>
        </w:rPr>
        <w:t>sanction of an admonishment</w:t>
      </w:r>
      <w:r w:rsidR="005D445A">
        <w:rPr>
          <w:color w:val="000000"/>
          <w:sz w:val="22"/>
          <w:szCs w:val="22"/>
        </w:rPr>
        <w:t>.</w:t>
      </w:r>
      <w:r w:rsidR="005D445A" w:rsidRPr="005D445A">
        <w:rPr>
          <w:rStyle w:val="FootnoteReference"/>
          <w:color w:val="000000"/>
          <w:sz w:val="22"/>
          <w:szCs w:val="22"/>
        </w:rPr>
        <w:footnoteReference w:id="9"/>
      </w:r>
    </w:p>
    <w:p w:rsidR="002B76D3" w:rsidRPr="005D445A" w:rsidRDefault="00551605" w:rsidP="006B7B7B">
      <w:pPr>
        <w:autoSpaceDE w:val="0"/>
        <w:autoSpaceDN w:val="0"/>
        <w:adjustRightInd w:val="0"/>
        <w:spacing w:after="240"/>
        <w:ind w:firstLine="720"/>
        <w:jc w:val="both"/>
        <w:rPr>
          <w:color w:val="010101"/>
          <w:sz w:val="22"/>
          <w:szCs w:val="22"/>
        </w:rPr>
      </w:pPr>
      <w:r w:rsidRPr="005D445A">
        <w:rPr>
          <w:color w:val="010101"/>
          <w:sz w:val="22"/>
          <w:szCs w:val="22"/>
        </w:rPr>
        <w:t>Even though the website address was displayed for only a short duration (estimated at less than one-half of one second), the display of a website address during program material, for any period of time, that does not comply with the four</w:t>
      </w:r>
      <w:r w:rsidR="006B7B7B" w:rsidRPr="005D445A">
        <w:rPr>
          <w:color w:val="010101"/>
          <w:sz w:val="22"/>
          <w:szCs w:val="22"/>
        </w:rPr>
        <w:t>-</w:t>
      </w:r>
      <w:r w:rsidRPr="005D445A">
        <w:rPr>
          <w:color w:val="010101"/>
          <w:sz w:val="22"/>
          <w:szCs w:val="22"/>
        </w:rPr>
        <w:t xml:space="preserve">prong test is a violation of </w:t>
      </w:r>
      <w:r w:rsidRPr="005D445A">
        <w:rPr>
          <w:color w:val="000000"/>
          <w:sz w:val="22"/>
          <w:szCs w:val="22"/>
        </w:rPr>
        <w:t>Section 73.670(b)</w:t>
      </w:r>
      <w:r w:rsidRPr="005D445A">
        <w:rPr>
          <w:color w:val="010101"/>
          <w:sz w:val="22"/>
          <w:szCs w:val="22"/>
        </w:rPr>
        <w:t xml:space="preserve">.  </w:t>
      </w:r>
      <w:r w:rsidR="000341D3" w:rsidRPr="005D445A">
        <w:rPr>
          <w:color w:val="010101"/>
          <w:sz w:val="22"/>
          <w:szCs w:val="22"/>
        </w:rPr>
        <w:t xml:space="preserve">  </w:t>
      </w:r>
      <w:r w:rsidR="002B76D3" w:rsidRPr="005D445A">
        <w:rPr>
          <w:color w:val="010101"/>
          <w:sz w:val="22"/>
          <w:szCs w:val="22"/>
        </w:rPr>
        <w:t xml:space="preserve">No evidence has been provided </w:t>
      </w:r>
      <w:r w:rsidR="00665A45" w:rsidRPr="005D445A">
        <w:rPr>
          <w:color w:val="010101"/>
          <w:sz w:val="22"/>
          <w:szCs w:val="22"/>
        </w:rPr>
        <w:t>demonstrating</w:t>
      </w:r>
      <w:r w:rsidR="00A3029B" w:rsidRPr="005D445A">
        <w:rPr>
          <w:color w:val="010101"/>
          <w:sz w:val="22"/>
          <w:szCs w:val="22"/>
        </w:rPr>
        <w:t xml:space="preserve"> </w:t>
      </w:r>
      <w:r w:rsidR="002B1E2B" w:rsidRPr="005D445A">
        <w:rPr>
          <w:color w:val="010101"/>
          <w:sz w:val="22"/>
          <w:szCs w:val="22"/>
        </w:rPr>
        <w:t xml:space="preserve">that the website </w:t>
      </w:r>
      <w:r w:rsidR="00A3029B" w:rsidRPr="005D445A">
        <w:rPr>
          <w:color w:val="010101"/>
          <w:sz w:val="22"/>
          <w:szCs w:val="22"/>
        </w:rPr>
        <w:t>compli</w:t>
      </w:r>
      <w:r w:rsidR="002B1E2B" w:rsidRPr="005D445A">
        <w:rPr>
          <w:color w:val="010101"/>
          <w:sz w:val="22"/>
          <w:szCs w:val="22"/>
        </w:rPr>
        <w:t>es</w:t>
      </w:r>
      <w:r w:rsidR="00A3029B" w:rsidRPr="005D445A">
        <w:rPr>
          <w:color w:val="010101"/>
          <w:sz w:val="22"/>
          <w:szCs w:val="22"/>
        </w:rPr>
        <w:t xml:space="preserve"> with the </w:t>
      </w:r>
      <w:r w:rsidR="006B7B7B" w:rsidRPr="005D445A">
        <w:rPr>
          <w:color w:val="010101"/>
          <w:sz w:val="22"/>
          <w:szCs w:val="22"/>
        </w:rPr>
        <w:t>four-prong</w:t>
      </w:r>
      <w:r w:rsidR="00A3029B" w:rsidRPr="005D445A">
        <w:rPr>
          <w:color w:val="010101"/>
          <w:sz w:val="22"/>
          <w:szCs w:val="22"/>
        </w:rPr>
        <w:t xml:space="preserve"> test and upon</w:t>
      </w:r>
      <w:r w:rsidR="00DB297E" w:rsidRPr="005D445A">
        <w:rPr>
          <w:color w:val="010101"/>
          <w:sz w:val="22"/>
          <w:szCs w:val="22"/>
        </w:rPr>
        <w:t xml:space="preserve"> examination of </w:t>
      </w:r>
      <w:r w:rsidR="00266895" w:rsidRPr="005D445A">
        <w:rPr>
          <w:color w:val="010101"/>
          <w:sz w:val="22"/>
          <w:szCs w:val="22"/>
        </w:rPr>
        <w:t>the website</w:t>
      </w:r>
      <w:r w:rsidR="00DB297E" w:rsidRPr="005D445A">
        <w:rPr>
          <w:color w:val="010101"/>
          <w:sz w:val="22"/>
          <w:szCs w:val="22"/>
        </w:rPr>
        <w:t xml:space="preserve"> we conclude that </w:t>
      </w:r>
      <w:r w:rsidR="002B1E2B" w:rsidRPr="005D445A">
        <w:rPr>
          <w:color w:val="010101"/>
          <w:sz w:val="22"/>
          <w:szCs w:val="22"/>
        </w:rPr>
        <w:t xml:space="preserve">it does not comply. </w:t>
      </w:r>
      <w:r w:rsidR="00DB297E" w:rsidRPr="005D445A">
        <w:rPr>
          <w:color w:val="010101"/>
          <w:sz w:val="22"/>
          <w:szCs w:val="22"/>
        </w:rPr>
        <w:t xml:space="preserve"> </w:t>
      </w:r>
      <w:r w:rsidR="009C48DA" w:rsidRPr="005D445A">
        <w:rPr>
          <w:color w:val="010101"/>
          <w:sz w:val="22"/>
          <w:szCs w:val="22"/>
        </w:rPr>
        <w:t xml:space="preserve"> </w:t>
      </w:r>
      <w:r w:rsidRPr="005D445A">
        <w:rPr>
          <w:color w:val="010101"/>
          <w:sz w:val="22"/>
          <w:szCs w:val="22"/>
        </w:rPr>
        <w:t>In particular</w:t>
      </w:r>
      <w:r w:rsidR="009C48DA" w:rsidRPr="005D445A">
        <w:rPr>
          <w:color w:val="010101"/>
          <w:sz w:val="22"/>
          <w:szCs w:val="22"/>
        </w:rPr>
        <w:t xml:space="preserve">, the website does not </w:t>
      </w:r>
      <w:r w:rsidR="002B1E2B" w:rsidRPr="005D445A">
        <w:rPr>
          <w:color w:val="010101"/>
          <w:sz w:val="22"/>
          <w:szCs w:val="22"/>
        </w:rPr>
        <w:t xml:space="preserve">meet </w:t>
      </w:r>
      <w:r w:rsidR="009C48DA" w:rsidRPr="005D445A">
        <w:rPr>
          <w:color w:val="010101"/>
          <w:sz w:val="22"/>
          <w:szCs w:val="22"/>
        </w:rPr>
        <w:t>the fourth prong of the test because</w:t>
      </w:r>
      <w:r w:rsidR="002B1E2B" w:rsidRPr="005D445A">
        <w:rPr>
          <w:color w:val="010101"/>
          <w:sz w:val="22"/>
          <w:szCs w:val="22"/>
        </w:rPr>
        <w:t xml:space="preserve"> </w:t>
      </w:r>
      <w:r w:rsidR="007668EB" w:rsidRPr="005D445A">
        <w:rPr>
          <w:color w:val="010101"/>
          <w:sz w:val="22"/>
          <w:szCs w:val="22"/>
        </w:rPr>
        <w:t>the top of the</w:t>
      </w:r>
      <w:r w:rsidR="002B1E2B" w:rsidRPr="005D445A">
        <w:rPr>
          <w:color w:val="010101"/>
          <w:sz w:val="22"/>
          <w:szCs w:val="22"/>
        </w:rPr>
        <w:t xml:space="preserve"> </w:t>
      </w:r>
      <w:r w:rsidR="007668EB" w:rsidRPr="005D445A">
        <w:rPr>
          <w:color w:val="010101"/>
          <w:sz w:val="22"/>
          <w:szCs w:val="22"/>
        </w:rPr>
        <w:t>homepage</w:t>
      </w:r>
      <w:r w:rsidR="002B1E2B" w:rsidRPr="005D445A">
        <w:rPr>
          <w:color w:val="010101"/>
          <w:sz w:val="22"/>
          <w:szCs w:val="22"/>
        </w:rPr>
        <w:t xml:space="preserve"> of the website</w:t>
      </w:r>
      <w:r w:rsidR="007668EB" w:rsidRPr="005D445A">
        <w:rPr>
          <w:color w:val="010101"/>
          <w:sz w:val="22"/>
          <w:szCs w:val="22"/>
        </w:rPr>
        <w:t xml:space="preserve"> contains </w:t>
      </w:r>
      <w:r w:rsidR="009C48DA" w:rsidRPr="005D445A">
        <w:rPr>
          <w:color w:val="010101"/>
          <w:sz w:val="22"/>
          <w:szCs w:val="22"/>
        </w:rPr>
        <w:t xml:space="preserve">content of a commercial nature </w:t>
      </w:r>
      <w:r w:rsidR="007668EB" w:rsidRPr="005D445A">
        <w:rPr>
          <w:color w:val="010101"/>
          <w:sz w:val="22"/>
          <w:szCs w:val="22"/>
        </w:rPr>
        <w:t>in the form of a</w:t>
      </w:r>
      <w:r w:rsidR="002B1E2B" w:rsidRPr="005D445A">
        <w:rPr>
          <w:color w:val="010101"/>
          <w:sz w:val="22"/>
          <w:szCs w:val="22"/>
        </w:rPr>
        <w:t xml:space="preserve"> </w:t>
      </w:r>
      <w:r w:rsidR="009C48DA" w:rsidRPr="005D445A">
        <w:rPr>
          <w:color w:val="010101"/>
          <w:sz w:val="22"/>
          <w:szCs w:val="22"/>
        </w:rPr>
        <w:t>link labeled “</w:t>
      </w:r>
      <w:r w:rsidR="00100B7A">
        <w:rPr>
          <w:color w:val="010101"/>
          <w:sz w:val="22"/>
          <w:szCs w:val="22"/>
        </w:rPr>
        <w:t>shop</w:t>
      </w:r>
      <w:r w:rsidR="004D6B2F">
        <w:rPr>
          <w:color w:val="010101"/>
          <w:sz w:val="22"/>
          <w:szCs w:val="22"/>
        </w:rPr>
        <w:t>.</w:t>
      </w:r>
      <w:r w:rsidR="009C48DA" w:rsidRPr="005D445A">
        <w:rPr>
          <w:color w:val="010101"/>
          <w:sz w:val="22"/>
          <w:szCs w:val="22"/>
        </w:rPr>
        <w:t>”</w:t>
      </w:r>
      <w:r w:rsidR="004D6B2F">
        <w:rPr>
          <w:color w:val="010101"/>
          <w:sz w:val="22"/>
          <w:szCs w:val="22"/>
        </w:rPr>
        <w:t xml:space="preserve">  </w:t>
      </w:r>
      <w:r w:rsidRPr="005D445A">
        <w:rPr>
          <w:color w:val="010101"/>
          <w:sz w:val="22"/>
          <w:szCs w:val="22"/>
        </w:rPr>
        <w:t>Furthermore, w</w:t>
      </w:r>
      <w:r w:rsidR="002B1E2B" w:rsidRPr="005D445A">
        <w:rPr>
          <w:color w:val="010101"/>
          <w:sz w:val="22"/>
          <w:szCs w:val="22"/>
        </w:rPr>
        <w:t>hile you state that the website address was only displayed during the closing credits, the Commission has specifically stated that</w:t>
      </w:r>
      <w:r w:rsidR="002B1E2B" w:rsidRPr="005D445A">
        <w:rPr>
          <w:sz w:val="22"/>
          <w:szCs w:val="22"/>
        </w:rPr>
        <w:t xml:space="preserve"> closing credits are considered to be part of </w:t>
      </w:r>
      <w:r w:rsidR="002B1E2B" w:rsidRPr="005D445A">
        <w:rPr>
          <w:color w:val="010101"/>
          <w:sz w:val="22"/>
          <w:szCs w:val="22"/>
        </w:rPr>
        <w:t>the television programming material and are subject to the website address rule.</w:t>
      </w:r>
      <w:r w:rsidR="002B1E2B" w:rsidRPr="005D445A">
        <w:rPr>
          <w:rStyle w:val="FootnoteReference"/>
          <w:color w:val="010101"/>
          <w:sz w:val="22"/>
          <w:szCs w:val="22"/>
        </w:rPr>
        <w:footnoteReference w:id="10"/>
      </w:r>
      <w:r w:rsidR="002B1E2B" w:rsidRPr="005D445A">
        <w:rPr>
          <w:color w:val="010101"/>
          <w:sz w:val="22"/>
          <w:szCs w:val="22"/>
        </w:rPr>
        <w:t xml:space="preserve"> </w:t>
      </w:r>
    </w:p>
    <w:p w:rsidR="008202C9" w:rsidRPr="005D445A" w:rsidRDefault="008202C9" w:rsidP="002B76D3">
      <w:pPr>
        <w:autoSpaceDE w:val="0"/>
        <w:autoSpaceDN w:val="0"/>
        <w:adjustRightInd w:val="0"/>
        <w:spacing w:after="240"/>
        <w:ind w:firstLine="720"/>
        <w:jc w:val="both"/>
        <w:rPr>
          <w:color w:val="010101"/>
          <w:sz w:val="22"/>
          <w:szCs w:val="22"/>
        </w:rPr>
      </w:pPr>
      <w:r w:rsidRPr="005D445A">
        <w:rPr>
          <w:sz w:val="22"/>
          <w:szCs w:val="22"/>
        </w:rPr>
        <w:t xml:space="preserve">We note that </w:t>
      </w:r>
      <w:r w:rsidR="00600470" w:rsidRPr="005D445A">
        <w:rPr>
          <w:sz w:val="22"/>
          <w:szCs w:val="22"/>
        </w:rPr>
        <w:t>while</w:t>
      </w:r>
      <w:r w:rsidRPr="005D445A">
        <w:rPr>
          <w:sz w:val="22"/>
          <w:szCs w:val="22"/>
        </w:rPr>
        <w:t xml:space="preserve"> the</w:t>
      </w:r>
      <w:r w:rsidR="00A05C66" w:rsidRPr="005D445A">
        <w:rPr>
          <w:sz w:val="22"/>
          <w:szCs w:val="22"/>
        </w:rPr>
        <w:t xml:space="preserve"> commercial matter </w:t>
      </w:r>
      <w:r w:rsidR="009D2CEC" w:rsidRPr="005D445A">
        <w:rPr>
          <w:sz w:val="22"/>
          <w:szCs w:val="22"/>
        </w:rPr>
        <w:t>may have been</w:t>
      </w:r>
      <w:r w:rsidRPr="005D445A">
        <w:rPr>
          <w:sz w:val="22"/>
          <w:szCs w:val="22"/>
        </w:rPr>
        <w:t xml:space="preserve"> inserted into the program by the Station’s television network</w:t>
      </w:r>
      <w:r w:rsidR="00600470" w:rsidRPr="005D445A">
        <w:rPr>
          <w:sz w:val="22"/>
          <w:szCs w:val="22"/>
        </w:rPr>
        <w:t>, this</w:t>
      </w:r>
      <w:r w:rsidRPr="005D445A">
        <w:rPr>
          <w:sz w:val="22"/>
          <w:szCs w:val="22"/>
        </w:rPr>
        <w:t xml:space="preserve"> does not relieve the Station of responsibility</w:t>
      </w:r>
      <w:r w:rsidR="00600470" w:rsidRPr="005D445A">
        <w:rPr>
          <w:sz w:val="22"/>
          <w:szCs w:val="22"/>
        </w:rPr>
        <w:t xml:space="preserve"> for the violations</w:t>
      </w:r>
      <w:r w:rsidRPr="005D445A">
        <w:rPr>
          <w:sz w:val="22"/>
          <w:szCs w:val="22"/>
        </w:rPr>
        <w:t>.  In this regard, the Commission has consistently held that reliance on a program’s source or producer for compliance with our children's television rules and</w:t>
      </w:r>
      <w:r w:rsidRPr="005D445A">
        <w:rPr>
          <w:color w:val="000000"/>
          <w:sz w:val="22"/>
          <w:szCs w:val="22"/>
        </w:rPr>
        <w:t xml:space="preserve"> policies will not excuse or mitigate violations which </w:t>
      </w:r>
      <w:r w:rsidRPr="005D445A">
        <w:rPr>
          <w:color w:val="000000"/>
          <w:sz w:val="22"/>
          <w:szCs w:val="22"/>
        </w:rPr>
        <w:lastRenderedPageBreak/>
        <w:t>do occur.</w:t>
      </w:r>
      <w:r w:rsidRPr="005D445A">
        <w:rPr>
          <w:rStyle w:val="FootnoteReference"/>
          <w:color w:val="000000"/>
          <w:sz w:val="22"/>
          <w:szCs w:val="22"/>
        </w:rPr>
        <w:footnoteReference w:id="11"/>
      </w:r>
      <w:bookmarkStart w:id="2" w:name="sp_999_3"/>
      <w:bookmarkStart w:id="3" w:name="SDU_3"/>
      <w:r w:rsidRPr="005D445A">
        <w:rPr>
          <w:color w:val="000000"/>
          <w:sz w:val="22"/>
          <w:szCs w:val="22"/>
        </w:rPr>
        <w:t xml:space="preserve">  </w:t>
      </w:r>
      <w:r w:rsidR="0080236E" w:rsidRPr="005D445A">
        <w:rPr>
          <w:color w:val="000000"/>
          <w:sz w:val="22"/>
          <w:szCs w:val="22"/>
        </w:rPr>
        <w:t>A</w:t>
      </w:r>
      <w:r w:rsidR="009974B5" w:rsidRPr="005D445A">
        <w:rPr>
          <w:color w:val="000000"/>
          <w:sz w:val="22"/>
          <w:szCs w:val="22"/>
        </w:rPr>
        <w:t>lthough</w:t>
      </w:r>
      <w:r w:rsidRPr="005D445A">
        <w:rPr>
          <w:color w:val="000000"/>
          <w:sz w:val="22"/>
          <w:szCs w:val="22"/>
        </w:rPr>
        <w:t xml:space="preserve"> corrective actions may have been taken to prevent future violations, this does not relieve </w:t>
      </w:r>
      <w:r w:rsidR="009D2CEC" w:rsidRPr="005D445A">
        <w:rPr>
          <w:color w:val="000000"/>
          <w:sz w:val="22"/>
          <w:szCs w:val="22"/>
        </w:rPr>
        <w:t>the Station</w:t>
      </w:r>
      <w:r w:rsidRPr="005D445A">
        <w:rPr>
          <w:color w:val="000000"/>
          <w:sz w:val="22"/>
          <w:szCs w:val="22"/>
        </w:rPr>
        <w:t xml:space="preserve"> from liability for violations which have</w:t>
      </w:r>
      <w:r w:rsidR="00E81E5F" w:rsidRPr="005D445A">
        <w:rPr>
          <w:color w:val="000000"/>
          <w:sz w:val="22"/>
          <w:szCs w:val="22"/>
        </w:rPr>
        <w:t xml:space="preserve"> already</w:t>
      </w:r>
      <w:r w:rsidRPr="005D445A">
        <w:rPr>
          <w:color w:val="000000"/>
          <w:sz w:val="22"/>
          <w:szCs w:val="22"/>
        </w:rPr>
        <w:t xml:space="preserve"> occurred.</w:t>
      </w:r>
      <w:r w:rsidRPr="005D445A">
        <w:rPr>
          <w:rStyle w:val="FootnoteReference"/>
          <w:color w:val="000000"/>
          <w:sz w:val="22"/>
          <w:szCs w:val="22"/>
        </w:rPr>
        <w:footnoteReference w:id="12"/>
      </w:r>
      <w:r w:rsidRPr="005D445A">
        <w:rPr>
          <w:color w:val="000000"/>
          <w:sz w:val="22"/>
          <w:szCs w:val="22"/>
        </w:rPr>
        <w:t xml:space="preserve">  </w:t>
      </w:r>
    </w:p>
    <w:p w:rsidR="008202C9" w:rsidRPr="005D445A" w:rsidRDefault="008202C9" w:rsidP="00BC547D">
      <w:pPr>
        <w:autoSpaceDE w:val="0"/>
        <w:autoSpaceDN w:val="0"/>
        <w:adjustRightInd w:val="0"/>
        <w:spacing w:after="240"/>
        <w:ind w:firstLine="720"/>
        <w:jc w:val="both"/>
        <w:rPr>
          <w:color w:val="000000"/>
          <w:sz w:val="22"/>
          <w:szCs w:val="22"/>
        </w:rPr>
      </w:pPr>
      <w:r w:rsidRPr="005D445A">
        <w:rPr>
          <w:color w:val="000000"/>
          <w:sz w:val="22"/>
          <w:szCs w:val="22"/>
        </w:rPr>
        <w:t xml:space="preserve">Although we consider any violation of our rules limiting the amount of </w:t>
      </w:r>
      <w:bookmarkStart w:id="4" w:name="SR;1315"/>
      <w:bookmarkEnd w:id="4"/>
      <w:r w:rsidRPr="005D445A">
        <w:rPr>
          <w:color w:val="000000"/>
          <w:sz w:val="22"/>
          <w:szCs w:val="22"/>
        </w:rPr>
        <w:t>commercial matter in</w:t>
      </w:r>
      <w:bookmarkStart w:id="5" w:name="SR;1318"/>
      <w:bookmarkStart w:id="6" w:name="SR;1319"/>
      <w:bookmarkEnd w:id="5"/>
      <w:bookmarkEnd w:id="6"/>
      <w:r w:rsidRPr="005D445A">
        <w:rPr>
          <w:color w:val="000000"/>
          <w:sz w:val="22"/>
          <w:szCs w:val="22"/>
        </w:rPr>
        <w:t xml:space="preserve"> children’s programming t</w:t>
      </w:r>
      <w:r w:rsidR="0001343D" w:rsidRPr="005D445A">
        <w:rPr>
          <w:color w:val="000000"/>
          <w:sz w:val="22"/>
          <w:szCs w:val="22"/>
        </w:rPr>
        <w:t>o be significant, the violation</w:t>
      </w:r>
      <w:r w:rsidRPr="005D445A">
        <w:rPr>
          <w:color w:val="000000"/>
          <w:sz w:val="22"/>
          <w:szCs w:val="22"/>
        </w:rPr>
        <w:t xml:space="preserve"> described in your </w:t>
      </w:r>
      <w:r w:rsidR="00551605" w:rsidRPr="005D445A">
        <w:rPr>
          <w:color w:val="000000"/>
          <w:sz w:val="22"/>
          <w:szCs w:val="22"/>
        </w:rPr>
        <w:t xml:space="preserve">license </w:t>
      </w:r>
      <w:r w:rsidRPr="005D445A">
        <w:rPr>
          <w:color w:val="000000"/>
          <w:sz w:val="22"/>
          <w:szCs w:val="22"/>
        </w:rPr>
        <w:t>renewal application appear</w:t>
      </w:r>
      <w:r w:rsidR="00551605" w:rsidRPr="005D445A">
        <w:rPr>
          <w:color w:val="000000"/>
          <w:sz w:val="22"/>
          <w:szCs w:val="22"/>
        </w:rPr>
        <w:t>s</w:t>
      </w:r>
      <w:r w:rsidRPr="005D445A">
        <w:rPr>
          <w:color w:val="000000"/>
          <w:sz w:val="22"/>
          <w:szCs w:val="22"/>
        </w:rPr>
        <w:t xml:space="preserve"> to have been</w:t>
      </w:r>
      <w:r w:rsidR="0001343D" w:rsidRPr="005D445A">
        <w:rPr>
          <w:color w:val="000000"/>
          <w:sz w:val="22"/>
          <w:szCs w:val="22"/>
        </w:rPr>
        <w:t xml:space="preserve"> an</w:t>
      </w:r>
      <w:r w:rsidRPr="005D445A">
        <w:rPr>
          <w:color w:val="000000"/>
          <w:sz w:val="22"/>
          <w:szCs w:val="22"/>
        </w:rPr>
        <w:t xml:space="preserve"> isolated occurrence.  While we do not rule out more severe sanctions for </w:t>
      </w:r>
      <w:r w:rsidR="0001343D" w:rsidRPr="005D445A">
        <w:rPr>
          <w:color w:val="000000"/>
          <w:sz w:val="22"/>
          <w:szCs w:val="22"/>
        </w:rPr>
        <w:t>a similar violation</w:t>
      </w:r>
      <w:r w:rsidRPr="005D445A">
        <w:rPr>
          <w:color w:val="000000"/>
          <w:sz w:val="22"/>
          <w:szCs w:val="22"/>
        </w:rPr>
        <w:t xml:space="preserve"> of this nature in the future, we have determined that an admonition is appropriate at this time.  Therefore, based upon the facts and circumstances before us, w</w:t>
      </w:r>
      <w:bookmarkStart w:id="7" w:name="SR;1376"/>
      <w:bookmarkEnd w:id="7"/>
      <w:r w:rsidRPr="005D445A">
        <w:rPr>
          <w:color w:val="000000"/>
          <w:sz w:val="22"/>
          <w:szCs w:val="22"/>
        </w:rPr>
        <w:t xml:space="preserve">e </w:t>
      </w:r>
      <w:r w:rsidRPr="005D445A">
        <w:rPr>
          <w:b/>
          <w:color w:val="000000"/>
          <w:sz w:val="22"/>
          <w:szCs w:val="22"/>
        </w:rPr>
        <w:t>ADMONISH</w:t>
      </w:r>
      <w:r w:rsidRPr="005D445A">
        <w:rPr>
          <w:color w:val="000000"/>
          <w:sz w:val="22"/>
          <w:szCs w:val="22"/>
        </w:rPr>
        <w:t xml:space="preserve"> you for the violation of </w:t>
      </w:r>
      <w:r w:rsidR="00551605" w:rsidRPr="005D445A">
        <w:rPr>
          <w:color w:val="000000"/>
          <w:sz w:val="22"/>
          <w:szCs w:val="22"/>
        </w:rPr>
        <w:t>Section 73.670(b) of the</w:t>
      </w:r>
      <w:r w:rsidRPr="005D445A">
        <w:rPr>
          <w:color w:val="000000"/>
          <w:sz w:val="22"/>
          <w:szCs w:val="22"/>
        </w:rPr>
        <w:t xml:space="preserve"> </w:t>
      </w:r>
      <w:r w:rsidR="0001343D" w:rsidRPr="005D445A">
        <w:rPr>
          <w:color w:val="000000"/>
          <w:sz w:val="22"/>
          <w:szCs w:val="22"/>
        </w:rPr>
        <w:t xml:space="preserve">Commission’s </w:t>
      </w:r>
      <w:r w:rsidR="00551605" w:rsidRPr="005D445A">
        <w:rPr>
          <w:color w:val="000000"/>
          <w:sz w:val="22"/>
          <w:szCs w:val="22"/>
        </w:rPr>
        <w:t xml:space="preserve">website </w:t>
      </w:r>
      <w:r w:rsidR="001C0C85" w:rsidRPr="005D445A">
        <w:rPr>
          <w:color w:val="000000"/>
          <w:sz w:val="22"/>
          <w:szCs w:val="22"/>
        </w:rPr>
        <w:t>display</w:t>
      </w:r>
      <w:r w:rsidR="00551605" w:rsidRPr="005D445A">
        <w:rPr>
          <w:color w:val="000000"/>
          <w:sz w:val="22"/>
          <w:szCs w:val="22"/>
        </w:rPr>
        <w:t xml:space="preserve"> rule</w:t>
      </w:r>
      <w:r w:rsidR="001C0C85" w:rsidRPr="005D445A">
        <w:rPr>
          <w:color w:val="000000"/>
          <w:sz w:val="22"/>
          <w:szCs w:val="22"/>
        </w:rPr>
        <w:t>s</w:t>
      </w:r>
      <w:r w:rsidR="0001343D" w:rsidRPr="005D445A">
        <w:rPr>
          <w:color w:val="000000"/>
          <w:sz w:val="22"/>
          <w:szCs w:val="22"/>
        </w:rPr>
        <w:t>.</w:t>
      </w:r>
      <w:r w:rsidR="000341D3" w:rsidRPr="005D445A">
        <w:rPr>
          <w:color w:val="000000"/>
          <w:sz w:val="22"/>
          <w:szCs w:val="22"/>
        </w:rPr>
        <w:t xml:space="preserve">  </w:t>
      </w:r>
      <w:r w:rsidRPr="005D445A">
        <w:rPr>
          <w:color w:val="000000"/>
          <w:sz w:val="22"/>
          <w:szCs w:val="22"/>
        </w:rPr>
        <w:t>We remind you that the Commission expects all commercial television licensees to comply with the limits o</w:t>
      </w:r>
      <w:bookmarkStart w:id="8" w:name="SR;1416"/>
      <w:bookmarkEnd w:id="8"/>
      <w:r w:rsidRPr="005D445A">
        <w:rPr>
          <w:color w:val="000000"/>
          <w:sz w:val="22"/>
          <w:szCs w:val="22"/>
        </w:rPr>
        <w:t xml:space="preserve">n commercial matter, including the display of website addresses, </w:t>
      </w:r>
      <w:r w:rsidR="0001343D" w:rsidRPr="005D445A">
        <w:rPr>
          <w:color w:val="000000"/>
          <w:sz w:val="22"/>
          <w:szCs w:val="22"/>
        </w:rPr>
        <w:t>during</w:t>
      </w:r>
      <w:r w:rsidRPr="005D445A">
        <w:rPr>
          <w:color w:val="000000"/>
          <w:sz w:val="22"/>
          <w:szCs w:val="22"/>
        </w:rPr>
        <w:t xml:space="preserve">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rsidR="00266895" w:rsidRPr="005D445A" w:rsidRDefault="008202C9" w:rsidP="00BC547D">
      <w:pPr>
        <w:ind w:firstLine="720"/>
        <w:jc w:val="both"/>
        <w:rPr>
          <w:color w:val="000000"/>
          <w:sz w:val="22"/>
          <w:szCs w:val="22"/>
        </w:rPr>
      </w:pPr>
      <w:r w:rsidRPr="005D445A">
        <w:rPr>
          <w:color w:val="000000"/>
          <w:sz w:val="22"/>
          <w:szCs w:val="22"/>
        </w:rPr>
        <w:t xml:space="preserve">Accordingly, </w:t>
      </w:r>
      <w:r w:rsidRPr="005D445A">
        <w:rPr>
          <w:b/>
          <w:color w:val="000000"/>
          <w:sz w:val="22"/>
          <w:szCs w:val="22"/>
        </w:rPr>
        <w:t>IT IS ORDERED</w:t>
      </w:r>
      <w:r w:rsidRPr="005D445A">
        <w:rPr>
          <w:color w:val="000000"/>
          <w:sz w:val="22"/>
          <w:szCs w:val="22"/>
        </w:rPr>
        <w:t xml:space="preserve"> that, a copy of this Letter shall be sent by First Class and Certified Mail, Return Receipt Requested to the licensee at the address listed above.</w:t>
      </w:r>
      <w:r w:rsidRPr="005D445A">
        <w:rPr>
          <w:color w:val="000000"/>
          <w:sz w:val="22"/>
          <w:szCs w:val="22"/>
        </w:rPr>
        <w:br/>
      </w:r>
    </w:p>
    <w:p w:rsidR="00A3029B" w:rsidRPr="005D445A" w:rsidRDefault="00A3029B" w:rsidP="00043EC3">
      <w:pPr>
        <w:ind w:firstLine="720"/>
        <w:jc w:val="both"/>
        <w:rPr>
          <w:color w:val="000000"/>
          <w:sz w:val="22"/>
          <w:szCs w:val="22"/>
        </w:rPr>
      </w:pPr>
    </w:p>
    <w:p w:rsidR="008202C9" w:rsidRPr="005D445A" w:rsidRDefault="008202C9" w:rsidP="00043EC3">
      <w:pPr>
        <w:rPr>
          <w:sz w:val="22"/>
          <w:szCs w:val="22"/>
        </w:rPr>
      </w:pPr>
      <w:r w:rsidRPr="005D445A">
        <w:rPr>
          <w:spacing w:val="-2"/>
          <w:sz w:val="22"/>
          <w:szCs w:val="22"/>
        </w:rPr>
        <w:t xml:space="preserve"> </w:t>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t>Sincerely,</w:t>
      </w:r>
    </w:p>
    <w:p w:rsidR="008202C9" w:rsidRPr="005D445A" w:rsidRDefault="008202C9" w:rsidP="00043EC3">
      <w:pPr>
        <w:rPr>
          <w:sz w:val="22"/>
          <w:szCs w:val="22"/>
        </w:rPr>
      </w:pPr>
    </w:p>
    <w:p w:rsidR="008202C9" w:rsidRPr="005D445A" w:rsidRDefault="008202C9" w:rsidP="00043EC3">
      <w:pPr>
        <w:rPr>
          <w:sz w:val="22"/>
          <w:szCs w:val="22"/>
        </w:rPr>
      </w:pPr>
    </w:p>
    <w:p w:rsidR="008202C9" w:rsidRPr="005D445A" w:rsidRDefault="008202C9" w:rsidP="00043EC3">
      <w:pPr>
        <w:rPr>
          <w:sz w:val="22"/>
          <w:szCs w:val="22"/>
        </w:rPr>
      </w:pP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t>Barbara A. Kreisman</w:t>
      </w:r>
    </w:p>
    <w:p w:rsidR="008202C9" w:rsidRPr="005D445A" w:rsidRDefault="008202C9" w:rsidP="00043EC3">
      <w:pPr>
        <w:rPr>
          <w:sz w:val="22"/>
          <w:szCs w:val="22"/>
        </w:rPr>
      </w:pPr>
      <w:r w:rsidRPr="005D445A">
        <w:rPr>
          <w:sz w:val="22"/>
          <w:szCs w:val="22"/>
        </w:rPr>
        <w:tab/>
        <w:t xml:space="preserve">        </w:t>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t>Chief, Video Division</w:t>
      </w:r>
    </w:p>
    <w:p w:rsidR="00043EC3" w:rsidRPr="005D445A" w:rsidRDefault="008202C9" w:rsidP="00043EC3">
      <w:pPr>
        <w:rPr>
          <w:sz w:val="22"/>
          <w:szCs w:val="22"/>
        </w:rPr>
      </w:pPr>
      <w:r w:rsidRPr="005D445A">
        <w:rPr>
          <w:sz w:val="22"/>
          <w:szCs w:val="22"/>
        </w:rPr>
        <w:tab/>
        <w:t xml:space="preserve">         </w:t>
      </w:r>
      <w:r w:rsidRPr="005D445A">
        <w:rPr>
          <w:sz w:val="22"/>
          <w:szCs w:val="22"/>
        </w:rPr>
        <w:tab/>
      </w:r>
      <w:r w:rsidRPr="005D445A">
        <w:rPr>
          <w:sz w:val="22"/>
          <w:szCs w:val="22"/>
        </w:rPr>
        <w:tab/>
      </w:r>
      <w:r w:rsidRPr="005D445A">
        <w:rPr>
          <w:sz w:val="22"/>
          <w:szCs w:val="22"/>
        </w:rPr>
        <w:tab/>
      </w:r>
      <w:r w:rsidR="008857A4" w:rsidRPr="005D445A">
        <w:rPr>
          <w:sz w:val="22"/>
          <w:szCs w:val="22"/>
        </w:rPr>
        <w:tab/>
      </w:r>
      <w:r w:rsidR="003076E9" w:rsidRPr="005D445A">
        <w:rPr>
          <w:sz w:val="22"/>
          <w:szCs w:val="22"/>
        </w:rPr>
        <w:tab/>
      </w:r>
      <w:r w:rsidR="003076E9" w:rsidRPr="005D445A">
        <w:rPr>
          <w:sz w:val="22"/>
          <w:szCs w:val="22"/>
        </w:rPr>
        <w:tab/>
      </w:r>
      <w:r w:rsidR="003076E9" w:rsidRPr="005D445A">
        <w:rPr>
          <w:sz w:val="22"/>
          <w:szCs w:val="22"/>
        </w:rPr>
        <w:tab/>
        <w:t>Media Bureau</w:t>
      </w:r>
    </w:p>
    <w:p w:rsidR="00551605" w:rsidRPr="005D445A" w:rsidRDefault="00551605" w:rsidP="00043EC3">
      <w:pPr>
        <w:rPr>
          <w:sz w:val="22"/>
          <w:szCs w:val="22"/>
        </w:rPr>
      </w:pPr>
    </w:p>
    <w:p w:rsidR="00A10CDB" w:rsidRPr="005D445A" w:rsidRDefault="00006A9B" w:rsidP="00043EC3">
      <w:pPr>
        <w:rPr>
          <w:sz w:val="22"/>
          <w:szCs w:val="22"/>
        </w:rPr>
      </w:pPr>
      <w:r w:rsidRPr="005D445A">
        <w:rPr>
          <w:sz w:val="22"/>
          <w:szCs w:val="22"/>
        </w:rPr>
        <w:t xml:space="preserve">cc: </w:t>
      </w:r>
    </w:p>
    <w:p w:rsidR="00A10CDB" w:rsidRPr="005D445A" w:rsidRDefault="004C37AD" w:rsidP="00043EC3">
      <w:pPr>
        <w:rPr>
          <w:sz w:val="22"/>
          <w:szCs w:val="22"/>
        </w:rPr>
      </w:pPr>
      <w:r w:rsidRPr="005D445A">
        <w:rPr>
          <w:sz w:val="22"/>
          <w:szCs w:val="22"/>
        </w:rPr>
        <w:t>Stephen Hartzell</w:t>
      </w:r>
    </w:p>
    <w:p w:rsidR="00A10CDB" w:rsidRPr="005D445A" w:rsidRDefault="00A10CDB" w:rsidP="00043EC3">
      <w:pPr>
        <w:rPr>
          <w:sz w:val="22"/>
          <w:szCs w:val="22"/>
        </w:rPr>
      </w:pPr>
      <w:r w:rsidRPr="005D445A">
        <w:rPr>
          <w:sz w:val="22"/>
          <w:szCs w:val="22"/>
        </w:rPr>
        <w:t>Brooks, Pierce, et al.</w:t>
      </w:r>
    </w:p>
    <w:p w:rsidR="00A10CDB" w:rsidRPr="005D445A" w:rsidRDefault="00A10CDB" w:rsidP="00043EC3">
      <w:pPr>
        <w:rPr>
          <w:sz w:val="22"/>
          <w:szCs w:val="22"/>
        </w:rPr>
      </w:pPr>
      <w:r w:rsidRPr="005D445A">
        <w:rPr>
          <w:sz w:val="22"/>
          <w:szCs w:val="22"/>
        </w:rPr>
        <w:t>P.O. Box 1800</w:t>
      </w:r>
    </w:p>
    <w:p w:rsidR="00CB4582" w:rsidRPr="005D445A" w:rsidRDefault="00A10CDB" w:rsidP="00792A7E">
      <w:pPr>
        <w:rPr>
          <w:sz w:val="22"/>
          <w:szCs w:val="22"/>
        </w:rPr>
      </w:pPr>
      <w:r w:rsidRPr="005D445A">
        <w:rPr>
          <w:sz w:val="22"/>
          <w:szCs w:val="22"/>
        </w:rPr>
        <w:t>Raleigh, North Carolina 27602</w:t>
      </w:r>
      <w:r w:rsidR="00CB4582" w:rsidRPr="005D445A">
        <w:rPr>
          <w:sz w:val="22"/>
          <w:szCs w:val="22"/>
        </w:rPr>
        <w:t xml:space="preserve"> </w:t>
      </w:r>
    </w:p>
    <w:sectPr w:rsidR="00CB4582" w:rsidRPr="005D445A" w:rsidSect="0013666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A5" w:rsidRDefault="001D5EA5">
      <w:r>
        <w:separator/>
      </w:r>
    </w:p>
  </w:endnote>
  <w:endnote w:type="continuationSeparator" w:id="0">
    <w:p w:rsidR="001D5EA5" w:rsidRDefault="001D5EA5">
      <w:r>
        <w:continuationSeparator/>
      </w:r>
    </w:p>
  </w:endnote>
  <w:endnote w:type="continuationNotice" w:id="1">
    <w:p w:rsidR="001D5EA5" w:rsidRDefault="001D5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6E" w:rsidRDefault="0013666E" w:rsidP="00672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66E" w:rsidRDefault="001366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6E" w:rsidRDefault="0013666E" w:rsidP="00672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0D12">
      <w:rPr>
        <w:rStyle w:val="PageNumber"/>
        <w:noProof/>
      </w:rPr>
      <w:t>2</w:t>
    </w:r>
    <w:r>
      <w:rPr>
        <w:rStyle w:val="PageNumber"/>
      </w:rPr>
      <w:fldChar w:fldCharType="end"/>
    </w:r>
  </w:p>
  <w:p w:rsidR="0013666E" w:rsidRDefault="0013666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89" w:rsidRDefault="00DD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A5" w:rsidRDefault="001D5EA5">
      <w:r>
        <w:separator/>
      </w:r>
    </w:p>
  </w:footnote>
  <w:footnote w:type="continuationSeparator" w:id="0">
    <w:p w:rsidR="001D5EA5" w:rsidRDefault="001D5EA5">
      <w:r>
        <w:continuationSeparator/>
      </w:r>
    </w:p>
  </w:footnote>
  <w:footnote w:type="continuationNotice" w:id="1">
    <w:p w:rsidR="001D5EA5" w:rsidRDefault="001D5EA5"/>
  </w:footnote>
  <w:footnote w:id="2">
    <w:p w:rsidR="0013666E" w:rsidRPr="00205327" w:rsidRDefault="0013666E" w:rsidP="00442461">
      <w:pPr>
        <w:pStyle w:val="FootnoteText"/>
        <w:spacing w:after="120"/>
        <w:jc w:val="both"/>
      </w:pPr>
      <w:r w:rsidRPr="00205327">
        <w:rPr>
          <w:rStyle w:val="FootnoteReference"/>
        </w:rPr>
        <w:footnoteRef/>
      </w:r>
      <w:r w:rsidRPr="00205327">
        <w:t xml:space="preserve"> File No. BRCDT-</w:t>
      </w:r>
      <w:r w:rsidR="00807875" w:rsidRPr="00205327">
        <w:t>20130930BJM (“KWWL</w:t>
      </w:r>
      <w:r>
        <w:t xml:space="preserve"> </w:t>
      </w:r>
      <w:r w:rsidRPr="00205327">
        <w:t>Renewal”).</w:t>
      </w:r>
    </w:p>
  </w:footnote>
  <w:footnote w:id="3">
    <w:p w:rsidR="0013666E" w:rsidRPr="00205327" w:rsidRDefault="0013666E" w:rsidP="00442461">
      <w:pPr>
        <w:pStyle w:val="FootnoteText"/>
        <w:keepLines/>
        <w:spacing w:after="120"/>
        <w:jc w:val="both"/>
      </w:pPr>
      <w:r w:rsidRPr="00205327">
        <w:rPr>
          <w:rStyle w:val="FootnoteReference"/>
        </w:rPr>
        <w:footnoteRef/>
      </w:r>
      <w:r w:rsidRPr="00205327">
        <w:t xml:space="preserve"> </w:t>
      </w:r>
      <w:r w:rsidR="000E18AB" w:rsidRPr="000E18AB">
        <w:rPr>
          <w:i/>
        </w:rPr>
        <w:t>See</w:t>
      </w:r>
      <w:r w:rsidR="000E18AB">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t xml:space="preserve"> </w:t>
      </w:r>
      <w:r w:rsidRPr="00205327">
        <w:t xml:space="preserve">6 FCC Rcd 2111 (1991), </w:t>
      </w:r>
      <w:r w:rsidRPr="00205327">
        <w:rPr>
          <w:i/>
        </w:rPr>
        <w:t>recon. granted in part</w:t>
      </w:r>
      <w:r w:rsidRPr="00205327">
        <w:t xml:space="preserve">, Memorandum Opinion and Order, 6 FCC Rcd 5093 (1991).  </w:t>
      </w:r>
    </w:p>
  </w:footnote>
  <w:footnote w:id="4">
    <w:p w:rsidR="0013666E" w:rsidRPr="00205327" w:rsidRDefault="0013666E" w:rsidP="00442461">
      <w:pPr>
        <w:pStyle w:val="FootnoteText"/>
        <w:keepLines/>
        <w:spacing w:after="120"/>
        <w:jc w:val="both"/>
      </w:pPr>
      <w:r w:rsidRPr="00205327">
        <w:rPr>
          <w:rStyle w:val="FootnoteReference"/>
        </w:rPr>
        <w:footnoteRef/>
      </w:r>
      <w:r w:rsidRPr="00205327">
        <w:t xml:space="preserve"> </w:t>
      </w:r>
      <w:r w:rsidR="000E18AB" w:rsidRPr="000E18AB">
        <w:rPr>
          <w:i/>
        </w:rPr>
        <w:t>See</w:t>
      </w:r>
      <w:r w:rsidR="000E18AB">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5">
    <w:p w:rsidR="0013666E" w:rsidRPr="00205327" w:rsidRDefault="0013666E" w:rsidP="00442461">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rsidR="007C6140">
        <w:t>-78, ¶¶ 29-32</w:t>
      </w:r>
      <w:r w:rsidRPr="00205327">
        <w:t xml:space="preserve"> (2006) (“</w:t>
      </w:r>
      <w:r w:rsidRPr="00205327">
        <w:rPr>
          <w:i/>
        </w:rPr>
        <w:t>2006 Order on Reconsideration</w:t>
      </w:r>
      <w:r>
        <w:t>”); see also 47 C.F.R. §73.670(b), (c), and (d).</w:t>
      </w:r>
      <w:r w:rsidRPr="00205327">
        <w:t xml:space="preserve"> </w:t>
      </w:r>
    </w:p>
  </w:footnote>
  <w:footnote w:id="6">
    <w:p w:rsidR="0013666E" w:rsidRPr="00205327" w:rsidRDefault="0013666E" w:rsidP="00442461">
      <w:pPr>
        <w:pStyle w:val="FootnoteText"/>
        <w:spacing w:after="120"/>
        <w:jc w:val="both"/>
      </w:pPr>
      <w:r w:rsidRPr="00205327">
        <w:rPr>
          <w:rStyle w:val="FootnoteReference"/>
        </w:rPr>
        <w:footnoteRef/>
      </w:r>
      <w:r w:rsidRPr="00205327">
        <w:t xml:space="preserve"> </w:t>
      </w:r>
      <w:r w:rsidR="000E18AB" w:rsidRPr="000E18AB">
        <w:rPr>
          <w:i/>
        </w:rPr>
        <w:t>See</w:t>
      </w:r>
      <w:r w:rsidR="000E18AB">
        <w:t xml:space="preserve"> </w:t>
      </w:r>
      <w:r w:rsidRPr="00205327">
        <w:rPr>
          <w:i/>
        </w:rPr>
        <w:t>2004 Report and Order</w:t>
      </w:r>
      <w:r w:rsidRPr="00205327">
        <w:t>, 19 FCC Rcd at 2296</w:t>
      </w:r>
      <w:r w:rsidR="007C6140">
        <w:t>1, ¶ 50</w:t>
      </w:r>
      <w:r w:rsidRPr="00205327">
        <w:t>; 47 C.F.R. § 73.670, note 2.</w:t>
      </w:r>
    </w:p>
  </w:footnote>
  <w:footnote w:id="7">
    <w:p w:rsidR="0013666E" w:rsidRPr="00807875" w:rsidRDefault="0013666E" w:rsidP="00442461">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 xml:space="preserve">went on to clarify that “broadcasters are free to display the addresses of website that do not comply with the [four-prong] test during allowable commercial time, as long as it is adequately separated from the program material.”  </w:t>
      </w:r>
      <w:r w:rsidRPr="00807875">
        <w:rPr>
          <w:i/>
        </w:rPr>
        <w:t>2006 Order on Reconsideration</w:t>
      </w:r>
      <w:r w:rsidRPr="00807875">
        <w:t>, 21 FCC Rcd at 11078</w:t>
      </w:r>
      <w:r w:rsidR="007C6140">
        <w:t>, ¶ 32</w:t>
      </w:r>
      <w:r w:rsidRPr="00807875">
        <w:t xml:space="preserve">.  </w:t>
      </w:r>
    </w:p>
  </w:footnote>
  <w:footnote w:id="8">
    <w:p w:rsidR="0013666E" w:rsidRPr="00807875" w:rsidRDefault="0013666E" w:rsidP="00442461">
      <w:pPr>
        <w:pStyle w:val="FootnoteText"/>
        <w:keepLines/>
        <w:spacing w:after="120"/>
        <w:jc w:val="both"/>
      </w:pPr>
      <w:r w:rsidRPr="00807875">
        <w:rPr>
          <w:rStyle w:val="FootnoteReference"/>
        </w:rPr>
        <w:footnoteRef/>
      </w:r>
      <w:r w:rsidRPr="00807875">
        <w:t xml:space="preserve"> </w:t>
      </w:r>
      <w:r w:rsidR="00807875" w:rsidRPr="00807875">
        <w:t>KWWL</w:t>
      </w:r>
      <w:r>
        <w:t xml:space="preserve"> R</w:t>
      </w:r>
      <w:r w:rsidRPr="00807875">
        <w:t>enewal, Exhibit 22.</w:t>
      </w:r>
    </w:p>
  </w:footnote>
  <w:footnote w:id="9">
    <w:p w:rsidR="0013666E" w:rsidRPr="00807875" w:rsidRDefault="0013666E" w:rsidP="00442461">
      <w:pPr>
        <w:autoSpaceDE w:val="0"/>
        <w:autoSpaceDN w:val="0"/>
        <w:adjustRightInd w:val="0"/>
        <w:spacing w:after="120"/>
        <w:jc w:val="both"/>
        <w:rPr>
          <w:i/>
          <w:iCs/>
        </w:rPr>
      </w:pPr>
      <w:r w:rsidRPr="00807875">
        <w:rPr>
          <w:rStyle w:val="FootnoteReference"/>
        </w:rPr>
        <w:footnoteRef/>
      </w:r>
      <w:r w:rsidRPr="00807875">
        <w:t xml:space="preserve"> </w:t>
      </w:r>
      <w:r w:rsidRPr="00807875">
        <w:rPr>
          <w:i/>
        </w:rPr>
        <w:t>Id.</w:t>
      </w:r>
      <w:r w:rsidR="000E7EF9">
        <w:t xml:space="preserve"> at p. 2 </w:t>
      </w:r>
      <w:r w:rsidRPr="00807875">
        <w:t xml:space="preserve">(citing </w:t>
      </w:r>
      <w:r w:rsidRPr="00807875">
        <w:rPr>
          <w:i/>
          <w:iCs/>
        </w:rPr>
        <w:t>see, e.g.</w:t>
      </w:r>
      <w:r w:rsidRPr="00807875">
        <w:t xml:space="preserve">, </w:t>
      </w:r>
      <w:r w:rsidRPr="00807875">
        <w:rPr>
          <w:i/>
          <w:iCs/>
        </w:rPr>
        <w:t>Winston Broadcasting Network, Inc.</w:t>
      </w:r>
      <w:r w:rsidRPr="00807875">
        <w:t xml:space="preserve">, </w:t>
      </w:r>
      <w:r w:rsidR="000E7EF9">
        <w:t xml:space="preserve">Admonishment </w:t>
      </w:r>
      <w:r w:rsidRPr="00807875">
        <w:t xml:space="preserve">Letter, </w:t>
      </w:r>
      <w:r w:rsidR="000E7EF9">
        <w:t xml:space="preserve">28 FCC Rcd 15627 </w:t>
      </w:r>
      <w:r w:rsidR="000E7EF9" w:rsidRPr="00807875">
        <w:t>(</w:t>
      </w:r>
      <w:r w:rsidR="000E7EF9">
        <w:t xml:space="preserve">Vid. Div. </w:t>
      </w:r>
      <w:r w:rsidR="000E7EF9" w:rsidRPr="00807875">
        <w:t>2013)</w:t>
      </w:r>
      <w:r w:rsidR="000E7EF9">
        <w:t xml:space="preserve"> </w:t>
      </w:r>
      <w:r w:rsidRPr="00807875">
        <w:t>(admonishing television station in</w:t>
      </w:r>
      <w:r w:rsidRPr="00807875">
        <w:rPr>
          <w:i/>
          <w:iCs/>
        </w:rPr>
        <w:t xml:space="preserve"> </w:t>
      </w:r>
      <w:r w:rsidRPr="00807875">
        <w:t xml:space="preserve">connection with the Xiaolin Showdown incident); </w:t>
      </w:r>
      <w:r w:rsidRPr="00807875">
        <w:rPr>
          <w:i/>
          <w:iCs/>
        </w:rPr>
        <w:t>WAOW-WYOW Television, Inc.</w:t>
      </w:r>
      <w:r w:rsidRPr="00807875">
        <w:t xml:space="preserve">, </w:t>
      </w:r>
      <w:r w:rsidR="000E7EF9">
        <w:t xml:space="preserve">Admonishment </w:t>
      </w:r>
      <w:r w:rsidR="000E7EF9" w:rsidRPr="00807875">
        <w:t xml:space="preserve">Letter, </w:t>
      </w:r>
      <w:r w:rsidR="000E7EF9">
        <w:t>29 FCC Rcd 133</w:t>
      </w:r>
      <w:r w:rsidR="000E7EF9" w:rsidRPr="00807875">
        <w:rPr>
          <w:i/>
          <w:iCs/>
        </w:rPr>
        <w:t xml:space="preserve"> </w:t>
      </w:r>
      <w:r w:rsidR="000E7EF9" w:rsidRPr="00807875">
        <w:t>(</w:t>
      </w:r>
      <w:r w:rsidR="000E7EF9">
        <w:t>Vid. Div.</w:t>
      </w:r>
      <w:r w:rsidR="000E7EF9" w:rsidRPr="00807875">
        <w:t xml:space="preserve"> 2014) </w:t>
      </w:r>
      <w:r w:rsidRPr="00807875">
        <w:t>(same)).</w:t>
      </w:r>
    </w:p>
  </w:footnote>
  <w:footnote w:id="10">
    <w:p w:rsidR="0013666E" w:rsidRPr="00205327" w:rsidRDefault="0013666E" w:rsidP="00442461">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rsidR="007C6140">
        <w:t>, ¶ 36</w:t>
      </w:r>
      <w:r w:rsidRPr="00807875">
        <w:t>.</w:t>
      </w:r>
    </w:p>
  </w:footnote>
  <w:footnote w:id="11">
    <w:p w:rsidR="0013666E" w:rsidRPr="00205327" w:rsidRDefault="0013666E" w:rsidP="00442461">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rsidR="000E7EF9">
        <w:t xml:space="preserve">Admonishment </w:t>
      </w:r>
      <w:r w:rsidRPr="00205327">
        <w:t>Letter, 22 FCC Rcd 11968 (</w:t>
      </w:r>
      <w:r w:rsidR="000E7EF9">
        <w:t xml:space="preserve">Vid. Div. </w:t>
      </w:r>
      <w:r w:rsidRPr="00205327">
        <w:t xml:space="preserve">2007); </w:t>
      </w:r>
      <w:r w:rsidRPr="00205327">
        <w:rPr>
          <w:i/>
        </w:rPr>
        <w:t>Max Television of Syracuse, L.P.</w:t>
      </w:r>
      <w:r w:rsidRPr="00205327">
        <w:t xml:space="preserve">, </w:t>
      </w:r>
      <w:r w:rsidR="008A3CBF">
        <w:t xml:space="preserve">Notice of Apparent Liability for Forfeiture, </w:t>
      </w:r>
      <w:r w:rsidRPr="00205327">
        <w:t>10 FCC</w:t>
      </w:r>
      <w:r w:rsidR="008A3CBF">
        <w:t xml:space="preserve"> Rcd</w:t>
      </w:r>
      <w:r w:rsidRPr="00205327">
        <w:t xml:space="preserve"> 8905 (</w:t>
      </w:r>
      <w:r w:rsidR="008A3CBF">
        <w:t xml:space="preserve">MMB </w:t>
      </w:r>
      <w:r w:rsidRPr="00205327">
        <w:t>1995)</w:t>
      </w:r>
      <w:r w:rsidR="008A3CBF">
        <w:t>.</w:t>
      </w:r>
    </w:p>
  </w:footnote>
  <w:footnote w:id="12">
    <w:p w:rsidR="0013666E" w:rsidRPr="00205327" w:rsidRDefault="0013666E" w:rsidP="00442461">
      <w:pPr>
        <w:pStyle w:val="FootnoteText"/>
        <w:keepLines/>
        <w:spacing w:after="120"/>
        <w:jc w:val="both"/>
      </w:pPr>
      <w:r w:rsidRPr="00205327">
        <w:rPr>
          <w:rStyle w:val="FootnoteReference"/>
        </w:rPr>
        <w:footnoteRef/>
      </w:r>
      <w:r w:rsidRPr="00205327">
        <w:t xml:space="preserve"> </w:t>
      </w:r>
      <w:r w:rsidRPr="00205327">
        <w:rPr>
          <w:i/>
        </w:rPr>
        <w:t>See International Broadcasting Corp.</w:t>
      </w:r>
      <w:r w:rsidRPr="00205327">
        <w:t xml:space="preserve">, </w:t>
      </w:r>
      <w:r w:rsidR="000E7EF9">
        <w:t xml:space="preserve">Memorandum Opinion and Order, </w:t>
      </w:r>
      <w:r w:rsidRPr="00205327">
        <w:t>19 FCC 2d 793, 794 (1969) (permitting mitigation as an excuse based upon corrective action following a violation would “tend to encourage remedial rather than preventive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89" w:rsidRDefault="00DD3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89" w:rsidRDefault="00DD3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6E" w:rsidRDefault="008B0D12">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69342782" r:id="rId2"/>
      </w:pict>
    </w:r>
    <w:r w:rsidR="0013666E">
      <w:rPr>
        <w:rFonts w:ascii="CG Times (W1)" w:hAnsi="CG Times (W1)"/>
        <w:sz w:val="28"/>
      </w:rPr>
      <w:t>Federal Communications Commission</w:t>
    </w:r>
  </w:p>
  <w:p w:rsidR="0013666E" w:rsidRDefault="0013666E">
    <w:pPr>
      <w:jc w:val="center"/>
      <w:rPr>
        <w:rFonts w:ascii="CG Times (W1)" w:hAnsi="CG Times (W1)"/>
        <w:sz w:val="28"/>
      </w:rPr>
    </w:pPr>
    <w:r>
      <w:rPr>
        <w:rFonts w:ascii="CG Times (W1)" w:hAnsi="CG Times (W1)"/>
        <w:sz w:val="28"/>
      </w:rPr>
      <w:t>Washington, D.C. 20554</w:t>
    </w:r>
  </w:p>
  <w:p w:rsidR="0013666E" w:rsidRDefault="0013666E" w:rsidP="00E749F5">
    <w:pPr>
      <w:rPr>
        <w:rFonts w:ascii="CG Times (W1)" w:hAnsi="CG Times (W1)"/>
        <w:sz w:val="28"/>
      </w:rPr>
    </w:pPr>
  </w:p>
  <w:p w:rsidR="0013666E" w:rsidRDefault="0037620F">
    <w:pPr>
      <w:pStyle w:val="Header"/>
      <w:tabs>
        <w:tab w:val="clear" w:pos="4320"/>
      </w:tabs>
      <w:jc w:val="center"/>
      <w:rPr>
        <w:sz w:val="22"/>
      </w:rPr>
    </w:pPr>
    <w:r>
      <w:rPr>
        <w:sz w:val="22"/>
      </w:rPr>
      <w:t>August 12</w:t>
    </w:r>
    <w:r w:rsidR="0013666E">
      <w:rPr>
        <w:sz w:val="22"/>
      </w:rPr>
      <w:t>, 2014</w:t>
    </w:r>
  </w:p>
  <w:p w:rsidR="0013666E" w:rsidRDefault="0013666E">
    <w:pPr>
      <w:pStyle w:val="Header"/>
      <w:tabs>
        <w:tab w:val="clear" w:pos="4320"/>
      </w:tabs>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B00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611D0C"/>
    <w:multiLevelType w:val="hybridMultilevel"/>
    <w:tmpl w:val="3E0EEDF0"/>
    <w:lvl w:ilvl="0" w:tplc="6728D9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DE6A5C"/>
    <w:multiLevelType w:val="hybridMultilevel"/>
    <w:tmpl w:val="C75CB916"/>
    <w:lvl w:ilvl="0" w:tplc="50A67C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182925"/>
    <w:multiLevelType w:val="singleLevel"/>
    <w:tmpl w:val="CE483826"/>
    <w:lvl w:ilvl="0">
      <w:start w:val="1"/>
      <w:numFmt w:val="decimal"/>
      <w:pStyle w:val="ParaNum"/>
      <w:lvlText w:val="%1."/>
      <w:lvlJc w:val="left"/>
      <w:pPr>
        <w:tabs>
          <w:tab w:val="num" w:pos="1260"/>
        </w:tabs>
        <w:ind w:left="180" w:firstLine="720"/>
      </w:pPr>
      <w:rPr>
        <w:b w:val="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632"/>
    <w:rsid w:val="0000108B"/>
    <w:rsid w:val="0000407D"/>
    <w:rsid w:val="00006A9B"/>
    <w:rsid w:val="0001060C"/>
    <w:rsid w:val="00010FFF"/>
    <w:rsid w:val="000118A1"/>
    <w:rsid w:val="00012F84"/>
    <w:rsid w:val="0001343D"/>
    <w:rsid w:val="00024E3C"/>
    <w:rsid w:val="00033259"/>
    <w:rsid w:val="000341D3"/>
    <w:rsid w:val="0004196D"/>
    <w:rsid w:val="00043EC3"/>
    <w:rsid w:val="00062B45"/>
    <w:rsid w:val="000728A0"/>
    <w:rsid w:val="00072C55"/>
    <w:rsid w:val="00075649"/>
    <w:rsid w:val="00090422"/>
    <w:rsid w:val="00092BA5"/>
    <w:rsid w:val="00093B7C"/>
    <w:rsid w:val="000A14D6"/>
    <w:rsid w:val="000A470B"/>
    <w:rsid w:val="000B2849"/>
    <w:rsid w:val="000B5C3D"/>
    <w:rsid w:val="000B7D47"/>
    <w:rsid w:val="000C18EF"/>
    <w:rsid w:val="000E0443"/>
    <w:rsid w:val="000E18AB"/>
    <w:rsid w:val="000E4D2B"/>
    <w:rsid w:val="000E7EF9"/>
    <w:rsid w:val="000F0527"/>
    <w:rsid w:val="000F27F5"/>
    <w:rsid w:val="00100B7A"/>
    <w:rsid w:val="00104B57"/>
    <w:rsid w:val="0011563A"/>
    <w:rsid w:val="001249F3"/>
    <w:rsid w:val="0013012E"/>
    <w:rsid w:val="00135AFA"/>
    <w:rsid w:val="0013666C"/>
    <w:rsid w:val="0013666E"/>
    <w:rsid w:val="00147458"/>
    <w:rsid w:val="00153FAD"/>
    <w:rsid w:val="00161E2B"/>
    <w:rsid w:val="00170DE2"/>
    <w:rsid w:val="00196E7E"/>
    <w:rsid w:val="00197DE8"/>
    <w:rsid w:val="001A6AAA"/>
    <w:rsid w:val="001B14B9"/>
    <w:rsid w:val="001B47C2"/>
    <w:rsid w:val="001C0C85"/>
    <w:rsid w:val="001C32B2"/>
    <w:rsid w:val="001D1DFF"/>
    <w:rsid w:val="001D3849"/>
    <w:rsid w:val="001D5EA5"/>
    <w:rsid w:val="001E2B58"/>
    <w:rsid w:val="00200937"/>
    <w:rsid w:val="002043E8"/>
    <w:rsid w:val="00205327"/>
    <w:rsid w:val="00236827"/>
    <w:rsid w:val="0024340B"/>
    <w:rsid w:val="00245AD9"/>
    <w:rsid w:val="00253728"/>
    <w:rsid w:val="00254E35"/>
    <w:rsid w:val="0026346F"/>
    <w:rsid w:val="00266895"/>
    <w:rsid w:val="00275988"/>
    <w:rsid w:val="002834ED"/>
    <w:rsid w:val="002924EA"/>
    <w:rsid w:val="00294DBF"/>
    <w:rsid w:val="002B1C90"/>
    <w:rsid w:val="002B1E2B"/>
    <w:rsid w:val="002B76D3"/>
    <w:rsid w:val="002B7C46"/>
    <w:rsid w:val="002C4A8C"/>
    <w:rsid w:val="002E7632"/>
    <w:rsid w:val="00303D16"/>
    <w:rsid w:val="003076E9"/>
    <w:rsid w:val="00322882"/>
    <w:rsid w:val="00324690"/>
    <w:rsid w:val="00331647"/>
    <w:rsid w:val="00332762"/>
    <w:rsid w:val="003367E9"/>
    <w:rsid w:val="00336F20"/>
    <w:rsid w:val="00360E59"/>
    <w:rsid w:val="003610A2"/>
    <w:rsid w:val="003612EB"/>
    <w:rsid w:val="00371D15"/>
    <w:rsid w:val="0037620F"/>
    <w:rsid w:val="0037692A"/>
    <w:rsid w:val="003846C6"/>
    <w:rsid w:val="0038546F"/>
    <w:rsid w:val="00386D32"/>
    <w:rsid w:val="00391A9E"/>
    <w:rsid w:val="00393FF9"/>
    <w:rsid w:val="0039585A"/>
    <w:rsid w:val="00395C8B"/>
    <w:rsid w:val="003A6793"/>
    <w:rsid w:val="003B7683"/>
    <w:rsid w:val="003D3904"/>
    <w:rsid w:val="003D4B01"/>
    <w:rsid w:val="003D66FA"/>
    <w:rsid w:val="003E1B6A"/>
    <w:rsid w:val="003E2136"/>
    <w:rsid w:val="003E2509"/>
    <w:rsid w:val="003E549F"/>
    <w:rsid w:val="00405E83"/>
    <w:rsid w:val="00421F9D"/>
    <w:rsid w:val="00422878"/>
    <w:rsid w:val="00430F77"/>
    <w:rsid w:val="00435E83"/>
    <w:rsid w:val="00436210"/>
    <w:rsid w:val="00442461"/>
    <w:rsid w:val="004506A2"/>
    <w:rsid w:val="00453D80"/>
    <w:rsid w:val="00456605"/>
    <w:rsid w:val="0046281B"/>
    <w:rsid w:val="004649AA"/>
    <w:rsid w:val="00482A45"/>
    <w:rsid w:val="00486E0F"/>
    <w:rsid w:val="004914ED"/>
    <w:rsid w:val="004928BE"/>
    <w:rsid w:val="004A20BE"/>
    <w:rsid w:val="004A5388"/>
    <w:rsid w:val="004B7151"/>
    <w:rsid w:val="004C05FB"/>
    <w:rsid w:val="004C083D"/>
    <w:rsid w:val="004C37AD"/>
    <w:rsid w:val="004D4A8D"/>
    <w:rsid w:val="004D582B"/>
    <w:rsid w:val="004D6B2F"/>
    <w:rsid w:val="004F1E98"/>
    <w:rsid w:val="004F6310"/>
    <w:rsid w:val="00500199"/>
    <w:rsid w:val="005004DB"/>
    <w:rsid w:val="0050499A"/>
    <w:rsid w:val="00516488"/>
    <w:rsid w:val="00526FE6"/>
    <w:rsid w:val="00531CF4"/>
    <w:rsid w:val="00551605"/>
    <w:rsid w:val="00556552"/>
    <w:rsid w:val="00557715"/>
    <w:rsid w:val="00562404"/>
    <w:rsid w:val="0056371F"/>
    <w:rsid w:val="005640CB"/>
    <w:rsid w:val="00564632"/>
    <w:rsid w:val="00573098"/>
    <w:rsid w:val="005776A1"/>
    <w:rsid w:val="005823D6"/>
    <w:rsid w:val="005913CA"/>
    <w:rsid w:val="005A3C41"/>
    <w:rsid w:val="005B0E55"/>
    <w:rsid w:val="005C1541"/>
    <w:rsid w:val="005C200D"/>
    <w:rsid w:val="005D0924"/>
    <w:rsid w:val="005D445A"/>
    <w:rsid w:val="005D4D1C"/>
    <w:rsid w:val="005F4174"/>
    <w:rsid w:val="005F5E72"/>
    <w:rsid w:val="00600470"/>
    <w:rsid w:val="006028F9"/>
    <w:rsid w:val="00603CC7"/>
    <w:rsid w:val="00613486"/>
    <w:rsid w:val="00641116"/>
    <w:rsid w:val="006536C8"/>
    <w:rsid w:val="006575B9"/>
    <w:rsid w:val="00660E23"/>
    <w:rsid w:val="00661EE6"/>
    <w:rsid w:val="00665A45"/>
    <w:rsid w:val="00672994"/>
    <w:rsid w:val="006742A0"/>
    <w:rsid w:val="00681118"/>
    <w:rsid w:val="00681FE4"/>
    <w:rsid w:val="006942EF"/>
    <w:rsid w:val="00697404"/>
    <w:rsid w:val="006B0810"/>
    <w:rsid w:val="006B3D64"/>
    <w:rsid w:val="006B7B7B"/>
    <w:rsid w:val="006C3811"/>
    <w:rsid w:val="006D3546"/>
    <w:rsid w:val="006E422C"/>
    <w:rsid w:val="00706898"/>
    <w:rsid w:val="007160DC"/>
    <w:rsid w:val="00722B66"/>
    <w:rsid w:val="0072471E"/>
    <w:rsid w:val="00736DD8"/>
    <w:rsid w:val="00745684"/>
    <w:rsid w:val="00747182"/>
    <w:rsid w:val="00760806"/>
    <w:rsid w:val="00762A86"/>
    <w:rsid w:val="007668EB"/>
    <w:rsid w:val="007712FA"/>
    <w:rsid w:val="00772D05"/>
    <w:rsid w:val="00775C94"/>
    <w:rsid w:val="00777865"/>
    <w:rsid w:val="007808DC"/>
    <w:rsid w:val="00781984"/>
    <w:rsid w:val="0078660A"/>
    <w:rsid w:val="00792A7E"/>
    <w:rsid w:val="0079636D"/>
    <w:rsid w:val="007A2D37"/>
    <w:rsid w:val="007A3D4A"/>
    <w:rsid w:val="007A4D48"/>
    <w:rsid w:val="007B5B80"/>
    <w:rsid w:val="007C10BF"/>
    <w:rsid w:val="007C2677"/>
    <w:rsid w:val="007C3684"/>
    <w:rsid w:val="007C6140"/>
    <w:rsid w:val="007D27CE"/>
    <w:rsid w:val="007D6ADA"/>
    <w:rsid w:val="007E6F22"/>
    <w:rsid w:val="0080236E"/>
    <w:rsid w:val="008041FB"/>
    <w:rsid w:val="00807875"/>
    <w:rsid w:val="00812D36"/>
    <w:rsid w:val="008151BF"/>
    <w:rsid w:val="008202C9"/>
    <w:rsid w:val="00825C33"/>
    <w:rsid w:val="008431F1"/>
    <w:rsid w:val="00845E0F"/>
    <w:rsid w:val="008515D2"/>
    <w:rsid w:val="00862809"/>
    <w:rsid w:val="008646C0"/>
    <w:rsid w:val="008662B5"/>
    <w:rsid w:val="008718F6"/>
    <w:rsid w:val="00882613"/>
    <w:rsid w:val="008857A4"/>
    <w:rsid w:val="008A3CBF"/>
    <w:rsid w:val="008A6157"/>
    <w:rsid w:val="008B0D12"/>
    <w:rsid w:val="008B2B09"/>
    <w:rsid w:val="008B3FB9"/>
    <w:rsid w:val="008C0881"/>
    <w:rsid w:val="008C1C79"/>
    <w:rsid w:val="008E15D8"/>
    <w:rsid w:val="008E2517"/>
    <w:rsid w:val="008E26B9"/>
    <w:rsid w:val="008E3C92"/>
    <w:rsid w:val="008E66BE"/>
    <w:rsid w:val="008F2D85"/>
    <w:rsid w:val="008F5821"/>
    <w:rsid w:val="00901901"/>
    <w:rsid w:val="009023E0"/>
    <w:rsid w:val="009033A2"/>
    <w:rsid w:val="00903D7E"/>
    <w:rsid w:val="00903DB9"/>
    <w:rsid w:val="009145CD"/>
    <w:rsid w:val="00915C74"/>
    <w:rsid w:val="00942340"/>
    <w:rsid w:val="00943200"/>
    <w:rsid w:val="0094546E"/>
    <w:rsid w:val="00947CB7"/>
    <w:rsid w:val="00961661"/>
    <w:rsid w:val="0097671B"/>
    <w:rsid w:val="0098227C"/>
    <w:rsid w:val="0098425C"/>
    <w:rsid w:val="009872D3"/>
    <w:rsid w:val="00994EFE"/>
    <w:rsid w:val="0099550E"/>
    <w:rsid w:val="009969D6"/>
    <w:rsid w:val="009974B5"/>
    <w:rsid w:val="00997B76"/>
    <w:rsid w:val="009A0090"/>
    <w:rsid w:val="009A364B"/>
    <w:rsid w:val="009A7018"/>
    <w:rsid w:val="009B1CFE"/>
    <w:rsid w:val="009B2742"/>
    <w:rsid w:val="009C48DA"/>
    <w:rsid w:val="009D263E"/>
    <w:rsid w:val="009D2CEC"/>
    <w:rsid w:val="009D5979"/>
    <w:rsid w:val="00A033EA"/>
    <w:rsid w:val="00A05C66"/>
    <w:rsid w:val="00A10659"/>
    <w:rsid w:val="00A10CDB"/>
    <w:rsid w:val="00A11B0A"/>
    <w:rsid w:val="00A16378"/>
    <w:rsid w:val="00A16ADD"/>
    <w:rsid w:val="00A3029B"/>
    <w:rsid w:val="00A3236F"/>
    <w:rsid w:val="00A36583"/>
    <w:rsid w:val="00A55668"/>
    <w:rsid w:val="00A55CFB"/>
    <w:rsid w:val="00A60910"/>
    <w:rsid w:val="00A642A5"/>
    <w:rsid w:val="00A659A3"/>
    <w:rsid w:val="00A701AF"/>
    <w:rsid w:val="00A71A2D"/>
    <w:rsid w:val="00A9042B"/>
    <w:rsid w:val="00AA0F80"/>
    <w:rsid w:val="00AB56D3"/>
    <w:rsid w:val="00AD1704"/>
    <w:rsid w:val="00AD18AF"/>
    <w:rsid w:val="00AD1A39"/>
    <w:rsid w:val="00AE007F"/>
    <w:rsid w:val="00AE0CED"/>
    <w:rsid w:val="00AE44EF"/>
    <w:rsid w:val="00AE70B6"/>
    <w:rsid w:val="00AF3D2B"/>
    <w:rsid w:val="00AF4312"/>
    <w:rsid w:val="00AF5C36"/>
    <w:rsid w:val="00B132E4"/>
    <w:rsid w:val="00B22E0B"/>
    <w:rsid w:val="00B31D4D"/>
    <w:rsid w:val="00B37603"/>
    <w:rsid w:val="00B4343D"/>
    <w:rsid w:val="00B4443D"/>
    <w:rsid w:val="00B56C65"/>
    <w:rsid w:val="00B62DB2"/>
    <w:rsid w:val="00B63602"/>
    <w:rsid w:val="00B73774"/>
    <w:rsid w:val="00B73A98"/>
    <w:rsid w:val="00B77FFD"/>
    <w:rsid w:val="00B80454"/>
    <w:rsid w:val="00B902E4"/>
    <w:rsid w:val="00BA035C"/>
    <w:rsid w:val="00BA6230"/>
    <w:rsid w:val="00BC355E"/>
    <w:rsid w:val="00BC547D"/>
    <w:rsid w:val="00C036C0"/>
    <w:rsid w:val="00C06E73"/>
    <w:rsid w:val="00C0707C"/>
    <w:rsid w:val="00C15EA9"/>
    <w:rsid w:val="00C20EA1"/>
    <w:rsid w:val="00C273A3"/>
    <w:rsid w:val="00C31DF1"/>
    <w:rsid w:val="00C42305"/>
    <w:rsid w:val="00C45A3F"/>
    <w:rsid w:val="00C46785"/>
    <w:rsid w:val="00C54AB0"/>
    <w:rsid w:val="00C552F0"/>
    <w:rsid w:val="00C57966"/>
    <w:rsid w:val="00C61EC6"/>
    <w:rsid w:val="00C62133"/>
    <w:rsid w:val="00C671DB"/>
    <w:rsid w:val="00C82223"/>
    <w:rsid w:val="00CA202B"/>
    <w:rsid w:val="00CA3A14"/>
    <w:rsid w:val="00CB0BB8"/>
    <w:rsid w:val="00CB368A"/>
    <w:rsid w:val="00CB3820"/>
    <w:rsid w:val="00CB4582"/>
    <w:rsid w:val="00CC5178"/>
    <w:rsid w:val="00CC5FDB"/>
    <w:rsid w:val="00CD02E7"/>
    <w:rsid w:val="00CD367B"/>
    <w:rsid w:val="00CE2DCE"/>
    <w:rsid w:val="00CF19A4"/>
    <w:rsid w:val="00CF46E0"/>
    <w:rsid w:val="00D05B24"/>
    <w:rsid w:val="00D10C1C"/>
    <w:rsid w:val="00D1664A"/>
    <w:rsid w:val="00D16940"/>
    <w:rsid w:val="00D2017D"/>
    <w:rsid w:val="00D22416"/>
    <w:rsid w:val="00D34165"/>
    <w:rsid w:val="00D34A4C"/>
    <w:rsid w:val="00D36211"/>
    <w:rsid w:val="00D366B1"/>
    <w:rsid w:val="00D464E5"/>
    <w:rsid w:val="00D541B0"/>
    <w:rsid w:val="00D575C8"/>
    <w:rsid w:val="00D70A94"/>
    <w:rsid w:val="00D768C4"/>
    <w:rsid w:val="00D849DE"/>
    <w:rsid w:val="00D85AEE"/>
    <w:rsid w:val="00D925CD"/>
    <w:rsid w:val="00D93857"/>
    <w:rsid w:val="00D941BB"/>
    <w:rsid w:val="00D95A81"/>
    <w:rsid w:val="00DA4383"/>
    <w:rsid w:val="00DB297E"/>
    <w:rsid w:val="00DB37BD"/>
    <w:rsid w:val="00DB391B"/>
    <w:rsid w:val="00DD3389"/>
    <w:rsid w:val="00DD6E46"/>
    <w:rsid w:val="00DE270B"/>
    <w:rsid w:val="00DF4FBD"/>
    <w:rsid w:val="00E14569"/>
    <w:rsid w:val="00E16AC0"/>
    <w:rsid w:val="00E20FA4"/>
    <w:rsid w:val="00E31393"/>
    <w:rsid w:val="00E54BDD"/>
    <w:rsid w:val="00E5655B"/>
    <w:rsid w:val="00E609E4"/>
    <w:rsid w:val="00E6148E"/>
    <w:rsid w:val="00E66696"/>
    <w:rsid w:val="00E749F5"/>
    <w:rsid w:val="00E7519C"/>
    <w:rsid w:val="00E81E5F"/>
    <w:rsid w:val="00E843A3"/>
    <w:rsid w:val="00EA228D"/>
    <w:rsid w:val="00EB0219"/>
    <w:rsid w:val="00EB1E95"/>
    <w:rsid w:val="00EB7479"/>
    <w:rsid w:val="00EB769C"/>
    <w:rsid w:val="00ED15AA"/>
    <w:rsid w:val="00ED245B"/>
    <w:rsid w:val="00ED71E0"/>
    <w:rsid w:val="00EF3101"/>
    <w:rsid w:val="00EF628B"/>
    <w:rsid w:val="00EF6F7D"/>
    <w:rsid w:val="00F01CBF"/>
    <w:rsid w:val="00F02AA7"/>
    <w:rsid w:val="00F0679D"/>
    <w:rsid w:val="00F07041"/>
    <w:rsid w:val="00F11B4D"/>
    <w:rsid w:val="00F1218E"/>
    <w:rsid w:val="00F22863"/>
    <w:rsid w:val="00F237E8"/>
    <w:rsid w:val="00F25B96"/>
    <w:rsid w:val="00F31DD7"/>
    <w:rsid w:val="00F44360"/>
    <w:rsid w:val="00F46EAA"/>
    <w:rsid w:val="00F47A24"/>
    <w:rsid w:val="00F55793"/>
    <w:rsid w:val="00F55B61"/>
    <w:rsid w:val="00F63189"/>
    <w:rsid w:val="00F66773"/>
    <w:rsid w:val="00F706DB"/>
    <w:rsid w:val="00F72802"/>
    <w:rsid w:val="00F81677"/>
    <w:rsid w:val="00F87210"/>
    <w:rsid w:val="00F9199A"/>
    <w:rsid w:val="00F9467D"/>
    <w:rsid w:val="00FA2A8B"/>
    <w:rsid w:val="00FB660B"/>
    <w:rsid w:val="00FC47D7"/>
    <w:rsid w:val="00FD0267"/>
    <w:rsid w:val="00FE1462"/>
    <w:rsid w:val="00FF066E"/>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Garamond" w:hAnsi="Garamond"/>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4320"/>
        <w:tab w:val="left" w:pos="5040"/>
      </w:tabs>
      <w:ind w:left="5040" w:hanging="5040"/>
      <w:jc w:val="both"/>
    </w:pPr>
    <w:rPr>
      <w:rFonts w:ascii="CG Times" w:hAnsi="CG Times"/>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AHeading">
    <w:name w:val="toa heading"/>
    <w:basedOn w:val="Normal"/>
    <w:next w:val="Normal"/>
    <w:semiHidden/>
    <w:pPr>
      <w:widowControl w:val="0"/>
      <w:tabs>
        <w:tab w:val="right" w:pos="9360"/>
      </w:tabs>
      <w:suppressAutoHyphens/>
      <w:jc w:val="both"/>
    </w:pPr>
    <w:rPr>
      <w:snapToGrid w:val="0"/>
      <w:kern w:val="28"/>
      <w:sz w:val="22"/>
    </w:rPr>
  </w:style>
  <w:style w:type="paragraph" w:styleId="BodyTextIndent2">
    <w:name w:val="Body Text Indent 2"/>
    <w:basedOn w:val="Normal"/>
    <w:pPr>
      <w:ind w:firstLine="720"/>
    </w:pPr>
    <w:rPr>
      <w:sz w:val="24"/>
    </w:rPr>
  </w:style>
  <w:style w:type="character" w:styleId="PageNumber">
    <w:name w:val="page number"/>
    <w:basedOn w:val="DefaultParagraphFont"/>
  </w:style>
  <w:style w:type="paragraph" w:customStyle="1" w:styleId="factsbody">
    <w:name w:val="factsbody"/>
    <w:basedOn w:val="Normal"/>
    <w:rsid w:val="0099550E"/>
    <w:pPr>
      <w:spacing w:before="100" w:beforeAutospacing="1" w:after="100" w:afterAutospacing="1"/>
    </w:pPr>
    <w:rPr>
      <w:rFonts w:ascii="Arial" w:hAnsi="Arial" w:cs="Arial"/>
      <w:color w:val="000000"/>
      <w:sz w:val="22"/>
      <w:szCs w:val="22"/>
    </w:rPr>
  </w:style>
  <w:style w:type="paragraph" w:styleId="BalloonText">
    <w:name w:val="Balloon Text"/>
    <w:basedOn w:val="Normal"/>
    <w:semiHidden/>
    <w:rsid w:val="00775C94"/>
    <w:rPr>
      <w:rFonts w:ascii="Tahoma" w:hAnsi="Tahoma" w:cs="Tahoma"/>
      <w:sz w:val="16"/>
      <w:szCs w:val="16"/>
    </w:rPr>
  </w:style>
  <w:style w:type="character" w:styleId="Hyperlink">
    <w:name w:val="Hyperlink"/>
    <w:rsid w:val="00531CF4"/>
    <w:rPr>
      <w:color w:val="0000FF"/>
      <w:u w:val="single"/>
    </w:rPr>
  </w:style>
  <w:style w:type="character" w:customStyle="1" w:styleId="documentbody1">
    <w:name w:val="documentbody1"/>
    <w:rsid w:val="00531CF4"/>
    <w:rPr>
      <w:rFonts w:ascii="Verdana" w:hAnsi="Verdana" w:hint="default"/>
      <w:sz w:val="19"/>
      <w:szCs w:val="19"/>
    </w:rPr>
  </w:style>
  <w:style w:type="character" w:customStyle="1" w:styleId="starpage1">
    <w:name w:val="starpage1"/>
    <w:rsid w:val="00531CF4"/>
    <w:rPr>
      <w:b/>
      <w:bCs/>
      <w:i/>
      <w:iCs/>
      <w:color w:val="800080"/>
    </w:rPr>
  </w:style>
  <w:style w:type="character" w:customStyle="1" w:styleId="searchterm1">
    <w:name w:val="searchterm1"/>
    <w:rsid w:val="00531CF4"/>
    <w:rPr>
      <w:b/>
      <w:bCs/>
      <w:shd w:val="clear" w:color="auto" w:fill="FFFF00"/>
    </w:rPr>
  </w:style>
  <w:style w:type="character" w:customStyle="1" w:styleId="FootnoteTextChar">
    <w:name w:val="Footnote Text Char"/>
    <w:link w:val="FootnoteText"/>
    <w:semiHidden/>
    <w:rsid w:val="000118A1"/>
  </w:style>
  <w:style w:type="paragraph" w:customStyle="1" w:styleId="ParaNum">
    <w:name w:val="ParaNum"/>
    <w:basedOn w:val="Normal"/>
    <w:rsid w:val="00A659A3"/>
    <w:pPr>
      <w:widowControl w:val="0"/>
      <w:numPr>
        <w:numId w:val="3"/>
      </w:numPr>
      <w:spacing w:after="220"/>
      <w:jc w:val="both"/>
    </w:pPr>
    <w:rPr>
      <w:snapToGrid w:val="0"/>
      <w:kern w:val="28"/>
      <w:sz w:val="22"/>
    </w:rPr>
  </w:style>
  <w:style w:type="character" w:styleId="CommentReference">
    <w:name w:val="annotation reference"/>
    <w:rsid w:val="009A364B"/>
    <w:rPr>
      <w:sz w:val="16"/>
      <w:szCs w:val="16"/>
    </w:rPr>
  </w:style>
  <w:style w:type="paragraph" w:styleId="CommentText">
    <w:name w:val="annotation text"/>
    <w:basedOn w:val="Normal"/>
    <w:link w:val="CommentTextChar"/>
    <w:rsid w:val="009A364B"/>
  </w:style>
  <w:style w:type="character" w:customStyle="1" w:styleId="CommentTextChar">
    <w:name w:val="Comment Text Char"/>
    <w:basedOn w:val="DefaultParagraphFont"/>
    <w:link w:val="CommentText"/>
    <w:rsid w:val="009A364B"/>
  </w:style>
  <w:style w:type="paragraph" w:styleId="CommentSubject">
    <w:name w:val="annotation subject"/>
    <w:basedOn w:val="CommentText"/>
    <w:next w:val="CommentText"/>
    <w:link w:val="CommentSubjectChar"/>
    <w:rsid w:val="009A364B"/>
    <w:rPr>
      <w:b/>
      <w:bCs/>
    </w:rPr>
  </w:style>
  <w:style w:type="character" w:customStyle="1" w:styleId="CommentSubjectChar">
    <w:name w:val="Comment Subject Char"/>
    <w:link w:val="CommentSubject"/>
    <w:rsid w:val="009A364B"/>
    <w:rPr>
      <w:b/>
      <w:bCs/>
    </w:rPr>
  </w:style>
  <w:style w:type="character" w:styleId="PlaceholderText">
    <w:name w:val="Placeholder Text"/>
    <w:basedOn w:val="DefaultParagraphFont"/>
    <w:uiPriority w:val="99"/>
    <w:semiHidden/>
    <w:rsid w:val="008A3C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Garamond" w:hAnsi="Garamond"/>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4320"/>
        <w:tab w:val="left" w:pos="5040"/>
      </w:tabs>
      <w:ind w:left="5040" w:hanging="5040"/>
      <w:jc w:val="both"/>
    </w:pPr>
    <w:rPr>
      <w:rFonts w:ascii="CG Times" w:hAnsi="CG Times"/>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AHeading">
    <w:name w:val="toa heading"/>
    <w:basedOn w:val="Normal"/>
    <w:next w:val="Normal"/>
    <w:semiHidden/>
    <w:pPr>
      <w:widowControl w:val="0"/>
      <w:tabs>
        <w:tab w:val="right" w:pos="9360"/>
      </w:tabs>
      <w:suppressAutoHyphens/>
      <w:jc w:val="both"/>
    </w:pPr>
    <w:rPr>
      <w:snapToGrid w:val="0"/>
      <w:kern w:val="28"/>
      <w:sz w:val="22"/>
    </w:rPr>
  </w:style>
  <w:style w:type="paragraph" w:styleId="BodyTextIndent2">
    <w:name w:val="Body Text Indent 2"/>
    <w:basedOn w:val="Normal"/>
    <w:pPr>
      <w:ind w:firstLine="720"/>
    </w:pPr>
    <w:rPr>
      <w:sz w:val="24"/>
    </w:rPr>
  </w:style>
  <w:style w:type="character" w:styleId="PageNumber">
    <w:name w:val="page number"/>
    <w:basedOn w:val="DefaultParagraphFont"/>
  </w:style>
  <w:style w:type="paragraph" w:customStyle="1" w:styleId="factsbody">
    <w:name w:val="factsbody"/>
    <w:basedOn w:val="Normal"/>
    <w:rsid w:val="0099550E"/>
    <w:pPr>
      <w:spacing w:before="100" w:beforeAutospacing="1" w:after="100" w:afterAutospacing="1"/>
    </w:pPr>
    <w:rPr>
      <w:rFonts w:ascii="Arial" w:hAnsi="Arial" w:cs="Arial"/>
      <w:color w:val="000000"/>
      <w:sz w:val="22"/>
      <w:szCs w:val="22"/>
    </w:rPr>
  </w:style>
  <w:style w:type="paragraph" w:styleId="BalloonText">
    <w:name w:val="Balloon Text"/>
    <w:basedOn w:val="Normal"/>
    <w:semiHidden/>
    <w:rsid w:val="00775C94"/>
    <w:rPr>
      <w:rFonts w:ascii="Tahoma" w:hAnsi="Tahoma" w:cs="Tahoma"/>
      <w:sz w:val="16"/>
      <w:szCs w:val="16"/>
    </w:rPr>
  </w:style>
  <w:style w:type="character" w:styleId="Hyperlink">
    <w:name w:val="Hyperlink"/>
    <w:rsid w:val="00531CF4"/>
    <w:rPr>
      <w:color w:val="0000FF"/>
      <w:u w:val="single"/>
    </w:rPr>
  </w:style>
  <w:style w:type="character" w:customStyle="1" w:styleId="documentbody1">
    <w:name w:val="documentbody1"/>
    <w:rsid w:val="00531CF4"/>
    <w:rPr>
      <w:rFonts w:ascii="Verdana" w:hAnsi="Verdana" w:hint="default"/>
      <w:sz w:val="19"/>
      <w:szCs w:val="19"/>
    </w:rPr>
  </w:style>
  <w:style w:type="character" w:customStyle="1" w:styleId="starpage1">
    <w:name w:val="starpage1"/>
    <w:rsid w:val="00531CF4"/>
    <w:rPr>
      <w:b/>
      <w:bCs/>
      <w:i/>
      <w:iCs/>
      <w:color w:val="800080"/>
    </w:rPr>
  </w:style>
  <w:style w:type="character" w:customStyle="1" w:styleId="searchterm1">
    <w:name w:val="searchterm1"/>
    <w:rsid w:val="00531CF4"/>
    <w:rPr>
      <w:b/>
      <w:bCs/>
      <w:shd w:val="clear" w:color="auto" w:fill="FFFF00"/>
    </w:rPr>
  </w:style>
  <w:style w:type="character" w:customStyle="1" w:styleId="FootnoteTextChar">
    <w:name w:val="Footnote Text Char"/>
    <w:link w:val="FootnoteText"/>
    <w:semiHidden/>
    <w:rsid w:val="000118A1"/>
  </w:style>
  <w:style w:type="paragraph" w:customStyle="1" w:styleId="ParaNum">
    <w:name w:val="ParaNum"/>
    <w:basedOn w:val="Normal"/>
    <w:rsid w:val="00A659A3"/>
    <w:pPr>
      <w:widowControl w:val="0"/>
      <w:numPr>
        <w:numId w:val="3"/>
      </w:numPr>
      <w:spacing w:after="220"/>
      <w:jc w:val="both"/>
    </w:pPr>
    <w:rPr>
      <w:snapToGrid w:val="0"/>
      <w:kern w:val="28"/>
      <w:sz w:val="22"/>
    </w:rPr>
  </w:style>
  <w:style w:type="character" w:styleId="CommentReference">
    <w:name w:val="annotation reference"/>
    <w:rsid w:val="009A364B"/>
    <w:rPr>
      <w:sz w:val="16"/>
      <w:szCs w:val="16"/>
    </w:rPr>
  </w:style>
  <w:style w:type="paragraph" w:styleId="CommentText">
    <w:name w:val="annotation text"/>
    <w:basedOn w:val="Normal"/>
    <w:link w:val="CommentTextChar"/>
    <w:rsid w:val="009A364B"/>
  </w:style>
  <w:style w:type="character" w:customStyle="1" w:styleId="CommentTextChar">
    <w:name w:val="Comment Text Char"/>
    <w:basedOn w:val="DefaultParagraphFont"/>
    <w:link w:val="CommentText"/>
    <w:rsid w:val="009A364B"/>
  </w:style>
  <w:style w:type="paragraph" w:styleId="CommentSubject">
    <w:name w:val="annotation subject"/>
    <w:basedOn w:val="CommentText"/>
    <w:next w:val="CommentText"/>
    <w:link w:val="CommentSubjectChar"/>
    <w:rsid w:val="009A364B"/>
    <w:rPr>
      <w:b/>
      <w:bCs/>
    </w:rPr>
  </w:style>
  <w:style w:type="character" w:customStyle="1" w:styleId="CommentSubjectChar">
    <w:name w:val="Comment Subject Char"/>
    <w:link w:val="CommentSubject"/>
    <w:rsid w:val="009A364B"/>
    <w:rPr>
      <w:b/>
      <w:bCs/>
    </w:rPr>
  </w:style>
  <w:style w:type="character" w:styleId="PlaceholderText">
    <w:name w:val="Placeholder Text"/>
    <w:basedOn w:val="DefaultParagraphFont"/>
    <w:uiPriority w:val="99"/>
    <w:semiHidden/>
    <w:rsid w:val="008A3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3245">
      <w:bodyDiv w:val="1"/>
      <w:marLeft w:val="30"/>
      <w:marRight w:val="30"/>
      <w:marTop w:val="30"/>
      <w:marBottom w:val="30"/>
      <w:divBdr>
        <w:top w:val="none" w:sz="0" w:space="0" w:color="auto"/>
        <w:left w:val="none" w:sz="0" w:space="0" w:color="auto"/>
        <w:bottom w:val="none" w:sz="0" w:space="0" w:color="auto"/>
        <w:right w:val="none" w:sz="0" w:space="0" w:color="auto"/>
      </w:divBdr>
      <w:divsChild>
        <w:div w:id="1535145152">
          <w:marLeft w:val="0"/>
          <w:marRight w:val="0"/>
          <w:marTop w:val="0"/>
          <w:marBottom w:val="0"/>
          <w:divBdr>
            <w:top w:val="none" w:sz="0" w:space="0" w:color="auto"/>
            <w:left w:val="none" w:sz="0" w:space="0" w:color="auto"/>
            <w:bottom w:val="none" w:sz="0" w:space="0" w:color="auto"/>
            <w:right w:val="none" w:sz="0" w:space="0" w:color="auto"/>
          </w:divBdr>
          <w:divsChild>
            <w:div w:id="1769814096">
              <w:marLeft w:val="45"/>
              <w:marRight w:val="45"/>
              <w:marTop w:val="45"/>
              <w:marBottom w:val="45"/>
              <w:divBdr>
                <w:top w:val="none" w:sz="0" w:space="0" w:color="auto"/>
                <w:left w:val="none" w:sz="0" w:space="0" w:color="auto"/>
                <w:bottom w:val="none" w:sz="0" w:space="0" w:color="auto"/>
                <w:right w:val="none" w:sz="0" w:space="0" w:color="auto"/>
              </w:divBdr>
              <w:divsChild>
                <w:div w:id="227419815">
                  <w:marLeft w:val="0"/>
                  <w:marRight w:val="0"/>
                  <w:marTop w:val="0"/>
                  <w:marBottom w:val="0"/>
                  <w:divBdr>
                    <w:top w:val="none" w:sz="0" w:space="0" w:color="auto"/>
                    <w:left w:val="none" w:sz="0" w:space="0" w:color="auto"/>
                    <w:bottom w:val="none" w:sz="0" w:space="0" w:color="auto"/>
                    <w:right w:val="none" w:sz="0" w:space="0" w:color="auto"/>
                  </w:divBdr>
                  <w:divsChild>
                    <w:div w:id="10716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27934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86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06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3074014">
      <w:bodyDiv w:val="1"/>
      <w:marLeft w:val="0"/>
      <w:marRight w:val="0"/>
      <w:marTop w:val="0"/>
      <w:marBottom w:val="0"/>
      <w:divBdr>
        <w:top w:val="none" w:sz="0" w:space="0" w:color="auto"/>
        <w:left w:val="none" w:sz="0" w:space="0" w:color="auto"/>
        <w:bottom w:val="none" w:sz="0" w:space="0" w:color="auto"/>
        <w:right w:val="none" w:sz="0" w:space="0" w:color="auto"/>
      </w:divBdr>
    </w:div>
    <w:div w:id="1497766419">
      <w:bodyDiv w:val="1"/>
      <w:marLeft w:val="30"/>
      <w:marRight w:val="30"/>
      <w:marTop w:val="30"/>
      <w:marBottom w:val="30"/>
      <w:divBdr>
        <w:top w:val="none" w:sz="0" w:space="0" w:color="auto"/>
        <w:left w:val="none" w:sz="0" w:space="0" w:color="auto"/>
        <w:bottom w:val="none" w:sz="0" w:space="0" w:color="auto"/>
        <w:right w:val="none" w:sz="0" w:space="0" w:color="auto"/>
      </w:divBdr>
      <w:divsChild>
        <w:div w:id="1359741174">
          <w:marLeft w:val="0"/>
          <w:marRight w:val="0"/>
          <w:marTop w:val="0"/>
          <w:marBottom w:val="0"/>
          <w:divBdr>
            <w:top w:val="none" w:sz="0" w:space="0" w:color="auto"/>
            <w:left w:val="none" w:sz="0" w:space="0" w:color="auto"/>
            <w:bottom w:val="none" w:sz="0" w:space="0" w:color="auto"/>
            <w:right w:val="none" w:sz="0" w:space="0" w:color="auto"/>
          </w:divBdr>
          <w:divsChild>
            <w:div w:id="133569513">
              <w:marLeft w:val="45"/>
              <w:marRight w:val="45"/>
              <w:marTop w:val="45"/>
              <w:marBottom w:val="45"/>
              <w:divBdr>
                <w:top w:val="none" w:sz="0" w:space="0" w:color="auto"/>
                <w:left w:val="none" w:sz="0" w:space="0" w:color="auto"/>
                <w:bottom w:val="none" w:sz="0" w:space="0" w:color="auto"/>
                <w:right w:val="none" w:sz="0" w:space="0" w:color="auto"/>
              </w:divBdr>
              <w:divsChild>
                <w:div w:id="525289490">
                  <w:marLeft w:val="0"/>
                  <w:marRight w:val="0"/>
                  <w:marTop w:val="0"/>
                  <w:marBottom w:val="0"/>
                  <w:divBdr>
                    <w:top w:val="none" w:sz="0" w:space="0" w:color="auto"/>
                    <w:left w:val="none" w:sz="0" w:space="0" w:color="auto"/>
                    <w:bottom w:val="none" w:sz="0" w:space="0" w:color="auto"/>
                    <w:right w:val="none" w:sz="0" w:space="0" w:color="auto"/>
                  </w:divBdr>
                  <w:divsChild>
                    <w:div w:id="107631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80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1966604">
      <w:bodyDiv w:val="1"/>
      <w:marLeft w:val="0"/>
      <w:marRight w:val="0"/>
      <w:marTop w:val="0"/>
      <w:marBottom w:val="0"/>
      <w:divBdr>
        <w:top w:val="none" w:sz="0" w:space="0" w:color="auto"/>
        <w:left w:val="none" w:sz="0" w:space="0" w:color="auto"/>
        <w:bottom w:val="none" w:sz="0" w:space="0" w:color="auto"/>
        <w:right w:val="none" w:sz="0" w:space="0" w:color="auto"/>
      </w:divBdr>
    </w:div>
    <w:div w:id="1801999848">
      <w:bodyDiv w:val="1"/>
      <w:marLeft w:val="30"/>
      <w:marRight w:val="30"/>
      <w:marTop w:val="30"/>
      <w:marBottom w:val="30"/>
      <w:divBdr>
        <w:top w:val="none" w:sz="0" w:space="0" w:color="auto"/>
        <w:left w:val="none" w:sz="0" w:space="0" w:color="auto"/>
        <w:bottom w:val="none" w:sz="0" w:space="0" w:color="auto"/>
        <w:right w:val="none" w:sz="0" w:space="0" w:color="auto"/>
      </w:divBdr>
      <w:divsChild>
        <w:div w:id="1376930203">
          <w:marLeft w:val="0"/>
          <w:marRight w:val="0"/>
          <w:marTop w:val="0"/>
          <w:marBottom w:val="0"/>
          <w:divBdr>
            <w:top w:val="none" w:sz="0" w:space="0" w:color="auto"/>
            <w:left w:val="none" w:sz="0" w:space="0" w:color="auto"/>
            <w:bottom w:val="none" w:sz="0" w:space="0" w:color="auto"/>
            <w:right w:val="none" w:sz="0" w:space="0" w:color="auto"/>
          </w:divBdr>
          <w:divsChild>
            <w:div w:id="1037587157">
              <w:marLeft w:val="45"/>
              <w:marRight w:val="45"/>
              <w:marTop w:val="45"/>
              <w:marBottom w:val="45"/>
              <w:divBdr>
                <w:top w:val="none" w:sz="0" w:space="0" w:color="auto"/>
                <w:left w:val="none" w:sz="0" w:space="0" w:color="auto"/>
                <w:bottom w:val="none" w:sz="0" w:space="0" w:color="auto"/>
                <w:right w:val="none" w:sz="0" w:space="0" w:color="auto"/>
              </w:divBdr>
              <w:divsChild>
                <w:div w:id="2002266950">
                  <w:marLeft w:val="0"/>
                  <w:marRight w:val="0"/>
                  <w:marTop w:val="0"/>
                  <w:marBottom w:val="0"/>
                  <w:divBdr>
                    <w:top w:val="none" w:sz="0" w:space="0" w:color="auto"/>
                    <w:left w:val="none" w:sz="0" w:space="0" w:color="auto"/>
                    <w:bottom w:val="none" w:sz="0" w:space="0" w:color="auto"/>
                    <w:right w:val="none" w:sz="0" w:space="0" w:color="auto"/>
                  </w:divBdr>
                  <w:divsChild>
                    <w:div w:id="489754214">
                      <w:marLeft w:val="0"/>
                      <w:marRight w:val="0"/>
                      <w:marTop w:val="0"/>
                      <w:marBottom w:val="0"/>
                      <w:divBdr>
                        <w:top w:val="none" w:sz="0" w:space="0" w:color="auto"/>
                        <w:left w:val="none" w:sz="0" w:space="0" w:color="auto"/>
                        <w:bottom w:val="none" w:sz="0" w:space="0" w:color="auto"/>
                        <w:right w:val="none" w:sz="0" w:space="0" w:color="auto"/>
                      </w:divBdr>
                    </w:div>
                    <w:div w:id="16880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Letter</Template>
  <TotalTime>0</TotalTime>
  <Pages>3</Pages>
  <Words>966</Words>
  <Characters>5251</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WTVA, Inc</vt:lpstr>
    </vt:vector>
  </TitlesOfParts>
  <Manager/>
  <Company/>
  <LinksUpToDate>false</LinksUpToDate>
  <CharactersWithSpaces>6281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2014-05-30T20:48:00Z</cp:lastPrinted>
  <dcterms:created xsi:type="dcterms:W3CDTF">2014-08-12T14:00:00Z</dcterms:created>
  <dcterms:modified xsi:type="dcterms:W3CDTF">2014-08-12T14:00:00Z</dcterms:modified>
  <cp:category> </cp:category>
  <cp:contentStatus> </cp:contentStatus>
</cp:coreProperties>
</file>