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4F" w:rsidRDefault="004D5F4F" w:rsidP="002B6BBB">
      <w:pPr>
        <w:widowControl/>
        <w:jc w:val="center"/>
        <w:rPr>
          <w:rFonts w:ascii="Times New Roman Bold" w:hAnsi="Times New Roman Bold"/>
          <w:b/>
          <w:kern w:val="0"/>
          <w:szCs w:val="22"/>
        </w:rPr>
      </w:pPr>
      <w:bookmarkStart w:id="0" w:name="_GoBack"/>
      <w:bookmarkEnd w:id="0"/>
    </w:p>
    <w:p w:rsidR="00A473C7" w:rsidRPr="00FE2E8C" w:rsidRDefault="00DD2058" w:rsidP="002B6BBB">
      <w:pPr>
        <w:widowControl/>
        <w:jc w:val="center"/>
        <w:rPr>
          <w:b/>
          <w:szCs w:val="22"/>
        </w:rPr>
      </w:pPr>
      <w:r w:rsidRPr="00FE2E8C">
        <w:rPr>
          <w:rFonts w:ascii="Times New Roman Bold" w:hAnsi="Times New Roman Bold"/>
          <w:b/>
          <w:kern w:val="0"/>
          <w:szCs w:val="22"/>
        </w:rPr>
        <w:t>Before</w:t>
      </w:r>
      <w:r w:rsidRPr="00FE2E8C">
        <w:rPr>
          <w:b/>
          <w:szCs w:val="22"/>
        </w:rPr>
        <w:t xml:space="preserve"> the</w:t>
      </w:r>
    </w:p>
    <w:p w:rsidR="00A473C7" w:rsidRPr="00FE2E8C" w:rsidRDefault="00DD2058" w:rsidP="002B6BBB">
      <w:pPr>
        <w:pStyle w:val="StyleBoldCentered"/>
        <w:widowControl/>
      </w:pPr>
      <w:r w:rsidRPr="00FE2E8C">
        <w:t>F</w:t>
      </w:r>
      <w:r w:rsidRPr="00FE2E8C">
        <w:rPr>
          <w:caps w:val="0"/>
        </w:rPr>
        <w:t>ederal Communications Commission</w:t>
      </w:r>
    </w:p>
    <w:p w:rsidR="00A473C7" w:rsidRPr="00FE2E8C" w:rsidRDefault="00DD2058" w:rsidP="002B6BBB">
      <w:pPr>
        <w:pStyle w:val="StyleBoldCentered"/>
        <w:widowControl/>
      </w:pPr>
      <w:r w:rsidRPr="00FE2E8C">
        <w:t>W</w:t>
      </w:r>
      <w:r w:rsidR="006C7559">
        <w:rPr>
          <w:caps w:val="0"/>
        </w:rPr>
        <w:t>ashington</w:t>
      </w:r>
      <w:r w:rsidRPr="00FE2E8C">
        <w:t>, D.C. 20554</w:t>
      </w:r>
    </w:p>
    <w:p w:rsidR="00A473C7" w:rsidRPr="00FE2E8C" w:rsidRDefault="00A473C7" w:rsidP="002B6BBB">
      <w:pPr>
        <w:widowControl/>
        <w:rPr>
          <w:szCs w:val="22"/>
        </w:rPr>
      </w:pPr>
    </w:p>
    <w:tbl>
      <w:tblPr>
        <w:tblW w:w="0" w:type="auto"/>
        <w:tblLayout w:type="fixed"/>
        <w:tblLook w:val="0000" w:firstRow="0" w:lastRow="0" w:firstColumn="0" w:lastColumn="0" w:noHBand="0" w:noVBand="0"/>
      </w:tblPr>
      <w:tblGrid>
        <w:gridCol w:w="4698"/>
        <w:gridCol w:w="630"/>
        <w:gridCol w:w="4248"/>
      </w:tblGrid>
      <w:tr w:rsidR="00A473C7" w:rsidRPr="00FE2E8C">
        <w:tc>
          <w:tcPr>
            <w:tcW w:w="4698" w:type="dxa"/>
          </w:tcPr>
          <w:p w:rsidR="00A473C7" w:rsidRPr="00FE2E8C" w:rsidRDefault="00DD2058" w:rsidP="002B6BBB">
            <w:pPr>
              <w:widowControl/>
              <w:tabs>
                <w:tab w:val="center" w:pos="4680"/>
              </w:tabs>
              <w:suppressAutoHyphens/>
              <w:rPr>
                <w:spacing w:val="-2"/>
                <w:szCs w:val="22"/>
              </w:rPr>
            </w:pPr>
            <w:r w:rsidRPr="00FE2E8C">
              <w:rPr>
                <w:spacing w:val="-2"/>
                <w:szCs w:val="22"/>
              </w:rPr>
              <w:t>In the Matter of</w:t>
            </w:r>
          </w:p>
          <w:p w:rsidR="00A473C7" w:rsidRPr="00FE2E8C" w:rsidRDefault="00A473C7" w:rsidP="002B6BBB">
            <w:pPr>
              <w:widowControl/>
              <w:tabs>
                <w:tab w:val="center" w:pos="4680"/>
              </w:tabs>
              <w:suppressAutoHyphens/>
              <w:rPr>
                <w:spacing w:val="-2"/>
                <w:szCs w:val="22"/>
              </w:rPr>
            </w:pPr>
          </w:p>
          <w:p w:rsidR="00A473C7" w:rsidRPr="00FE2E8C" w:rsidRDefault="00DD2058" w:rsidP="002B6BBB">
            <w:pPr>
              <w:widowControl/>
              <w:tabs>
                <w:tab w:val="center" w:pos="4680"/>
              </w:tabs>
              <w:suppressAutoHyphens/>
              <w:rPr>
                <w:spacing w:val="-2"/>
                <w:szCs w:val="22"/>
              </w:rPr>
            </w:pPr>
            <w:r w:rsidRPr="00FE2E8C">
              <w:rPr>
                <w:spacing w:val="-2"/>
                <w:szCs w:val="22"/>
              </w:rPr>
              <w:t>Rates for Interstate Inmate Calling Services</w:t>
            </w:r>
          </w:p>
        </w:tc>
        <w:tc>
          <w:tcPr>
            <w:tcW w:w="630" w:type="dxa"/>
          </w:tcPr>
          <w:p w:rsidR="00A473C7" w:rsidRPr="00FE2E8C" w:rsidRDefault="00DD2058" w:rsidP="002B6BBB">
            <w:pPr>
              <w:widowControl/>
              <w:tabs>
                <w:tab w:val="center" w:pos="4680"/>
              </w:tabs>
              <w:suppressAutoHyphens/>
              <w:rPr>
                <w:b/>
                <w:spacing w:val="-2"/>
                <w:szCs w:val="22"/>
              </w:rPr>
            </w:pPr>
            <w:r w:rsidRPr="00FE2E8C">
              <w:rPr>
                <w:b/>
                <w:spacing w:val="-2"/>
                <w:szCs w:val="22"/>
              </w:rPr>
              <w:t>)</w:t>
            </w:r>
          </w:p>
          <w:p w:rsidR="00A473C7" w:rsidRPr="00FE2E8C" w:rsidRDefault="00DD2058" w:rsidP="002B6BBB">
            <w:pPr>
              <w:widowControl/>
              <w:tabs>
                <w:tab w:val="center" w:pos="4680"/>
              </w:tabs>
              <w:suppressAutoHyphens/>
              <w:rPr>
                <w:b/>
                <w:spacing w:val="-2"/>
                <w:szCs w:val="22"/>
              </w:rPr>
            </w:pPr>
            <w:r w:rsidRPr="00FE2E8C">
              <w:rPr>
                <w:b/>
                <w:spacing w:val="-2"/>
                <w:szCs w:val="22"/>
              </w:rPr>
              <w:t>)</w:t>
            </w:r>
          </w:p>
          <w:p w:rsidR="00A473C7" w:rsidRPr="00FE2E8C" w:rsidRDefault="00DD2058" w:rsidP="002B6BBB">
            <w:pPr>
              <w:widowControl/>
              <w:tabs>
                <w:tab w:val="center" w:pos="4680"/>
              </w:tabs>
              <w:suppressAutoHyphens/>
              <w:rPr>
                <w:b/>
                <w:spacing w:val="-2"/>
                <w:szCs w:val="22"/>
              </w:rPr>
            </w:pPr>
            <w:r w:rsidRPr="00FE2E8C">
              <w:rPr>
                <w:b/>
                <w:spacing w:val="-2"/>
                <w:szCs w:val="22"/>
              </w:rPr>
              <w:t>)</w:t>
            </w:r>
          </w:p>
          <w:p w:rsidR="00A473C7" w:rsidRPr="00FE2E8C" w:rsidRDefault="00DD2058" w:rsidP="002B6BBB">
            <w:pPr>
              <w:widowControl/>
              <w:tabs>
                <w:tab w:val="center" w:pos="4680"/>
              </w:tabs>
              <w:suppressAutoHyphens/>
              <w:rPr>
                <w:spacing w:val="-2"/>
                <w:szCs w:val="22"/>
              </w:rPr>
            </w:pPr>
            <w:r w:rsidRPr="00FE2E8C">
              <w:rPr>
                <w:b/>
                <w:spacing w:val="-2"/>
                <w:szCs w:val="22"/>
              </w:rPr>
              <w:t>)</w:t>
            </w:r>
          </w:p>
        </w:tc>
        <w:tc>
          <w:tcPr>
            <w:tcW w:w="4248" w:type="dxa"/>
          </w:tcPr>
          <w:p w:rsidR="00A473C7" w:rsidRPr="00FE2E8C" w:rsidRDefault="00A473C7" w:rsidP="002B6BBB">
            <w:pPr>
              <w:widowControl/>
              <w:tabs>
                <w:tab w:val="center" w:pos="4680"/>
              </w:tabs>
              <w:suppressAutoHyphens/>
              <w:rPr>
                <w:spacing w:val="-2"/>
                <w:szCs w:val="22"/>
              </w:rPr>
            </w:pPr>
          </w:p>
          <w:p w:rsidR="00A473C7" w:rsidRPr="00FE2E8C" w:rsidRDefault="00A473C7" w:rsidP="002B6BBB">
            <w:pPr>
              <w:pStyle w:val="TOAHeading"/>
              <w:widowControl/>
              <w:tabs>
                <w:tab w:val="clear" w:pos="9360"/>
                <w:tab w:val="center" w:pos="4680"/>
              </w:tabs>
              <w:rPr>
                <w:spacing w:val="-2"/>
                <w:szCs w:val="22"/>
              </w:rPr>
            </w:pPr>
          </w:p>
          <w:p w:rsidR="00A473C7" w:rsidRPr="00FE2E8C" w:rsidRDefault="00DD2058" w:rsidP="002B6BBB">
            <w:pPr>
              <w:widowControl/>
              <w:tabs>
                <w:tab w:val="center" w:pos="4680"/>
              </w:tabs>
              <w:suppressAutoHyphens/>
              <w:rPr>
                <w:spacing w:val="-2"/>
                <w:szCs w:val="22"/>
              </w:rPr>
            </w:pPr>
            <w:r w:rsidRPr="00FE2E8C">
              <w:rPr>
                <w:spacing w:val="-2"/>
                <w:szCs w:val="22"/>
              </w:rPr>
              <w:t>WC Docket No. 12-375</w:t>
            </w:r>
          </w:p>
        </w:tc>
      </w:tr>
    </w:tbl>
    <w:p w:rsidR="00A473C7" w:rsidRDefault="00A473C7" w:rsidP="002B6BBB">
      <w:pPr>
        <w:widowControl/>
        <w:rPr>
          <w:szCs w:val="22"/>
        </w:rPr>
      </w:pPr>
    </w:p>
    <w:p w:rsidR="00267F30" w:rsidRPr="00FE2E8C" w:rsidRDefault="00267F30" w:rsidP="002B6BBB">
      <w:pPr>
        <w:widowControl/>
        <w:rPr>
          <w:szCs w:val="22"/>
        </w:rPr>
      </w:pPr>
    </w:p>
    <w:p w:rsidR="00A473C7" w:rsidRDefault="00DD2058" w:rsidP="002B6BBB">
      <w:pPr>
        <w:pStyle w:val="StyleBoldCentered"/>
        <w:widowControl/>
      </w:pPr>
      <w:r w:rsidRPr="00FE2E8C">
        <w:t>Order</w:t>
      </w:r>
    </w:p>
    <w:p w:rsidR="003D756A" w:rsidRPr="00FE2E8C" w:rsidRDefault="003D756A" w:rsidP="002B6BBB">
      <w:pPr>
        <w:pStyle w:val="StyleBoldCentered"/>
        <w:widowControl/>
        <w:rPr>
          <w:spacing w:val="-2"/>
        </w:rPr>
      </w:pPr>
    </w:p>
    <w:p w:rsidR="00A473C7" w:rsidRPr="00FE2E8C" w:rsidRDefault="00DD2058" w:rsidP="002B6BBB">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D8440F">
        <w:rPr>
          <w:b/>
          <w:spacing w:val="-2"/>
          <w:szCs w:val="22"/>
        </w:rPr>
        <w:t>August</w:t>
      </w:r>
      <w:r w:rsidR="00155C12">
        <w:rPr>
          <w:b/>
          <w:spacing w:val="-2"/>
          <w:szCs w:val="22"/>
        </w:rPr>
        <w:t xml:space="preserve"> </w:t>
      </w:r>
      <w:r w:rsidR="00BB1300">
        <w:rPr>
          <w:b/>
          <w:spacing w:val="-2"/>
          <w:szCs w:val="22"/>
        </w:rPr>
        <w:t>14</w:t>
      </w:r>
      <w:r w:rsidR="00DF22D0">
        <w:rPr>
          <w:b/>
          <w:spacing w:val="-2"/>
          <w:szCs w:val="22"/>
        </w:rPr>
        <w:t>, 2014</w:t>
      </w:r>
      <w:r w:rsidRPr="00FE2E8C">
        <w:rPr>
          <w:b/>
          <w:spacing w:val="-2"/>
          <w:szCs w:val="22"/>
        </w:rPr>
        <w:tab/>
      </w:r>
      <w:r w:rsidR="00155C12">
        <w:rPr>
          <w:b/>
          <w:spacing w:val="-2"/>
          <w:szCs w:val="22"/>
        </w:rPr>
        <w:tab/>
      </w:r>
      <w:r w:rsidRPr="00FE2E8C">
        <w:rPr>
          <w:b/>
          <w:spacing w:val="-2"/>
          <w:szCs w:val="22"/>
        </w:rPr>
        <w:t xml:space="preserve">Released:  </w:t>
      </w:r>
      <w:r w:rsidR="00D8440F">
        <w:rPr>
          <w:b/>
          <w:spacing w:val="-2"/>
          <w:szCs w:val="22"/>
        </w:rPr>
        <w:t xml:space="preserve">August </w:t>
      </w:r>
      <w:r w:rsidR="00BB1300">
        <w:rPr>
          <w:b/>
          <w:spacing w:val="-2"/>
          <w:szCs w:val="22"/>
        </w:rPr>
        <w:t>14</w:t>
      </w:r>
      <w:r w:rsidR="00155C12">
        <w:rPr>
          <w:b/>
          <w:spacing w:val="-2"/>
          <w:szCs w:val="22"/>
        </w:rPr>
        <w:t>, 201</w:t>
      </w:r>
      <w:r w:rsidR="00DF22D0">
        <w:rPr>
          <w:b/>
          <w:spacing w:val="-2"/>
          <w:szCs w:val="22"/>
        </w:rPr>
        <w:t>4</w:t>
      </w:r>
    </w:p>
    <w:p w:rsidR="00A473C7" w:rsidRDefault="00A473C7" w:rsidP="002B6BBB">
      <w:pPr>
        <w:widowControl/>
        <w:rPr>
          <w:szCs w:val="22"/>
        </w:rPr>
      </w:pPr>
    </w:p>
    <w:p w:rsidR="00A473C7" w:rsidRPr="00C23657" w:rsidRDefault="00DD2058" w:rsidP="002B6BBB">
      <w:pPr>
        <w:widowControl/>
        <w:rPr>
          <w:spacing w:val="-2"/>
          <w:szCs w:val="22"/>
        </w:rPr>
      </w:pPr>
      <w:r w:rsidRPr="00C23657">
        <w:rPr>
          <w:szCs w:val="22"/>
        </w:rPr>
        <w:t>By the</w:t>
      </w:r>
      <w:r w:rsidRPr="00C23657">
        <w:rPr>
          <w:spacing w:val="-2"/>
          <w:szCs w:val="22"/>
        </w:rPr>
        <w:t xml:space="preserve"> </w:t>
      </w:r>
      <w:r w:rsidR="003478E5" w:rsidRPr="00C23657">
        <w:rPr>
          <w:spacing w:val="-2"/>
          <w:szCs w:val="22"/>
        </w:rPr>
        <w:t xml:space="preserve">Chief, </w:t>
      </w:r>
      <w:r w:rsidR="00DD7EC7" w:rsidRPr="00C23657">
        <w:rPr>
          <w:spacing w:val="-2"/>
          <w:szCs w:val="22"/>
        </w:rPr>
        <w:t>Pricing Policy Division</w:t>
      </w:r>
      <w:r w:rsidR="00175B7E" w:rsidRPr="00C23657">
        <w:rPr>
          <w:spacing w:val="-2"/>
          <w:szCs w:val="22"/>
        </w:rPr>
        <w:t>, Wireline Competition Bureau</w:t>
      </w:r>
      <w:r w:rsidR="00924E62" w:rsidRPr="00C23657">
        <w:rPr>
          <w:spacing w:val="-2"/>
          <w:szCs w:val="22"/>
        </w:rPr>
        <w:t>:</w:t>
      </w:r>
    </w:p>
    <w:p w:rsidR="00883AC6" w:rsidRPr="00C23657" w:rsidRDefault="00883AC6" w:rsidP="002B6BBB">
      <w:pPr>
        <w:widowControl/>
        <w:rPr>
          <w:b/>
          <w:spacing w:val="-2"/>
          <w:szCs w:val="22"/>
        </w:rPr>
      </w:pPr>
    </w:p>
    <w:p w:rsidR="009B78F5" w:rsidRDefault="00A550E0" w:rsidP="000C0813">
      <w:pPr>
        <w:pStyle w:val="ParaNum"/>
      </w:pPr>
      <w:bookmarkStart w:id="1" w:name="_Toc361330014"/>
      <w:r w:rsidRPr="00C23657">
        <w:rPr>
          <w:snapToGrid/>
        </w:rPr>
        <w:t xml:space="preserve">On September 26, 2013, the Commission released the </w:t>
      </w:r>
      <w:r w:rsidRPr="00C23657">
        <w:rPr>
          <w:i/>
          <w:snapToGrid/>
        </w:rPr>
        <w:t xml:space="preserve">Inmate Calling Report and Order and </w:t>
      </w:r>
      <w:r w:rsidR="006C6E46">
        <w:rPr>
          <w:i/>
          <w:snapToGrid/>
        </w:rPr>
        <w:t>FNPRM</w:t>
      </w:r>
      <w:r w:rsidRPr="00C23657">
        <w:rPr>
          <w:snapToGrid/>
        </w:rPr>
        <w:t>.</w:t>
      </w:r>
      <w:r w:rsidRPr="00C23657">
        <w:rPr>
          <w:rStyle w:val="FootnoteReference"/>
          <w:snapToGrid/>
        </w:rPr>
        <w:footnoteReference w:id="2"/>
      </w:r>
      <w:r w:rsidRPr="00C23657">
        <w:rPr>
          <w:snapToGrid/>
        </w:rPr>
        <w:t xml:space="preserve">  In that item, the Commission adopted a one-time mandatory data collection “[t]o enable the Commission to take further action to reform rates, including developing a permanent cap or safe harbor for interstate rates as well as to inform our evaluation of other rate reform options.”</w:t>
      </w:r>
      <w:r w:rsidRPr="00C23657">
        <w:rPr>
          <w:rStyle w:val="FootnoteReference"/>
          <w:snapToGrid/>
        </w:rPr>
        <w:footnoteReference w:id="3"/>
      </w:r>
      <w:r w:rsidRPr="00C23657">
        <w:rPr>
          <w:snapToGrid/>
        </w:rPr>
        <w:t xml:space="preserve">  </w:t>
      </w:r>
      <w:r w:rsidR="00817E7D">
        <w:rPr>
          <w:snapToGrid/>
        </w:rPr>
        <w:t xml:space="preserve">On April 17, 2014, the </w:t>
      </w:r>
      <w:r w:rsidR="005255CB">
        <w:rPr>
          <w:snapToGrid/>
        </w:rPr>
        <w:t>Commission</w:t>
      </w:r>
      <w:r w:rsidR="00817E7D">
        <w:rPr>
          <w:snapToGrid/>
        </w:rPr>
        <w:t xml:space="preserve"> submitted the mandatory data collection to the Office of Management and Budget (OMB) for review and approval pursuant to the Paperwork Reduction Act of 1995.</w:t>
      </w:r>
      <w:r w:rsidR="00817E7D">
        <w:rPr>
          <w:rStyle w:val="FootnoteReference"/>
          <w:snapToGrid/>
        </w:rPr>
        <w:footnoteReference w:id="4"/>
      </w:r>
      <w:r w:rsidR="00817E7D">
        <w:rPr>
          <w:snapToGrid/>
        </w:rPr>
        <w:t xml:space="preserve">  The Commission received </w:t>
      </w:r>
      <w:r w:rsidR="00E56580">
        <w:rPr>
          <w:snapToGrid/>
        </w:rPr>
        <w:t xml:space="preserve">the requisite </w:t>
      </w:r>
      <w:r w:rsidR="00817E7D">
        <w:rPr>
          <w:snapToGrid/>
        </w:rPr>
        <w:t>OMB</w:t>
      </w:r>
      <w:r w:rsidR="009B78F5">
        <w:rPr>
          <w:snapToGrid/>
        </w:rPr>
        <w:t xml:space="preserve"> a</w:t>
      </w:r>
      <w:r w:rsidR="00DE2BE9">
        <w:rPr>
          <w:snapToGrid/>
        </w:rPr>
        <w:t xml:space="preserve">pproval </w:t>
      </w:r>
      <w:r w:rsidR="00817E7D">
        <w:rPr>
          <w:snapToGrid/>
        </w:rPr>
        <w:t>on June 2, 2014.</w:t>
      </w:r>
      <w:r w:rsidR="00817E7D">
        <w:rPr>
          <w:rStyle w:val="FootnoteReference"/>
          <w:snapToGrid/>
        </w:rPr>
        <w:footnoteReference w:id="5"/>
      </w:r>
      <w:r w:rsidR="00817E7D">
        <w:rPr>
          <w:snapToGrid/>
        </w:rPr>
        <w:t xml:space="preserve">  T</w:t>
      </w:r>
      <w:r w:rsidR="009B78F5">
        <w:t xml:space="preserve">he Commission </w:t>
      </w:r>
      <w:r w:rsidR="00817E7D">
        <w:t>released a Public Notice on June 17, 2014, announcing OMB’s approval and setting the due date for data submission as</w:t>
      </w:r>
      <w:r w:rsidRPr="00C23657">
        <w:t xml:space="preserve"> July 17, 2014.</w:t>
      </w:r>
      <w:r w:rsidR="009B78F5">
        <w:rPr>
          <w:rStyle w:val="FootnoteReference"/>
        </w:rPr>
        <w:footnoteReference w:id="6"/>
      </w:r>
      <w:r w:rsidRPr="00C23657">
        <w:t xml:space="preserve"> </w:t>
      </w:r>
      <w:r w:rsidR="009B78F5">
        <w:t xml:space="preserve"> </w:t>
      </w:r>
      <w:r w:rsidR="00817E7D" w:rsidRPr="00C23657">
        <w:t xml:space="preserve">In response to </w:t>
      </w:r>
      <w:r w:rsidR="000808A9">
        <w:t xml:space="preserve">several </w:t>
      </w:r>
      <w:r w:rsidR="00817E7D" w:rsidRPr="00C23657">
        <w:t xml:space="preserve">petitions requesting </w:t>
      </w:r>
      <w:r w:rsidR="00466587">
        <w:t>an</w:t>
      </w:r>
      <w:r w:rsidR="004518F4">
        <w:t xml:space="preserve"> </w:t>
      </w:r>
      <w:r w:rsidR="00817E7D" w:rsidRPr="00C23657">
        <w:t>extension of time</w:t>
      </w:r>
      <w:r w:rsidR="00817E7D">
        <w:t xml:space="preserve"> to file the mandatory data</w:t>
      </w:r>
      <w:r w:rsidR="00817E7D" w:rsidRPr="00C23657">
        <w:t>,</w:t>
      </w:r>
      <w:r w:rsidR="00817E7D" w:rsidRPr="00C23657">
        <w:rPr>
          <w:rStyle w:val="FootnoteReference"/>
          <w:snapToGrid/>
        </w:rPr>
        <w:footnoteReference w:id="7"/>
      </w:r>
      <w:r w:rsidR="00817E7D" w:rsidRPr="00C23657">
        <w:t xml:space="preserve"> the </w:t>
      </w:r>
      <w:r w:rsidR="00817E7D" w:rsidRPr="00C23657">
        <w:rPr>
          <w:snapToGrid/>
        </w:rPr>
        <w:t xml:space="preserve">Wireline Competition Bureau (Bureau) </w:t>
      </w:r>
      <w:r w:rsidR="00817E7D" w:rsidRPr="00C23657">
        <w:t>extended the data collection deadline by 30 days, to August 18, 2014.</w:t>
      </w:r>
      <w:r w:rsidR="00817E7D" w:rsidRPr="00C23657">
        <w:rPr>
          <w:rStyle w:val="FootnoteReference"/>
          <w:snapToGrid/>
        </w:rPr>
        <w:footnoteReference w:id="8"/>
      </w:r>
      <w:r w:rsidR="00817E7D" w:rsidRPr="00C23657">
        <w:t xml:space="preserve">  </w:t>
      </w:r>
    </w:p>
    <w:p w:rsidR="00897F4C" w:rsidRDefault="006C1EB8" w:rsidP="00EB12F9">
      <w:pPr>
        <w:pStyle w:val="ParaNum"/>
      </w:pPr>
      <w:r w:rsidRPr="00C23657">
        <w:rPr>
          <w:snapToGrid/>
        </w:rPr>
        <w:lastRenderedPageBreak/>
        <w:t xml:space="preserve">In this Order, the </w:t>
      </w:r>
      <w:r w:rsidR="00DE2BE9">
        <w:rPr>
          <w:snapToGrid/>
        </w:rPr>
        <w:t xml:space="preserve">Bureau </w:t>
      </w:r>
      <w:r w:rsidRPr="00C23657">
        <w:rPr>
          <w:snapToGrid/>
        </w:rPr>
        <w:t xml:space="preserve">responds to motions filed by </w:t>
      </w:r>
      <w:r w:rsidR="00F968A7" w:rsidRPr="00C23657">
        <w:rPr>
          <w:snapToGrid/>
        </w:rPr>
        <w:t>CenturyLink</w:t>
      </w:r>
      <w:r w:rsidR="00F968A7">
        <w:rPr>
          <w:snapToGrid/>
        </w:rPr>
        <w:t>,</w:t>
      </w:r>
      <w:r w:rsidR="00F968A7" w:rsidRPr="00C23657">
        <w:rPr>
          <w:snapToGrid/>
        </w:rPr>
        <w:t xml:space="preserve"> </w:t>
      </w:r>
      <w:r w:rsidR="00F968A7">
        <w:rPr>
          <w:snapToGrid/>
        </w:rPr>
        <w:t>GTL</w:t>
      </w:r>
      <w:r w:rsidRPr="00C23657">
        <w:rPr>
          <w:snapToGrid/>
        </w:rPr>
        <w:t xml:space="preserve">, ICSolutions, </w:t>
      </w:r>
      <w:r w:rsidR="00EB12F9">
        <w:rPr>
          <w:snapToGrid/>
        </w:rPr>
        <w:t>NCIC</w:t>
      </w:r>
      <w:r w:rsidR="00345870">
        <w:rPr>
          <w:snapToGrid/>
        </w:rPr>
        <w:t>,</w:t>
      </w:r>
      <w:r w:rsidR="00EB12F9">
        <w:rPr>
          <w:snapToGrid/>
        </w:rPr>
        <w:t xml:space="preserve"> </w:t>
      </w:r>
      <w:r w:rsidRPr="00C23657">
        <w:rPr>
          <w:snapToGrid/>
        </w:rPr>
        <w:t xml:space="preserve">and </w:t>
      </w:r>
      <w:r w:rsidR="00345870">
        <w:rPr>
          <w:snapToGrid/>
        </w:rPr>
        <w:t>Telmate</w:t>
      </w:r>
      <w:r w:rsidRPr="00C23657">
        <w:rPr>
          <w:snapToGrid/>
        </w:rPr>
        <w:t xml:space="preserve"> </w:t>
      </w:r>
      <w:r w:rsidR="00F968A7">
        <w:rPr>
          <w:snapToGrid/>
        </w:rPr>
        <w:t xml:space="preserve">(collectively ICS providers) </w:t>
      </w:r>
      <w:r w:rsidRPr="00C23657">
        <w:rPr>
          <w:snapToGrid/>
        </w:rPr>
        <w:t xml:space="preserve">seeking </w:t>
      </w:r>
      <w:r w:rsidR="00430EE0">
        <w:rPr>
          <w:snapToGrid/>
        </w:rPr>
        <w:t xml:space="preserve">a further </w:t>
      </w:r>
      <w:r w:rsidRPr="00C23657">
        <w:rPr>
          <w:snapToGrid/>
        </w:rPr>
        <w:t>extension of time to respond to the Commission’s one-time mandatory data request.</w:t>
      </w:r>
      <w:r w:rsidR="00C116E5" w:rsidRPr="00C23657">
        <w:rPr>
          <w:rStyle w:val="FootnoteReference"/>
          <w:snapToGrid/>
        </w:rPr>
        <w:footnoteReference w:id="9"/>
      </w:r>
      <w:r w:rsidRPr="00C23657">
        <w:rPr>
          <w:snapToGrid/>
        </w:rPr>
        <w:t xml:space="preserve"> </w:t>
      </w:r>
      <w:r w:rsidR="004518F4">
        <w:rPr>
          <w:snapToGrid/>
        </w:rPr>
        <w:t xml:space="preserve"> </w:t>
      </w:r>
      <w:r w:rsidR="00DD42C9">
        <w:rPr>
          <w:snapToGrid/>
        </w:rPr>
        <w:t>The ICS providers generally repeat arguments made and considered when the Bureau granted the first extension</w:t>
      </w:r>
      <w:r w:rsidR="00345870">
        <w:rPr>
          <w:snapToGrid/>
        </w:rPr>
        <w:t>,</w:t>
      </w:r>
      <w:r w:rsidR="00DD42C9">
        <w:rPr>
          <w:snapToGrid/>
        </w:rPr>
        <w:t xml:space="preserve"> and provide insufficient support to constitute good cause for granting a further extension.</w:t>
      </w:r>
    </w:p>
    <w:p w:rsidR="000C0813" w:rsidRPr="00C23657" w:rsidRDefault="00F645CF" w:rsidP="000C0813">
      <w:pPr>
        <w:pStyle w:val="ParaNum"/>
      </w:pPr>
      <w:r>
        <w:t xml:space="preserve">We found in </w:t>
      </w:r>
      <w:r w:rsidR="00F968A7">
        <w:t xml:space="preserve">the </w:t>
      </w:r>
      <w:r w:rsidR="00F968A7" w:rsidRPr="00EB12F9">
        <w:rPr>
          <w:i/>
        </w:rPr>
        <w:t xml:space="preserve">Partial </w:t>
      </w:r>
      <w:r w:rsidR="006C6E46" w:rsidRPr="00EB12F9">
        <w:rPr>
          <w:i/>
        </w:rPr>
        <w:t xml:space="preserve">Waiver </w:t>
      </w:r>
      <w:r w:rsidR="00F968A7" w:rsidRPr="00EB12F9">
        <w:rPr>
          <w:i/>
        </w:rPr>
        <w:t>Grant Order</w:t>
      </w:r>
      <w:r w:rsidR="00F968A7">
        <w:t>, that “respondents have had ample notice and information about this data collection.”</w:t>
      </w:r>
      <w:r w:rsidR="00F968A7">
        <w:rPr>
          <w:rStyle w:val="FootnoteReference"/>
        </w:rPr>
        <w:footnoteReference w:id="10"/>
      </w:r>
      <w:r w:rsidR="00F968A7">
        <w:t xml:space="preserve"> </w:t>
      </w:r>
      <w:r w:rsidR="00897F4C">
        <w:t xml:space="preserve"> </w:t>
      </w:r>
      <w:r>
        <w:t xml:space="preserve">We </w:t>
      </w:r>
      <w:r w:rsidR="00FA4980">
        <w:t>affirm that decision and</w:t>
      </w:r>
      <w:r>
        <w:t xml:space="preserve"> deny the motions.  </w:t>
      </w:r>
      <w:r w:rsidR="00897F4C" w:rsidRPr="004518F4">
        <w:t>An</w:t>
      </w:r>
      <w:r w:rsidR="00DD42C9">
        <w:t>y</w:t>
      </w:r>
      <w:r w:rsidR="00897F4C" w:rsidRPr="004518F4">
        <w:t xml:space="preserve"> additional extension as req</w:t>
      </w:r>
      <w:r w:rsidR="00F968A7" w:rsidRPr="004518F4">
        <w:t>u</w:t>
      </w:r>
      <w:r w:rsidR="00897F4C" w:rsidRPr="004518F4">
        <w:t>e</w:t>
      </w:r>
      <w:r w:rsidR="00F968A7" w:rsidRPr="004518F4">
        <w:t>sted by the ICS providers w</w:t>
      </w:r>
      <w:r w:rsidRPr="004518F4">
        <w:t>ould</w:t>
      </w:r>
      <w:r w:rsidR="00F968A7" w:rsidRPr="004518F4">
        <w:t xml:space="preserve"> result in </w:t>
      </w:r>
      <w:r w:rsidR="00DE2BE9" w:rsidRPr="004518F4">
        <w:t xml:space="preserve">more than </w:t>
      </w:r>
      <w:r w:rsidR="00F968A7" w:rsidRPr="004518F4">
        <w:t xml:space="preserve">a 60-day extension </w:t>
      </w:r>
      <w:r w:rsidR="00897F4C" w:rsidRPr="004518F4">
        <w:t>from the original data due date</w:t>
      </w:r>
      <w:r w:rsidR="004518F4">
        <w:t>.  We fi</w:t>
      </w:r>
      <w:r w:rsidR="000E1949">
        <w:t>nd that the requested extension</w:t>
      </w:r>
      <w:r w:rsidR="004518F4">
        <w:t xml:space="preserve"> w</w:t>
      </w:r>
      <w:r w:rsidR="009E12F5">
        <w:t>ould</w:t>
      </w:r>
      <w:r w:rsidR="004518F4">
        <w:t xml:space="preserve"> cause</w:t>
      </w:r>
      <w:r w:rsidR="00897F4C" w:rsidRPr="004518F4">
        <w:t xml:space="preserve"> undue delay</w:t>
      </w:r>
      <w:r w:rsidR="004518F4">
        <w:t xml:space="preserve"> in this proceeding</w:t>
      </w:r>
      <w:r w:rsidR="00897F4C" w:rsidRPr="004518F4">
        <w:t>.</w:t>
      </w:r>
      <w:r w:rsidR="00897F4C">
        <w:t xml:space="preserve">  </w:t>
      </w:r>
      <w:r w:rsidR="00EB12F9">
        <w:t>U</w:t>
      </w:r>
      <w:r w:rsidR="000C0813" w:rsidRPr="00C23657">
        <w:t xml:space="preserve">nder </w:t>
      </w:r>
      <w:r w:rsidR="00DE2BE9">
        <w:t>s</w:t>
      </w:r>
      <w:r w:rsidR="000C0813" w:rsidRPr="00C23657">
        <w:t>ection 1.46(a) of the Commission’s rules, it is the policy of the Commission that extensions of time shall not be routinely granted.</w:t>
      </w:r>
      <w:r w:rsidR="00DE2BE9" w:rsidRPr="00C23657">
        <w:rPr>
          <w:rStyle w:val="FootnoteReference"/>
          <w:szCs w:val="22"/>
        </w:rPr>
        <w:footnoteReference w:id="11"/>
      </w:r>
      <w:r w:rsidR="000C0813" w:rsidRPr="00C23657">
        <w:t xml:space="preserve">  We do not find that the circumstances presented here warran</w:t>
      </w:r>
      <w:r w:rsidR="002654DC" w:rsidRPr="00C23657">
        <w:t xml:space="preserve">t granting another </w:t>
      </w:r>
      <w:r w:rsidR="000C0813" w:rsidRPr="00C23657">
        <w:t>extension.</w:t>
      </w:r>
    </w:p>
    <w:p w:rsidR="00F82314" w:rsidRPr="00C23657" w:rsidRDefault="000C0813" w:rsidP="002B6BBB">
      <w:pPr>
        <w:pStyle w:val="ParaNum"/>
        <w:widowControl/>
      </w:pPr>
      <w:r w:rsidRPr="00C23657">
        <w:t xml:space="preserve">Accordingly, IT IS ORDERED that, pursuant to sections </w:t>
      </w:r>
      <w:r w:rsidR="00DE2BE9">
        <w:t xml:space="preserve">1, 2, </w:t>
      </w:r>
      <w:r w:rsidRPr="00C23657">
        <w:t xml:space="preserve">4(i), 4(j), </w:t>
      </w:r>
      <w:r w:rsidR="00DE2BE9">
        <w:t>5, and 303(r)</w:t>
      </w:r>
      <w:r w:rsidRPr="00C23657">
        <w:t xml:space="preserve"> of the Communications Act of 1934, as amended, 47 U.S.C. §§  </w:t>
      </w:r>
      <w:r w:rsidR="00DE2BE9">
        <w:t>151, 152, 154(i), 154(j), 155</w:t>
      </w:r>
      <w:r w:rsidRPr="00C23657">
        <w:t xml:space="preserve">, </w:t>
      </w:r>
      <w:r w:rsidR="00DE2BE9">
        <w:t>and 303(r)</w:t>
      </w:r>
      <w:r w:rsidRPr="00C23657">
        <w:t>, and sections 0.91</w:t>
      </w:r>
      <w:r w:rsidR="00DE2BE9">
        <w:t>,</w:t>
      </w:r>
      <w:r w:rsidRPr="00C23657">
        <w:t xml:space="preserve"> </w:t>
      </w:r>
      <w:r w:rsidR="00DE2BE9">
        <w:t xml:space="preserve">0.201(d), </w:t>
      </w:r>
      <w:r w:rsidRPr="00C23657">
        <w:t>0.291</w:t>
      </w:r>
      <w:r w:rsidR="00DE2BE9">
        <w:t xml:space="preserve"> and 1.46</w:t>
      </w:r>
      <w:r w:rsidRPr="00C23657">
        <w:t xml:space="preserve"> of the Commission’s rules, 47 C.F.R. §§ 0.91, </w:t>
      </w:r>
      <w:r w:rsidR="00DE2BE9">
        <w:t xml:space="preserve">0.201(d), </w:t>
      </w:r>
      <w:r w:rsidRPr="00C23657">
        <w:t>0.291,</w:t>
      </w:r>
      <w:r w:rsidR="00DE2BE9">
        <w:t xml:space="preserve"> and 1.46, </w:t>
      </w:r>
      <w:r w:rsidRPr="00C23657">
        <w:t xml:space="preserve"> the motions for extension of time filed by</w:t>
      </w:r>
      <w:r w:rsidR="001235B4" w:rsidRPr="00C23657">
        <w:t xml:space="preserve"> CenturyLink, </w:t>
      </w:r>
      <w:r w:rsidR="00F968A7" w:rsidRPr="00C23657">
        <w:t>GTL</w:t>
      </w:r>
      <w:r w:rsidR="00F968A7">
        <w:t>,</w:t>
      </w:r>
      <w:r w:rsidR="00F968A7" w:rsidRPr="00C23657">
        <w:t xml:space="preserve"> </w:t>
      </w:r>
      <w:r w:rsidR="001235B4" w:rsidRPr="00C23657">
        <w:t xml:space="preserve">ICSolutions, </w:t>
      </w:r>
      <w:r w:rsidR="00EB12F9">
        <w:t xml:space="preserve">NCIC, </w:t>
      </w:r>
      <w:r w:rsidR="001235B4" w:rsidRPr="00C23657">
        <w:t>and Telmate</w:t>
      </w:r>
      <w:r w:rsidR="003B41FA">
        <w:t>, filed on August 6, 8, and 11</w:t>
      </w:r>
      <w:r w:rsidR="006C6E46">
        <w:t>, 2014,</w:t>
      </w:r>
      <w:r w:rsidR="001235B4" w:rsidRPr="00C23657">
        <w:t xml:space="preserve"> </w:t>
      </w:r>
      <w:r w:rsidR="00D029B1">
        <w:t>ARE</w:t>
      </w:r>
      <w:r w:rsidRPr="00C23657">
        <w:t xml:space="preserve"> DENIED</w:t>
      </w:r>
      <w:r w:rsidR="002654DC" w:rsidRPr="00C23657">
        <w:t xml:space="preserve">. </w:t>
      </w:r>
      <w:bookmarkEnd w:id="1"/>
      <w:r w:rsidR="00F968A7">
        <w:t xml:space="preserve"> The </w:t>
      </w:r>
      <w:r w:rsidR="003D756A" w:rsidRPr="00C23657">
        <w:t>d</w:t>
      </w:r>
      <w:r w:rsidR="00617877" w:rsidRPr="00C23657">
        <w:t>ue date</w:t>
      </w:r>
      <w:r w:rsidR="003D756A" w:rsidRPr="00C23657">
        <w:t xml:space="preserve"> for </w:t>
      </w:r>
      <w:r w:rsidR="00D029B1">
        <w:t xml:space="preserve">all providers of ICS to </w:t>
      </w:r>
      <w:r w:rsidR="00C962E8" w:rsidRPr="00C23657">
        <w:t xml:space="preserve">comply with the mandatory data collection </w:t>
      </w:r>
      <w:r w:rsidR="00D82AAC" w:rsidRPr="00C23657">
        <w:t>IS</w:t>
      </w:r>
      <w:r w:rsidR="003D756A" w:rsidRPr="00C23657">
        <w:t xml:space="preserve"> </w:t>
      </w:r>
      <w:r w:rsidR="00AF718D" w:rsidRPr="00C23657">
        <w:t>August</w:t>
      </w:r>
      <w:r w:rsidR="00C962E8" w:rsidRPr="00C23657">
        <w:t xml:space="preserve"> </w:t>
      </w:r>
      <w:r w:rsidR="00AF718D" w:rsidRPr="00C23657">
        <w:t>18</w:t>
      </w:r>
      <w:r w:rsidR="003D756A" w:rsidRPr="00C23657">
        <w:t>, 201</w:t>
      </w:r>
      <w:r w:rsidR="00C962E8" w:rsidRPr="00C23657">
        <w:t>4</w:t>
      </w:r>
      <w:r w:rsidR="003D756A" w:rsidRPr="00C23657">
        <w:t>.</w:t>
      </w:r>
      <w:r w:rsidR="00C962E8" w:rsidRPr="00C23657">
        <w:t xml:space="preserve">  </w:t>
      </w:r>
    </w:p>
    <w:p w:rsidR="003D756A" w:rsidRPr="00C23657" w:rsidRDefault="003D756A" w:rsidP="002B6BBB">
      <w:pPr>
        <w:pStyle w:val="ParaNum"/>
        <w:widowControl/>
        <w:numPr>
          <w:ilvl w:val="0"/>
          <w:numId w:val="0"/>
        </w:numPr>
      </w:pPr>
    </w:p>
    <w:p w:rsidR="00190DB1" w:rsidRPr="00C23657" w:rsidRDefault="00F82314" w:rsidP="002B6BBB">
      <w:pPr>
        <w:pStyle w:val="ParaNum"/>
        <w:widowControl/>
        <w:numPr>
          <w:ilvl w:val="0"/>
          <w:numId w:val="0"/>
        </w:numPr>
        <w:spacing w:after="0"/>
        <w:ind w:left="3600"/>
      </w:pPr>
      <w:r w:rsidRPr="00C23657">
        <w:t>FEDERAL COMMUNICATIONS COMMISSION</w:t>
      </w:r>
    </w:p>
    <w:p w:rsidR="00F82314" w:rsidRPr="00C23657" w:rsidRDefault="00F82314" w:rsidP="002B6BBB">
      <w:pPr>
        <w:pStyle w:val="ParaNum"/>
        <w:widowControl/>
        <w:numPr>
          <w:ilvl w:val="0"/>
          <w:numId w:val="0"/>
        </w:numPr>
        <w:spacing w:after="0"/>
        <w:ind w:left="3600"/>
      </w:pPr>
    </w:p>
    <w:p w:rsidR="00155C12" w:rsidRPr="00C23657" w:rsidRDefault="00155C12" w:rsidP="002B6BBB">
      <w:pPr>
        <w:pStyle w:val="ParaNum"/>
        <w:widowControl/>
        <w:numPr>
          <w:ilvl w:val="0"/>
          <w:numId w:val="0"/>
        </w:numPr>
        <w:spacing w:after="0"/>
        <w:ind w:left="3600"/>
      </w:pPr>
    </w:p>
    <w:p w:rsidR="002B6BBB" w:rsidRPr="00C23657" w:rsidRDefault="002B6BBB" w:rsidP="002B6BBB">
      <w:pPr>
        <w:pStyle w:val="ParaNum"/>
        <w:widowControl/>
        <w:numPr>
          <w:ilvl w:val="0"/>
          <w:numId w:val="0"/>
        </w:numPr>
        <w:spacing w:after="0"/>
        <w:ind w:left="3600"/>
      </w:pPr>
    </w:p>
    <w:p w:rsidR="00155C12" w:rsidRPr="00C23657" w:rsidRDefault="00155C12" w:rsidP="002B6BBB">
      <w:pPr>
        <w:pStyle w:val="ParaNum"/>
        <w:widowControl/>
        <w:numPr>
          <w:ilvl w:val="0"/>
          <w:numId w:val="0"/>
        </w:numPr>
        <w:spacing w:after="0"/>
        <w:ind w:left="3600"/>
      </w:pPr>
    </w:p>
    <w:p w:rsidR="00F82314" w:rsidRPr="00C23657" w:rsidRDefault="001D652C" w:rsidP="002B6BBB">
      <w:pPr>
        <w:pStyle w:val="ParaNum"/>
        <w:widowControl/>
        <w:numPr>
          <w:ilvl w:val="0"/>
          <w:numId w:val="0"/>
        </w:numPr>
        <w:spacing w:after="0"/>
        <w:ind w:left="3600"/>
      </w:pPr>
      <w:r w:rsidRPr="00C23657">
        <w:t>Kalpak S. Gude</w:t>
      </w:r>
    </w:p>
    <w:p w:rsidR="00494554" w:rsidRDefault="00494554" w:rsidP="002B6BBB">
      <w:pPr>
        <w:pStyle w:val="ParaNum"/>
        <w:widowControl/>
        <w:numPr>
          <w:ilvl w:val="0"/>
          <w:numId w:val="0"/>
        </w:numPr>
        <w:spacing w:after="0"/>
        <w:ind w:left="3600"/>
      </w:pPr>
      <w:r>
        <w:t>Chief</w:t>
      </w:r>
    </w:p>
    <w:p w:rsidR="001D652C" w:rsidRPr="00C23657" w:rsidRDefault="001D652C" w:rsidP="002B6BBB">
      <w:pPr>
        <w:pStyle w:val="ParaNum"/>
        <w:widowControl/>
        <w:numPr>
          <w:ilvl w:val="0"/>
          <w:numId w:val="0"/>
        </w:numPr>
        <w:spacing w:after="0"/>
        <w:ind w:left="3600"/>
      </w:pPr>
      <w:r w:rsidRPr="00C23657">
        <w:t>Pricing Policy Division</w:t>
      </w:r>
    </w:p>
    <w:p w:rsidR="00F82314" w:rsidRPr="00C23657" w:rsidRDefault="00F82314" w:rsidP="002B6BBB">
      <w:pPr>
        <w:pStyle w:val="ParaNum"/>
        <w:widowControl/>
        <w:numPr>
          <w:ilvl w:val="0"/>
          <w:numId w:val="0"/>
        </w:numPr>
        <w:spacing w:after="0"/>
        <w:ind w:left="3600"/>
      </w:pPr>
      <w:r w:rsidRPr="00C23657">
        <w:t xml:space="preserve">Wireline </w:t>
      </w:r>
      <w:r w:rsidR="003478E5" w:rsidRPr="00C23657">
        <w:t>Competition</w:t>
      </w:r>
      <w:r w:rsidRPr="00C23657">
        <w:t xml:space="preserve"> Bureau</w:t>
      </w:r>
    </w:p>
    <w:p w:rsidR="00F82314" w:rsidRPr="00C23657" w:rsidRDefault="00F82314" w:rsidP="002B6BBB">
      <w:pPr>
        <w:pStyle w:val="ParaNum"/>
        <w:widowControl/>
        <w:numPr>
          <w:ilvl w:val="0"/>
          <w:numId w:val="0"/>
        </w:numPr>
      </w:pPr>
    </w:p>
    <w:sectPr w:rsidR="00F82314" w:rsidRPr="00C23657" w:rsidSect="006F74B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C9" w:rsidRDefault="00DD42C9">
      <w:pPr>
        <w:spacing w:line="20" w:lineRule="exact"/>
      </w:pPr>
    </w:p>
  </w:endnote>
  <w:endnote w:type="continuationSeparator" w:id="0">
    <w:p w:rsidR="00DD42C9" w:rsidRDefault="00DD42C9">
      <w:r>
        <w:t xml:space="preserve"> </w:t>
      </w:r>
    </w:p>
  </w:endnote>
  <w:endnote w:type="continuationNotice" w:id="1">
    <w:p w:rsidR="00DD42C9" w:rsidRDefault="00DD42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C9" w:rsidRDefault="00DD42C9" w:rsidP="00A473C7">
    <w:pPr>
      <w:pStyle w:val="Footer"/>
      <w:framePr w:wrap="around" w:vAnchor="text" w:hAnchor="margin" w:xAlign="center" w:y="1"/>
    </w:pPr>
    <w:r>
      <w:fldChar w:fldCharType="begin"/>
    </w:r>
    <w:r>
      <w:instrText xml:space="preserve">PAGE  </w:instrText>
    </w:r>
    <w:r>
      <w:fldChar w:fldCharType="end"/>
    </w:r>
  </w:p>
  <w:p w:rsidR="00DD42C9" w:rsidRDefault="00DD4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C9" w:rsidRDefault="00DD42C9" w:rsidP="00A473C7">
    <w:pPr>
      <w:pStyle w:val="Footer"/>
      <w:framePr w:w="331" w:wrap="around" w:vAnchor="text" w:hAnchor="page" w:x="5881" w:y="-2"/>
    </w:pPr>
    <w:r>
      <w:fldChar w:fldCharType="begin"/>
    </w:r>
    <w:r>
      <w:instrText xml:space="preserve">PAGE  </w:instrText>
    </w:r>
    <w:r>
      <w:fldChar w:fldCharType="separate"/>
    </w:r>
    <w:r w:rsidR="00DC0607">
      <w:rPr>
        <w:noProof/>
      </w:rPr>
      <w:t>2</w:t>
    </w:r>
    <w:r>
      <w:rPr>
        <w:noProof/>
      </w:rPr>
      <w:fldChar w:fldCharType="end"/>
    </w:r>
  </w:p>
  <w:p w:rsidR="00DD42C9" w:rsidRPr="009133F7" w:rsidRDefault="00DD42C9" w:rsidP="00545121">
    <w:pPr>
      <w:spacing w:before="140" w:line="100" w:lineRule="exact"/>
      <w:jc w:val="cente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C9" w:rsidRDefault="00DD42C9" w:rsidP="009133F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C9" w:rsidRDefault="00DD42C9" w:rsidP="008D0E49">
      <w:pPr>
        <w:spacing w:after="120"/>
      </w:pPr>
      <w:r>
        <w:separator/>
      </w:r>
    </w:p>
  </w:footnote>
  <w:footnote w:type="continuationSeparator" w:id="0">
    <w:p w:rsidR="00DD42C9" w:rsidRDefault="00DD42C9" w:rsidP="00987337">
      <w:pPr>
        <w:spacing w:before="120"/>
        <w:rPr>
          <w:sz w:val="20"/>
        </w:rPr>
      </w:pPr>
      <w:r>
        <w:rPr>
          <w:sz w:val="20"/>
        </w:rPr>
        <w:t xml:space="preserve">(Continued from previous page)  </w:t>
      </w:r>
      <w:r>
        <w:rPr>
          <w:sz w:val="20"/>
        </w:rPr>
        <w:separator/>
      </w:r>
    </w:p>
  </w:footnote>
  <w:footnote w:type="continuationNotice" w:id="1">
    <w:p w:rsidR="00DD42C9" w:rsidRDefault="00DD42C9" w:rsidP="00987337">
      <w:pPr>
        <w:jc w:val="right"/>
        <w:rPr>
          <w:sz w:val="20"/>
        </w:rPr>
      </w:pPr>
      <w:r>
        <w:rPr>
          <w:sz w:val="20"/>
        </w:rPr>
        <w:t>(continued….)</w:t>
      </w:r>
    </w:p>
  </w:footnote>
  <w:footnote w:id="2">
    <w:p w:rsidR="00DD42C9" w:rsidRDefault="00DD42C9" w:rsidP="00A550E0">
      <w:pPr>
        <w:pStyle w:val="FootnoteText"/>
      </w:pPr>
      <w:r>
        <w:rPr>
          <w:rStyle w:val="FootnoteReference"/>
        </w:rPr>
        <w:footnoteRef/>
      </w:r>
      <w:r>
        <w:t xml:space="preserve"> </w:t>
      </w:r>
      <w:r w:rsidRPr="00262422">
        <w:rPr>
          <w:i/>
        </w:rPr>
        <w:t>See Rates for Interstate Inmate Calling Services</w:t>
      </w:r>
      <w:r>
        <w:t>, WC Docket No. 12-375, Report and Order and Further Notice of Proposed Rulemaking, 28 FCC Rcd 14107 (2013) (</w:t>
      </w:r>
      <w:r>
        <w:rPr>
          <w:i/>
        </w:rPr>
        <w:t>Inmate Calling Report and Order</w:t>
      </w:r>
      <w:r w:rsidRPr="00676055">
        <w:rPr>
          <w:i/>
        </w:rPr>
        <w:t xml:space="preserve"> and FNPRM</w:t>
      </w:r>
      <w:r>
        <w:t xml:space="preserve">), </w:t>
      </w:r>
      <w:r>
        <w:rPr>
          <w:i/>
        </w:rPr>
        <w:t>pets. for stay granted in part sub nom. Securus Techs. v. FCC</w:t>
      </w:r>
      <w:r>
        <w:t>, No. 13-1280</w:t>
      </w:r>
      <w:r>
        <w:rPr>
          <w:i/>
        </w:rPr>
        <w:t xml:space="preserve"> </w:t>
      </w:r>
      <w:r>
        <w:t xml:space="preserve">(D.C. Cir. Jan. 13, 2014); </w:t>
      </w:r>
      <w:r>
        <w:rPr>
          <w:i/>
        </w:rPr>
        <w:t>pets. for review pending sub nom. Securus Techs. v. FCC</w:t>
      </w:r>
      <w:r>
        <w:t xml:space="preserve">, No. 13-1280 (D.C. Cir. </w:t>
      </w:r>
      <w:r w:rsidR="00267F30">
        <w:t xml:space="preserve">filed </w:t>
      </w:r>
      <w:r>
        <w:t>Nov. 14, 2013) (and consolidated cases).</w:t>
      </w:r>
      <w:r w:rsidRPr="00D4663F">
        <w:rPr>
          <w:iCs/>
        </w:rPr>
        <w:t xml:space="preserve">  </w:t>
      </w:r>
    </w:p>
  </w:footnote>
  <w:footnote w:id="3">
    <w:p w:rsidR="00DD42C9" w:rsidRDefault="00DD42C9" w:rsidP="00A550E0">
      <w:pPr>
        <w:pStyle w:val="FootnoteText"/>
      </w:pPr>
      <w:r>
        <w:rPr>
          <w:rStyle w:val="FootnoteReference"/>
        </w:rPr>
        <w:footnoteRef/>
      </w:r>
      <w:r>
        <w:t xml:space="preserve"> </w:t>
      </w:r>
      <w:r w:rsidRPr="0064083C">
        <w:rPr>
          <w:i/>
        </w:rPr>
        <w:t>Id</w:t>
      </w:r>
      <w:r>
        <w:t xml:space="preserve">. at 14172, para. 124.  </w:t>
      </w:r>
    </w:p>
  </w:footnote>
  <w:footnote w:id="4">
    <w:p w:rsidR="00DD42C9" w:rsidRDefault="00DD42C9">
      <w:pPr>
        <w:pStyle w:val="FootnoteText"/>
      </w:pPr>
      <w:r>
        <w:rPr>
          <w:rStyle w:val="FootnoteReference"/>
        </w:rPr>
        <w:footnoteRef/>
      </w:r>
      <w:r>
        <w:t xml:space="preserve"> Information Collection Being Submitted for Review and Approval to the Office of Management and Budget , 79 Fed. Reg. 21,757 (Apr. 17, 2014).</w:t>
      </w:r>
    </w:p>
  </w:footnote>
  <w:footnote w:id="5">
    <w:p w:rsidR="00DD42C9" w:rsidRDefault="00DD42C9">
      <w:pPr>
        <w:pStyle w:val="FootnoteText"/>
      </w:pPr>
      <w:r>
        <w:rPr>
          <w:rStyle w:val="FootnoteReference"/>
        </w:rPr>
        <w:footnoteRef/>
      </w:r>
      <w:r>
        <w:t xml:space="preserve"> Rates for Interstate Inmate Calling Services, 79 Fed. Reg. 33,709 (June 12, 2014).</w:t>
      </w:r>
    </w:p>
  </w:footnote>
  <w:footnote w:id="6">
    <w:p w:rsidR="00DD42C9" w:rsidRPr="009B78F5" w:rsidRDefault="00DD42C9">
      <w:pPr>
        <w:pStyle w:val="FootnoteText"/>
      </w:pPr>
      <w:r>
        <w:rPr>
          <w:rStyle w:val="FootnoteReference"/>
        </w:rPr>
        <w:footnoteRef/>
      </w:r>
      <w:r>
        <w:t xml:space="preserve"> </w:t>
      </w:r>
      <w:r>
        <w:rPr>
          <w:i/>
        </w:rPr>
        <w:t>See Commission Announces Inmate Calling Services Data Due Date</w:t>
      </w:r>
      <w:r>
        <w:t xml:space="preserve">, WC Docket No. 12-375, Public Notice, DA 14-829 (Wireline Comp. Bur. </w:t>
      </w:r>
      <w:r w:rsidR="00F865D0">
        <w:t>r</w:t>
      </w:r>
      <w:r>
        <w:t>el. June 17, 2014).</w:t>
      </w:r>
    </w:p>
  </w:footnote>
  <w:footnote w:id="7">
    <w:p w:rsidR="00DD42C9" w:rsidRDefault="00DD42C9" w:rsidP="00817E7D">
      <w:pPr>
        <w:pStyle w:val="FootnoteText"/>
      </w:pPr>
      <w:r>
        <w:rPr>
          <w:rStyle w:val="FootnoteReference"/>
        </w:rPr>
        <w:footnoteRef/>
      </w:r>
      <w:r>
        <w:t xml:space="preserve"> </w:t>
      </w:r>
      <w:r w:rsidR="00F865D0">
        <w:t>[</w:t>
      </w:r>
      <w:r w:rsidR="00E10B3B" w:rsidRPr="00C23657">
        <w:t>Global Tel*Link</w:t>
      </w:r>
      <w:r w:rsidR="00E10B3B">
        <w:t xml:space="preserve"> Corporation (GTL)</w:t>
      </w:r>
      <w:r w:rsidR="00F865D0">
        <w:t xml:space="preserve">] </w:t>
      </w:r>
      <w:r>
        <w:t xml:space="preserve">Motion for Extension of Time to Respond to One-Time Mandatory Data Collection for ICS Providers, WC Docket No. 12-375 (filed July 1, 2014); CenturyLink Public Communications, Inc.’s </w:t>
      </w:r>
      <w:r w:rsidR="007558EB">
        <w:t>[</w:t>
      </w:r>
      <w:r w:rsidR="00E10B3B">
        <w:t>CenturyLink</w:t>
      </w:r>
      <w:r w:rsidR="007558EB">
        <w:t>]</w:t>
      </w:r>
      <w:r w:rsidR="00E10B3B">
        <w:t xml:space="preserve"> </w:t>
      </w:r>
      <w:r>
        <w:t xml:space="preserve">Motion for Extension of Time to Respond to One-Time Mandatory Data Collection, WC Docket No. 12-375 (filed July 3, 2014); Motion of Network Communications International Corp. </w:t>
      </w:r>
      <w:r w:rsidR="00E10B3B">
        <w:t xml:space="preserve">[NCIC] </w:t>
      </w:r>
      <w:r>
        <w:t xml:space="preserve">for Extension of Time to Respond to One-Time Mandatory Data Collection for ICS Providers, WC Docket No. 12-375 (filed July 3, 2014); </w:t>
      </w:r>
      <w:r w:rsidR="00F865D0">
        <w:t>[</w:t>
      </w:r>
      <w:r w:rsidR="00E10B3B" w:rsidRPr="00C23657">
        <w:t>Inmate Calling Solutions</w:t>
      </w:r>
      <w:r w:rsidR="00E10B3B">
        <w:t>, LLC</w:t>
      </w:r>
      <w:r w:rsidR="00E10B3B" w:rsidRPr="00C23657">
        <w:t xml:space="preserve"> (ICSolutions)</w:t>
      </w:r>
      <w:r w:rsidR="00F865D0">
        <w:t xml:space="preserve">] </w:t>
      </w:r>
      <w:r>
        <w:t xml:space="preserve">Motion for Extension of Time to Respond to One-Time Mandatory Data Collection, WC Docket No. 12-375 (filed July 7, 2014); Telmate, LLC </w:t>
      </w:r>
      <w:r w:rsidR="00E10B3B">
        <w:t xml:space="preserve">[Telmate] </w:t>
      </w:r>
      <w:r>
        <w:t xml:space="preserve">Motion for Extension of Time to Respond to One-Time Mandatory Data Collection, WC Docket No. 12-375 (filed July 10, 2014).  </w:t>
      </w:r>
    </w:p>
  </w:footnote>
  <w:footnote w:id="8">
    <w:p w:rsidR="00DD42C9" w:rsidRDefault="00DD42C9" w:rsidP="00817E7D">
      <w:pPr>
        <w:pStyle w:val="FootnoteText"/>
      </w:pPr>
      <w:r>
        <w:rPr>
          <w:rStyle w:val="FootnoteReference"/>
        </w:rPr>
        <w:footnoteRef/>
      </w:r>
      <w:r>
        <w:t xml:space="preserve"> </w:t>
      </w:r>
      <w:r w:rsidRPr="00262422">
        <w:rPr>
          <w:i/>
        </w:rPr>
        <w:t>See</w:t>
      </w:r>
      <w:r>
        <w:rPr>
          <w:i/>
        </w:rPr>
        <w:t xml:space="preserve"> Rates for Interstate Calling Services, </w:t>
      </w:r>
      <w:r w:rsidRPr="001235B4">
        <w:t xml:space="preserve">WC Docket No. 12-375, </w:t>
      </w:r>
      <w:r w:rsidR="007558EB">
        <w:t xml:space="preserve">Order, </w:t>
      </w:r>
      <w:r w:rsidRPr="001235B4">
        <w:t>DA 14-993 (</w:t>
      </w:r>
      <w:r>
        <w:t xml:space="preserve">Wireline Comp. Bur. </w:t>
      </w:r>
      <w:r w:rsidRPr="001235B4">
        <w:t>rel. July 11, 2014)</w:t>
      </w:r>
      <w:r>
        <w:t xml:space="preserve"> (</w:t>
      </w:r>
      <w:r w:rsidRPr="00F968A7">
        <w:rPr>
          <w:i/>
        </w:rPr>
        <w:t>Partial Waiver Grant Order</w:t>
      </w:r>
      <w:r>
        <w:t>)</w:t>
      </w:r>
      <w:r w:rsidRPr="001235B4">
        <w:t>.</w:t>
      </w:r>
      <w:r w:rsidRPr="00D4663F">
        <w:rPr>
          <w:iCs/>
        </w:rPr>
        <w:t xml:space="preserve">  </w:t>
      </w:r>
    </w:p>
  </w:footnote>
  <w:footnote w:id="9">
    <w:p w:rsidR="00DD42C9" w:rsidRDefault="00DD42C9" w:rsidP="00C116E5">
      <w:pPr>
        <w:pStyle w:val="FootnoteText"/>
      </w:pPr>
      <w:r>
        <w:rPr>
          <w:rStyle w:val="FootnoteReference"/>
        </w:rPr>
        <w:footnoteRef/>
      </w:r>
      <w:r>
        <w:t xml:space="preserve"> </w:t>
      </w:r>
      <w:r>
        <w:rPr>
          <w:i/>
        </w:rPr>
        <w:t xml:space="preserve">See </w:t>
      </w:r>
      <w:r>
        <w:t xml:space="preserve">CenturyLink Public Communications, Inc.’s Motion for Partial Waiver of Deadline to Respond to One-Time Mandatory Data Collection, WC Docket No. 12-375 (filed Aug. 6, 2014) (CenturyLink Motion); Motion for Further Extension of Time to Respond to One-Time Mandatory Data Collection, WC Docket No. 12-375 (filed Aug. 6, 2014); Motion for Extension of Time to Respond to One-Time Mandatory Data Collection for ICS Providers, WC Docket No. 12-375 (filed Aug. 8, 2014); Telmate, LLC Motion for Further Extension of Time to Respond to One-Time Mandatory Data Collection, WC Docket No. 12-375 (filed </w:t>
      </w:r>
      <w:r w:rsidR="00F865D0">
        <w:t>Aug. 8, 2014);</w:t>
      </w:r>
      <w:r>
        <w:t xml:space="preserve"> </w:t>
      </w:r>
      <w:r w:rsidR="00F865D0">
        <w:t xml:space="preserve">Motion of Network Communications International Corp. for Extension of Time to Respond to One-Time Mandatory Data Collection for ICS Providers, WC Docket No. 12-375 (filed Aug. 11, 2014).  </w:t>
      </w:r>
      <w:r>
        <w:t xml:space="preserve">We note that the CenturyLink Motion seeks “only a partial waiver of the August 18, 2014 deadline to give it time to complete the portion of the response to the Data Collection relating to its jail contracts.” </w:t>
      </w:r>
      <w:r w:rsidRPr="00EB12F9">
        <w:t xml:space="preserve"> </w:t>
      </w:r>
      <w:r>
        <w:t>CenturyLink Motion at 5.</w:t>
      </w:r>
    </w:p>
  </w:footnote>
  <w:footnote w:id="10">
    <w:p w:rsidR="00DD42C9" w:rsidRDefault="00DD42C9">
      <w:pPr>
        <w:pStyle w:val="FootnoteText"/>
      </w:pPr>
      <w:r>
        <w:rPr>
          <w:rStyle w:val="FootnoteReference"/>
        </w:rPr>
        <w:footnoteRef/>
      </w:r>
      <w:r>
        <w:t xml:space="preserve"> </w:t>
      </w:r>
      <w:r w:rsidRPr="00F968A7">
        <w:rPr>
          <w:i/>
        </w:rPr>
        <w:t xml:space="preserve">Partial </w:t>
      </w:r>
      <w:r w:rsidR="00345870">
        <w:rPr>
          <w:i/>
        </w:rPr>
        <w:t xml:space="preserve">Waiver </w:t>
      </w:r>
      <w:r w:rsidRPr="00F968A7">
        <w:rPr>
          <w:i/>
        </w:rPr>
        <w:t>Grant Order</w:t>
      </w:r>
      <w:r>
        <w:t xml:space="preserve"> at para. 4.</w:t>
      </w:r>
    </w:p>
  </w:footnote>
  <w:footnote w:id="11">
    <w:p w:rsidR="00DD42C9" w:rsidRDefault="00DD42C9" w:rsidP="00DE2BE9">
      <w:pPr>
        <w:pStyle w:val="FootnoteText"/>
      </w:pPr>
      <w:r>
        <w:rPr>
          <w:rStyle w:val="FootnoteReference"/>
        </w:rPr>
        <w:footnoteRef/>
      </w:r>
      <w:r>
        <w:t xml:space="preserve"> </w:t>
      </w:r>
      <w:r>
        <w:rPr>
          <w:i/>
        </w:rPr>
        <w:t xml:space="preserve">See </w:t>
      </w:r>
      <w:r>
        <w:t xml:space="preserve">47 C.F.R. § 1.46(a).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95" w:rsidRDefault="00782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C9" w:rsidRDefault="00DD42C9" w:rsidP="00F31E56">
    <w:pPr>
      <w:pStyle w:val="Header"/>
      <w:rPr>
        <w:b w:val="0"/>
      </w:rPr>
    </w:pPr>
    <w:r>
      <w:rPr>
        <w:noProof/>
        <w:snapToGrid/>
      </w:rPr>
      <mc:AlternateContent>
        <mc:Choice Requires="wps">
          <w:drawing>
            <wp:anchor distT="0" distB="0" distL="114300" distR="114300" simplePos="0" relativeHeight="251664384" behindDoc="1" locked="0" layoutInCell="0" allowOverlap="1" wp14:anchorId="335E7294" wp14:editId="495E566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14-</w:t>
    </w:r>
    <w:r w:rsidR="00E10B3B">
      <w:t>1191</w:t>
    </w:r>
  </w:p>
  <w:p w:rsidR="00DD42C9" w:rsidRPr="00155C12" w:rsidRDefault="00DD42C9" w:rsidP="00204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C9" w:rsidRDefault="00DD42C9" w:rsidP="00204EEB">
    <w:pPr>
      <w:pStyle w:val="Header"/>
    </w:pPr>
    <w:r>
      <w:tab/>
    </w:r>
  </w:p>
  <w:p w:rsidR="00DD42C9" w:rsidRPr="009133F7" w:rsidRDefault="00DD42C9" w:rsidP="00204EEB">
    <w:pPr>
      <w:pStyle w:val="Header"/>
    </w:pPr>
    <w:r w:rsidRPr="009133F7">
      <w:rPr>
        <w:noProof/>
        <w:snapToGrid/>
      </w:rPr>
      <mc:AlternateContent>
        <mc:Choice Requires="wps">
          <w:drawing>
            <wp:anchor distT="0" distB="0" distL="114300" distR="114300" simplePos="0" relativeHeight="251662336" behindDoc="0" locked="0" layoutInCell="1" allowOverlap="1" wp14:anchorId="44814725" wp14:editId="2E932B09">
              <wp:simplePos x="0" y="0"/>
              <wp:positionH relativeFrom="column">
                <wp:posOffset>-19050</wp:posOffset>
              </wp:positionH>
              <wp:positionV relativeFrom="paragraph">
                <wp:posOffset>188595</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4.85pt" to="4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" strokecolor="black [3213]" strokeweight=".25pt"/>
          </w:pict>
        </mc:Fallback>
      </mc:AlternateContent>
    </w:r>
    <w:r>
      <w:tab/>
      <w:t>Federal Communications Commission</w:t>
    </w:r>
    <w:r>
      <w:tab/>
    </w:r>
    <w:r>
      <w:rPr>
        <w:spacing w:val="-2"/>
      </w:rPr>
      <w:t>DA 14-</w:t>
    </w:r>
    <w:r w:rsidR="00E10B3B">
      <w:rPr>
        <w:spacing w:val="-2"/>
      </w:rPr>
      <w:t>1191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96F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B5236"/>
    <w:multiLevelType w:val="multilevel"/>
    <w:tmpl w:val="A7DC3B74"/>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210AA2"/>
    <w:multiLevelType w:val="hybridMultilevel"/>
    <w:tmpl w:val="820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2231D3"/>
    <w:multiLevelType w:val="hybridMultilevel"/>
    <w:tmpl w:val="656A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E2DFE"/>
    <w:multiLevelType w:val="hybridMultilevel"/>
    <w:tmpl w:val="59F8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55C2269"/>
    <w:multiLevelType w:val="hybridMultilevel"/>
    <w:tmpl w:val="073279A6"/>
    <w:lvl w:ilvl="0" w:tplc="1FC2E020">
      <w:start w:val="4"/>
      <w:numFmt w:val="upperLetter"/>
      <w:lvlText w:val="%1."/>
      <w:lvlJc w:val="left"/>
      <w:pPr>
        <w:tabs>
          <w:tab w:val="num" w:pos="1080"/>
        </w:tabs>
        <w:ind w:left="1080" w:hanging="360"/>
      </w:pPr>
      <w:rPr>
        <w:rFonts w:cs="Times New Roman" w:hint="default"/>
      </w:rPr>
    </w:lvl>
    <w:lvl w:ilvl="1" w:tplc="D99CBDD4" w:tentative="1">
      <w:start w:val="1"/>
      <w:numFmt w:val="lowerLetter"/>
      <w:lvlText w:val="%2."/>
      <w:lvlJc w:val="left"/>
      <w:pPr>
        <w:tabs>
          <w:tab w:val="num" w:pos="1800"/>
        </w:tabs>
        <w:ind w:left="1800" w:hanging="360"/>
      </w:pPr>
      <w:rPr>
        <w:rFonts w:cs="Times New Roman"/>
      </w:rPr>
    </w:lvl>
    <w:lvl w:ilvl="2" w:tplc="0D26D096" w:tentative="1">
      <w:start w:val="1"/>
      <w:numFmt w:val="lowerRoman"/>
      <w:lvlText w:val="%3."/>
      <w:lvlJc w:val="right"/>
      <w:pPr>
        <w:tabs>
          <w:tab w:val="num" w:pos="2520"/>
        </w:tabs>
        <w:ind w:left="2520" w:hanging="180"/>
      </w:pPr>
      <w:rPr>
        <w:rFonts w:cs="Times New Roman"/>
      </w:rPr>
    </w:lvl>
    <w:lvl w:ilvl="3" w:tplc="A1304974" w:tentative="1">
      <w:start w:val="1"/>
      <w:numFmt w:val="decimal"/>
      <w:lvlText w:val="%4."/>
      <w:lvlJc w:val="left"/>
      <w:pPr>
        <w:tabs>
          <w:tab w:val="num" w:pos="3240"/>
        </w:tabs>
        <w:ind w:left="3240" w:hanging="360"/>
      </w:pPr>
      <w:rPr>
        <w:rFonts w:cs="Times New Roman"/>
      </w:rPr>
    </w:lvl>
    <w:lvl w:ilvl="4" w:tplc="614292A0" w:tentative="1">
      <w:start w:val="1"/>
      <w:numFmt w:val="lowerLetter"/>
      <w:lvlText w:val="%5."/>
      <w:lvlJc w:val="left"/>
      <w:pPr>
        <w:tabs>
          <w:tab w:val="num" w:pos="3960"/>
        </w:tabs>
        <w:ind w:left="3960" w:hanging="360"/>
      </w:pPr>
      <w:rPr>
        <w:rFonts w:cs="Times New Roman"/>
      </w:rPr>
    </w:lvl>
    <w:lvl w:ilvl="5" w:tplc="9ABCA374" w:tentative="1">
      <w:start w:val="1"/>
      <w:numFmt w:val="lowerRoman"/>
      <w:lvlText w:val="%6."/>
      <w:lvlJc w:val="right"/>
      <w:pPr>
        <w:tabs>
          <w:tab w:val="num" w:pos="4680"/>
        </w:tabs>
        <w:ind w:left="4680" w:hanging="180"/>
      </w:pPr>
      <w:rPr>
        <w:rFonts w:cs="Times New Roman"/>
      </w:rPr>
    </w:lvl>
    <w:lvl w:ilvl="6" w:tplc="118C8FCC" w:tentative="1">
      <w:start w:val="1"/>
      <w:numFmt w:val="decimal"/>
      <w:lvlText w:val="%7."/>
      <w:lvlJc w:val="left"/>
      <w:pPr>
        <w:tabs>
          <w:tab w:val="num" w:pos="5400"/>
        </w:tabs>
        <w:ind w:left="5400" w:hanging="360"/>
      </w:pPr>
      <w:rPr>
        <w:rFonts w:cs="Times New Roman"/>
      </w:rPr>
    </w:lvl>
    <w:lvl w:ilvl="7" w:tplc="0596A364" w:tentative="1">
      <w:start w:val="1"/>
      <w:numFmt w:val="lowerLetter"/>
      <w:lvlText w:val="%8."/>
      <w:lvlJc w:val="left"/>
      <w:pPr>
        <w:tabs>
          <w:tab w:val="num" w:pos="6120"/>
        </w:tabs>
        <w:ind w:left="6120" w:hanging="360"/>
      </w:pPr>
      <w:rPr>
        <w:rFonts w:cs="Times New Roman"/>
      </w:rPr>
    </w:lvl>
    <w:lvl w:ilvl="8" w:tplc="BFE42E58" w:tentative="1">
      <w:start w:val="1"/>
      <w:numFmt w:val="lowerRoman"/>
      <w:lvlText w:val="%9."/>
      <w:lvlJc w:val="right"/>
      <w:pPr>
        <w:tabs>
          <w:tab w:val="num" w:pos="6840"/>
        </w:tabs>
        <w:ind w:left="6840" w:hanging="180"/>
      </w:pPr>
      <w:rPr>
        <w:rFonts w:cs="Times New Roman"/>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C7B2486"/>
    <w:multiLevelType w:val="hybridMultilevel"/>
    <w:tmpl w:val="D38C62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4976B8"/>
    <w:multiLevelType w:val="hybridMultilevel"/>
    <w:tmpl w:val="E9A60B02"/>
    <w:lvl w:ilvl="0" w:tplc="6F54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E045A2"/>
    <w:multiLevelType w:val="hybridMultilevel"/>
    <w:tmpl w:val="36048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New Roman Bol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New Roman Bol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New Roman Bold"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3A7246"/>
    <w:multiLevelType w:val="hybridMultilevel"/>
    <w:tmpl w:val="7296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52FB7"/>
    <w:multiLevelType w:val="multilevel"/>
    <w:tmpl w:val="83861FF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00"/>
        </w:tabs>
        <w:ind w:left="900" w:hanging="720"/>
      </w:pPr>
      <w:rPr>
        <w:rFonts w:cs="Times New Roman"/>
      </w:rPr>
    </w:lvl>
    <w:lvl w:ilvl="2">
      <w:start w:val="1"/>
      <w:numFmt w:val="decimal"/>
      <w:lvlText w:val="%3."/>
      <w:lvlJc w:val="left"/>
      <w:pPr>
        <w:tabs>
          <w:tab w:val="num" w:pos="1620"/>
        </w:tabs>
        <w:ind w:left="1620" w:hanging="720"/>
      </w:pPr>
      <w:rPr>
        <w:rFonts w:cs="Times New Roman"/>
      </w:rPr>
    </w:lvl>
    <w:lvl w:ilvl="3">
      <w:start w:val="1"/>
      <w:numFmt w:val="lowerLetter"/>
      <w:lvlText w:val="%4."/>
      <w:lvlJc w:val="left"/>
      <w:pPr>
        <w:tabs>
          <w:tab w:val="num" w:pos="2340"/>
        </w:tabs>
        <w:ind w:left="2340" w:hanging="720"/>
      </w:pPr>
      <w:rPr>
        <w:rFonts w:cs="Times New Roman"/>
      </w:rPr>
    </w:lvl>
    <w:lvl w:ilvl="4">
      <w:start w:val="1"/>
      <w:numFmt w:val="lowerRoman"/>
      <w:lvlText w:val="(%5)"/>
      <w:lvlJc w:val="left"/>
      <w:pPr>
        <w:tabs>
          <w:tab w:val="num" w:pos="3420"/>
        </w:tabs>
        <w:ind w:left="306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780"/>
        </w:tabs>
        <w:ind w:left="3780" w:hanging="720"/>
      </w:pPr>
      <w:rPr>
        <w:rFonts w:cs="Times New Roman"/>
      </w:rPr>
    </w:lvl>
    <w:lvl w:ilvl="6">
      <w:start w:val="1"/>
      <w:numFmt w:val="lowerRoman"/>
      <w:lvlText w:val="(%7)"/>
      <w:lvlJc w:val="left"/>
      <w:pPr>
        <w:tabs>
          <w:tab w:val="num" w:pos="4500"/>
        </w:tabs>
        <w:ind w:left="3780"/>
      </w:pPr>
      <w:rPr>
        <w:rFonts w:cs="Times New Roman"/>
      </w:rPr>
    </w:lvl>
    <w:lvl w:ilvl="7">
      <w:start w:val="1"/>
      <w:numFmt w:val="lowerLetter"/>
      <w:lvlText w:val="(%8)"/>
      <w:lvlJc w:val="left"/>
      <w:pPr>
        <w:tabs>
          <w:tab w:val="num" w:pos="4860"/>
        </w:tabs>
        <w:ind w:left="4500"/>
      </w:pPr>
      <w:rPr>
        <w:rFonts w:cs="Times New Roman"/>
      </w:rPr>
    </w:lvl>
    <w:lvl w:ilvl="8">
      <w:start w:val="1"/>
      <w:numFmt w:val="lowerRoman"/>
      <w:lvlText w:val="(%9)"/>
      <w:lvlJc w:val="left"/>
      <w:pPr>
        <w:tabs>
          <w:tab w:val="num" w:pos="5940"/>
        </w:tabs>
        <w:ind w:left="5220"/>
      </w:pPr>
      <w:rPr>
        <w:rFonts w:cs="Times New Roman"/>
        <w:b/>
        <w:i w:val="0"/>
        <w:sz w:val="22"/>
      </w:rPr>
    </w:lvl>
  </w:abstractNum>
  <w:abstractNum w:abstractNumId="1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77A40F4C"/>
    <w:multiLevelType w:val="hybridMultilevel"/>
    <w:tmpl w:val="15466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6"/>
  </w:num>
  <w:num w:numId="5">
    <w:abstractNumId w:val="15"/>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2"/>
  </w:num>
  <w:num w:numId="13">
    <w:abstractNumId w:val="8"/>
  </w:num>
  <w:num w:numId="14">
    <w:abstractNumId w:val="13"/>
    <w:lvlOverride w:ilvl="0">
      <w:startOverride w:val="1"/>
    </w:lvlOverride>
  </w:num>
  <w:num w:numId="15">
    <w:abstractNumId w:val="9"/>
  </w:num>
  <w:num w:numId="16">
    <w:abstractNumId w:val="0"/>
  </w:num>
  <w:num w:numId="17">
    <w:abstractNumId w:val="13"/>
  </w:num>
  <w:num w:numId="18">
    <w:abstractNumId w:val="13"/>
    <w:lvlOverride w:ilvl="0">
      <w:startOverride w:val="1"/>
    </w:lvlOverride>
  </w:num>
  <w:num w:numId="19">
    <w:abstractNumId w:val="3"/>
  </w:num>
  <w:num w:numId="20">
    <w:abstractNumId w:val="1"/>
    <w:lvlOverride w:ilvl="0">
      <w:startOverride w:val="1"/>
    </w:lvlOverride>
  </w:num>
  <w:num w:numId="21">
    <w:abstractNumId w:val="14"/>
  </w:num>
  <w:num w:numId="22">
    <w:abstractNumId w:val="17"/>
  </w:num>
  <w:num w:numId="23">
    <w:abstractNumId w:val="19"/>
  </w:num>
  <w:num w:numId="24">
    <w:abstractNumId w:val="10"/>
  </w:num>
  <w:num w:numId="25">
    <w:abstractNumId w:val="7"/>
  </w:num>
  <w:num w:numId="26">
    <w:abstractNumId w:val="11"/>
  </w:num>
  <w:num w:numId="27">
    <w:abstractNumId w:val="5"/>
  </w:num>
  <w:num w:numId="28">
    <w:abstractNumId w:val="2"/>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CF"/>
    <w:rsid w:val="00000E7F"/>
    <w:rsid w:val="0000286D"/>
    <w:rsid w:val="00002E6F"/>
    <w:rsid w:val="00004FD5"/>
    <w:rsid w:val="000074FC"/>
    <w:rsid w:val="0001190B"/>
    <w:rsid w:val="00012F8A"/>
    <w:rsid w:val="000134E6"/>
    <w:rsid w:val="00013D12"/>
    <w:rsid w:val="00013F88"/>
    <w:rsid w:val="00023DFD"/>
    <w:rsid w:val="00025992"/>
    <w:rsid w:val="000278DC"/>
    <w:rsid w:val="000306BD"/>
    <w:rsid w:val="00032BBA"/>
    <w:rsid w:val="00032BC1"/>
    <w:rsid w:val="0003349E"/>
    <w:rsid w:val="0003362E"/>
    <w:rsid w:val="00033C99"/>
    <w:rsid w:val="00040513"/>
    <w:rsid w:val="00041A22"/>
    <w:rsid w:val="00042D70"/>
    <w:rsid w:val="000444E9"/>
    <w:rsid w:val="0004499D"/>
    <w:rsid w:val="00045C67"/>
    <w:rsid w:val="00050502"/>
    <w:rsid w:val="00051E08"/>
    <w:rsid w:val="00052BEF"/>
    <w:rsid w:val="00053935"/>
    <w:rsid w:val="00054358"/>
    <w:rsid w:val="00057F56"/>
    <w:rsid w:val="00060870"/>
    <w:rsid w:val="000640B9"/>
    <w:rsid w:val="0006439B"/>
    <w:rsid w:val="00064C18"/>
    <w:rsid w:val="00065C8A"/>
    <w:rsid w:val="00066E2D"/>
    <w:rsid w:val="00070843"/>
    <w:rsid w:val="00071D8C"/>
    <w:rsid w:val="00073862"/>
    <w:rsid w:val="000741A0"/>
    <w:rsid w:val="0007484E"/>
    <w:rsid w:val="00074CCB"/>
    <w:rsid w:val="000774CD"/>
    <w:rsid w:val="000808A9"/>
    <w:rsid w:val="00081902"/>
    <w:rsid w:val="00084E06"/>
    <w:rsid w:val="000869EB"/>
    <w:rsid w:val="00087486"/>
    <w:rsid w:val="000919B5"/>
    <w:rsid w:val="00092A1F"/>
    <w:rsid w:val="00094D50"/>
    <w:rsid w:val="00095BD3"/>
    <w:rsid w:val="0009605C"/>
    <w:rsid w:val="00097708"/>
    <w:rsid w:val="000A088E"/>
    <w:rsid w:val="000A0966"/>
    <w:rsid w:val="000A2A42"/>
    <w:rsid w:val="000A3768"/>
    <w:rsid w:val="000A6883"/>
    <w:rsid w:val="000A7389"/>
    <w:rsid w:val="000A7523"/>
    <w:rsid w:val="000B426D"/>
    <w:rsid w:val="000B43EB"/>
    <w:rsid w:val="000B47EF"/>
    <w:rsid w:val="000B500E"/>
    <w:rsid w:val="000B586F"/>
    <w:rsid w:val="000B6E55"/>
    <w:rsid w:val="000B73E0"/>
    <w:rsid w:val="000B7F30"/>
    <w:rsid w:val="000C01D5"/>
    <w:rsid w:val="000C0268"/>
    <w:rsid w:val="000C0813"/>
    <w:rsid w:val="000C3D68"/>
    <w:rsid w:val="000C430D"/>
    <w:rsid w:val="000C4A30"/>
    <w:rsid w:val="000C4E1D"/>
    <w:rsid w:val="000C7C04"/>
    <w:rsid w:val="000D0FCE"/>
    <w:rsid w:val="000D5387"/>
    <w:rsid w:val="000D5713"/>
    <w:rsid w:val="000D5793"/>
    <w:rsid w:val="000D6E2A"/>
    <w:rsid w:val="000E1949"/>
    <w:rsid w:val="000E2D9D"/>
    <w:rsid w:val="000E302E"/>
    <w:rsid w:val="000E3B26"/>
    <w:rsid w:val="000E45E9"/>
    <w:rsid w:val="000E4F04"/>
    <w:rsid w:val="000F3FA7"/>
    <w:rsid w:val="000F5638"/>
    <w:rsid w:val="000F5834"/>
    <w:rsid w:val="000F5A51"/>
    <w:rsid w:val="001018D7"/>
    <w:rsid w:val="00102600"/>
    <w:rsid w:val="00110D33"/>
    <w:rsid w:val="001131E5"/>
    <w:rsid w:val="00115437"/>
    <w:rsid w:val="0011621F"/>
    <w:rsid w:val="00116F7C"/>
    <w:rsid w:val="00120D5B"/>
    <w:rsid w:val="0012134F"/>
    <w:rsid w:val="00122500"/>
    <w:rsid w:val="001235B4"/>
    <w:rsid w:val="00130857"/>
    <w:rsid w:val="00131C05"/>
    <w:rsid w:val="00140651"/>
    <w:rsid w:val="00140809"/>
    <w:rsid w:val="00143156"/>
    <w:rsid w:val="0014579F"/>
    <w:rsid w:val="00145D0D"/>
    <w:rsid w:val="00145DDB"/>
    <w:rsid w:val="001500AC"/>
    <w:rsid w:val="001541BE"/>
    <w:rsid w:val="00155C12"/>
    <w:rsid w:val="00163CB0"/>
    <w:rsid w:val="0016402A"/>
    <w:rsid w:val="00165785"/>
    <w:rsid w:val="00165D9E"/>
    <w:rsid w:val="001660E7"/>
    <w:rsid w:val="0016679D"/>
    <w:rsid w:val="001667CA"/>
    <w:rsid w:val="00167AD4"/>
    <w:rsid w:val="001708F2"/>
    <w:rsid w:val="00170BE0"/>
    <w:rsid w:val="0017105B"/>
    <w:rsid w:val="001722CB"/>
    <w:rsid w:val="00172955"/>
    <w:rsid w:val="00175B7E"/>
    <w:rsid w:val="00175E02"/>
    <w:rsid w:val="00175F52"/>
    <w:rsid w:val="00176366"/>
    <w:rsid w:val="0018279B"/>
    <w:rsid w:val="00187588"/>
    <w:rsid w:val="00190DB1"/>
    <w:rsid w:val="00191503"/>
    <w:rsid w:val="00192BAF"/>
    <w:rsid w:val="00194D2F"/>
    <w:rsid w:val="001A0AA0"/>
    <w:rsid w:val="001A4ACE"/>
    <w:rsid w:val="001A7C73"/>
    <w:rsid w:val="001A7EFE"/>
    <w:rsid w:val="001B1C9D"/>
    <w:rsid w:val="001B6C1C"/>
    <w:rsid w:val="001B755F"/>
    <w:rsid w:val="001C14D1"/>
    <w:rsid w:val="001C1D7B"/>
    <w:rsid w:val="001C4580"/>
    <w:rsid w:val="001C4A36"/>
    <w:rsid w:val="001C4C58"/>
    <w:rsid w:val="001C5BDA"/>
    <w:rsid w:val="001C67F7"/>
    <w:rsid w:val="001D0E19"/>
    <w:rsid w:val="001D1C00"/>
    <w:rsid w:val="001D25C1"/>
    <w:rsid w:val="001D3C39"/>
    <w:rsid w:val="001D652C"/>
    <w:rsid w:val="001D778F"/>
    <w:rsid w:val="001E3432"/>
    <w:rsid w:val="001E7220"/>
    <w:rsid w:val="001F0491"/>
    <w:rsid w:val="001F1229"/>
    <w:rsid w:val="001F1289"/>
    <w:rsid w:val="001F1B43"/>
    <w:rsid w:val="001F2842"/>
    <w:rsid w:val="001F4CFA"/>
    <w:rsid w:val="001F7F96"/>
    <w:rsid w:val="00201385"/>
    <w:rsid w:val="00201A6A"/>
    <w:rsid w:val="00204EEB"/>
    <w:rsid w:val="002116C7"/>
    <w:rsid w:val="00211893"/>
    <w:rsid w:val="00213DF9"/>
    <w:rsid w:val="00214940"/>
    <w:rsid w:val="0021683E"/>
    <w:rsid w:val="002179A5"/>
    <w:rsid w:val="00220F46"/>
    <w:rsid w:val="002214FE"/>
    <w:rsid w:val="0022746A"/>
    <w:rsid w:val="00227EAB"/>
    <w:rsid w:val="00227EEA"/>
    <w:rsid w:val="00230917"/>
    <w:rsid w:val="00230C61"/>
    <w:rsid w:val="0023171D"/>
    <w:rsid w:val="00231C4D"/>
    <w:rsid w:val="00234771"/>
    <w:rsid w:val="0023485D"/>
    <w:rsid w:val="0023506C"/>
    <w:rsid w:val="0023603A"/>
    <w:rsid w:val="002375AD"/>
    <w:rsid w:val="002402FA"/>
    <w:rsid w:val="0024098D"/>
    <w:rsid w:val="00243A24"/>
    <w:rsid w:val="002449A8"/>
    <w:rsid w:val="00247787"/>
    <w:rsid w:val="002558C6"/>
    <w:rsid w:val="00256561"/>
    <w:rsid w:val="00262422"/>
    <w:rsid w:val="002654DC"/>
    <w:rsid w:val="002661F6"/>
    <w:rsid w:val="00267F30"/>
    <w:rsid w:val="00270E29"/>
    <w:rsid w:val="00272452"/>
    <w:rsid w:val="00275382"/>
    <w:rsid w:val="00275571"/>
    <w:rsid w:val="00275A3B"/>
    <w:rsid w:val="00275C51"/>
    <w:rsid w:val="0028119C"/>
    <w:rsid w:val="002841A5"/>
    <w:rsid w:val="00284294"/>
    <w:rsid w:val="00286B59"/>
    <w:rsid w:val="00291761"/>
    <w:rsid w:val="002928C2"/>
    <w:rsid w:val="00292A5B"/>
    <w:rsid w:val="00292B54"/>
    <w:rsid w:val="00293AD8"/>
    <w:rsid w:val="002A254A"/>
    <w:rsid w:val="002A532C"/>
    <w:rsid w:val="002A6B79"/>
    <w:rsid w:val="002B0DCB"/>
    <w:rsid w:val="002B3EE6"/>
    <w:rsid w:val="002B63A3"/>
    <w:rsid w:val="002B6BBB"/>
    <w:rsid w:val="002B7E21"/>
    <w:rsid w:val="002C3A63"/>
    <w:rsid w:val="002C4FF0"/>
    <w:rsid w:val="002D6D02"/>
    <w:rsid w:val="002D744E"/>
    <w:rsid w:val="002E43C3"/>
    <w:rsid w:val="002E71A0"/>
    <w:rsid w:val="002E73E3"/>
    <w:rsid w:val="002F1709"/>
    <w:rsid w:val="002F44C8"/>
    <w:rsid w:val="002F4C11"/>
    <w:rsid w:val="00300CE1"/>
    <w:rsid w:val="00302721"/>
    <w:rsid w:val="0030276E"/>
    <w:rsid w:val="003055AC"/>
    <w:rsid w:val="00305C05"/>
    <w:rsid w:val="0030675C"/>
    <w:rsid w:val="00307B56"/>
    <w:rsid w:val="00310FC5"/>
    <w:rsid w:val="00312479"/>
    <w:rsid w:val="00315C59"/>
    <w:rsid w:val="00320E86"/>
    <w:rsid w:val="0032134D"/>
    <w:rsid w:val="003213EF"/>
    <w:rsid w:val="00322134"/>
    <w:rsid w:val="00322AB2"/>
    <w:rsid w:val="00323296"/>
    <w:rsid w:val="0032365A"/>
    <w:rsid w:val="00324024"/>
    <w:rsid w:val="003259EA"/>
    <w:rsid w:val="00326896"/>
    <w:rsid w:val="00327312"/>
    <w:rsid w:val="00333ED2"/>
    <w:rsid w:val="00335981"/>
    <w:rsid w:val="00344EEF"/>
    <w:rsid w:val="00345870"/>
    <w:rsid w:val="0034711A"/>
    <w:rsid w:val="003478E5"/>
    <w:rsid w:val="0035229A"/>
    <w:rsid w:val="00352A03"/>
    <w:rsid w:val="003544CC"/>
    <w:rsid w:val="00354A71"/>
    <w:rsid w:val="00357ACE"/>
    <w:rsid w:val="00361056"/>
    <w:rsid w:val="003612C7"/>
    <w:rsid w:val="00364B95"/>
    <w:rsid w:val="00364F57"/>
    <w:rsid w:val="00365031"/>
    <w:rsid w:val="00367089"/>
    <w:rsid w:val="00376BA6"/>
    <w:rsid w:val="003845AB"/>
    <w:rsid w:val="003859A3"/>
    <w:rsid w:val="003860A1"/>
    <w:rsid w:val="00387685"/>
    <w:rsid w:val="00390015"/>
    <w:rsid w:val="0039205C"/>
    <w:rsid w:val="0039326C"/>
    <w:rsid w:val="003964D7"/>
    <w:rsid w:val="003A2B10"/>
    <w:rsid w:val="003A2F55"/>
    <w:rsid w:val="003A3036"/>
    <w:rsid w:val="003A355A"/>
    <w:rsid w:val="003A4C74"/>
    <w:rsid w:val="003A6E51"/>
    <w:rsid w:val="003A7457"/>
    <w:rsid w:val="003B0A0A"/>
    <w:rsid w:val="003B41FA"/>
    <w:rsid w:val="003B6AAD"/>
    <w:rsid w:val="003B744D"/>
    <w:rsid w:val="003B79B5"/>
    <w:rsid w:val="003C0202"/>
    <w:rsid w:val="003C1D5B"/>
    <w:rsid w:val="003C615B"/>
    <w:rsid w:val="003C7A91"/>
    <w:rsid w:val="003D1620"/>
    <w:rsid w:val="003D756A"/>
    <w:rsid w:val="003E00B2"/>
    <w:rsid w:val="003E0E1B"/>
    <w:rsid w:val="003E29D5"/>
    <w:rsid w:val="003E2CC1"/>
    <w:rsid w:val="003E3338"/>
    <w:rsid w:val="003E3653"/>
    <w:rsid w:val="003E4E76"/>
    <w:rsid w:val="003E500D"/>
    <w:rsid w:val="003E7AF8"/>
    <w:rsid w:val="003F0C6E"/>
    <w:rsid w:val="003F118C"/>
    <w:rsid w:val="003F2B49"/>
    <w:rsid w:val="003F5482"/>
    <w:rsid w:val="003F5F98"/>
    <w:rsid w:val="00400BBB"/>
    <w:rsid w:val="00401524"/>
    <w:rsid w:val="00401A09"/>
    <w:rsid w:val="00403706"/>
    <w:rsid w:val="00403ACE"/>
    <w:rsid w:val="00404A6B"/>
    <w:rsid w:val="00404D55"/>
    <w:rsid w:val="004059C3"/>
    <w:rsid w:val="00405DC1"/>
    <w:rsid w:val="0040733F"/>
    <w:rsid w:val="00411010"/>
    <w:rsid w:val="00411D23"/>
    <w:rsid w:val="0041432A"/>
    <w:rsid w:val="00416957"/>
    <w:rsid w:val="004203ED"/>
    <w:rsid w:val="0042045D"/>
    <w:rsid w:val="004212CE"/>
    <w:rsid w:val="0042676B"/>
    <w:rsid w:val="00427F0F"/>
    <w:rsid w:val="00430EE0"/>
    <w:rsid w:val="004325CA"/>
    <w:rsid w:val="00436310"/>
    <w:rsid w:val="004503DD"/>
    <w:rsid w:val="004518F4"/>
    <w:rsid w:val="004570ED"/>
    <w:rsid w:val="004574A0"/>
    <w:rsid w:val="0046021D"/>
    <w:rsid w:val="00460DC5"/>
    <w:rsid w:val="004637DA"/>
    <w:rsid w:val="00464053"/>
    <w:rsid w:val="004656F1"/>
    <w:rsid w:val="0046648A"/>
    <w:rsid w:val="00466587"/>
    <w:rsid w:val="0046689E"/>
    <w:rsid w:val="00467842"/>
    <w:rsid w:val="00467A14"/>
    <w:rsid w:val="0047198B"/>
    <w:rsid w:val="00473BDD"/>
    <w:rsid w:val="00477423"/>
    <w:rsid w:val="0048063B"/>
    <w:rsid w:val="00481B64"/>
    <w:rsid w:val="0048383F"/>
    <w:rsid w:val="00483E49"/>
    <w:rsid w:val="00494554"/>
    <w:rsid w:val="0049467B"/>
    <w:rsid w:val="004961D0"/>
    <w:rsid w:val="00496B79"/>
    <w:rsid w:val="004A12C7"/>
    <w:rsid w:val="004A17DB"/>
    <w:rsid w:val="004A7AC9"/>
    <w:rsid w:val="004B073C"/>
    <w:rsid w:val="004B1E5D"/>
    <w:rsid w:val="004B3839"/>
    <w:rsid w:val="004B5208"/>
    <w:rsid w:val="004C052E"/>
    <w:rsid w:val="004C167A"/>
    <w:rsid w:val="004C1E32"/>
    <w:rsid w:val="004C3B5B"/>
    <w:rsid w:val="004C6468"/>
    <w:rsid w:val="004C6896"/>
    <w:rsid w:val="004C7D10"/>
    <w:rsid w:val="004D5D5A"/>
    <w:rsid w:val="004D5F4F"/>
    <w:rsid w:val="004D7608"/>
    <w:rsid w:val="004D7EFF"/>
    <w:rsid w:val="004E00C9"/>
    <w:rsid w:val="004E0AF0"/>
    <w:rsid w:val="004E13AD"/>
    <w:rsid w:val="004E5F3E"/>
    <w:rsid w:val="004E709A"/>
    <w:rsid w:val="004F11BE"/>
    <w:rsid w:val="004F21FC"/>
    <w:rsid w:val="004F2252"/>
    <w:rsid w:val="004F2A37"/>
    <w:rsid w:val="004F2E51"/>
    <w:rsid w:val="004F3CD8"/>
    <w:rsid w:val="004F41C5"/>
    <w:rsid w:val="00502230"/>
    <w:rsid w:val="0050471A"/>
    <w:rsid w:val="0050505B"/>
    <w:rsid w:val="005052EB"/>
    <w:rsid w:val="005135A5"/>
    <w:rsid w:val="00517235"/>
    <w:rsid w:val="005202BD"/>
    <w:rsid w:val="0052057D"/>
    <w:rsid w:val="005255CB"/>
    <w:rsid w:val="005268BD"/>
    <w:rsid w:val="005271F3"/>
    <w:rsid w:val="00530018"/>
    <w:rsid w:val="005311D8"/>
    <w:rsid w:val="00531F6D"/>
    <w:rsid w:val="0053291F"/>
    <w:rsid w:val="00534BDE"/>
    <w:rsid w:val="00534DD5"/>
    <w:rsid w:val="00540554"/>
    <w:rsid w:val="00540FA0"/>
    <w:rsid w:val="0054268D"/>
    <w:rsid w:val="0054435A"/>
    <w:rsid w:val="00545121"/>
    <w:rsid w:val="00546E91"/>
    <w:rsid w:val="00550109"/>
    <w:rsid w:val="005512AC"/>
    <w:rsid w:val="00551D59"/>
    <w:rsid w:val="005537AC"/>
    <w:rsid w:val="00554F8D"/>
    <w:rsid w:val="00556CC6"/>
    <w:rsid w:val="005577AE"/>
    <w:rsid w:val="00561958"/>
    <w:rsid w:val="005623A4"/>
    <w:rsid w:val="005648E4"/>
    <w:rsid w:val="005654DF"/>
    <w:rsid w:val="005656C5"/>
    <w:rsid w:val="005678BB"/>
    <w:rsid w:val="0057575C"/>
    <w:rsid w:val="005775FC"/>
    <w:rsid w:val="00577AAA"/>
    <w:rsid w:val="005807B6"/>
    <w:rsid w:val="005809BB"/>
    <w:rsid w:val="00580E68"/>
    <w:rsid w:val="00583020"/>
    <w:rsid w:val="005832A2"/>
    <w:rsid w:val="00583430"/>
    <w:rsid w:val="00583F2A"/>
    <w:rsid w:val="005858F7"/>
    <w:rsid w:val="005949C9"/>
    <w:rsid w:val="005951F7"/>
    <w:rsid w:val="005964B2"/>
    <w:rsid w:val="00597006"/>
    <w:rsid w:val="005A0E42"/>
    <w:rsid w:val="005A11FE"/>
    <w:rsid w:val="005A12B0"/>
    <w:rsid w:val="005A2288"/>
    <w:rsid w:val="005A26C7"/>
    <w:rsid w:val="005A32E1"/>
    <w:rsid w:val="005A52B4"/>
    <w:rsid w:val="005A6494"/>
    <w:rsid w:val="005A6DBA"/>
    <w:rsid w:val="005A705D"/>
    <w:rsid w:val="005A71EA"/>
    <w:rsid w:val="005A79C1"/>
    <w:rsid w:val="005B244E"/>
    <w:rsid w:val="005B3560"/>
    <w:rsid w:val="005B4CC0"/>
    <w:rsid w:val="005B7508"/>
    <w:rsid w:val="005C41AA"/>
    <w:rsid w:val="005C626A"/>
    <w:rsid w:val="005D002D"/>
    <w:rsid w:val="005D09CF"/>
    <w:rsid w:val="005D0B50"/>
    <w:rsid w:val="005D0F59"/>
    <w:rsid w:val="005D22C5"/>
    <w:rsid w:val="005D2752"/>
    <w:rsid w:val="005D2B7A"/>
    <w:rsid w:val="005D2FF5"/>
    <w:rsid w:val="005D3445"/>
    <w:rsid w:val="005D6BDC"/>
    <w:rsid w:val="005E0433"/>
    <w:rsid w:val="005E0719"/>
    <w:rsid w:val="005E21E0"/>
    <w:rsid w:val="005E3A78"/>
    <w:rsid w:val="005E4B04"/>
    <w:rsid w:val="005E67C4"/>
    <w:rsid w:val="005E7BA2"/>
    <w:rsid w:val="005F0050"/>
    <w:rsid w:val="005F0C1A"/>
    <w:rsid w:val="005F5C92"/>
    <w:rsid w:val="005F666C"/>
    <w:rsid w:val="0060215B"/>
    <w:rsid w:val="006048A2"/>
    <w:rsid w:val="00605708"/>
    <w:rsid w:val="00605BE9"/>
    <w:rsid w:val="00607A6F"/>
    <w:rsid w:val="0061520D"/>
    <w:rsid w:val="00617877"/>
    <w:rsid w:val="00622EAC"/>
    <w:rsid w:val="0062391E"/>
    <w:rsid w:val="006254DD"/>
    <w:rsid w:val="00625CCA"/>
    <w:rsid w:val="006270DE"/>
    <w:rsid w:val="0063225F"/>
    <w:rsid w:val="00632362"/>
    <w:rsid w:val="006351CF"/>
    <w:rsid w:val="00635D14"/>
    <w:rsid w:val="00636063"/>
    <w:rsid w:val="006367B4"/>
    <w:rsid w:val="00637122"/>
    <w:rsid w:val="00640499"/>
    <w:rsid w:val="0064083C"/>
    <w:rsid w:val="00640BFE"/>
    <w:rsid w:val="006424AA"/>
    <w:rsid w:val="00642EAF"/>
    <w:rsid w:val="00652169"/>
    <w:rsid w:val="0065228B"/>
    <w:rsid w:val="0065281F"/>
    <w:rsid w:val="00652FF0"/>
    <w:rsid w:val="00654DDE"/>
    <w:rsid w:val="00655570"/>
    <w:rsid w:val="00660F4F"/>
    <w:rsid w:val="00663185"/>
    <w:rsid w:val="00663692"/>
    <w:rsid w:val="00663B95"/>
    <w:rsid w:val="006649D4"/>
    <w:rsid w:val="006671B9"/>
    <w:rsid w:val="00667E12"/>
    <w:rsid w:val="00667F79"/>
    <w:rsid w:val="00671936"/>
    <w:rsid w:val="00671E43"/>
    <w:rsid w:val="00673649"/>
    <w:rsid w:val="00673879"/>
    <w:rsid w:val="00674987"/>
    <w:rsid w:val="0067570A"/>
    <w:rsid w:val="00675B48"/>
    <w:rsid w:val="00676055"/>
    <w:rsid w:val="0067667C"/>
    <w:rsid w:val="00686A8C"/>
    <w:rsid w:val="00691F50"/>
    <w:rsid w:val="00692DE6"/>
    <w:rsid w:val="00692FA9"/>
    <w:rsid w:val="00695124"/>
    <w:rsid w:val="006A11B7"/>
    <w:rsid w:val="006A3978"/>
    <w:rsid w:val="006A399B"/>
    <w:rsid w:val="006A3ACA"/>
    <w:rsid w:val="006A42D2"/>
    <w:rsid w:val="006A5BCA"/>
    <w:rsid w:val="006A6577"/>
    <w:rsid w:val="006A6802"/>
    <w:rsid w:val="006C1EB8"/>
    <w:rsid w:val="006C2EAA"/>
    <w:rsid w:val="006C6E46"/>
    <w:rsid w:val="006C7559"/>
    <w:rsid w:val="006D29BF"/>
    <w:rsid w:val="006D37F9"/>
    <w:rsid w:val="006D4636"/>
    <w:rsid w:val="006D4BA0"/>
    <w:rsid w:val="006D54D8"/>
    <w:rsid w:val="006D5664"/>
    <w:rsid w:val="006D6122"/>
    <w:rsid w:val="006E09F4"/>
    <w:rsid w:val="006E35BB"/>
    <w:rsid w:val="006E49D4"/>
    <w:rsid w:val="006E5603"/>
    <w:rsid w:val="006F0792"/>
    <w:rsid w:val="006F0A00"/>
    <w:rsid w:val="006F3B19"/>
    <w:rsid w:val="006F6A77"/>
    <w:rsid w:val="006F74BD"/>
    <w:rsid w:val="007008B2"/>
    <w:rsid w:val="00701578"/>
    <w:rsid w:val="00702E76"/>
    <w:rsid w:val="00702E90"/>
    <w:rsid w:val="007033AC"/>
    <w:rsid w:val="00704D9B"/>
    <w:rsid w:val="00705D30"/>
    <w:rsid w:val="00712AD8"/>
    <w:rsid w:val="007143D5"/>
    <w:rsid w:val="007146FE"/>
    <w:rsid w:val="00715A25"/>
    <w:rsid w:val="007201F0"/>
    <w:rsid w:val="00720268"/>
    <w:rsid w:val="0072059F"/>
    <w:rsid w:val="0072065E"/>
    <w:rsid w:val="00720BC4"/>
    <w:rsid w:val="007239C3"/>
    <w:rsid w:val="007246C2"/>
    <w:rsid w:val="007262A6"/>
    <w:rsid w:val="00726337"/>
    <w:rsid w:val="00727420"/>
    <w:rsid w:val="00727E81"/>
    <w:rsid w:val="0073087F"/>
    <w:rsid w:val="00731256"/>
    <w:rsid w:val="007324D0"/>
    <w:rsid w:val="007348F5"/>
    <w:rsid w:val="00734DBF"/>
    <w:rsid w:val="00737215"/>
    <w:rsid w:val="00737D39"/>
    <w:rsid w:val="00741191"/>
    <w:rsid w:val="007441AE"/>
    <w:rsid w:val="00747FC0"/>
    <w:rsid w:val="00750E68"/>
    <w:rsid w:val="007514FB"/>
    <w:rsid w:val="00752411"/>
    <w:rsid w:val="00753977"/>
    <w:rsid w:val="0075411F"/>
    <w:rsid w:val="007546F2"/>
    <w:rsid w:val="007554DF"/>
    <w:rsid w:val="007558EB"/>
    <w:rsid w:val="00755E89"/>
    <w:rsid w:val="00756A9C"/>
    <w:rsid w:val="00760457"/>
    <w:rsid w:val="00761937"/>
    <w:rsid w:val="007620D0"/>
    <w:rsid w:val="00762160"/>
    <w:rsid w:val="0076260F"/>
    <w:rsid w:val="00762F22"/>
    <w:rsid w:val="007665DD"/>
    <w:rsid w:val="0077566C"/>
    <w:rsid w:val="00776D00"/>
    <w:rsid w:val="00782A95"/>
    <w:rsid w:val="00785456"/>
    <w:rsid w:val="0078555B"/>
    <w:rsid w:val="00785C18"/>
    <w:rsid w:val="00790B49"/>
    <w:rsid w:val="00791839"/>
    <w:rsid w:val="00791B2B"/>
    <w:rsid w:val="00796ED1"/>
    <w:rsid w:val="007A04FF"/>
    <w:rsid w:val="007A0FC9"/>
    <w:rsid w:val="007A129E"/>
    <w:rsid w:val="007A142A"/>
    <w:rsid w:val="007A1699"/>
    <w:rsid w:val="007A59C2"/>
    <w:rsid w:val="007A6ADE"/>
    <w:rsid w:val="007B18D1"/>
    <w:rsid w:val="007B20A3"/>
    <w:rsid w:val="007B4103"/>
    <w:rsid w:val="007C0DB4"/>
    <w:rsid w:val="007C20C6"/>
    <w:rsid w:val="007C3B06"/>
    <w:rsid w:val="007C4850"/>
    <w:rsid w:val="007C5003"/>
    <w:rsid w:val="007C5FE2"/>
    <w:rsid w:val="007C6A3A"/>
    <w:rsid w:val="007D3E16"/>
    <w:rsid w:val="007D42ED"/>
    <w:rsid w:val="007D578E"/>
    <w:rsid w:val="007D7674"/>
    <w:rsid w:val="007E23ED"/>
    <w:rsid w:val="007E6DD4"/>
    <w:rsid w:val="007E7EE5"/>
    <w:rsid w:val="007F01B7"/>
    <w:rsid w:val="007F0A9E"/>
    <w:rsid w:val="007F1202"/>
    <w:rsid w:val="007F55B0"/>
    <w:rsid w:val="007F6623"/>
    <w:rsid w:val="008001AE"/>
    <w:rsid w:val="00801582"/>
    <w:rsid w:val="008028E8"/>
    <w:rsid w:val="008057AE"/>
    <w:rsid w:val="00805D05"/>
    <w:rsid w:val="0080655D"/>
    <w:rsid w:val="00811D29"/>
    <w:rsid w:val="00813F50"/>
    <w:rsid w:val="00814D39"/>
    <w:rsid w:val="00817566"/>
    <w:rsid w:val="00817E7D"/>
    <w:rsid w:val="00820226"/>
    <w:rsid w:val="00826A5F"/>
    <w:rsid w:val="00826BDF"/>
    <w:rsid w:val="00830031"/>
    <w:rsid w:val="00830B96"/>
    <w:rsid w:val="008315DC"/>
    <w:rsid w:val="00834030"/>
    <w:rsid w:val="008347D3"/>
    <w:rsid w:val="00836B82"/>
    <w:rsid w:val="008441E5"/>
    <w:rsid w:val="00844A57"/>
    <w:rsid w:val="00845A6F"/>
    <w:rsid w:val="0084660B"/>
    <w:rsid w:val="0085097D"/>
    <w:rsid w:val="00855216"/>
    <w:rsid w:val="0086394B"/>
    <w:rsid w:val="0086439C"/>
    <w:rsid w:val="008653FF"/>
    <w:rsid w:val="008706FD"/>
    <w:rsid w:val="0087120C"/>
    <w:rsid w:val="00872836"/>
    <w:rsid w:val="00873853"/>
    <w:rsid w:val="00874998"/>
    <w:rsid w:val="00874ADF"/>
    <w:rsid w:val="00874CD4"/>
    <w:rsid w:val="00876F1C"/>
    <w:rsid w:val="0087760E"/>
    <w:rsid w:val="00883AC6"/>
    <w:rsid w:val="00887030"/>
    <w:rsid w:val="00890D65"/>
    <w:rsid w:val="008926B3"/>
    <w:rsid w:val="00892C35"/>
    <w:rsid w:val="00895805"/>
    <w:rsid w:val="00895839"/>
    <w:rsid w:val="00896203"/>
    <w:rsid w:val="008970ED"/>
    <w:rsid w:val="008973AD"/>
    <w:rsid w:val="00897957"/>
    <w:rsid w:val="00897AA4"/>
    <w:rsid w:val="00897F4C"/>
    <w:rsid w:val="008A3809"/>
    <w:rsid w:val="008A4224"/>
    <w:rsid w:val="008B0B37"/>
    <w:rsid w:val="008B0E98"/>
    <w:rsid w:val="008B1538"/>
    <w:rsid w:val="008B573B"/>
    <w:rsid w:val="008C011D"/>
    <w:rsid w:val="008C0E35"/>
    <w:rsid w:val="008C2540"/>
    <w:rsid w:val="008C2816"/>
    <w:rsid w:val="008C4999"/>
    <w:rsid w:val="008C49A8"/>
    <w:rsid w:val="008C639B"/>
    <w:rsid w:val="008D07FB"/>
    <w:rsid w:val="008D0E49"/>
    <w:rsid w:val="008D13B7"/>
    <w:rsid w:val="008D6FFB"/>
    <w:rsid w:val="008E2E8A"/>
    <w:rsid w:val="008E35B2"/>
    <w:rsid w:val="008E5823"/>
    <w:rsid w:val="008E62FE"/>
    <w:rsid w:val="008E6496"/>
    <w:rsid w:val="008F1A9A"/>
    <w:rsid w:val="008F31B7"/>
    <w:rsid w:val="008F359D"/>
    <w:rsid w:val="008F3A34"/>
    <w:rsid w:val="00901581"/>
    <w:rsid w:val="00901BA7"/>
    <w:rsid w:val="00901E4F"/>
    <w:rsid w:val="009047D9"/>
    <w:rsid w:val="0090605E"/>
    <w:rsid w:val="00910489"/>
    <w:rsid w:val="009133F7"/>
    <w:rsid w:val="00914964"/>
    <w:rsid w:val="00915327"/>
    <w:rsid w:val="00924E62"/>
    <w:rsid w:val="00932847"/>
    <w:rsid w:val="009328F3"/>
    <w:rsid w:val="00932F5F"/>
    <w:rsid w:val="0093327A"/>
    <w:rsid w:val="00940D3C"/>
    <w:rsid w:val="0094273D"/>
    <w:rsid w:val="00944665"/>
    <w:rsid w:val="009450A1"/>
    <w:rsid w:val="009549EE"/>
    <w:rsid w:val="00954E27"/>
    <w:rsid w:val="00954E6F"/>
    <w:rsid w:val="00955A82"/>
    <w:rsid w:val="0095687C"/>
    <w:rsid w:val="00956B84"/>
    <w:rsid w:val="00960076"/>
    <w:rsid w:val="00964DA0"/>
    <w:rsid w:val="00964ED6"/>
    <w:rsid w:val="00970841"/>
    <w:rsid w:val="00970DC0"/>
    <w:rsid w:val="00971DD2"/>
    <w:rsid w:val="00975A28"/>
    <w:rsid w:val="009763A5"/>
    <w:rsid w:val="00981978"/>
    <w:rsid w:val="00981BAD"/>
    <w:rsid w:val="00982A43"/>
    <w:rsid w:val="009848C5"/>
    <w:rsid w:val="00985279"/>
    <w:rsid w:val="00987337"/>
    <w:rsid w:val="0099161E"/>
    <w:rsid w:val="00994046"/>
    <w:rsid w:val="00996439"/>
    <w:rsid w:val="009A085E"/>
    <w:rsid w:val="009A0FEC"/>
    <w:rsid w:val="009A1E05"/>
    <w:rsid w:val="009A73E8"/>
    <w:rsid w:val="009B1A17"/>
    <w:rsid w:val="009B31E7"/>
    <w:rsid w:val="009B61F1"/>
    <w:rsid w:val="009B709E"/>
    <w:rsid w:val="009B78F5"/>
    <w:rsid w:val="009B7EB3"/>
    <w:rsid w:val="009C0A56"/>
    <w:rsid w:val="009C0B64"/>
    <w:rsid w:val="009C42FD"/>
    <w:rsid w:val="009C7AAE"/>
    <w:rsid w:val="009D01DC"/>
    <w:rsid w:val="009D6C4A"/>
    <w:rsid w:val="009D7582"/>
    <w:rsid w:val="009E0E6C"/>
    <w:rsid w:val="009E1113"/>
    <w:rsid w:val="009E12F5"/>
    <w:rsid w:val="009E2592"/>
    <w:rsid w:val="009F0803"/>
    <w:rsid w:val="009F143D"/>
    <w:rsid w:val="009F3B57"/>
    <w:rsid w:val="009F52AF"/>
    <w:rsid w:val="009F55E4"/>
    <w:rsid w:val="00A013DA"/>
    <w:rsid w:val="00A02565"/>
    <w:rsid w:val="00A02E04"/>
    <w:rsid w:val="00A0353C"/>
    <w:rsid w:val="00A03C2B"/>
    <w:rsid w:val="00A05A17"/>
    <w:rsid w:val="00A060EB"/>
    <w:rsid w:val="00A07746"/>
    <w:rsid w:val="00A1397B"/>
    <w:rsid w:val="00A14DA1"/>
    <w:rsid w:val="00A21E83"/>
    <w:rsid w:val="00A22027"/>
    <w:rsid w:val="00A224AF"/>
    <w:rsid w:val="00A231A3"/>
    <w:rsid w:val="00A251AC"/>
    <w:rsid w:val="00A275CD"/>
    <w:rsid w:val="00A338AE"/>
    <w:rsid w:val="00A357BE"/>
    <w:rsid w:val="00A358E6"/>
    <w:rsid w:val="00A37FDE"/>
    <w:rsid w:val="00A41680"/>
    <w:rsid w:val="00A41CE3"/>
    <w:rsid w:val="00A425A5"/>
    <w:rsid w:val="00A4466D"/>
    <w:rsid w:val="00A45286"/>
    <w:rsid w:val="00A473C7"/>
    <w:rsid w:val="00A544E1"/>
    <w:rsid w:val="00A549FD"/>
    <w:rsid w:val="00A550E0"/>
    <w:rsid w:val="00A56796"/>
    <w:rsid w:val="00A56DF9"/>
    <w:rsid w:val="00A57B12"/>
    <w:rsid w:val="00A66C69"/>
    <w:rsid w:val="00A66CF8"/>
    <w:rsid w:val="00A73F4C"/>
    <w:rsid w:val="00A77A80"/>
    <w:rsid w:val="00A8398B"/>
    <w:rsid w:val="00A91DA7"/>
    <w:rsid w:val="00A92F61"/>
    <w:rsid w:val="00A95800"/>
    <w:rsid w:val="00A95ABC"/>
    <w:rsid w:val="00A96035"/>
    <w:rsid w:val="00A969A2"/>
    <w:rsid w:val="00A97A22"/>
    <w:rsid w:val="00AA1BA3"/>
    <w:rsid w:val="00AA2F57"/>
    <w:rsid w:val="00AA7CE6"/>
    <w:rsid w:val="00AB0BF2"/>
    <w:rsid w:val="00AB4442"/>
    <w:rsid w:val="00AB5E06"/>
    <w:rsid w:val="00AB72D8"/>
    <w:rsid w:val="00AC011A"/>
    <w:rsid w:val="00AC0DE3"/>
    <w:rsid w:val="00AC31AA"/>
    <w:rsid w:val="00AD02E3"/>
    <w:rsid w:val="00AD0EB5"/>
    <w:rsid w:val="00AD1178"/>
    <w:rsid w:val="00AD13DA"/>
    <w:rsid w:val="00AD174E"/>
    <w:rsid w:val="00AD3219"/>
    <w:rsid w:val="00AD45E1"/>
    <w:rsid w:val="00AD546E"/>
    <w:rsid w:val="00AE622B"/>
    <w:rsid w:val="00AF4BE4"/>
    <w:rsid w:val="00AF518A"/>
    <w:rsid w:val="00AF718D"/>
    <w:rsid w:val="00AF7C5E"/>
    <w:rsid w:val="00B017AB"/>
    <w:rsid w:val="00B01AF5"/>
    <w:rsid w:val="00B027E8"/>
    <w:rsid w:val="00B029B4"/>
    <w:rsid w:val="00B02A70"/>
    <w:rsid w:val="00B02A93"/>
    <w:rsid w:val="00B031F8"/>
    <w:rsid w:val="00B03DC4"/>
    <w:rsid w:val="00B04581"/>
    <w:rsid w:val="00B049BC"/>
    <w:rsid w:val="00B0631A"/>
    <w:rsid w:val="00B13E2B"/>
    <w:rsid w:val="00B1617A"/>
    <w:rsid w:val="00B1712D"/>
    <w:rsid w:val="00B21475"/>
    <w:rsid w:val="00B217C4"/>
    <w:rsid w:val="00B219F0"/>
    <w:rsid w:val="00B22FA7"/>
    <w:rsid w:val="00B23376"/>
    <w:rsid w:val="00B246A7"/>
    <w:rsid w:val="00B264E8"/>
    <w:rsid w:val="00B27CCF"/>
    <w:rsid w:val="00B30618"/>
    <w:rsid w:val="00B308C8"/>
    <w:rsid w:val="00B317B4"/>
    <w:rsid w:val="00B318EF"/>
    <w:rsid w:val="00B32653"/>
    <w:rsid w:val="00B33063"/>
    <w:rsid w:val="00B36C09"/>
    <w:rsid w:val="00B4647D"/>
    <w:rsid w:val="00B47F8E"/>
    <w:rsid w:val="00B569CE"/>
    <w:rsid w:val="00B56C2B"/>
    <w:rsid w:val="00B577B0"/>
    <w:rsid w:val="00B6072D"/>
    <w:rsid w:val="00B60C0C"/>
    <w:rsid w:val="00B61674"/>
    <w:rsid w:val="00B65218"/>
    <w:rsid w:val="00B665D3"/>
    <w:rsid w:val="00B66B23"/>
    <w:rsid w:val="00B67076"/>
    <w:rsid w:val="00B70F1A"/>
    <w:rsid w:val="00B803CC"/>
    <w:rsid w:val="00B810EA"/>
    <w:rsid w:val="00B837A7"/>
    <w:rsid w:val="00B83D56"/>
    <w:rsid w:val="00B8696C"/>
    <w:rsid w:val="00B87D5F"/>
    <w:rsid w:val="00B91CDF"/>
    <w:rsid w:val="00B9614D"/>
    <w:rsid w:val="00B96721"/>
    <w:rsid w:val="00B97A89"/>
    <w:rsid w:val="00BA291C"/>
    <w:rsid w:val="00BA3E5D"/>
    <w:rsid w:val="00BA7706"/>
    <w:rsid w:val="00BB05C9"/>
    <w:rsid w:val="00BB1300"/>
    <w:rsid w:val="00BB1379"/>
    <w:rsid w:val="00BB1949"/>
    <w:rsid w:val="00BB2BC7"/>
    <w:rsid w:val="00BB2CFE"/>
    <w:rsid w:val="00BB300F"/>
    <w:rsid w:val="00BB3BD1"/>
    <w:rsid w:val="00BB7F13"/>
    <w:rsid w:val="00BC2AD2"/>
    <w:rsid w:val="00BC2B29"/>
    <w:rsid w:val="00BC3D09"/>
    <w:rsid w:val="00BC5D6B"/>
    <w:rsid w:val="00BC7F18"/>
    <w:rsid w:val="00BD03A6"/>
    <w:rsid w:val="00BD0A40"/>
    <w:rsid w:val="00BD14AF"/>
    <w:rsid w:val="00BD2AA5"/>
    <w:rsid w:val="00BD2D61"/>
    <w:rsid w:val="00BD3AAD"/>
    <w:rsid w:val="00BD4045"/>
    <w:rsid w:val="00BD5BE3"/>
    <w:rsid w:val="00BE0EEC"/>
    <w:rsid w:val="00BE1457"/>
    <w:rsid w:val="00BE53BB"/>
    <w:rsid w:val="00BE7168"/>
    <w:rsid w:val="00BF0B4D"/>
    <w:rsid w:val="00BF1E7F"/>
    <w:rsid w:val="00BF49AD"/>
    <w:rsid w:val="00BF6E29"/>
    <w:rsid w:val="00BF6E9E"/>
    <w:rsid w:val="00BF6F22"/>
    <w:rsid w:val="00C05CEF"/>
    <w:rsid w:val="00C105C2"/>
    <w:rsid w:val="00C116E5"/>
    <w:rsid w:val="00C124D3"/>
    <w:rsid w:val="00C13756"/>
    <w:rsid w:val="00C14487"/>
    <w:rsid w:val="00C2209A"/>
    <w:rsid w:val="00C23657"/>
    <w:rsid w:val="00C262DA"/>
    <w:rsid w:val="00C265D3"/>
    <w:rsid w:val="00C31BFF"/>
    <w:rsid w:val="00C33D3E"/>
    <w:rsid w:val="00C3449A"/>
    <w:rsid w:val="00C364A5"/>
    <w:rsid w:val="00C372D9"/>
    <w:rsid w:val="00C37C01"/>
    <w:rsid w:val="00C4132F"/>
    <w:rsid w:val="00C41B76"/>
    <w:rsid w:val="00C433FF"/>
    <w:rsid w:val="00C43A76"/>
    <w:rsid w:val="00C43CF9"/>
    <w:rsid w:val="00C465EE"/>
    <w:rsid w:val="00C55120"/>
    <w:rsid w:val="00C55706"/>
    <w:rsid w:val="00C561E9"/>
    <w:rsid w:val="00C56D11"/>
    <w:rsid w:val="00C62B73"/>
    <w:rsid w:val="00C6415B"/>
    <w:rsid w:val="00C64351"/>
    <w:rsid w:val="00C702F3"/>
    <w:rsid w:val="00C7167F"/>
    <w:rsid w:val="00C749EE"/>
    <w:rsid w:val="00C75818"/>
    <w:rsid w:val="00C77511"/>
    <w:rsid w:val="00C84512"/>
    <w:rsid w:val="00C84C76"/>
    <w:rsid w:val="00C90005"/>
    <w:rsid w:val="00C90478"/>
    <w:rsid w:val="00C906B9"/>
    <w:rsid w:val="00C91049"/>
    <w:rsid w:val="00C924D0"/>
    <w:rsid w:val="00C926B8"/>
    <w:rsid w:val="00C927A3"/>
    <w:rsid w:val="00C947B5"/>
    <w:rsid w:val="00C94FF4"/>
    <w:rsid w:val="00C962E8"/>
    <w:rsid w:val="00CA0CA9"/>
    <w:rsid w:val="00CA12B4"/>
    <w:rsid w:val="00CA2718"/>
    <w:rsid w:val="00CA3B82"/>
    <w:rsid w:val="00CA3DD4"/>
    <w:rsid w:val="00CA4365"/>
    <w:rsid w:val="00CA6B98"/>
    <w:rsid w:val="00CB7156"/>
    <w:rsid w:val="00CC4606"/>
    <w:rsid w:val="00CC47FE"/>
    <w:rsid w:val="00CC686D"/>
    <w:rsid w:val="00CD0E5D"/>
    <w:rsid w:val="00CD698B"/>
    <w:rsid w:val="00CE041C"/>
    <w:rsid w:val="00CE39BD"/>
    <w:rsid w:val="00CE5E78"/>
    <w:rsid w:val="00CF0086"/>
    <w:rsid w:val="00CF16B3"/>
    <w:rsid w:val="00CF655B"/>
    <w:rsid w:val="00CF788B"/>
    <w:rsid w:val="00D00290"/>
    <w:rsid w:val="00D029B1"/>
    <w:rsid w:val="00D07F21"/>
    <w:rsid w:val="00D10075"/>
    <w:rsid w:val="00D123B4"/>
    <w:rsid w:val="00D13324"/>
    <w:rsid w:val="00D15297"/>
    <w:rsid w:val="00D175B0"/>
    <w:rsid w:val="00D20A37"/>
    <w:rsid w:val="00D21916"/>
    <w:rsid w:val="00D21FF4"/>
    <w:rsid w:val="00D22023"/>
    <w:rsid w:val="00D224EC"/>
    <w:rsid w:val="00D241E3"/>
    <w:rsid w:val="00D24BE1"/>
    <w:rsid w:val="00D25647"/>
    <w:rsid w:val="00D304F8"/>
    <w:rsid w:val="00D30953"/>
    <w:rsid w:val="00D329B3"/>
    <w:rsid w:val="00D334EC"/>
    <w:rsid w:val="00D354EB"/>
    <w:rsid w:val="00D35688"/>
    <w:rsid w:val="00D366CE"/>
    <w:rsid w:val="00D37CEE"/>
    <w:rsid w:val="00D40E35"/>
    <w:rsid w:val="00D4663F"/>
    <w:rsid w:val="00D516C7"/>
    <w:rsid w:val="00D56ABB"/>
    <w:rsid w:val="00D60EF0"/>
    <w:rsid w:val="00D6366E"/>
    <w:rsid w:val="00D63B4C"/>
    <w:rsid w:val="00D71B46"/>
    <w:rsid w:val="00D75669"/>
    <w:rsid w:val="00D8060C"/>
    <w:rsid w:val="00D80B37"/>
    <w:rsid w:val="00D82AAC"/>
    <w:rsid w:val="00D831DA"/>
    <w:rsid w:val="00D83457"/>
    <w:rsid w:val="00D8440F"/>
    <w:rsid w:val="00D87947"/>
    <w:rsid w:val="00D87CDC"/>
    <w:rsid w:val="00D92FC7"/>
    <w:rsid w:val="00D94A8E"/>
    <w:rsid w:val="00D972B0"/>
    <w:rsid w:val="00D976BD"/>
    <w:rsid w:val="00D97CB3"/>
    <w:rsid w:val="00DA0AFC"/>
    <w:rsid w:val="00DA17EF"/>
    <w:rsid w:val="00DA1B6F"/>
    <w:rsid w:val="00DA3BA2"/>
    <w:rsid w:val="00DA547F"/>
    <w:rsid w:val="00DA5E92"/>
    <w:rsid w:val="00DB1441"/>
    <w:rsid w:val="00DB2044"/>
    <w:rsid w:val="00DB2F5A"/>
    <w:rsid w:val="00DB76CD"/>
    <w:rsid w:val="00DB77CB"/>
    <w:rsid w:val="00DC0607"/>
    <w:rsid w:val="00DC3106"/>
    <w:rsid w:val="00DC3111"/>
    <w:rsid w:val="00DC4CCB"/>
    <w:rsid w:val="00DC5555"/>
    <w:rsid w:val="00DD2058"/>
    <w:rsid w:val="00DD38CC"/>
    <w:rsid w:val="00DD3A30"/>
    <w:rsid w:val="00DD42C9"/>
    <w:rsid w:val="00DD7EC7"/>
    <w:rsid w:val="00DE0460"/>
    <w:rsid w:val="00DE0522"/>
    <w:rsid w:val="00DE2444"/>
    <w:rsid w:val="00DE280F"/>
    <w:rsid w:val="00DE2BE9"/>
    <w:rsid w:val="00DE75DF"/>
    <w:rsid w:val="00DF22D0"/>
    <w:rsid w:val="00DF284B"/>
    <w:rsid w:val="00DF6814"/>
    <w:rsid w:val="00DF7087"/>
    <w:rsid w:val="00E00946"/>
    <w:rsid w:val="00E01067"/>
    <w:rsid w:val="00E050EE"/>
    <w:rsid w:val="00E05AC8"/>
    <w:rsid w:val="00E06300"/>
    <w:rsid w:val="00E10B3B"/>
    <w:rsid w:val="00E136E5"/>
    <w:rsid w:val="00E146A0"/>
    <w:rsid w:val="00E171DB"/>
    <w:rsid w:val="00E25E4D"/>
    <w:rsid w:val="00E26F29"/>
    <w:rsid w:val="00E27AF9"/>
    <w:rsid w:val="00E27C0C"/>
    <w:rsid w:val="00E30EE4"/>
    <w:rsid w:val="00E3299B"/>
    <w:rsid w:val="00E35E8B"/>
    <w:rsid w:val="00E362C4"/>
    <w:rsid w:val="00E36818"/>
    <w:rsid w:val="00E378D2"/>
    <w:rsid w:val="00E40505"/>
    <w:rsid w:val="00E40D00"/>
    <w:rsid w:val="00E45D9E"/>
    <w:rsid w:val="00E502E0"/>
    <w:rsid w:val="00E530F3"/>
    <w:rsid w:val="00E53805"/>
    <w:rsid w:val="00E53F0E"/>
    <w:rsid w:val="00E55A0E"/>
    <w:rsid w:val="00E56580"/>
    <w:rsid w:val="00E57062"/>
    <w:rsid w:val="00E57778"/>
    <w:rsid w:val="00E621F2"/>
    <w:rsid w:val="00E625F2"/>
    <w:rsid w:val="00E62D45"/>
    <w:rsid w:val="00E664AB"/>
    <w:rsid w:val="00E6698C"/>
    <w:rsid w:val="00E732C6"/>
    <w:rsid w:val="00E7650A"/>
    <w:rsid w:val="00E77CC1"/>
    <w:rsid w:val="00E8219B"/>
    <w:rsid w:val="00E83591"/>
    <w:rsid w:val="00E83EA6"/>
    <w:rsid w:val="00E84936"/>
    <w:rsid w:val="00E85DD1"/>
    <w:rsid w:val="00E8608C"/>
    <w:rsid w:val="00E86EAD"/>
    <w:rsid w:val="00E9276C"/>
    <w:rsid w:val="00E94DCD"/>
    <w:rsid w:val="00E95245"/>
    <w:rsid w:val="00E95F8A"/>
    <w:rsid w:val="00E963C0"/>
    <w:rsid w:val="00E97B6F"/>
    <w:rsid w:val="00E97D9D"/>
    <w:rsid w:val="00EA0B7E"/>
    <w:rsid w:val="00EA2FB7"/>
    <w:rsid w:val="00EA62C5"/>
    <w:rsid w:val="00EB12F9"/>
    <w:rsid w:val="00EB23F0"/>
    <w:rsid w:val="00EB6CF9"/>
    <w:rsid w:val="00EB6E96"/>
    <w:rsid w:val="00ED4BA6"/>
    <w:rsid w:val="00ED5276"/>
    <w:rsid w:val="00ED7B92"/>
    <w:rsid w:val="00EE1DB0"/>
    <w:rsid w:val="00EE3B9C"/>
    <w:rsid w:val="00EE7F08"/>
    <w:rsid w:val="00EF0374"/>
    <w:rsid w:val="00EF18E0"/>
    <w:rsid w:val="00EF276B"/>
    <w:rsid w:val="00EF3F49"/>
    <w:rsid w:val="00EF5659"/>
    <w:rsid w:val="00F03004"/>
    <w:rsid w:val="00F04CBF"/>
    <w:rsid w:val="00F04EAC"/>
    <w:rsid w:val="00F06AD3"/>
    <w:rsid w:val="00F111DD"/>
    <w:rsid w:val="00F130AF"/>
    <w:rsid w:val="00F14FA9"/>
    <w:rsid w:val="00F207B8"/>
    <w:rsid w:val="00F21152"/>
    <w:rsid w:val="00F22D16"/>
    <w:rsid w:val="00F22E68"/>
    <w:rsid w:val="00F234DE"/>
    <w:rsid w:val="00F26B30"/>
    <w:rsid w:val="00F27C3E"/>
    <w:rsid w:val="00F30D8D"/>
    <w:rsid w:val="00F31E56"/>
    <w:rsid w:val="00F33C6B"/>
    <w:rsid w:val="00F359A5"/>
    <w:rsid w:val="00F36552"/>
    <w:rsid w:val="00F37F67"/>
    <w:rsid w:val="00F42111"/>
    <w:rsid w:val="00F4327B"/>
    <w:rsid w:val="00F44069"/>
    <w:rsid w:val="00F46805"/>
    <w:rsid w:val="00F55ECF"/>
    <w:rsid w:val="00F56840"/>
    <w:rsid w:val="00F63B27"/>
    <w:rsid w:val="00F645CF"/>
    <w:rsid w:val="00F6784A"/>
    <w:rsid w:val="00F70AEA"/>
    <w:rsid w:val="00F725A9"/>
    <w:rsid w:val="00F729B4"/>
    <w:rsid w:val="00F737F7"/>
    <w:rsid w:val="00F74A2E"/>
    <w:rsid w:val="00F758CB"/>
    <w:rsid w:val="00F763F4"/>
    <w:rsid w:val="00F811ED"/>
    <w:rsid w:val="00F82314"/>
    <w:rsid w:val="00F85DCC"/>
    <w:rsid w:val="00F865D0"/>
    <w:rsid w:val="00F86E14"/>
    <w:rsid w:val="00F87676"/>
    <w:rsid w:val="00F9216C"/>
    <w:rsid w:val="00F968A7"/>
    <w:rsid w:val="00F9727C"/>
    <w:rsid w:val="00F97698"/>
    <w:rsid w:val="00F97745"/>
    <w:rsid w:val="00FA0321"/>
    <w:rsid w:val="00FA3F17"/>
    <w:rsid w:val="00FA450D"/>
    <w:rsid w:val="00FA48E2"/>
    <w:rsid w:val="00FA4980"/>
    <w:rsid w:val="00FA54C4"/>
    <w:rsid w:val="00FB5129"/>
    <w:rsid w:val="00FB62DA"/>
    <w:rsid w:val="00FC4D43"/>
    <w:rsid w:val="00FC6937"/>
    <w:rsid w:val="00FC6D14"/>
    <w:rsid w:val="00FD3E88"/>
    <w:rsid w:val="00FD53C5"/>
    <w:rsid w:val="00FD6D19"/>
    <w:rsid w:val="00FE13D4"/>
    <w:rsid w:val="00FE1882"/>
    <w:rsid w:val="00FE1D2C"/>
    <w:rsid w:val="00FE26C3"/>
    <w:rsid w:val="00FE40F6"/>
    <w:rsid w:val="00FE689C"/>
    <w:rsid w:val="00FE78B1"/>
    <w:rsid w:val="00FF2348"/>
    <w:rsid w:val="00FF58E5"/>
    <w:rsid w:val="00FF5C41"/>
    <w:rsid w:val="00FF6861"/>
    <w:rsid w:val="00FF7455"/>
    <w:rsid w:val="00FF77F4"/>
    <w:rsid w:val="00FF7A6D"/>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43"/>
    <w:pPr>
      <w:widowControl w:val="0"/>
    </w:pPr>
    <w:rPr>
      <w:snapToGrid w:val="0"/>
      <w:kern w:val="28"/>
      <w:sz w:val="22"/>
    </w:rPr>
  </w:style>
  <w:style w:type="paragraph" w:styleId="Heading1">
    <w:name w:val="heading 1"/>
    <w:basedOn w:val="Normal"/>
    <w:next w:val="ParaNum"/>
    <w:link w:val="Heading1Char"/>
    <w:qFormat/>
    <w:rsid w:val="00FC4D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4D43"/>
    <w:pPr>
      <w:keepNext/>
      <w:numPr>
        <w:ilvl w:val="1"/>
        <w:numId w:val="3"/>
      </w:numPr>
      <w:spacing w:after="120"/>
      <w:outlineLvl w:val="1"/>
    </w:pPr>
    <w:rPr>
      <w:b/>
    </w:rPr>
  </w:style>
  <w:style w:type="paragraph" w:styleId="Heading3">
    <w:name w:val="heading 3"/>
    <w:basedOn w:val="Normal"/>
    <w:next w:val="ParaNum"/>
    <w:link w:val="Heading3Char"/>
    <w:qFormat/>
    <w:rsid w:val="00FC4D4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C4D4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C4D4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C4D4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C4D4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C4D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4D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FC4D43"/>
    <w:pPr>
      <w:numPr>
        <w:numId w:val="2"/>
      </w:numPr>
      <w:tabs>
        <w:tab w:val="clear" w:pos="1080"/>
        <w:tab w:val="num" w:pos="1440"/>
      </w:tabs>
      <w:spacing w:after="120"/>
    </w:pPr>
  </w:style>
  <w:style w:type="paragraph" w:styleId="EndnoteText">
    <w:name w:val="endnote text"/>
    <w:basedOn w:val="Normal"/>
    <w:semiHidden/>
    <w:rsid w:val="00FC4D43"/>
    <w:rPr>
      <w:sz w:val="20"/>
    </w:rPr>
  </w:style>
  <w:style w:type="character" w:styleId="EndnoteReference">
    <w:name w:val="endnote reference"/>
    <w:semiHidden/>
    <w:rsid w:val="00FC4D43"/>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FC4D43"/>
    <w:pPr>
      <w:spacing w:after="120"/>
    </w:pPr>
  </w:style>
  <w:style w:type="character" w:styleId="FootnoteReference">
    <w:name w:val="footnote reference"/>
    <w:aliases w:val="Style 12,(NECG) Footnote Reference,Style 13,Appel note de bas de p,Style 124,fr,o,Style 3,FR,Style 17,Footnote Reference/,Style 6,Style 7"/>
    <w:rsid w:val="00FC4D43"/>
    <w:rPr>
      <w:rFonts w:ascii="Times New Roman" w:hAnsi="Times New Roman"/>
      <w:dstrike w:val="0"/>
      <w:color w:val="auto"/>
      <w:sz w:val="20"/>
      <w:vertAlign w:val="superscript"/>
    </w:rPr>
  </w:style>
  <w:style w:type="paragraph" w:styleId="TOC1">
    <w:name w:val="toc 1"/>
    <w:basedOn w:val="Normal"/>
    <w:next w:val="Normal"/>
    <w:rsid w:val="00FC4D43"/>
    <w:pPr>
      <w:tabs>
        <w:tab w:val="left" w:pos="360"/>
        <w:tab w:val="right" w:leader="dot" w:pos="9360"/>
      </w:tabs>
      <w:suppressAutoHyphens/>
      <w:ind w:left="360" w:right="720" w:hanging="360"/>
    </w:pPr>
    <w:rPr>
      <w:caps/>
      <w:noProof/>
    </w:rPr>
  </w:style>
  <w:style w:type="paragraph" w:styleId="TOC2">
    <w:name w:val="toc 2"/>
    <w:basedOn w:val="Normal"/>
    <w:next w:val="Normal"/>
    <w:rsid w:val="00FC4D43"/>
    <w:pPr>
      <w:tabs>
        <w:tab w:val="left" w:pos="720"/>
        <w:tab w:val="right" w:leader="dot" w:pos="9360"/>
      </w:tabs>
      <w:suppressAutoHyphens/>
      <w:ind w:left="720" w:right="720" w:hanging="360"/>
    </w:pPr>
    <w:rPr>
      <w:noProof/>
    </w:rPr>
  </w:style>
  <w:style w:type="paragraph" w:styleId="TOC3">
    <w:name w:val="toc 3"/>
    <w:basedOn w:val="Normal"/>
    <w:next w:val="Normal"/>
    <w:rsid w:val="00FC4D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D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D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D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D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D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D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D43"/>
    <w:pPr>
      <w:tabs>
        <w:tab w:val="right" w:pos="9360"/>
      </w:tabs>
      <w:suppressAutoHyphens/>
    </w:pPr>
  </w:style>
  <w:style w:type="character" w:customStyle="1" w:styleId="EquationCaption">
    <w:name w:val="_Equation Caption"/>
    <w:rsid w:val="00FC4D43"/>
  </w:style>
  <w:style w:type="paragraph" w:styleId="Header">
    <w:name w:val="header"/>
    <w:basedOn w:val="Normal"/>
    <w:link w:val="HeaderChar"/>
    <w:autoRedefine/>
    <w:rsid w:val="00FC4D43"/>
    <w:pPr>
      <w:tabs>
        <w:tab w:val="center" w:pos="4680"/>
        <w:tab w:val="right" w:pos="9360"/>
      </w:tabs>
    </w:pPr>
    <w:rPr>
      <w:b/>
    </w:rPr>
  </w:style>
  <w:style w:type="paragraph" w:styleId="Footer">
    <w:name w:val="footer"/>
    <w:basedOn w:val="Normal"/>
    <w:link w:val="FooterChar"/>
    <w:rsid w:val="00FC4D43"/>
    <w:pPr>
      <w:tabs>
        <w:tab w:val="center" w:pos="4320"/>
        <w:tab w:val="right" w:pos="8640"/>
      </w:tabs>
    </w:pPr>
  </w:style>
  <w:style w:type="character" w:styleId="PageNumber">
    <w:name w:val="page number"/>
    <w:basedOn w:val="DefaultParagraphFont"/>
    <w:rsid w:val="00FC4D43"/>
  </w:style>
  <w:style w:type="paragraph" w:styleId="BlockText">
    <w:name w:val="Block Text"/>
    <w:basedOn w:val="Normal"/>
    <w:rsid w:val="00FC4D43"/>
    <w:pPr>
      <w:spacing w:after="240"/>
      <w:ind w:left="1440" w:right="1440"/>
    </w:pPr>
  </w:style>
  <w:style w:type="paragraph" w:customStyle="1" w:styleId="Paratitle">
    <w:name w:val="Para title"/>
    <w:basedOn w:val="Normal"/>
    <w:rsid w:val="00FC4D43"/>
    <w:pPr>
      <w:tabs>
        <w:tab w:val="center" w:pos="9270"/>
      </w:tabs>
      <w:spacing w:after="240"/>
    </w:pPr>
    <w:rPr>
      <w:spacing w:val="-2"/>
    </w:rPr>
  </w:style>
  <w:style w:type="paragraph" w:customStyle="1" w:styleId="Bullet">
    <w:name w:val="Bullet"/>
    <w:basedOn w:val="Normal"/>
    <w:rsid w:val="00FC4D43"/>
    <w:pPr>
      <w:tabs>
        <w:tab w:val="left" w:pos="2160"/>
      </w:tabs>
      <w:spacing w:after="220"/>
      <w:ind w:left="2160" w:hanging="720"/>
    </w:pPr>
  </w:style>
  <w:style w:type="paragraph" w:customStyle="1" w:styleId="TableFormat">
    <w:name w:val="TableFormat"/>
    <w:basedOn w:val="Bullet"/>
    <w:rsid w:val="00FC4D43"/>
    <w:pPr>
      <w:tabs>
        <w:tab w:val="clear" w:pos="2160"/>
        <w:tab w:val="left" w:pos="5040"/>
      </w:tabs>
      <w:ind w:left="5040" w:hanging="3600"/>
    </w:pPr>
  </w:style>
  <w:style w:type="paragraph" w:customStyle="1" w:styleId="TOCTitle">
    <w:name w:val="TOC Title"/>
    <w:basedOn w:val="Normal"/>
    <w:rsid w:val="00FC4D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D43"/>
    <w:pPr>
      <w:jc w:val="center"/>
    </w:pPr>
    <w:rPr>
      <w:rFonts w:ascii="Times New Roman Bold" w:hAnsi="Times New Roman Bold"/>
      <w:b/>
      <w:bCs/>
      <w:caps/>
      <w:szCs w:val="22"/>
    </w:rPr>
  </w:style>
  <w:style w:type="character" w:styleId="Hyperlink">
    <w:name w:val="Hyperlink"/>
    <w:rsid w:val="00FC4D43"/>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43"/>
    <w:pPr>
      <w:widowControl w:val="0"/>
    </w:pPr>
    <w:rPr>
      <w:snapToGrid w:val="0"/>
      <w:kern w:val="28"/>
      <w:sz w:val="22"/>
    </w:rPr>
  </w:style>
  <w:style w:type="paragraph" w:styleId="Heading1">
    <w:name w:val="heading 1"/>
    <w:basedOn w:val="Normal"/>
    <w:next w:val="ParaNum"/>
    <w:link w:val="Heading1Char"/>
    <w:qFormat/>
    <w:rsid w:val="00FC4D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4D43"/>
    <w:pPr>
      <w:keepNext/>
      <w:numPr>
        <w:ilvl w:val="1"/>
        <w:numId w:val="3"/>
      </w:numPr>
      <w:spacing w:after="120"/>
      <w:outlineLvl w:val="1"/>
    </w:pPr>
    <w:rPr>
      <w:b/>
    </w:rPr>
  </w:style>
  <w:style w:type="paragraph" w:styleId="Heading3">
    <w:name w:val="heading 3"/>
    <w:basedOn w:val="Normal"/>
    <w:next w:val="ParaNum"/>
    <w:link w:val="Heading3Char"/>
    <w:qFormat/>
    <w:rsid w:val="00FC4D4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C4D4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C4D4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C4D4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C4D4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C4D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4D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FC4D43"/>
    <w:pPr>
      <w:numPr>
        <w:numId w:val="2"/>
      </w:numPr>
      <w:tabs>
        <w:tab w:val="clear" w:pos="1080"/>
        <w:tab w:val="num" w:pos="1440"/>
      </w:tabs>
      <w:spacing w:after="120"/>
    </w:pPr>
  </w:style>
  <w:style w:type="paragraph" w:styleId="EndnoteText">
    <w:name w:val="endnote text"/>
    <w:basedOn w:val="Normal"/>
    <w:semiHidden/>
    <w:rsid w:val="00FC4D43"/>
    <w:rPr>
      <w:sz w:val="20"/>
    </w:rPr>
  </w:style>
  <w:style w:type="character" w:styleId="EndnoteReference">
    <w:name w:val="endnote reference"/>
    <w:semiHidden/>
    <w:rsid w:val="00FC4D43"/>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FC4D43"/>
    <w:pPr>
      <w:spacing w:after="120"/>
    </w:pPr>
  </w:style>
  <w:style w:type="character" w:styleId="FootnoteReference">
    <w:name w:val="footnote reference"/>
    <w:aliases w:val="Style 12,(NECG) Footnote Reference,Style 13,Appel note de bas de p,Style 124,fr,o,Style 3,FR,Style 17,Footnote Reference/,Style 6,Style 7"/>
    <w:rsid w:val="00FC4D43"/>
    <w:rPr>
      <w:rFonts w:ascii="Times New Roman" w:hAnsi="Times New Roman"/>
      <w:dstrike w:val="0"/>
      <w:color w:val="auto"/>
      <w:sz w:val="20"/>
      <w:vertAlign w:val="superscript"/>
    </w:rPr>
  </w:style>
  <w:style w:type="paragraph" w:styleId="TOC1">
    <w:name w:val="toc 1"/>
    <w:basedOn w:val="Normal"/>
    <w:next w:val="Normal"/>
    <w:rsid w:val="00FC4D43"/>
    <w:pPr>
      <w:tabs>
        <w:tab w:val="left" w:pos="360"/>
        <w:tab w:val="right" w:leader="dot" w:pos="9360"/>
      </w:tabs>
      <w:suppressAutoHyphens/>
      <w:ind w:left="360" w:right="720" w:hanging="360"/>
    </w:pPr>
    <w:rPr>
      <w:caps/>
      <w:noProof/>
    </w:rPr>
  </w:style>
  <w:style w:type="paragraph" w:styleId="TOC2">
    <w:name w:val="toc 2"/>
    <w:basedOn w:val="Normal"/>
    <w:next w:val="Normal"/>
    <w:rsid w:val="00FC4D43"/>
    <w:pPr>
      <w:tabs>
        <w:tab w:val="left" w:pos="720"/>
        <w:tab w:val="right" w:leader="dot" w:pos="9360"/>
      </w:tabs>
      <w:suppressAutoHyphens/>
      <w:ind w:left="720" w:right="720" w:hanging="360"/>
    </w:pPr>
    <w:rPr>
      <w:noProof/>
    </w:rPr>
  </w:style>
  <w:style w:type="paragraph" w:styleId="TOC3">
    <w:name w:val="toc 3"/>
    <w:basedOn w:val="Normal"/>
    <w:next w:val="Normal"/>
    <w:rsid w:val="00FC4D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D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D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D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D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D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D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D43"/>
    <w:pPr>
      <w:tabs>
        <w:tab w:val="right" w:pos="9360"/>
      </w:tabs>
      <w:suppressAutoHyphens/>
    </w:pPr>
  </w:style>
  <w:style w:type="character" w:customStyle="1" w:styleId="EquationCaption">
    <w:name w:val="_Equation Caption"/>
    <w:rsid w:val="00FC4D43"/>
  </w:style>
  <w:style w:type="paragraph" w:styleId="Header">
    <w:name w:val="header"/>
    <w:basedOn w:val="Normal"/>
    <w:link w:val="HeaderChar"/>
    <w:autoRedefine/>
    <w:rsid w:val="00FC4D43"/>
    <w:pPr>
      <w:tabs>
        <w:tab w:val="center" w:pos="4680"/>
        <w:tab w:val="right" w:pos="9360"/>
      </w:tabs>
    </w:pPr>
    <w:rPr>
      <w:b/>
    </w:rPr>
  </w:style>
  <w:style w:type="paragraph" w:styleId="Footer">
    <w:name w:val="footer"/>
    <w:basedOn w:val="Normal"/>
    <w:link w:val="FooterChar"/>
    <w:rsid w:val="00FC4D43"/>
    <w:pPr>
      <w:tabs>
        <w:tab w:val="center" w:pos="4320"/>
        <w:tab w:val="right" w:pos="8640"/>
      </w:tabs>
    </w:pPr>
  </w:style>
  <w:style w:type="character" w:styleId="PageNumber">
    <w:name w:val="page number"/>
    <w:basedOn w:val="DefaultParagraphFont"/>
    <w:rsid w:val="00FC4D43"/>
  </w:style>
  <w:style w:type="paragraph" w:styleId="BlockText">
    <w:name w:val="Block Text"/>
    <w:basedOn w:val="Normal"/>
    <w:rsid w:val="00FC4D43"/>
    <w:pPr>
      <w:spacing w:after="240"/>
      <w:ind w:left="1440" w:right="1440"/>
    </w:pPr>
  </w:style>
  <w:style w:type="paragraph" w:customStyle="1" w:styleId="Paratitle">
    <w:name w:val="Para title"/>
    <w:basedOn w:val="Normal"/>
    <w:rsid w:val="00FC4D43"/>
    <w:pPr>
      <w:tabs>
        <w:tab w:val="center" w:pos="9270"/>
      </w:tabs>
      <w:spacing w:after="240"/>
    </w:pPr>
    <w:rPr>
      <w:spacing w:val="-2"/>
    </w:rPr>
  </w:style>
  <w:style w:type="paragraph" w:customStyle="1" w:styleId="Bullet">
    <w:name w:val="Bullet"/>
    <w:basedOn w:val="Normal"/>
    <w:rsid w:val="00FC4D43"/>
    <w:pPr>
      <w:tabs>
        <w:tab w:val="left" w:pos="2160"/>
      </w:tabs>
      <w:spacing w:after="220"/>
      <w:ind w:left="2160" w:hanging="720"/>
    </w:pPr>
  </w:style>
  <w:style w:type="paragraph" w:customStyle="1" w:styleId="TableFormat">
    <w:name w:val="TableFormat"/>
    <w:basedOn w:val="Bullet"/>
    <w:rsid w:val="00FC4D43"/>
    <w:pPr>
      <w:tabs>
        <w:tab w:val="clear" w:pos="2160"/>
        <w:tab w:val="left" w:pos="5040"/>
      </w:tabs>
      <w:ind w:left="5040" w:hanging="3600"/>
    </w:pPr>
  </w:style>
  <w:style w:type="paragraph" w:customStyle="1" w:styleId="TOCTitle">
    <w:name w:val="TOC Title"/>
    <w:basedOn w:val="Normal"/>
    <w:rsid w:val="00FC4D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D43"/>
    <w:pPr>
      <w:jc w:val="center"/>
    </w:pPr>
    <w:rPr>
      <w:rFonts w:ascii="Times New Roman Bold" w:hAnsi="Times New Roman Bold"/>
      <w:b/>
      <w:bCs/>
      <w:caps/>
      <w:szCs w:val="22"/>
    </w:rPr>
  </w:style>
  <w:style w:type="character" w:styleId="Hyperlink">
    <w:name w:val="Hyperlink"/>
    <w:rsid w:val="00FC4D43"/>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3761">
      <w:bodyDiv w:val="1"/>
      <w:marLeft w:val="0"/>
      <w:marRight w:val="0"/>
      <w:marTop w:val="0"/>
      <w:marBottom w:val="0"/>
      <w:divBdr>
        <w:top w:val="none" w:sz="0" w:space="0" w:color="auto"/>
        <w:left w:val="none" w:sz="0" w:space="0" w:color="auto"/>
        <w:bottom w:val="none" w:sz="0" w:space="0" w:color="auto"/>
        <w:right w:val="none" w:sz="0" w:space="0" w:color="auto"/>
      </w:divBdr>
    </w:div>
    <w:div w:id="1204714014">
      <w:bodyDiv w:val="1"/>
      <w:marLeft w:val="0"/>
      <w:marRight w:val="0"/>
      <w:marTop w:val="0"/>
      <w:marBottom w:val="0"/>
      <w:divBdr>
        <w:top w:val="none" w:sz="0" w:space="0" w:color="auto"/>
        <w:left w:val="none" w:sz="0" w:space="0" w:color="auto"/>
        <w:bottom w:val="none" w:sz="0" w:space="0" w:color="auto"/>
        <w:right w:val="none" w:sz="0" w:space="0" w:color="auto"/>
      </w:divBdr>
    </w:div>
    <w:div w:id="1264344782">
      <w:bodyDiv w:val="1"/>
      <w:marLeft w:val="0"/>
      <w:marRight w:val="0"/>
      <w:marTop w:val="0"/>
      <w:marBottom w:val="0"/>
      <w:divBdr>
        <w:top w:val="none" w:sz="0" w:space="0" w:color="auto"/>
        <w:left w:val="none" w:sz="0" w:space="0" w:color="auto"/>
        <w:bottom w:val="none" w:sz="0" w:space="0" w:color="auto"/>
        <w:right w:val="none" w:sz="0" w:space="0" w:color="auto"/>
      </w:divBdr>
    </w:div>
    <w:div w:id="1344018850">
      <w:bodyDiv w:val="1"/>
      <w:marLeft w:val="0"/>
      <w:marRight w:val="0"/>
      <w:marTop w:val="0"/>
      <w:marBottom w:val="0"/>
      <w:divBdr>
        <w:top w:val="none" w:sz="0" w:space="0" w:color="auto"/>
        <w:left w:val="none" w:sz="0" w:space="0" w:color="auto"/>
        <w:bottom w:val="none" w:sz="0" w:space="0" w:color="auto"/>
        <w:right w:val="none" w:sz="0" w:space="0" w:color="auto"/>
      </w:divBdr>
    </w:div>
    <w:div w:id="1550679449">
      <w:bodyDiv w:val="1"/>
      <w:marLeft w:val="0"/>
      <w:marRight w:val="0"/>
      <w:marTop w:val="0"/>
      <w:marBottom w:val="0"/>
      <w:divBdr>
        <w:top w:val="none" w:sz="0" w:space="0" w:color="auto"/>
        <w:left w:val="none" w:sz="0" w:space="0" w:color="auto"/>
        <w:bottom w:val="none" w:sz="0" w:space="0" w:color="auto"/>
        <w:right w:val="none" w:sz="0" w:space="0" w:color="auto"/>
      </w:divBdr>
    </w:div>
    <w:div w:id="1590890008">
      <w:bodyDiv w:val="1"/>
      <w:marLeft w:val="0"/>
      <w:marRight w:val="0"/>
      <w:marTop w:val="0"/>
      <w:marBottom w:val="0"/>
      <w:divBdr>
        <w:top w:val="none" w:sz="0" w:space="0" w:color="auto"/>
        <w:left w:val="none" w:sz="0" w:space="0" w:color="auto"/>
        <w:bottom w:val="none" w:sz="0" w:space="0" w:color="auto"/>
        <w:right w:val="none" w:sz="0" w:space="0" w:color="auto"/>
      </w:divBdr>
    </w:div>
    <w:div w:id="19594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Engledow\AppData\Local\Microsoft\Windows\Temporary%20Internet%20Files\Content.MSO\7CCCB2C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7CCCB2C6</Template>
  <TotalTime>0</TotalTime>
  <Pages>2</Pages>
  <Words>478</Words>
  <Characters>2529</Characters>
  <Application>Microsoft Office Word</Application>
  <DocSecurity>0</DocSecurity>
  <Lines>62</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3006</CharactersWithSpaces>
  <SharedDoc>false</SharedDoc>
  <HyperlinkBase> </HyperlinkBase>
  <HLinks>
    <vt:vector size="42" baseType="variant">
      <vt:variant>
        <vt:i4>2097276</vt:i4>
      </vt:variant>
      <vt:variant>
        <vt:i4>0</vt:i4>
      </vt:variant>
      <vt:variant>
        <vt:i4>0</vt:i4>
      </vt:variant>
      <vt:variant>
        <vt:i4>5</vt:i4>
      </vt:variant>
      <vt:variant>
        <vt:lpwstr>http://esupport.fcc.gov/complaints.htm</vt:lpwstr>
      </vt:variant>
      <vt:variant>
        <vt:lpwstr/>
      </vt:variant>
      <vt:variant>
        <vt:i4>5308426</vt:i4>
      </vt:variant>
      <vt:variant>
        <vt:i4>330</vt:i4>
      </vt:variant>
      <vt:variant>
        <vt:i4>0</vt:i4>
      </vt:variant>
      <vt:variant>
        <vt:i4>5</vt:i4>
      </vt:variant>
      <vt:variant>
        <vt:lpwstr>http://www.ice.gov/doclib/detention-standards/2011/pbnds2011.pdf</vt:lpwstr>
      </vt:variant>
      <vt:variant>
        <vt:lpwstr/>
      </vt:variant>
      <vt:variant>
        <vt:i4>4718602</vt:i4>
      </vt:variant>
      <vt:variant>
        <vt:i4>288</vt:i4>
      </vt:variant>
      <vt:variant>
        <vt:i4>0</vt:i4>
      </vt:variant>
      <vt:variant>
        <vt:i4>5</vt:i4>
      </vt:variant>
      <vt:variant>
        <vt:lpwstr>http://vadoc.virginia.gov/offenders/</vt:lpwstr>
      </vt:variant>
      <vt:variant>
        <vt:lpwstr/>
      </vt:variant>
      <vt:variant>
        <vt:i4>6291484</vt:i4>
      </vt:variant>
      <vt:variant>
        <vt:i4>234</vt:i4>
      </vt:variant>
      <vt:variant>
        <vt:i4>0</vt:i4>
      </vt:variant>
      <vt:variant>
        <vt:i4>5</vt:i4>
      </vt:variant>
      <vt:variant>
        <vt:lpwstr>http://www.vera.org/pubs/price-prisons-what-incarceration-costs-taxpayers</vt:lpwstr>
      </vt:variant>
      <vt:variant>
        <vt:lpwstr/>
      </vt:variant>
      <vt:variant>
        <vt:i4>7340084</vt:i4>
      </vt:variant>
      <vt:variant>
        <vt:i4>39</vt:i4>
      </vt:variant>
      <vt:variant>
        <vt:i4>0</vt:i4>
      </vt:variant>
      <vt:variant>
        <vt:i4>5</vt:i4>
      </vt:variant>
      <vt:variant>
        <vt:lpwstr>http://www.westlaw.com/Find/Default.wl?rs=dfa1.0&amp;vr=2.0&amp;DB=0001016&amp;FindType=Y&amp;SerialNum=1996298005</vt:lpwstr>
      </vt:variant>
      <vt:variant>
        <vt:lpwstr/>
      </vt:variant>
      <vt:variant>
        <vt:i4>7340084</vt:i4>
      </vt:variant>
      <vt:variant>
        <vt:i4>36</vt:i4>
      </vt:variant>
      <vt:variant>
        <vt:i4>0</vt:i4>
      </vt:variant>
      <vt:variant>
        <vt:i4>5</vt:i4>
      </vt:variant>
      <vt:variant>
        <vt:lpwstr>http://www.westlaw.com/Find/Default.wl?rs=dfa1.0&amp;vr=2.0&amp;DB=0001016&amp;FindType=Y&amp;SerialNum=1996298005</vt:lpwstr>
      </vt:variant>
      <vt:variant>
        <vt:lpwstr/>
      </vt:variant>
      <vt:variant>
        <vt:i4>7209027</vt:i4>
      </vt:variant>
      <vt:variant>
        <vt:i4>27</vt:i4>
      </vt:variant>
      <vt:variant>
        <vt:i4>0</vt:i4>
      </vt:variant>
      <vt:variant>
        <vt:i4>5</vt:i4>
      </vt:variant>
      <vt:variant>
        <vt:lpwstr>http://www.infonetics.com/whitepapers/2010-Infonetics-Research-The-Cost-Advantages-of-Hosted-Telephony-081210.pdf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2014-08-14T16:40:00Z</dcterms:created>
  <dcterms:modified xsi:type="dcterms:W3CDTF">2014-08-14T16:40:00Z</dcterms:modified>
  <cp:category> </cp:category>
  <cp:contentStatus> </cp:contentStatus>
</cp:coreProperties>
</file>