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F8C5" w14:textId="55C8EF0F" w:rsidR="009B72D6" w:rsidRDefault="000E761C">
      <w:pPr>
        <w:jc w:val="right"/>
        <w:rPr>
          <w:b/>
          <w:szCs w:val="22"/>
        </w:rPr>
      </w:pPr>
      <w:bookmarkStart w:id="0" w:name="_GoBack"/>
      <w:bookmarkEnd w:id="0"/>
      <w:r>
        <w:rPr>
          <w:b/>
          <w:szCs w:val="22"/>
        </w:rPr>
        <w:t xml:space="preserve">DA </w:t>
      </w:r>
      <w:r w:rsidR="00CE0DA6">
        <w:rPr>
          <w:b/>
          <w:szCs w:val="22"/>
        </w:rPr>
        <w:t>14</w:t>
      </w:r>
      <w:r w:rsidR="0037165F" w:rsidRPr="009007BF">
        <w:rPr>
          <w:b/>
          <w:szCs w:val="22"/>
        </w:rPr>
        <w:t>-</w:t>
      </w:r>
      <w:r w:rsidR="009438DC">
        <w:rPr>
          <w:b/>
          <w:szCs w:val="22"/>
        </w:rPr>
        <w:t>120</w:t>
      </w:r>
    </w:p>
    <w:p w14:paraId="640C3EE8" w14:textId="2CD45015" w:rsidR="009B72D6" w:rsidRPr="009007BF" w:rsidRDefault="001253D4" w:rsidP="009B72D6">
      <w:pPr>
        <w:jc w:val="right"/>
        <w:rPr>
          <w:b/>
          <w:szCs w:val="22"/>
        </w:rPr>
      </w:pPr>
      <w:r>
        <w:rPr>
          <w:b/>
          <w:szCs w:val="22"/>
        </w:rPr>
        <w:t xml:space="preserve">Released:  </w:t>
      </w:r>
      <w:r w:rsidR="00490D85">
        <w:rPr>
          <w:b/>
          <w:szCs w:val="22"/>
        </w:rPr>
        <w:t>January 31</w:t>
      </w:r>
      <w:r w:rsidR="000E761C">
        <w:rPr>
          <w:b/>
          <w:szCs w:val="22"/>
        </w:rPr>
        <w:t>, 201</w:t>
      </w:r>
      <w:r w:rsidR="00CE0DA6">
        <w:rPr>
          <w:b/>
          <w:szCs w:val="22"/>
        </w:rPr>
        <w:t>4</w:t>
      </w:r>
    </w:p>
    <w:p w14:paraId="44D643F7" w14:textId="77777777" w:rsidR="00461048" w:rsidRPr="009007BF" w:rsidRDefault="00461048" w:rsidP="005507AC">
      <w:pPr>
        <w:rPr>
          <w:szCs w:val="22"/>
        </w:rPr>
      </w:pPr>
    </w:p>
    <w:p w14:paraId="6AFA33F8" w14:textId="77777777" w:rsidR="009E5773" w:rsidRDefault="00973849" w:rsidP="00C973A2">
      <w:pPr>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005D24">
        <w:rPr>
          <w:b/>
          <w:caps/>
          <w:szCs w:val="22"/>
        </w:rPr>
        <w:t xml:space="preserve">PETITIONS CONCERNING </w:t>
      </w:r>
      <w:r w:rsidR="001253D4">
        <w:rPr>
          <w:b/>
          <w:caps/>
          <w:szCs w:val="22"/>
        </w:rPr>
        <w:t>THE cOMMISSION’</w:t>
      </w:r>
      <w:r w:rsidR="00BF422E">
        <w:rPr>
          <w:b/>
          <w:caps/>
          <w:szCs w:val="22"/>
        </w:rPr>
        <w:t xml:space="preserve">S RULE </w:t>
      </w:r>
      <w:r w:rsidR="009E5773">
        <w:rPr>
          <w:b/>
          <w:caps/>
          <w:szCs w:val="22"/>
        </w:rPr>
        <w:t xml:space="preserve">ON </w:t>
      </w:r>
      <w:r w:rsidR="001253D4">
        <w:rPr>
          <w:b/>
          <w:caps/>
          <w:szCs w:val="22"/>
        </w:rPr>
        <w:t>OPT-OUT NOTICE</w:t>
      </w:r>
      <w:r w:rsidR="00680744">
        <w:rPr>
          <w:b/>
          <w:caps/>
          <w:szCs w:val="22"/>
        </w:rPr>
        <w:t>s</w:t>
      </w:r>
      <w:r w:rsidR="001253D4">
        <w:rPr>
          <w:b/>
          <w:caps/>
          <w:szCs w:val="22"/>
        </w:rPr>
        <w:t xml:space="preserve"> ON </w:t>
      </w:r>
    </w:p>
    <w:p w14:paraId="1BA897C0" w14:textId="77777777" w:rsidR="00B2594A" w:rsidRPr="00553887" w:rsidRDefault="001253D4" w:rsidP="00C973A2">
      <w:pPr>
        <w:jc w:val="center"/>
        <w:rPr>
          <w:b/>
          <w:caps/>
          <w:szCs w:val="22"/>
        </w:rPr>
      </w:pPr>
      <w:r>
        <w:rPr>
          <w:b/>
          <w:caps/>
          <w:szCs w:val="22"/>
        </w:rPr>
        <w:t xml:space="preserve">FAX ADVERTISEMENTS </w:t>
      </w:r>
    </w:p>
    <w:p w14:paraId="2DD24E88" w14:textId="77777777" w:rsidR="009E5773" w:rsidRDefault="009E5773" w:rsidP="00B851C9">
      <w:pPr>
        <w:jc w:val="center"/>
        <w:rPr>
          <w:b/>
          <w:szCs w:val="22"/>
        </w:rPr>
      </w:pPr>
    </w:p>
    <w:p w14:paraId="781B9091" w14:textId="77777777" w:rsidR="00B851C9" w:rsidRDefault="00B851C9" w:rsidP="00680744">
      <w:pPr>
        <w:jc w:val="center"/>
        <w:rPr>
          <w:b/>
          <w:szCs w:val="22"/>
        </w:rPr>
      </w:pPr>
      <w:r>
        <w:rPr>
          <w:b/>
          <w:szCs w:val="22"/>
        </w:rPr>
        <w:t>CG</w:t>
      </w:r>
      <w:r w:rsidRPr="009007BF">
        <w:rPr>
          <w:b/>
          <w:szCs w:val="22"/>
        </w:rPr>
        <w:t xml:space="preserve"> Docket No. </w:t>
      </w:r>
      <w:r>
        <w:rPr>
          <w:b/>
          <w:szCs w:val="22"/>
        </w:rPr>
        <w:t>02-278</w:t>
      </w:r>
    </w:p>
    <w:p w14:paraId="548610B9" w14:textId="77777777" w:rsidR="005060BC" w:rsidRPr="009007BF" w:rsidRDefault="00217378" w:rsidP="00B2594A">
      <w:pPr>
        <w:jc w:val="center"/>
        <w:rPr>
          <w:b/>
          <w:szCs w:val="22"/>
        </w:rPr>
      </w:pPr>
      <w:r>
        <w:rPr>
          <w:b/>
          <w:szCs w:val="22"/>
        </w:rPr>
        <w:t>CG</w:t>
      </w:r>
      <w:r w:rsidR="0035363D" w:rsidRPr="009007BF">
        <w:rPr>
          <w:b/>
          <w:szCs w:val="22"/>
        </w:rPr>
        <w:t xml:space="preserve"> Docket No. </w:t>
      </w:r>
      <w:r w:rsidR="008F3431">
        <w:rPr>
          <w:b/>
          <w:szCs w:val="22"/>
        </w:rPr>
        <w:t>05-338</w:t>
      </w:r>
    </w:p>
    <w:p w14:paraId="363C6166" w14:textId="77777777" w:rsidR="00461048" w:rsidRPr="009007BF" w:rsidRDefault="00461048">
      <w:pPr>
        <w:jc w:val="center"/>
        <w:rPr>
          <w:szCs w:val="22"/>
        </w:rPr>
      </w:pPr>
    </w:p>
    <w:p w14:paraId="457157E0" w14:textId="3005A54D"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555C75">
        <w:rPr>
          <w:szCs w:val="22"/>
        </w:rPr>
        <w:t xml:space="preserve"> </w:t>
      </w:r>
      <w:r w:rsidR="00490D85">
        <w:rPr>
          <w:szCs w:val="22"/>
        </w:rPr>
        <w:t>February 14</w:t>
      </w:r>
      <w:r w:rsidR="00555C75">
        <w:rPr>
          <w:szCs w:val="22"/>
        </w:rPr>
        <w:t>, 2014</w:t>
      </w:r>
    </w:p>
    <w:p w14:paraId="284513B4" w14:textId="07F6E907" w:rsidR="008F3431" w:rsidRPr="00555C75" w:rsidRDefault="008F3431" w:rsidP="008F3431">
      <w:pPr>
        <w:rPr>
          <w:b/>
        </w:rPr>
      </w:pPr>
      <w:r>
        <w:rPr>
          <w:b/>
        </w:rPr>
        <w:t>Reply Comment Date</w:t>
      </w:r>
      <w:r>
        <w:t xml:space="preserve">: </w:t>
      </w:r>
      <w:r w:rsidR="00555C75">
        <w:t xml:space="preserve"> </w:t>
      </w:r>
      <w:r w:rsidR="00490D85" w:rsidRPr="00490D85">
        <w:rPr>
          <w:b/>
        </w:rPr>
        <w:t>February 21</w:t>
      </w:r>
      <w:r w:rsidR="00555C75">
        <w:t xml:space="preserve">, </w:t>
      </w:r>
      <w:r w:rsidR="00555C75">
        <w:rPr>
          <w:b/>
        </w:rPr>
        <w:t>2014</w:t>
      </w:r>
    </w:p>
    <w:p w14:paraId="7D11A65F" w14:textId="77777777" w:rsidR="00F43183" w:rsidRPr="009007BF" w:rsidRDefault="00F43183" w:rsidP="00F43183">
      <w:pPr>
        <w:rPr>
          <w:b/>
          <w:szCs w:val="22"/>
        </w:rPr>
      </w:pPr>
    </w:p>
    <w:p w14:paraId="29287D61" w14:textId="7969DD4B" w:rsidR="002C10BB" w:rsidRDefault="00F86273" w:rsidP="002C10BB">
      <w:pPr>
        <w:autoSpaceDE w:val="0"/>
        <w:autoSpaceDN w:val="0"/>
        <w:adjustRightInd w:val="0"/>
        <w:ind w:firstLine="720"/>
        <w:rPr>
          <w:szCs w:val="22"/>
        </w:rPr>
      </w:pPr>
      <w:r>
        <w:rPr>
          <w:szCs w:val="22"/>
        </w:rPr>
        <w:t>Several</w:t>
      </w:r>
      <w:r w:rsidR="00555C75" w:rsidRPr="00555C75">
        <w:rPr>
          <w:szCs w:val="22"/>
        </w:rPr>
        <w:t xml:space="preserve"> petitions have been</w:t>
      </w:r>
      <w:r w:rsidR="00E4790C">
        <w:rPr>
          <w:szCs w:val="22"/>
        </w:rPr>
        <w:t xml:space="preserve"> filed seeking a </w:t>
      </w:r>
      <w:r w:rsidR="00043E95">
        <w:rPr>
          <w:szCs w:val="22"/>
        </w:rPr>
        <w:t xml:space="preserve">declaratory ruling, rulemaking, and/or </w:t>
      </w:r>
      <w:r w:rsidR="00E4790C">
        <w:rPr>
          <w:szCs w:val="22"/>
        </w:rPr>
        <w:t xml:space="preserve">waiver </w:t>
      </w:r>
      <w:r w:rsidR="00043E95">
        <w:rPr>
          <w:szCs w:val="22"/>
        </w:rPr>
        <w:t>concerning</w:t>
      </w:r>
      <w:r w:rsidR="00E4790C">
        <w:rPr>
          <w:szCs w:val="22"/>
        </w:rPr>
        <w:t xml:space="preserve"> </w:t>
      </w:r>
      <w:r w:rsidR="00F80D0C">
        <w:rPr>
          <w:szCs w:val="22"/>
        </w:rPr>
        <w:t xml:space="preserve">section </w:t>
      </w:r>
      <w:r w:rsidR="00715C25" w:rsidRPr="008213EE">
        <w:rPr>
          <w:sz w:val="20"/>
        </w:rPr>
        <w:t>64.1200(a)(4)(i</w:t>
      </w:r>
      <w:r w:rsidR="00715C25">
        <w:rPr>
          <w:sz w:val="20"/>
        </w:rPr>
        <w:t>v</w:t>
      </w:r>
      <w:r w:rsidR="00F80D0C">
        <w:rPr>
          <w:szCs w:val="22"/>
        </w:rPr>
        <w:t>) of the Commission’s rules</w:t>
      </w:r>
      <w:r w:rsidR="00E31C6E">
        <w:rPr>
          <w:szCs w:val="22"/>
        </w:rPr>
        <w:t>,</w:t>
      </w:r>
      <w:r w:rsidR="00F80D0C">
        <w:rPr>
          <w:szCs w:val="22"/>
        </w:rPr>
        <w:t xml:space="preserve"> which</w:t>
      </w:r>
      <w:r w:rsidR="007D1F49">
        <w:rPr>
          <w:szCs w:val="22"/>
        </w:rPr>
        <w:t xml:space="preserve"> requires </w:t>
      </w:r>
      <w:r w:rsidR="00555C75" w:rsidRPr="00555C75">
        <w:rPr>
          <w:szCs w:val="22"/>
        </w:rPr>
        <w:t xml:space="preserve">fax advertisements sent </w:t>
      </w:r>
      <w:r w:rsidR="007D1F49">
        <w:rPr>
          <w:szCs w:val="22"/>
        </w:rPr>
        <w:t xml:space="preserve">to </w:t>
      </w:r>
      <w:r w:rsidR="00DD7D58">
        <w:rPr>
          <w:szCs w:val="22"/>
        </w:rPr>
        <w:t xml:space="preserve">a </w:t>
      </w:r>
      <w:r w:rsidR="009E5773">
        <w:rPr>
          <w:szCs w:val="22"/>
        </w:rPr>
        <w:t xml:space="preserve">consumer who </w:t>
      </w:r>
      <w:r w:rsidR="007D1F49">
        <w:rPr>
          <w:szCs w:val="22"/>
        </w:rPr>
        <w:t>has pr</w:t>
      </w:r>
      <w:r w:rsidR="001905CB">
        <w:rPr>
          <w:szCs w:val="22"/>
        </w:rPr>
        <w:t xml:space="preserve">ovided prior express invitation </w:t>
      </w:r>
      <w:r w:rsidR="007D1F49">
        <w:rPr>
          <w:szCs w:val="22"/>
        </w:rPr>
        <w:t>o</w:t>
      </w:r>
      <w:r w:rsidR="008218F4">
        <w:rPr>
          <w:szCs w:val="22"/>
        </w:rPr>
        <w:t>r permission to</w:t>
      </w:r>
      <w:r w:rsidR="007D1F49">
        <w:rPr>
          <w:szCs w:val="22"/>
        </w:rPr>
        <w:t xml:space="preserve"> include an opt-out notice</w:t>
      </w:r>
      <w:r w:rsidR="00555C75" w:rsidRPr="00555C75">
        <w:rPr>
          <w:szCs w:val="22"/>
        </w:rPr>
        <w:t>.</w:t>
      </w:r>
      <w:r w:rsidR="00BF422E">
        <w:rPr>
          <w:rStyle w:val="FootnoteReference"/>
          <w:szCs w:val="22"/>
        </w:rPr>
        <w:footnoteReference w:id="1"/>
      </w:r>
      <w:r w:rsidR="00555C75" w:rsidRPr="00555C75">
        <w:rPr>
          <w:szCs w:val="22"/>
        </w:rPr>
        <w:t xml:space="preserve"> </w:t>
      </w:r>
      <w:r w:rsidR="00DD7D58">
        <w:rPr>
          <w:szCs w:val="22"/>
        </w:rPr>
        <w:t xml:space="preserve"> With this Public Notice, we seek comment on these petitions</w:t>
      </w:r>
      <w:r w:rsidR="00CB1F20">
        <w:rPr>
          <w:szCs w:val="22"/>
        </w:rPr>
        <w:t xml:space="preserve"> as described below</w:t>
      </w:r>
      <w:r w:rsidR="00DD7D58">
        <w:rPr>
          <w:szCs w:val="22"/>
        </w:rPr>
        <w:t>.</w:t>
      </w:r>
      <w:r w:rsidR="00C973A2">
        <w:rPr>
          <w:szCs w:val="22"/>
        </w:rPr>
        <w:t xml:space="preserve">  </w:t>
      </w:r>
    </w:p>
    <w:p w14:paraId="115EB740" w14:textId="77777777" w:rsidR="002C10BB" w:rsidRDefault="002C10BB" w:rsidP="002C10BB">
      <w:pPr>
        <w:autoSpaceDE w:val="0"/>
        <w:autoSpaceDN w:val="0"/>
        <w:adjustRightInd w:val="0"/>
        <w:ind w:firstLine="720"/>
        <w:rPr>
          <w:szCs w:val="22"/>
        </w:rPr>
      </w:pPr>
    </w:p>
    <w:p w14:paraId="79A8D0E3" w14:textId="258D73A6" w:rsidR="00A767EA" w:rsidRDefault="002C10BB" w:rsidP="002C10BB">
      <w:pPr>
        <w:autoSpaceDE w:val="0"/>
        <w:autoSpaceDN w:val="0"/>
        <w:adjustRightInd w:val="0"/>
        <w:ind w:firstLine="720"/>
        <w:rPr>
          <w:szCs w:val="22"/>
        </w:rPr>
      </w:pPr>
      <w:r>
        <w:rPr>
          <w:szCs w:val="22"/>
        </w:rPr>
        <w:lastRenderedPageBreak/>
        <w:t>A</w:t>
      </w:r>
      <w:r w:rsidR="00C973A2">
        <w:rPr>
          <w:szCs w:val="22"/>
        </w:rPr>
        <w:t>ll</w:t>
      </w:r>
      <w:r w:rsidR="00342824">
        <w:rPr>
          <w:szCs w:val="22"/>
        </w:rPr>
        <w:t xml:space="preserve"> </w:t>
      </w:r>
      <w:r w:rsidR="00C973A2">
        <w:rPr>
          <w:szCs w:val="22"/>
        </w:rPr>
        <w:t>the</w:t>
      </w:r>
      <w:r w:rsidR="004736B1">
        <w:rPr>
          <w:szCs w:val="22"/>
        </w:rPr>
        <w:t xml:space="preserve"> petitioners </w:t>
      </w:r>
      <w:r w:rsidR="00F80D0C">
        <w:rPr>
          <w:szCs w:val="22"/>
        </w:rPr>
        <w:t>request</w:t>
      </w:r>
      <w:r w:rsidR="000853F4">
        <w:rPr>
          <w:szCs w:val="22"/>
        </w:rPr>
        <w:t xml:space="preserve"> </w:t>
      </w:r>
      <w:r w:rsidR="000853F4" w:rsidRPr="000853F4">
        <w:rPr>
          <w:szCs w:val="22"/>
        </w:rPr>
        <w:t xml:space="preserve">a declaratory ruling that the Commission lacked the statutory authority to </w:t>
      </w:r>
      <w:r>
        <w:rPr>
          <w:szCs w:val="22"/>
        </w:rPr>
        <w:t>adopt</w:t>
      </w:r>
      <w:r w:rsidR="000853F4" w:rsidRPr="000853F4">
        <w:rPr>
          <w:szCs w:val="22"/>
        </w:rPr>
        <w:t xml:space="preserve"> </w:t>
      </w:r>
      <w:r w:rsidR="00483FFB">
        <w:rPr>
          <w:szCs w:val="22"/>
        </w:rPr>
        <w:t xml:space="preserve">the </w:t>
      </w:r>
      <w:r w:rsidR="000853F4" w:rsidRPr="000853F4">
        <w:rPr>
          <w:szCs w:val="22"/>
        </w:rPr>
        <w:t>rule</w:t>
      </w:r>
      <w:r w:rsidR="00483FFB">
        <w:rPr>
          <w:szCs w:val="22"/>
        </w:rPr>
        <w:t xml:space="preserve"> </w:t>
      </w:r>
      <w:r w:rsidR="000853F4" w:rsidRPr="000853F4">
        <w:rPr>
          <w:szCs w:val="22"/>
        </w:rPr>
        <w:t>or</w:t>
      </w:r>
      <w:r w:rsidR="00483FFB">
        <w:rPr>
          <w:szCs w:val="22"/>
        </w:rPr>
        <w:t>,</w:t>
      </w:r>
      <w:r w:rsidR="000853F4" w:rsidRPr="000853F4">
        <w:rPr>
          <w:szCs w:val="22"/>
        </w:rPr>
        <w:t xml:space="preserve"> alternatively, that section 227 of the Communications Act of 1934, as amended, was not the </w:t>
      </w:r>
      <w:r w:rsidR="00483FFB">
        <w:rPr>
          <w:szCs w:val="22"/>
        </w:rPr>
        <w:t>rule</w:t>
      </w:r>
      <w:r w:rsidR="00715C25">
        <w:rPr>
          <w:szCs w:val="22"/>
        </w:rPr>
        <w:t>’s</w:t>
      </w:r>
      <w:r w:rsidR="00483FFB">
        <w:rPr>
          <w:szCs w:val="22"/>
        </w:rPr>
        <w:t xml:space="preserve"> </w:t>
      </w:r>
      <w:r w:rsidR="000853F4" w:rsidRPr="000853F4">
        <w:rPr>
          <w:szCs w:val="22"/>
        </w:rPr>
        <w:t xml:space="preserve">statutory basis. </w:t>
      </w:r>
      <w:r w:rsidR="009D448B">
        <w:rPr>
          <w:szCs w:val="22"/>
        </w:rPr>
        <w:t xml:space="preserve"> We seek comment on these requests.</w:t>
      </w:r>
    </w:p>
    <w:p w14:paraId="5C628EF9" w14:textId="77777777" w:rsidR="00F86273" w:rsidRDefault="00F86273" w:rsidP="00F86273">
      <w:pPr>
        <w:autoSpaceDE w:val="0"/>
        <w:autoSpaceDN w:val="0"/>
        <w:adjustRightInd w:val="0"/>
        <w:ind w:firstLine="720"/>
        <w:rPr>
          <w:szCs w:val="22"/>
        </w:rPr>
      </w:pPr>
    </w:p>
    <w:p w14:paraId="4C13BFB2" w14:textId="74A7C2BD" w:rsidR="00BF422E" w:rsidRDefault="0096619E" w:rsidP="00117889">
      <w:pPr>
        <w:widowControl w:val="0"/>
        <w:autoSpaceDE w:val="0"/>
        <w:autoSpaceDN w:val="0"/>
        <w:adjustRightInd w:val="0"/>
        <w:spacing w:after="240"/>
        <w:ind w:firstLine="720"/>
        <w:rPr>
          <w:szCs w:val="22"/>
        </w:rPr>
      </w:pPr>
      <w:r>
        <w:rPr>
          <w:szCs w:val="22"/>
        </w:rPr>
        <w:t xml:space="preserve">In </w:t>
      </w:r>
      <w:r w:rsidR="002C10BB">
        <w:rPr>
          <w:szCs w:val="22"/>
        </w:rPr>
        <w:t>addition</w:t>
      </w:r>
      <w:r>
        <w:rPr>
          <w:szCs w:val="22"/>
        </w:rPr>
        <w:t xml:space="preserve">, </w:t>
      </w:r>
      <w:r w:rsidR="00F86273">
        <w:rPr>
          <w:szCs w:val="22"/>
        </w:rPr>
        <w:t xml:space="preserve">All Granite, </w:t>
      </w:r>
      <w:r w:rsidR="00555C75">
        <w:rPr>
          <w:szCs w:val="22"/>
        </w:rPr>
        <w:t xml:space="preserve">Forest, </w:t>
      </w:r>
      <w:r w:rsidR="009F5BC3">
        <w:rPr>
          <w:szCs w:val="22"/>
        </w:rPr>
        <w:t xml:space="preserve">Futuredontics, </w:t>
      </w:r>
      <w:r w:rsidR="00555C75">
        <w:rPr>
          <w:szCs w:val="22"/>
        </w:rPr>
        <w:t>Gilead</w:t>
      </w:r>
      <w:r w:rsidR="004449FB">
        <w:rPr>
          <w:szCs w:val="22"/>
        </w:rPr>
        <w:t>,</w:t>
      </w:r>
      <w:r w:rsidR="00555C75">
        <w:rPr>
          <w:szCs w:val="22"/>
        </w:rPr>
        <w:t xml:space="preserve"> Walburg</w:t>
      </w:r>
      <w:r w:rsidR="002C10BB">
        <w:rPr>
          <w:szCs w:val="22"/>
        </w:rPr>
        <w:t xml:space="preserve">, </w:t>
      </w:r>
      <w:r w:rsidR="003859A7">
        <w:rPr>
          <w:szCs w:val="22"/>
        </w:rPr>
        <w:t xml:space="preserve">Purdue Pharma, </w:t>
      </w:r>
      <w:r w:rsidR="002C10BB">
        <w:rPr>
          <w:szCs w:val="22"/>
        </w:rPr>
        <w:t>Prime Health, and TechHealth</w:t>
      </w:r>
      <w:r w:rsidR="00555C75">
        <w:rPr>
          <w:szCs w:val="22"/>
        </w:rPr>
        <w:t xml:space="preserve"> seek </w:t>
      </w:r>
      <w:r w:rsidR="009021CC">
        <w:rPr>
          <w:szCs w:val="22"/>
        </w:rPr>
        <w:t xml:space="preserve">retroactive </w:t>
      </w:r>
      <w:r w:rsidR="00555C75">
        <w:rPr>
          <w:szCs w:val="22"/>
        </w:rPr>
        <w:t>wa</w:t>
      </w:r>
      <w:r w:rsidR="00550A8C">
        <w:rPr>
          <w:szCs w:val="22"/>
        </w:rPr>
        <w:t>iver</w:t>
      </w:r>
      <w:r w:rsidR="00483FFB">
        <w:rPr>
          <w:szCs w:val="22"/>
        </w:rPr>
        <w:t>s</w:t>
      </w:r>
      <w:r w:rsidR="00550A8C">
        <w:rPr>
          <w:szCs w:val="22"/>
        </w:rPr>
        <w:t xml:space="preserve"> </w:t>
      </w:r>
      <w:r w:rsidR="004449FB">
        <w:rPr>
          <w:szCs w:val="22"/>
        </w:rPr>
        <w:t xml:space="preserve">of </w:t>
      </w:r>
      <w:r w:rsidR="00550A8C">
        <w:rPr>
          <w:szCs w:val="22"/>
        </w:rPr>
        <w:t>the rule</w:t>
      </w:r>
      <w:r w:rsidR="00555C75">
        <w:rPr>
          <w:szCs w:val="22"/>
        </w:rPr>
        <w:t>.</w:t>
      </w:r>
      <w:r w:rsidR="004736B1">
        <w:rPr>
          <w:rStyle w:val="FootnoteReference"/>
          <w:szCs w:val="22"/>
        </w:rPr>
        <w:footnoteReference w:id="2"/>
      </w:r>
      <w:r w:rsidR="008218F4">
        <w:rPr>
          <w:szCs w:val="22"/>
        </w:rPr>
        <w:t xml:space="preserve">  </w:t>
      </w:r>
      <w:r w:rsidR="00FA73F0">
        <w:rPr>
          <w:szCs w:val="22"/>
        </w:rPr>
        <w:t xml:space="preserve">Forest and Gilead </w:t>
      </w:r>
      <w:r w:rsidR="00483FFB">
        <w:rPr>
          <w:szCs w:val="22"/>
        </w:rPr>
        <w:t xml:space="preserve">state </w:t>
      </w:r>
      <w:r w:rsidR="008218F4">
        <w:rPr>
          <w:szCs w:val="22"/>
        </w:rPr>
        <w:t>that a waiver “would serve the public interest by avoiding an abuse of the private right of action created by the TCPA.</w:t>
      </w:r>
      <w:r w:rsidR="00550A8C">
        <w:rPr>
          <w:szCs w:val="22"/>
        </w:rPr>
        <w:t>”</w:t>
      </w:r>
      <w:r w:rsidR="008218F4">
        <w:rPr>
          <w:rStyle w:val="FootnoteReference"/>
          <w:szCs w:val="22"/>
        </w:rPr>
        <w:footnoteReference w:id="3"/>
      </w:r>
      <w:r w:rsidR="008218F4">
        <w:rPr>
          <w:szCs w:val="22"/>
        </w:rPr>
        <w:t xml:space="preserve"> </w:t>
      </w:r>
      <w:r w:rsidR="00550A8C">
        <w:rPr>
          <w:szCs w:val="22"/>
        </w:rPr>
        <w:t xml:space="preserve"> </w:t>
      </w:r>
      <w:r w:rsidR="006F2A55">
        <w:rPr>
          <w:szCs w:val="22"/>
        </w:rPr>
        <w:t xml:space="preserve">Walburg </w:t>
      </w:r>
      <w:r w:rsidR="00483FFB">
        <w:rPr>
          <w:szCs w:val="22"/>
        </w:rPr>
        <w:t xml:space="preserve">states </w:t>
      </w:r>
      <w:r w:rsidR="006F2A55">
        <w:rPr>
          <w:szCs w:val="22"/>
        </w:rPr>
        <w:t>that a waiver is justified because</w:t>
      </w:r>
      <w:r w:rsidR="0077201D">
        <w:rPr>
          <w:szCs w:val="22"/>
        </w:rPr>
        <w:t xml:space="preserve"> strict compliance with respect to solicited faxes</w:t>
      </w:r>
      <w:r w:rsidR="006F2A55">
        <w:rPr>
          <w:szCs w:val="22"/>
        </w:rPr>
        <w:t xml:space="preserve"> would </w:t>
      </w:r>
      <w:r w:rsidR="006F2A55" w:rsidRPr="00E371B0">
        <w:rPr>
          <w:szCs w:val="22"/>
        </w:rPr>
        <w:t xml:space="preserve">be </w:t>
      </w:r>
      <w:r w:rsidR="00F85071" w:rsidRPr="00E371B0">
        <w:rPr>
          <w:szCs w:val="22"/>
        </w:rPr>
        <w:t>“</w:t>
      </w:r>
      <w:r w:rsidR="006F2A55" w:rsidRPr="00E371B0">
        <w:rPr>
          <w:szCs w:val="22"/>
        </w:rPr>
        <w:t>inequitable, unduly burdensome, and contrary to the public interest.</w:t>
      </w:r>
      <w:r w:rsidR="0077201D" w:rsidRPr="00E371B0">
        <w:rPr>
          <w:szCs w:val="22"/>
        </w:rPr>
        <w:t>”</w:t>
      </w:r>
      <w:r w:rsidR="0077201D" w:rsidRPr="00E371B0">
        <w:rPr>
          <w:rStyle w:val="FootnoteReference"/>
          <w:szCs w:val="22"/>
        </w:rPr>
        <w:footnoteReference w:id="4"/>
      </w:r>
      <w:r w:rsidR="0077201D" w:rsidRPr="00E371B0">
        <w:rPr>
          <w:szCs w:val="22"/>
        </w:rPr>
        <w:t xml:space="preserve">  </w:t>
      </w:r>
      <w:r w:rsidR="008505CD" w:rsidRPr="00E371B0">
        <w:rPr>
          <w:szCs w:val="22"/>
        </w:rPr>
        <w:t xml:space="preserve">Purdue Pharma </w:t>
      </w:r>
      <w:r w:rsidR="00E371B0" w:rsidRPr="00E371B0">
        <w:rPr>
          <w:szCs w:val="22"/>
        </w:rPr>
        <w:t>seeks a “limited waiver” for faxes “s</w:t>
      </w:r>
      <w:r w:rsidR="00E371B0" w:rsidRPr="00117889">
        <w:rPr>
          <w:szCs w:val="22"/>
        </w:rPr>
        <w:t>ent pursuant to the recipients’ prior express invitation or permission</w:t>
      </w:r>
      <w:r w:rsidR="00E371B0">
        <w:rPr>
          <w:rFonts w:ascii="Times" w:hAnsi="Times" w:cs="Times"/>
          <w:szCs w:val="22"/>
        </w:rPr>
        <w:t xml:space="preserve"> </w:t>
      </w:r>
      <w:r w:rsidR="00E371B0" w:rsidRPr="00E371B0">
        <w:rPr>
          <w:szCs w:val="22"/>
        </w:rPr>
        <w:t xml:space="preserve">… each of which </w:t>
      </w:r>
      <w:r w:rsidR="00E371B0" w:rsidRPr="00117889">
        <w:rPr>
          <w:szCs w:val="22"/>
        </w:rPr>
        <w:t>included a demonstrably effective opt-out notice on the first page describing cost-free opt-out mechanisms</w:t>
      </w:r>
      <w:r w:rsidR="00E371B0">
        <w:rPr>
          <w:szCs w:val="22"/>
        </w:rPr>
        <w:t>.</w:t>
      </w:r>
      <w:r w:rsidR="00E371B0" w:rsidRPr="00E371B0">
        <w:rPr>
          <w:szCs w:val="22"/>
        </w:rPr>
        <w:t>”</w:t>
      </w:r>
      <w:r w:rsidR="00E371B0" w:rsidRPr="00E371B0">
        <w:rPr>
          <w:rStyle w:val="FootnoteReference"/>
          <w:szCs w:val="22"/>
        </w:rPr>
        <w:footnoteReference w:id="5"/>
      </w:r>
      <w:r w:rsidR="00E371B0" w:rsidRPr="00E371B0">
        <w:rPr>
          <w:szCs w:val="22"/>
        </w:rPr>
        <w:t xml:space="preserve">  </w:t>
      </w:r>
      <w:r w:rsidR="00835307" w:rsidRPr="00E371B0">
        <w:rPr>
          <w:szCs w:val="22"/>
        </w:rPr>
        <w:t>Prime Health maintains that “[w]</w:t>
      </w:r>
      <w:r w:rsidR="00835307" w:rsidRPr="00117889">
        <w:rPr>
          <w:szCs w:val="22"/>
        </w:rPr>
        <w:t>here, as here, recipients of fax advertisements explicitly agreed to receive them, had the means and ability to revoke their consent at any time, and never expressed any interest or desire to do so, requiring strict compliance with Section 64.1 200(a)(3)(iv) would be both tremendously burdensome and inequitable.”</w:t>
      </w:r>
      <w:r w:rsidR="00835307" w:rsidRPr="00117889">
        <w:rPr>
          <w:rStyle w:val="FootnoteReference"/>
          <w:szCs w:val="22"/>
        </w:rPr>
        <w:footnoteReference w:id="6"/>
      </w:r>
      <w:r w:rsidR="00835307" w:rsidRPr="00117889">
        <w:rPr>
          <w:szCs w:val="22"/>
        </w:rPr>
        <w:t xml:space="preserve">  TechHealth </w:t>
      </w:r>
      <w:r w:rsidR="00472ABF">
        <w:rPr>
          <w:szCs w:val="22"/>
        </w:rPr>
        <w:t xml:space="preserve">similarly </w:t>
      </w:r>
      <w:r w:rsidR="00483FFB">
        <w:rPr>
          <w:szCs w:val="22"/>
        </w:rPr>
        <w:t xml:space="preserve">states </w:t>
      </w:r>
      <w:r w:rsidR="005E3C1E" w:rsidRPr="00117889">
        <w:rPr>
          <w:szCs w:val="22"/>
        </w:rPr>
        <w:t xml:space="preserve">that it “sent fax advertisements to business partners that had consented to receiving communications from TechHealth” and that “those recipients knew how to reach TechHealth and could have easily requested that TechHealth stop sending faxes. </w:t>
      </w:r>
      <w:r w:rsidR="00136CF2" w:rsidRPr="00117889">
        <w:rPr>
          <w:szCs w:val="22"/>
        </w:rPr>
        <w:t xml:space="preserve">… </w:t>
      </w:r>
      <w:r w:rsidR="005E3C1E" w:rsidRPr="00117889">
        <w:rPr>
          <w:szCs w:val="22"/>
        </w:rPr>
        <w:t>Under such circumstances, the goal of allowing consumers to stop unwanted faxes would not have been furthered by including opt-out notices on the faxes</w:t>
      </w:r>
      <w:r w:rsidR="00136CF2" w:rsidRPr="00117889">
        <w:rPr>
          <w:szCs w:val="22"/>
        </w:rPr>
        <w:t>…”</w:t>
      </w:r>
      <w:r w:rsidR="00136CF2" w:rsidRPr="00117889">
        <w:rPr>
          <w:rStyle w:val="FootnoteReference"/>
          <w:szCs w:val="22"/>
        </w:rPr>
        <w:footnoteReference w:id="7"/>
      </w:r>
      <w:r w:rsidR="00136CF2">
        <w:rPr>
          <w:szCs w:val="22"/>
        </w:rPr>
        <w:t xml:space="preserve">  </w:t>
      </w:r>
      <w:r w:rsidR="00F56FBF">
        <w:rPr>
          <w:szCs w:val="22"/>
        </w:rPr>
        <w:t>W</w:t>
      </w:r>
      <w:r w:rsidR="00142472">
        <w:rPr>
          <w:szCs w:val="22"/>
        </w:rPr>
        <w:t>e seek comment on whether the</w:t>
      </w:r>
      <w:r w:rsidR="00483FFB">
        <w:rPr>
          <w:szCs w:val="22"/>
        </w:rPr>
        <w:t xml:space="preserve">se individual </w:t>
      </w:r>
      <w:r w:rsidR="00142472">
        <w:rPr>
          <w:szCs w:val="22"/>
        </w:rPr>
        <w:t>waiver</w:t>
      </w:r>
      <w:r w:rsidR="00483FFB">
        <w:rPr>
          <w:szCs w:val="22"/>
        </w:rPr>
        <w:t xml:space="preserve"> requests </w:t>
      </w:r>
      <w:r w:rsidR="00142472">
        <w:rPr>
          <w:szCs w:val="22"/>
        </w:rPr>
        <w:t>should be granted</w:t>
      </w:r>
      <w:r w:rsidR="00F56FBF">
        <w:rPr>
          <w:szCs w:val="22"/>
        </w:rPr>
        <w:t xml:space="preserve"> and whether, alternatively, a broader waiver should be granted to all affected parties</w:t>
      </w:r>
      <w:r w:rsidR="001B3350">
        <w:rPr>
          <w:szCs w:val="22"/>
        </w:rPr>
        <w:t xml:space="preserve"> and, if so, on what basis</w:t>
      </w:r>
      <w:r w:rsidR="00142472">
        <w:rPr>
          <w:szCs w:val="22"/>
        </w:rPr>
        <w:t>.</w:t>
      </w:r>
      <w:r w:rsidR="002D346A">
        <w:rPr>
          <w:szCs w:val="22"/>
        </w:rPr>
        <w:t xml:space="preserve">  </w:t>
      </w:r>
    </w:p>
    <w:p w14:paraId="2CADF651" w14:textId="77777777" w:rsidR="006F2A55" w:rsidRDefault="00483FFB" w:rsidP="00E4790C">
      <w:pPr>
        <w:autoSpaceDE w:val="0"/>
        <w:autoSpaceDN w:val="0"/>
        <w:adjustRightInd w:val="0"/>
        <w:ind w:firstLine="720"/>
        <w:rPr>
          <w:szCs w:val="22"/>
        </w:rPr>
      </w:pPr>
      <w:r>
        <w:rPr>
          <w:szCs w:val="22"/>
        </w:rPr>
        <w:t>Finally</w:t>
      </w:r>
      <w:r w:rsidR="003866CE">
        <w:rPr>
          <w:szCs w:val="22"/>
        </w:rPr>
        <w:t xml:space="preserve">, </w:t>
      </w:r>
      <w:r w:rsidR="00AD6768">
        <w:rPr>
          <w:szCs w:val="22"/>
        </w:rPr>
        <w:t xml:space="preserve">Staples </w:t>
      </w:r>
      <w:r w:rsidR="008745D6">
        <w:rPr>
          <w:szCs w:val="22"/>
        </w:rPr>
        <w:t xml:space="preserve">requests that the Commission </w:t>
      </w:r>
      <w:r w:rsidR="00555C75" w:rsidRPr="00555C75">
        <w:rPr>
          <w:szCs w:val="22"/>
        </w:rPr>
        <w:t>initiate a rulemaking to repeal section 64.1200(a)(3)(iv)</w:t>
      </w:r>
      <w:r w:rsidR="00142472">
        <w:rPr>
          <w:szCs w:val="22"/>
        </w:rPr>
        <w:t>,</w:t>
      </w:r>
      <w:r w:rsidR="00EA003E">
        <w:rPr>
          <w:szCs w:val="22"/>
        </w:rPr>
        <w:t xml:space="preserve"> </w:t>
      </w:r>
      <w:r w:rsidR="00555C75" w:rsidRPr="00555C75">
        <w:rPr>
          <w:szCs w:val="22"/>
        </w:rPr>
        <w:t>arguing that it reflects “poor policy that unfairly threatens companies and individuals with massive liability for the transmission of solicited fax ads” and “plainly exceeds the agency’s statutory authority.”</w:t>
      </w:r>
      <w:r w:rsidR="001724C1">
        <w:rPr>
          <w:rStyle w:val="FootnoteReference"/>
          <w:szCs w:val="22"/>
        </w:rPr>
        <w:footnoteReference w:id="8"/>
      </w:r>
      <w:r w:rsidR="00555C75" w:rsidRPr="00555C75">
        <w:rPr>
          <w:szCs w:val="22"/>
        </w:rPr>
        <w:t xml:space="preserve">  </w:t>
      </w:r>
      <w:r w:rsidR="001724C1">
        <w:rPr>
          <w:szCs w:val="22"/>
        </w:rPr>
        <w:t>In addition, Staples argues that application of this requirement violates the First Amendment to the extent that it requires solicited faxes to contain an opt-out notice.</w:t>
      </w:r>
      <w:r w:rsidR="001724C1">
        <w:rPr>
          <w:rStyle w:val="FootnoteReference"/>
          <w:szCs w:val="22"/>
        </w:rPr>
        <w:footnoteReference w:id="9"/>
      </w:r>
      <w:r w:rsidR="00F85071">
        <w:rPr>
          <w:szCs w:val="22"/>
        </w:rPr>
        <w:t xml:space="preserve">  In particular</w:t>
      </w:r>
      <w:r w:rsidR="001724C1">
        <w:rPr>
          <w:szCs w:val="22"/>
        </w:rPr>
        <w:t>, Staples contends that the Commission failed to identify a governmental interest ad</w:t>
      </w:r>
      <w:r w:rsidR="00F85071">
        <w:rPr>
          <w:szCs w:val="22"/>
        </w:rPr>
        <w:t>vanced by the rule</w:t>
      </w:r>
      <w:r w:rsidR="001724C1">
        <w:rPr>
          <w:szCs w:val="22"/>
        </w:rPr>
        <w:t xml:space="preserve">, </w:t>
      </w:r>
      <w:r w:rsidR="00F85071">
        <w:rPr>
          <w:szCs w:val="22"/>
        </w:rPr>
        <w:t>explain how</w:t>
      </w:r>
      <w:r w:rsidR="001724C1">
        <w:rPr>
          <w:szCs w:val="22"/>
        </w:rPr>
        <w:t xml:space="preserve"> the rule advances t</w:t>
      </w:r>
      <w:r w:rsidR="00F85071">
        <w:rPr>
          <w:szCs w:val="22"/>
        </w:rPr>
        <w:t>hose interests, and provide a reason</w:t>
      </w:r>
      <w:r w:rsidR="001724C1">
        <w:rPr>
          <w:szCs w:val="22"/>
        </w:rPr>
        <w:t xml:space="preserve"> why a less restrictive rule would not </w:t>
      </w:r>
      <w:r w:rsidR="001724C1">
        <w:rPr>
          <w:szCs w:val="22"/>
        </w:rPr>
        <w:lastRenderedPageBreak/>
        <w:t>have sufficed.</w:t>
      </w:r>
      <w:r w:rsidR="001724C1">
        <w:rPr>
          <w:rStyle w:val="FootnoteReference"/>
          <w:szCs w:val="22"/>
        </w:rPr>
        <w:footnoteReference w:id="10"/>
      </w:r>
      <w:r w:rsidR="009E5773">
        <w:rPr>
          <w:szCs w:val="22"/>
        </w:rPr>
        <w:t xml:space="preserve">  </w:t>
      </w:r>
      <w:r w:rsidR="003866CE">
        <w:rPr>
          <w:szCs w:val="22"/>
        </w:rPr>
        <w:t xml:space="preserve">Separately, Purdue Pharma asks the Commission to confirm that </w:t>
      </w:r>
      <w:r w:rsidR="003859A7">
        <w:rPr>
          <w:szCs w:val="22"/>
        </w:rPr>
        <w:t>“substantially compliant” opt-out notices satisfy the Commission’s rule</w:t>
      </w:r>
      <w:r w:rsidR="00201B15">
        <w:rPr>
          <w:szCs w:val="22"/>
        </w:rPr>
        <w:t>s</w:t>
      </w:r>
      <w:r w:rsidR="003859A7">
        <w:rPr>
          <w:szCs w:val="22"/>
        </w:rPr>
        <w:t>.</w:t>
      </w:r>
      <w:r w:rsidR="003859A7">
        <w:rPr>
          <w:rStyle w:val="FootnoteReference"/>
          <w:szCs w:val="22"/>
        </w:rPr>
        <w:footnoteReference w:id="11"/>
      </w:r>
      <w:r w:rsidR="003859A7">
        <w:rPr>
          <w:szCs w:val="22"/>
        </w:rPr>
        <w:t xml:space="preserve">  </w:t>
      </w:r>
      <w:r w:rsidR="009E5773">
        <w:rPr>
          <w:szCs w:val="22"/>
        </w:rPr>
        <w:t>We seek comment on these</w:t>
      </w:r>
      <w:r w:rsidR="003866CE">
        <w:rPr>
          <w:szCs w:val="22"/>
        </w:rPr>
        <w:t xml:space="preserve"> requests</w:t>
      </w:r>
      <w:r w:rsidR="009E5773">
        <w:rPr>
          <w:szCs w:val="22"/>
        </w:rPr>
        <w:t>.</w:t>
      </w:r>
    </w:p>
    <w:p w14:paraId="28CF556C" w14:textId="77777777" w:rsidR="00C41EA0" w:rsidRDefault="00C41EA0" w:rsidP="00E4790C">
      <w:pPr>
        <w:autoSpaceDE w:val="0"/>
        <w:autoSpaceDN w:val="0"/>
        <w:adjustRightInd w:val="0"/>
        <w:ind w:firstLine="720"/>
        <w:rPr>
          <w:szCs w:val="22"/>
        </w:rPr>
      </w:pPr>
    </w:p>
    <w:p w14:paraId="350CDB77" w14:textId="77777777" w:rsidR="00C41EA0" w:rsidRPr="00C41EA0" w:rsidRDefault="00C41EA0" w:rsidP="00C41EA0">
      <w:pPr>
        <w:autoSpaceDE w:val="0"/>
        <w:autoSpaceDN w:val="0"/>
        <w:adjustRightInd w:val="0"/>
        <w:ind w:firstLine="720"/>
        <w:rPr>
          <w:szCs w:val="22"/>
        </w:rPr>
      </w:pPr>
      <w:r w:rsidRPr="00C41EA0">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40228">
        <w:rPr>
          <w:i/>
          <w:szCs w:val="22"/>
        </w:rPr>
        <w:t>See</w:t>
      </w:r>
      <w:r w:rsidRPr="00C41EA0">
        <w:rPr>
          <w:szCs w:val="22"/>
        </w:rPr>
        <w:t xml:space="preserve"> Electronic Filing of Documents in Rulemaking Proceedings, 63 FR 24121 (1998).</w:t>
      </w:r>
    </w:p>
    <w:p w14:paraId="494C25CB" w14:textId="77777777" w:rsidR="00C41EA0" w:rsidRPr="00C41EA0" w:rsidRDefault="00C41EA0" w:rsidP="00C41EA0">
      <w:pPr>
        <w:autoSpaceDE w:val="0"/>
        <w:autoSpaceDN w:val="0"/>
        <w:adjustRightInd w:val="0"/>
        <w:ind w:firstLine="720"/>
        <w:rPr>
          <w:szCs w:val="22"/>
        </w:rPr>
      </w:pPr>
    </w:p>
    <w:p w14:paraId="0952B41E" w14:textId="77777777"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ECFS:  http://fjallfoss.fcc.gov/ecfs2/.  </w:t>
      </w:r>
    </w:p>
    <w:p w14:paraId="44D48E6F" w14:textId="77777777" w:rsidR="00C41EA0" w:rsidRPr="00C41EA0" w:rsidRDefault="00C41EA0" w:rsidP="00C41EA0">
      <w:pPr>
        <w:numPr>
          <w:ilvl w:val="0"/>
          <w:numId w:val="19"/>
        </w:numPr>
        <w:autoSpaceDE w:val="0"/>
        <w:autoSpaceDN w:val="0"/>
        <w:adjustRightInd w:val="0"/>
        <w:rPr>
          <w:szCs w:val="22"/>
        </w:rPr>
      </w:pPr>
      <w:r w:rsidRPr="00C41EA0">
        <w:rPr>
          <w:szCs w:val="22"/>
        </w:rPr>
        <w:t>Paper Filers:  Parties who choose to file by p</w:t>
      </w:r>
      <w:r>
        <w:rPr>
          <w:szCs w:val="22"/>
        </w:rPr>
        <w:t xml:space="preserve">aper must file an original and </w:t>
      </w:r>
      <w:r w:rsidRPr="00C41EA0">
        <w:rPr>
          <w:szCs w:val="22"/>
        </w:rPr>
        <w:t xml:space="preserve">one copy of each filing.  </w:t>
      </w:r>
    </w:p>
    <w:p w14:paraId="29690042" w14:textId="77777777"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3C3BA5D7" w14:textId="77777777" w:rsidR="00C41EA0" w:rsidRPr="00C41EA0" w:rsidRDefault="00C41EA0" w:rsidP="00C41EA0">
      <w:pPr>
        <w:numPr>
          <w:ilvl w:val="0"/>
          <w:numId w:val="19"/>
        </w:numPr>
        <w:autoSpaceDE w:val="0"/>
        <w:autoSpaceDN w:val="0"/>
        <w:adjustRightInd w:val="0"/>
        <w:rPr>
          <w:szCs w:val="22"/>
        </w:rPr>
      </w:pPr>
      <w:r w:rsidRPr="00C41EA0">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5755F5FB" w14:textId="77777777" w:rsidR="00C41EA0" w:rsidRPr="00C41EA0" w:rsidRDefault="00C41EA0" w:rsidP="00C41EA0">
      <w:pPr>
        <w:numPr>
          <w:ilvl w:val="0"/>
          <w:numId w:val="19"/>
        </w:numPr>
        <w:autoSpaceDE w:val="0"/>
        <w:autoSpaceDN w:val="0"/>
        <w:adjustRightInd w:val="0"/>
        <w:rPr>
          <w:szCs w:val="22"/>
        </w:rPr>
      </w:pPr>
      <w:r w:rsidRPr="00C41EA0">
        <w:rPr>
          <w:szCs w:val="22"/>
        </w:rPr>
        <w:t>Commercial overnight mail (other than U.S. Postal Service Express Mail and Priority Mail) must be sent to 9300 East Hampton Drive, Capitol Heights, MD  20743.</w:t>
      </w:r>
    </w:p>
    <w:p w14:paraId="17CA85F6" w14:textId="77777777" w:rsidR="00C41EA0" w:rsidRPr="00C41EA0" w:rsidRDefault="00C41EA0" w:rsidP="00C41EA0">
      <w:pPr>
        <w:numPr>
          <w:ilvl w:val="0"/>
          <w:numId w:val="19"/>
        </w:numPr>
        <w:autoSpaceDE w:val="0"/>
        <w:autoSpaceDN w:val="0"/>
        <w:adjustRightInd w:val="0"/>
        <w:rPr>
          <w:szCs w:val="22"/>
        </w:rPr>
      </w:pPr>
      <w:r w:rsidRPr="00C41EA0">
        <w:rPr>
          <w:szCs w:val="22"/>
        </w:rPr>
        <w:t>U.S. Postal Service first-class, Express, and Priority mail must be addressed to 445 12th Street, SW, Washington DC  20554.</w:t>
      </w:r>
    </w:p>
    <w:p w14:paraId="4F81F7CC" w14:textId="77777777" w:rsidR="00196343" w:rsidRPr="009007BF" w:rsidRDefault="00196343" w:rsidP="00C41EA0">
      <w:pPr>
        <w:autoSpaceDE w:val="0"/>
        <w:autoSpaceDN w:val="0"/>
        <w:adjustRightInd w:val="0"/>
        <w:rPr>
          <w:szCs w:val="22"/>
        </w:rPr>
      </w:pPr>
    </w:p>
    <w:p w14:paraId="480C273F" w14:textId="20E201D3" w:rsidR="00215CE4" w:rsidRDefault="00215CE4" w:rsidP="00C41EA0">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w:t>
      </w:r>
      <w:r w:rsidR="009E5773">
        <w:t>and</w:t>
      </w:r>
      <w:r>
        <w:t xml:space="preserve"> Governmental Affairs Bureau at 202-418-0530 (voice), 202-418-0432 (tty).</w:t>
      </w:r>
    </w:p>
    <w:p w14:paraId="154A896F" w14:textId="77777777" w:rsidR="00D11CDE" w:rsidRPr="009007BF" w:rsidRDefault="00D11CDE" w:rsidP="00FE47C2">
      <w:pPr>
        <w:autoSpaceDE w:val="0"/>
        <w:autoSpaceDN w:val="0"/>
        <w:adjustRightInd w:val="0"/>
        <w:ind w:firstLine="720"/>
        <w:rPr>
          <w:szCs w:val="22"/>
        </w:rPr>
      </w:pPr>
    </w:p>
    <w:p w14:paraId="6787303A" w14:textId="77777777"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2"/>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14:paraId="48521728" w14:textId="77777777" w:rsidR="00022129" w:rsidRPr="009007BF" w:rsidRDefault="00022129" w:rsidP="00022129">
      <w:pPr>
        <w:autoSpaceDE w:val="0"/>
        <w:autoSpaceDN w:val="0"/>
        <w:adjustRightInd w:val="0"/>
        <w:rPr>
          <w:szCs w:val="22"/>
        </w:rPr>
      </w:pPr>
    </w:p>
    <w:p w14:paraId="104F3D90" w14:textId="77777777" w:rsidR="00BE0CD2" w:rsidRDefault="00022129" w:rsidP="00A66569">
      <w:pPr>
        <w:rPr>
          <w:szCs w:val="22"/>
        </w:rPr>
      </w:pPr>
      <w:r w:rsidRPr="009007BF">
        <w:rPr>
          <w:b/>
          <w:szCs w:val="22"/>
        </w:rPr>
        <w:t>FOR FURTHER INFORMATION CONTACT:</w:t>
      </w:r>
      <w:r w:rsidR="00A66569">
        <w:rPr>
          <w:szCs w:val="22"/>
        </w:rPr>
        <w:t xml:space="preserve">  </w:t>
      </w:r>
      <w:r w:rsidR="00B05FD3">
        <w:rPr>
          <w:szCs w:val="22"/>
        </w:rPr>
        <w:t>Richard D. Smith</w:t>
      </w:r>
      <w:r w:rsidR="00431142">
        <w:rPr>
          <w:szCs w:val="22"/>
        </w:rPr>
        <w:t>, Consumer and</w:t>
      </w:r>
      <w:r w:rsidRPr="009007BF">
        <w:rPr>
          <w:szCs w:val="22"/>
        </w:rPr>
        <w:t xml:space="preserve"> Governmental Affairs Bureau, Federal Comm</w:t>
      </w:r>
      <w:r w:rsidR="00B05FD3">
        <w:rPr>
          <w:szCs w:val="22"/>
        </w:rPr>
        <w:t>unications Commission, (717) 338-2797</w:t>
      </w:r>
      <w:r w:rsidR="00B103E8">
        <w:rPr>
          <w:szCs w:val="22"/>
        </w:rPr>
        <w:t xml:space="preserve"> or Richard.Smith@fcc.gov</w:t>
      </w:r>
      <w:r w:rsidR="00A66569">
        <w:rPr>
          <w:szCs w:val="22"/>
        </w:rPr>
        <w:t>.</w:t>
      </w:r>
    </w:p>
    <w:p w14:paraId="4AF98398" w14:textId="77777777" w:rsidR="00221F17" w:rsidRDefault="00221F17" w:rsidP="00A66569">
      <w:pPr>
        <w:rPr>
          <w:szCs w:val="22"/>
        </w:rPr>
      </w:pPr>
    </w:p>
    <w:p w14:paraId="613A4698" w14:textId="77777777" w:rsidR="00BE0CD2" w:rsidRPr="00353569" w:rsidRDefault="00BE0CD2" w:rsidP="00A66569">
      <w:pPr>
        <w:jc w:val="center"/>
        <w:rPr>
          <w:b/>
          <w:sz w:val="24"/>
          <w:szCs w:val="24"/>
        </w:rPr>
      </w:pPr>
      <w:r w:rsidRPr="00353569">
        <w:rPr>
          <w:b/>
          <w:sz w:val="24"/>
          <w:szCs w:val="24"/>
        </w:rPr>
        <w:t>-FCC-</w:t>
      </w:r>
    </w:p>
    <w:sectPr w:rsidR="00BE0CD2" w:rsidRPr="00353569" w:rsidSect="00851E0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5BFAA" w14:textId="77777777" w:rsidR="00860519" w:rsidRDefault="00860519">
      <w:r>
        <w:separator/>
      </w:r>
    </w:p>
  </w:endnote>
  <w:endnote w:type="continuationSeparator" w:id="0">
    <w:p w14:paraId="20AE9A15" w14:textId="77777777" w:rsidR="00860519" w:rsidRDefault="0086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3A12" w14:textId="77777777" w:rsidR="008505CD" w:rsidRDefault="008505CD"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78EA5" w14:textId="77777777" w:rsidR="008505CD" w:rsidRDefault="00850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A6FE" w14:textId="77777777" w:rsidR="008505CD" w:rsidRDefault="008505CD"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99D">
      <w:rPr>
        <w:rStyle w:val="PageNumber"/>
        <w:noProof/>
      </w:rPr>
      <w:t>2</w:t>
    </w:r>
    <w:r>
      <w:rPr>
        <w:rStyle w:val="PageNumber"/>
      </w:rPr>
      <w:fldChar w:fldCharType="end"/>
    </w:r>
  </w:p>
  <w:p w14:paraId="335850EA" w14:textId="77777777" w:rsidR="008505CD" w:rsidRDefault="00850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C11A" w14:textId="77777777" w:rsidR="00020544" w:rsidRDefault="0002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ED793" w14:textId="77777777" w:rsidR="00860519" w:rsidRDefault="00860519">
      <w:r>
        <w:separator/>
      </w:r>
    </w:p>
  </w:footnote>
  <w:footnote w:type="continuationSeparator" w:id="0">
    <w:p w14:paraId="3505383C" w14:textId="77777777" w:rsidR="00860519" w:rsidRDefault="00860519">
      <w:r>
        <w:continuationSeparator/>
      </w:r>
    </w:p>
  </w:footnote>
  <w:footnote w:id="1">
    <w:p w14:paraId="33F4DA80" w14:textId="77777777" w:rsidR="008505CD" w:rsidRPr="00DF2C38" w:rsidRDefault="008505CD" w:rsidP="00117889">
      <w:pPr>
        <w:rPr>
          <w:sz w:val="20"/>
        </w:rPr>
      </w:pPr>
      <w:r w:rsidRPr="00DF2C38">
        <w:rPr>
          <w:rStyle w:val="FootnoteReference"/>
          <w:sz w:val="20"/>
        </w:rPr>
        <w:footnoteRef/>
      </w:r>
      <w:r w:rsidRPr="00DF2C38">
        <w:rPr>
          <w:sz w:val="20"/>
        </w:rPr>
        <w:t xml:space="preserve"> </w:t>
      </w:r>
      <w:r w:rsidRPr="00DF2C38">
        <w:rPr>
          <w:i/>
          <w:sz w:val="20"/>
        </w:rPr>
        <w:t>See Petition of Forest Pharmaceuticals, Inc., for Declaratory Ruling and/or Waiver Regarding Substantial Compliance with Section 64.1200(a)(4)(iii) of the Commission’s Rules and for Declaratory Ruling Regarding the Statutory Basis for the Commission’s Opt-Out Notice Rule with Respect to Faxes Sent with the Recipient’s Prior Express Invitation or Permission</w:t>
      </w:r>
      <w:r w:rsidRPr="00DF2C38">
        <w:rPr>
          <w:sz w:val="20"/>
        </w:rPr>
        <w:t xml:space="preserve">, CG Docket No. 05-338 (filed June 27, 2013) (Forest Petition); </w:t>
      </w:r>
      <w:r w:rsidRPr="00DF2C38">
        <w:rPr>
          <w:i/>
          <w:sz w:val="20"/>
        </w:rPr>
        <w:t xml:space="preserve">Petition of Staples, Inc. and Quill Corporation for a Rulemaking to Repeal Rule 64.1200(a)(3)(iv) and for a Declaratory Ruling to Interpret Rule 64.1200(a)(3)(iv), </w:t>
      </w:r>
      <w:r w:rsidRPr="00DF2C38">
        <w:rPr>
          <w:sz w:val="20"/>
        </w:rPr>
        <w:t>CG Docket Nos. 02-278</w:t>
      </w:r>
      <w:r>
        <w:rPr>
          <w:sz w:val="20"/>
        </w:rPr>
        <w:t>,</w:t>
      </w:r>
      <w:r w:rsidRPr="00DF2C38">
        <w:rPr>
          <w:sz w:val="20"/>
        </w:rPr>
        <w:t xml:space="preserve"> 05-338 (filed July 19, 2013) (Staples Petition); </w:t>
      </w:r>
      <w:r w:rsidRPr="00DF2C38">
        <w:rPr>
          <w:i/>
          <w:sz w:val="20"/>
        </w:rPr>
        <w:t>Petition for Declaratory Ruling and/or Waiver of Gilead Sciences, Inc., and Gilead Palo Alto, Inc., Regarding Substantial Compliance with Section 64.1200(a)(4)(iii) of the Commission’s Rules and for Declaratory Ruling Regarding the Statutory Basis for the Commission’s Opt-Out Notice Rule with Respect to Faxes Sent with the Recipient’s Prior Express Invitation or Permission</w:t>
      </w:r>
      <w:r w:rsidRPr="00DF2C38">
        <w:rPr>
          <w:sz w:val="20"/>
        </w:rPr>
        <w:t>, CG Docket Nos. 02-278</w:t>
      </w:r>
      <w:r>
        <w:rPr>
          <w:sz w:val="20"/>
        </w:rPr>
        <w:t xml:space="preserve">, </w:t>
      </w:r>
      <w:r w:rsidRPr="00DF2C38">
        <w:rPr>
          <w:sz w:val="20"/>
        </w:rPr>
        <w:t xml:space="preserve">05-338 (filed Aug. 9, 2013) (Gilead Petition); </w:t>
      </w:r>
      <w:r w:rsidRPr="00DF2C38">
        <w:rPr>
          <w:i/>
          <w:sz w:val="20"/>
        </w:rPr>
        <w:t>Petition of Douglas Paul Walburg and Richie Enterprises, LLC, for Declaratory Ruling to Clarify Scope and/or Statutory Basis for Rule 64.1200(a)(3)(iv) and/or for Waiver</w:t>
      </w:r>
      <w:r w:rsidRPr="00DF2C38">
        <w:rPr>
          <w:sz w:val="20"/>
        </w:rPr>
        <w:t>, CG Docket Nos. 02-278</w:t>
      </w:r>
      <w:r>
        <w:rPr>
          <w:sz w:val="20"/>
        </w:rPr>
        <w:t xml:space="preserve">, </w:t>
      </w:r>
      <w:r w:rsidRPr="00DF2C38">
        <w:rPr>
          <w:sz w:val="20"/>
        </w:rPr>
        <w:t xml:space="preserve">05-338 (filed Aug. 19, 2013) (Walburg Petition); </w:t>
      </w:r>
      <w:r w:rsidRPr="00DF2C38">
        <w:rPr>
          <w:i/>
          <w:sz w:val="20"/>
        </w:rPr>
        <w:t>Petition of Futuredontics, Inc. for Declaratory Ruling to Clarify Scope and/or Statutory Basis for Rule 64.1200(a)(3)(iv) and/or for Waiver</w:t>
      </w:r>
      <w:r w:rsidRPr="00DF2C38">
        <w:rPr>
          <w:sz w:val="20"/>
        </w:rPr>
        <w:t>, CG Docket Nos. 02-278</w:t>
      </w:r>
      <w:r>
        <w:rPr>
          <w:sz w:val="20"/>
        </w:rPr>
        <w:t xml:space="preserve">, </w:t>
      </w:r>
      <w:r w:rsidRPr="00DF2C38">
        <w:rPr>
          <w:sz w:val="20"/>
        </w:rPr>
        <w:t>05-338 (filed Oct. 18, 2013) (</w:t>
      </w:r>
      <w:r w:rsidRPr="00A767EA">
        <w:rPr>
          <w:sz w:val="20"/>
        </w:rPr>
        <w:t xml:space="preserve">Futuredontics Petition); </w:t>
      </w:r>
      <w:r w:rsidRPr="00A767EA">
        <w:rPr>
          <w:i/>
          <w:sz w:val="20"/>
        </w:rPr>
        <w:t xml:space="preserve">Petition of All Granite &amp; Marble Corp. for Declaratory Ruling to Clarify Scope and/or Statutory Basis for Rule </w:t>
      </w:r>
      <w:r w:rsidRPr="00DC3621">
        <w:rPr>
          <w:i/>
          <w:sz w:val="20"/>
        </w:rPr>
        <w:t>64.1200(a)(3)(iv) and/or for Waiver</w:t>
      </w:r>
      <w:r w:rsidRPr="00DC3621">
        <w:rPr>
          <w:sz w:val="20"/>
        </w:rPr>
        <w:t xml:space="preserve">, CG Docket Nos. 02-278, 05-338 (filed Oct. 28, 2013) (All Granite Petition); </w:t>
      </w:r>
      <w:r w:rsidRPr="00117889">
        <w:rPr>
          <w:i/>
          <w:sz w:val="20"/>
        </w:rPr>
        <w:t>Purdue Pharma Petition for Declaratory Ruling Regarding the Statutory Basis for the Commission’s Opt-Out Notice Rule with Respect to Solicited Faxes</w:t>
      </w:r>
      <w:r w:rsidR="00483FFB">
        <w:rPr>
          <w:i/>
          <w:sz w:val="20"/>
        </w:rPr>
        <w:t xml:space="preserve"> </w:t>
      </w:r>
      <w:r w:rsidRPr="00117889">
        <w:rPr>
          <w:i/>
          <w:sz w:val="20"/>
        </w:rPr>
        <w:t>,and/or Regarding Substantial Compliance with Section 64.1200(a)(4)(iii) and (iv) of the Commission’s Rules</w:t>
      </w:r>
      <w:r>
        <w:rPr>
          <w:sz w:val="20"/>
        </w:rPr>
        <w:t>, CG Docket Nos. 02-278, 05-338 (filed Dec. 12, 2013) (Purdue Pharma Petition);</w:t>
      </w:r>
      <w:r>
        <w:rPr>
          <w:rFonts w:ascii="Times" w:hAnsi="Times" w:cs="Times"/>
          <w:sz w:val="20"/>
        </w:rPr>
        <w:t xml:space="preserve"> </w:t>
      </w:r>
      <w:r w:rsidRPr="00117889">
        <w:rPr>
          <w:i/>
          <w:sz w:val="20"/>
        </w:rPr>
        <w:t>Petition of Prime Health Services, Inc. for Declaratory Ruling to Clarify Scope and/or Statutory Basis for Rule 64.1200(a)(3)(iv) and/or for Waiver</w:t>
      </w:r>
      <w:r w:rsidRPr="008213EE">
        <w:rPr>
          <w:sz w:val="20"/>
        </w:rPr>
        <w:t>, CG Docket Nos. 02-278, 05-338 (filed Dec. 17, 2013) (Prime Health Petition);</w:t>
      </w:r>
      <w:r>
        <w:rPr>
          <w:sz w:val="20"/>
        </w:rPr>
        <w:t xml:space="preserve"> </w:t>
      </w:r>
      <w:r w:rsidRPr="00117889">
        <w:rPr>
          <w:i/>
          <w:sz w:val="20"/>
        </w:rPr>
        <w:t>Petition of TechHealth, Inc. for Declaratory Ruling to Clarify Scope an</w:t>
      </w:r>
      <w:r w:rsidRPr="008213EE">
        <w:rPr>
          <w:i/>
          <w:sz w:val="20"/>
        </w:rPr>
        <w:t>d</w:t>
      </w:r>
      <w:r w:rsidR="00483FFB">
        <w:rPr>
          <w:i/>
          <w:sz w:val="20"/>
        </w:rPr>
        <w:t>/</w:t>
      </w:r>
      <w:r w:rsidRPr="008213EE">
        <w:rPr>
          <w:i/>
          <w:sz w:val="20"/>
        </w:rPr>
        <w:t>or Statu</w:t>
      </w:r>
      <w:r w:rsidRPr="00B25D79">
        <w:rPr>
          <w:i/>
          <w:sz w:val="20"/>
        </w:rPr>
        <w:t xml:space="preserve">tory Basis for Rule </w:t>
      </w:r>
      <w:r w:rsidRPr="00117889">
        <w:rPr>
          <w:i/>
          <w:sz w:val="20"/>
        </w:rPr>
        <w:t>64.1200(a)(3)(iv) and/or for Waiver</w:t>
      </w:r>
      <w:r>
        <w:rPr>
          <w:sz w:val="20"/>
        </w:rPr>
        <w:t xml:space="preserve">, CG Docket Nos. 02-278, 05-338 (filed Jan. 6, 2013) (TechHealth Petition); </w:t>
      </w:r>
      <w:r w:rsidRPr="008213EE">
        <w:rPr>
          <w:i/>
          <w:sz w:val="20"/>
        </w:rPr>
        <w:t>see also</w:t>
      </w:r>
      <w:r w:rsidRPr="008213EE">
        <w:rPr>
          <w:sz w:val="20"/>
        </w:rPr>
        <w:t xml:space="preserve"> 47 C.F.R. § 64.1200(a)(4)(iv).</w:t>
      </w:r>
      <w:r w:rsidRPr="00DF2C38">
        <w:rPr>
          <w:sz w:val="20"/>
        </w:rPr>
        <w:t xml:space="preserve"> </w:t>
      </w:r>
      <w:r w:rsidR="0023554F">
        <w:rPr>
          <w:sz w:val="20"/>
        </w:rPr>
        <w:t xml:space="preserve"> </w:t>
      </w:r>
      <w:r w:rsidR="0023554F" w:rsidRPr="00DF2C38">
        <w:rPr>
          <w:sz w:val="20"/>
        </w:rPr>
        <w:t xml:space="preserve">We </w:t>
      </w:r>
      <w:r w:rsidR="0023554F">
        <w:rPr>
          <w:sz w:val="20"/>
        </w:rPr>
        <w:t xml:space="preserve">note that the numbering of the opt-out notice rule </w:t>
      </w:r>
      <w:r w:rsidR="0023554F" w:rsidRPr="00DF2C38">
        <w:rPr>
          <w:sz w:val="20"/>
        </w:rPr>
        <w:t>has recently been changed and petitioner</w:t>
      </w:r>
      <w:r w:rsidR="0023554F">
        <w:rPr>
          <w:sz w:val="20"/>
        </w:rPr>
        <w:t>s</w:t>
      </w:r>
      <w:r w:rsidR="0023554F" w:rsidRPr="00DF2C38">
        <w:rPr>
          <w:sz w:val="20"/>
        </w:rPr>
        <w:t xml:space="preserve"> </w:t>
      </w:r>
      <w:r w:rsidR="0023554F">
        <w:rPr>
          <w:sz w:val="20"/>
        </w:rPr>
        <w:t xml:space="preserve">referencing section 64.1200(a)(3)(iv) </w:t>
      </w:r>
      <w:r w:rsidR="0023554F" w:rsidRPr="00DF2C38">
        <w:rPr>
          <w:sz w:val="20"/>
        </w:rPr>
        <w:t xml:space="preserve">appear to </w:t>
      </w:r>
      <w:r w:rsidR="0023554F">
        <w:rPr>
          <w:sz w:val="20"/>
        </w:rPr>
        <w:t xml:space="preserve">mean </w:t>
      </w:r>
      <w:r w:rsidR="0023554F" w:rsidRPr="00DF2C38">
        <w:rPr>
          <w:sz w:val="20"/>
        </w:rPr>
        <w:t>current section 64.1200(a)(4)(iv).  We thus find good cause to treat the petition as such.</w:t>
      </w:r>
    </w:p>
  </w:footnote>
  <w:footnote w:id="2">
    <w:p w14:paraId="536F32C5" w14:textId="77777777" w:rsidR="008505CD" w:rsidRPr="00DF2C38" w:rsidRDefault="008505CD">
      <w:pPr>
        <w:pStyle w:val="FootnoteText"/>
        <w:rPr>
          <w:sz w:val="20"/>
        </w:rPr>
      </w:pPr>
      <w:r w:rsidRPr="00DF2C38">
        <w:rPr>
          <w:rStyle w:val="FootnoteReference"/>
          <w:sz w:val="20"/>
        </w:rPr>
        <w:footnoteRef/>
      </w:r>
      <w:r w:rsidRPr="00DF2C38">
        <w:rPr>
          <w:sz w:val="20"/>
        </w:rPr>
        <w:t xml:space="preserve"> </w:t>
      </w:r>
      <w:r w:rsidRPr="00DF2C38">
        <w:rPr>
          <w:i/>
          <w:sz w:val="20"/>
        </w:rPr>
        <w:t xml:space="preserve">See </w:t>
      </w:r>
      <w:r w:rsidRPr="00DF2C38">
        <w:rPr>
          <w:sz w:val="20"/>
        </w:rPr>
        <w:t>All Granite Petition at 10; Forest Petition at 11; Futuredontics Petition at 13-14; Gilead Petition at 11; Walburg Petition at 13-15</w:t>
      </w:r>
      <w:r>
        <w:rPr>
          <w:sz w:val="20"/>
        </w:rPr>
        <w:t>; Purdue Pharma Petition at 17-19; Prime Health Petition at 13-15; TechHealth Petition at 15-16</w:t>
      </w:r>
      <w:r w:rsidRPr="00DF2C38">
        <w:rPr>
          <w:sz w:val="20"/>
        </w:rPr>
        <w:t>.</w:t>
      </w:r>
    </w:p>
  </w:footnote>
  <w:footnote w:id="3">
    <w:p w14:paraId="6BFB9A56" w14:textId="77777777" w:rsidR="008505CD" w:rsidRPr="00DF2C38" w:rsidRDefault="008505CD">
      <w:pPr>
        <w:pStyle w:val="FootnoteText"/>
        <w:rPr>
          <w:sz w:val="20"/>
        </w:rPr>
      </w:pPr>
      <w:r w:rsidRPr="00DF2C38">
        <w:rPr>
          <w:rStyle w:val="FootnoteReference"/>
          <w:sz w:val="20"/>
        </w:rPr>
        <w:footnoteRef/>
      </w:r>
      <w:r w:rsidRPr="00DF2C38">
        <w:rPr>
          <w:sz w:val="20"/>
        </w:rPr>
        <w:t xml:space="preserve"> </w:t>
      </w:r>
      <w:r w:rsidRPr="00DF2C38">
        <w:rPr>
          <w:i/>
          <w:sz w:val="20"/>
        </w:rPr>
        <w:t>See</w:t>
      </w:r>
      <w:r w:rsidRPr="00DF2C38">
        <w:rPr>
          <w:sz w:val="20"/>
        </w:rPr>
        <w:t xml:space="preserve"> Forest Petition at 11; Gilead Petition at 11.</w:t>
      </w:r>
    </w:p>
  </w:footnote>
  <w:footnote w:id="4">
    <w:p w14:paraId="2E5CCF3A" w14:textId="77777777" w:rsidR="008505CD" w:rsidRPr="00DF2C38" w:rsidRDefault="008505CD">
      <w:pPr>
        <w:pStyle w:val="FootnoteText"/>
        <w:rPr>
          <w:sz w:val="20"/>
        </w:rPr>
      </w:pPr>
      <w:r w:rsidRPr="00DF2C38">
        <w:rPr>
          <w:rStyle w:val="FootnoteReference"/>
          <w:sz w:val="20"/>
        </w:rPr>
        <w:footnoteRef/>
      </w:r>
      <w:r w:rsidRPr="00DF2C38">
        <w:rPr>
          <w:sz w:val="20"/>
        </w:rPr>
        <w:t xml:space="preserve"> Walburg Petition at 14.</w:t>
      </w:r>
    </w:p>
  </w:footnote>
  <w:footnote w:id="5">
    <w:p w14:paraId="3986B2D2" w14:textId="77777777" w:rsidR="00E371B0" w:rsidRDefault="00E371B0">
      <w:pPr>
        <w:pStyle w:val="FootnoteText"/>
      </w:pPr>
      <w:r>
        <w:rPr>
          <w:rStyle w:val="FootnoteReference"/>
        </w:rPr>
        <w:footnoteRef/>
      </w:r>
      <w:r>
        <w:t xml:space="preserve"> </w:t>
      </w:r>
      <w:r w:rsidRPr="00117889">
        <w:rPr>
          <w:sz w:val="20"/>
        </w:rPr>
        <w:t>Purdue Pharma Petition at 18.</w:t>
      </w:r>
    </w:p>
  </w:footnote>
  <w:footnote w:id="6">
    <w:p w14:paraId="7F86F874" w14:textId="77777777" w:rsidR="008505CD" w:rsidRDefault="008505CD">
      <w:pPr>
        <w:pStyle w:val="FootnoteText"/>
      </w:pPr>
      <w:r>
        <w:rPr>
          <w:rStyle w:val="FootnoteReference"/>
        </w:rPr>
        <w:footnoteRef/>
      </w:r>
      <w:r>
        <w:t xml:space="preserve"> </w:t>
      </w:r>
      <w:r w:rsidRPr="00117889">
        <w:rPr>
          <w:sz w:val="20"/>
        </w:rPr>
        <w:t>Prime Health Petition at 14-15.</w:t>
      </w:r>
    </w:p>
  </w:footnote>
  <w:footnote w:id="7">
    <w:p w14:paraId="77F675FE" w14:textId="77777777" w:rsidR="008505CD" w:rsidRDefault="008505CD">
      <w:pPr>
        <w:pStyle w:val="FootnoteText"/>
      </w:pPr>
      <w:r>
        <w:rPr>
          <w:rStyle w:val="FootnoteReference"/>
        </w:rPr>
        <w:footnoteRef/>
      </w:r>
      <w:r>
        <w:t xml:space="preserve"> </w:t>
      </w:r>
      <w:r w:rsidRPr="00117889">
        <w:rPr>
          <w:sz w:val="20"/>
        </w:rPr>
        <w:t>TechHealth Petition at 16.</w:t>
      </w:r>
    </w:p>
  </w:footnote>
  <w:footnote w:id="8">
    <w:p w14:paraId="45199B37" w14:textId="77777777" w:rsidR="008505CD" w:rsidRPr="00DF2C38" w:rsidRDefault="008505CD">
      <w:pPr>
        <w:pStyle w:val="FootnoteText"/>
        <w:rPr>
          <w:sz w:val="20"/>
        </w:rPr>
      </w:pPr>
      <w:r w:rsidRPr="00DF2C38">
        <w:rPr>
          <w:rStyle w:val="FootnoteReference"/>
          <w:sz w:val="20"/>
        </w:rPr>
        <w:footnoteRef/>
      </w:r>
      <w:r w:rsidRPr="00DF2C38">
        <w:rPr>
          <w:sz w:val="20"/>
        </w:rPr>
        <w:t xml:space="preserve"> Staples Petition at 7-10.  In addition, the Staples Petition includes a discussion as to why Staples believes litigants in a civil action can challenge the substantive validity of the Commission rules as a defense to a TCPA lawsuit.  This discussion, however, does not request any specific Commission action, and therefore we do not seek comment on that issue.  </w:t>
      </w:r>
      <w:r w:rsidRPr="00DF2C38">
        <w:rPr>
          <w:i/>
          <w:sz w:val="20"/>
        </w:rPr>
        <w:t>Id.</w:t>
      </w:r>
      <w:r w:rsidRPr="00DF2C38">
        <w:rPr>
          <w:sz w:val="20"/>
        </w:rPr>
        <w:t xml:space="preserve"> at 20-26.</w:t>
      </w:r>
    </w:p>
  </w:footnote>
  <w:footnote w:id="9">
    <w:p w14:paraId="02647642" w14:textId="77777777" w:rsidR="008505CD" w:rsidRPr="00DF2C38" w:rsidRDefault="008505CD">
      <w:pPr>
        <w:pStyle w:val="FootnoteText"/>
        <w:rPr>
          <w:sz w:val="20"/>
        </w:rPr>
      </w:pPr>
      <w:r w:rsidRPr="00DF2C38">
        <w:rPr>
          <w:rStyle w:val="FootnoteReference"/>
          <w:sz w:val="20"/>
        </w:rPr>
        <w:footnoteRef/>
      </w:r>
      <w:r w:rsidRPr="00DF2C38">
        <w:rPr>
          <w:sz w:val="20"/>
        </w:rPr>
        <w:t xml:space="preserve"> </w:t>
      </w:r>
      <w:r w:rsidRPr="00DF2C38">
        <w:rPr>
          <w:i/>
          <w:sz w:val="20"/>
        </w:rPr>
        <w:t>Id.</w:t>
      </w:r>
      <w:r w:rsidRPr="00DF2C38">
        <w:rPr>
          <w:sz w:val="20"/>
        </w:rPr>
        <w:t xml:space="preserve"> at 11-15.</w:t>
      </w:r>
    </w:p>
  </w:footnote>
  <w:footnote w:id="10">
    <w:p w14:paraId="63197D51" w14:textId="77777777" w:rsidR="008505CD" w:rsidRPr="00DF2C38" w:rsidRDefault="008505CD">
      <w:pPr>
        <w:pStyle w:val="FootnoteText"/>
        <w:rPr>
          <w:sz w:val="20"/>
        </w:rPr>
      </w:pPr>
      <w:r w:rsidRPr="00DF2C38">
        <w:rPr>
          <w:rStyle w:val="FootnoteReference"/>
          <w:sz w:val="20"/>
        </w:rPr>
        <w:footnoteRef/>
      </w:r>
      <w:r w:rsidRPr="00DF2C38">
        <w:rPr>
          <w:sz w:val="20"/>
        </w:rPr>
        <w:t xml:space="preserve"> </w:t>
      </w:r>
      <w:r w:rsidRPr="00DF2C38">
        <w:rPr>
          <w:i/>
          <w:sz w:val="20"/>
        </w:rPr>
        <w:t>Id.</w:t>
      </w:r>
      <w:r w:rsidRPr="00DF2C38">
        <w:rPr>
          <w:sz w:val="20"/>
        </w:rPr>
        <w:t xml:space="preserve"> at 14.  </w:t>
      </w:r>
    </w:p>
  </w:footnote>
  <w:footnote w:id="11">
    <w:p w14:paraId="63E9873C" w14:textId="77777777" w:rsidR="008505CD" w:rsidRDefault="008505CD">
      <w:pPr>
        <w:pStyle w:val="FootnoteText"/>
      </w:pPr>
      <w:r>
        <w:rPr>
          <w:rStyle w:val="FootnoteReference"/>
        </w:rPr>
        <w:footnoteRef/>
      </w:r>
      <w:r>
        <w:t xml:space="preserve"> </w:t>
      </w:r>
      <w:r w:rsidRPr="00117889">
        <w:rPr>
          <w:sz w:val="20"/>
        </w:rPr>
        <w:t>Purdue Pharma Petition at 13-17.</w:t>
      </w:r>
    </w:p>
  </w:footnote>
  <w:footnote w:id="12">
    <w:p w14:paraId="10F5EE7A" w14:textId="77777777" w:rsidR="008505CD" w:rsidRPr="00DF2C38" w:rsidRDefault="008505CD" w:rsidP="00215CE4">
      <w:pPr>
        <w:pStyle w:val="FootnoteText"/>
        <w:rPr>
          <w:iCs/>
          <w:sz w:val="20"/>
        </w:rPr>
      </w:pPr>
      <w:r w:rsidRPr="00DF2C38">
        <w:rPr>
          <w:rStyle w:val="FootnoteReference"/>
          <w:sz w:val="20"/>
        </w:rPr>
        <w:footnoteRef/>
      </w:r>
      <w:r w:rsidRPr="00DF2C38">
        <w:rPr>
          <w:sz w:val="20"/>
        </w:rPr>
        <w:t xml:space="preserve"> 47 C.F.R. §§ 1.1200 </w:t>
      </w:r>
      <w:r w:rsidRPr="00DF2C38">
        <w:rPr>
          <w:i/>
          <w:iCs/>
          <w:sz w:val="20"/>
        </w:rPr>
        <w:t>et seq</w:t>
      </w:r>
      <w:r w:rsidRPr="00DF2C38">
        <w:rPr>
          <w:iCs/>
          <w:sz w:val="20"/>
        </w:rPr>
        <w:t>.</w:t>
      </w:r>
    </w:p>
    <w:p w14:paraId="45CA8474" w14:textId="77777777" w:rsidR="008505CD" w:rsidRPr="00DF2C38" w:rsidRDefault="008505CD"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A576" w14:textId="77777777" w:rsidR="00020544" w:rsidRDefault="00020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717A" w14:textId="77777777" w:rsidR="00020544" w:rsidRDefault="00020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EE74" w14:textId="77777777" w:rsidR="008505CD" w:rsidRPr="00C973A2" w:rsidRDefault="009311B5">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9264" behindDoc="0" locked="0" layoutInCell="0" allowOverlap="1" wp14:anchorId="0A425056" wp14:editId="2D10A5B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72B35432" wp14:editId="64B1EAC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C80D2" w14:textId="77777777" w:rsidR="008505CD" w:rsidRDefault="008505CD">
                          <w:pPr>
                            <w:rPr>
                              <w:rFonts w:ascii="Arial" w:hAnsi="Arial"/>
                              <w:b/>
                            </w:rPr>
                          </w:pPr>
                          <w:r>
                            <w:rPr>
                              <w:rFonts w:ascii="Arial" w:hAnsi="Arial"/>
                              <w:b/>
                            </w:rPr>
                            <w:t>Federal Communications Commission</w:t>
                          </w:r>
                        </w:p>
                        <w:p w14:paraId="6C66D712" w14:textId="77777777" w:rsidR="008505CD" w:rsidRDefault="008505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055C520" w14:textId="77777777" w:rsidR="008505CD" w:rsidRDefault="008505C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505CD" w:rsidRDefault="008505CD">
                    <w:pPr>
                      <w:rPr>
                        <w:rFonts w:ascii="Arial" w:hAnsi="Arial"/>
                        <w:b/>
                      </w:rPr>
                    </w:pPr>
                    <w:r>
                      <w:rPr>
                        <w:rFonts w:ascii="Arial" w:hAnsi="Arial"/>
                        <w:b/>
                      </w:rPr>
                      <w:t>Federal Communications Commission</w:t>
                    </w:r>
                  </w:p>
                  <w:p w:rsidR="008505CD" w:rsidRDefault="008505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505CD" w:rsidRDefault="008505CD">
                    <w:pPr>
                      <w:rPr>
                        <w:rFonts w:ascii="Arial" w:hAnsi="Arial"/>
                        <w:sz w:val="24"/>
                      </w:rPr>
                    </w:pPr>
                    <w:r>
                      <w:rPr>
                        <w:rFonts w:ascii="Arial" w:hAnsi="Arial"/>
                        <w:b/>
                      </w:rPr>
                      <w:t>Washington, D.C. 20554</w:t>
                    </w:r>
                  </w:p>
                </w:txbxContent>
              </v:textbox>
            </v:shape>
          </w:pict>
        </mc:Fallback>
      </mc:AlternateContent>
    </w:r>
    <w:r w:rsidR="008505CD" w:rsidRPr="00C973A2">
      <w:rPr>
        <w:rFonts w:ascii="Arial" w:hAnsi="Arial" w:cs="Arial"/>
        <w:b/>
        <w:kern w:val="28"/>
        <w:sz w:val="96"/>
      </w:rPr>
      <w:t>PUBLIC NOTICE</w:t>
    </w:r>
  </w:p>
  <w:p w14:paraId="224FAF49" w14:textId="77777777" w:rsidR="008505CD" w:rsidRDefault="009311B5" w:rsidP="00C973A2">
    <w:pPr>
      <w:pStyle w:val="Header"/>
      <w:tabs>
        <w:tab w:val="clear" w:pos="4320"/>
        <w:tab w:val="clear" w:pos="8640"/>
        <w:tab w:val="center" w:pos="50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8882A90" wp14:editId="3AD5831F">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8CBA0" w14:textId="77777777" w:rsidR="008505CD" w:rsidRDefault="008505CD">
                          <w:pPr>
                            <w:spacing w:before="40"/>
                            <w:jc w:val="right"/>
                            <w:rPr>
                              <w:rFonts w:ascii="Arial" w:hAnsi="Arial"/>
                              <w:b/>
                              <w:sz w:val="16"/>
                            </w:rPr>
                          </w:pPr>
                          <w:r>
                            <w:rPr>
                              <w:rFonts w:ascii="Arial" w:hAnsi="Arial"/>
                              <w:b/>
                              <w:sz w:val="16"/>
                            </w:rPr>
                            <w:t>News Media Information 202 / 418-0500</w:t>
                          </w:r>
                        </w:p>
                        <w:p w14:paraId="20E8A8FF" w14:textId="77777777" w:rsidR="008505CD" w:rsidRDefault="008505C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8A7F962" w14:textId="77777777" w:rsidR="008505CD" w:rsidRDefault="008505CD">
                          <w:pPr>
                            <w:jc w:val="right"/>
                            <w:rPr>
                              <w:rFonts w:ascii="Arial" w:hAnsi="Arial"/>
                              <w:b/>
                              <w:sz w:val="16"/>
                            </w:rPr>
                          </w:pPr>
                          <w:r>
                            <w:rPr>
                              <w:rFonts w:ascii="Arial" w:hAnsi="Arial"/>
                              <w:b/>
                              <w:sz w:val="16"/>
                            </w:rPr>
                            <w:t>TTY: 1-888-835-5322</w:t>
                          </w:r>
                        </w:p>
                        <w:p w14:paraId="7F16E7A9" w14:textId="77777777" w:rsidR="008505CD" w:rsidRDefault="008505C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8505CD" w:rsidRDefault="008505CD">
                    <w:pPr>
                      <w:spacing w:before="40"/>
                      <w:jc w:val="right"/>
                      <w:rPr>
                        <w:rFonts w:ascii="Arial" w:hAnsi="Arial"/>
                        <w:b/>
                        <w:sz w:val="16"/>
                      </w:rPr>
                    </w:pPr>
                    <w:r>
                      <w:rPr>
                        <w:rFonts w:ascii="Arial" w:hAnsi="Arial"/>
                        <w:b/>
                        <w:sz w:val="16"/>
                      </w:rPr>
                      <w:t>News Media Information 202 / 418-0500</w:t>
                    </w:r>
                  </w:p>
                  <w:p w:rsidR="008505CD" w:rsidRDefault="008505CD">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8505CD" w:rsidRDefault="008505CD">
                    <w:pPr>
                      <w:jc w:val="right"/>
                      <w:rPr>
                        <w:rFonts w:ascii="Arial" w:hAnsi="Arial"/>
                        <w:b/>
                        <w:sz w:val="16"/>
                      </w:rPr>
                    </w:pPr>
                    <w:r>
                      <w:rPr>
                        <w:rFonts w:ascii="Arial" w:hAnsi="Arial"/>
                        <w:b/>
                        <w:sz w:val="16"/>
                      </w:rPr>
                      <w:t>TTY: 1-888-835-5322</w:t>
                    </w:r>
                  </w:p>
                  <w:p w:rsidR="008505CD" w:rsidRDefault="008505CD">
                    <w:pPr>
                      <w:jc w:val="right"/>
                    </w:pPr>
                  </w:p>
                </w:txbxContent>
              </v:textbox>
            </v:shape>
          </w:pict>
        </mc:Fallback>
      </mc:AlternateContent>
    </w:r>
    <w:r w:rsidR="008505CD">
      <w:rPr>
        <w:rFonts w:ascii="Arial" w:hAnsi="Arial"/>
        <w:b/>
        <w:sz w:val="28"/>
      </w:rPr>
      <w:tab/>
    </w:r>
  </w:p>
  <w:p w14:paraId="66044082" w14:textId="77777777" w:rsidR="008505CD" w:rsidRDefault="009311B5">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2C140791" wp14:editId="17730E36">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78D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8"/>
  </w:num>
  <w:num w:numId="13">
    <w:abstractNumId w:val="1"/>
  </w:num>
  <w:num w:numId="14">
    <w:abstractNumId w:val="5"/>
  </w:num>
  <w:num w:numId="15">
    <w:abstractNumId w:val="2"/>
  </w:num>
  <w:num w:numId="16">
    <w:abstractNumId w:val="13"/>
  </w:num>
  <w:num w:numId="17">
    <w:abstractNumId w:val="6"/>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0AFB"/>
    <w:rsid w:val="00001D11"/>
    <w:rsid w:val="000045A9"/>
    <w:rsid w:val="00005D24"/>
    <w:rsid w:val="00006503"/>
    <w:rsid w:val="000130DC"/>
    <w:rsid w:val="00020544"/>
    <w:rsid w:val="00020C84"/>
    <w:rsid w:val="000211B2"/>
    <w:rsid w:val="00022129"/>
    <w:rsid w:val="000222CE"/>
    <w:rsid w:val="00022498"/>
    <w:rsid w:val="000224F3"/>
    <w:rsid w:val="000259E4"/>
    <w:rsid w:val="000263E0"/>
    <w:rsid w:val="00031E1B"/>
    <w:rsid w:val="0003516D"/>
    <w:rsid w:val="00043E95"/>
    <w:rsid w:val="00043FE9"/>
    <w:rsid w:val="00044B88"/>
    <w:rsid w:val="000534A3"/>
    <w:rsid w:val="00061970"/>
    <w:rsid w:val="00063856"/>
    <w:rsid w:val="00066788"/>
    <w:rsid w:val="00066F63"/>
    <w:rsid w:val="000717FD"/>
    <w:rsid w:val="00081B3A"/>
    <w:rsid w:val="000853F4"/>
    <w:rsid w:val="00087480"/>
    <w:rsid w:val="00087A88"/>
    <w:rsid w:val="00090A7B"/>
    <w:rsid w:val="000A312E"/>
    <w:rsid w:val="000A5614"/>
    <w:rsid w:val="000B1F2C"/>
    <w:rsid w:val="000B23DB"/>
    <w:rsid w:val="000B7A6D"/>
    <w:rsid w:val="000C5139"/>
    <w:rsid w:val="000C6F75"/>
    <w:rsid w:val="000C7ED0"/>
    <w:rsid w:val="000D51AC"/>
    <w:rsid w:val="000D5DBE"/>
    <w:rsid w:val="000D60E0"/>
    <w:rsid w:val="000E761C"/>
    <w:rsid w:val="000E78A3"/>
    <w:rsid w:val="000F106F"/>
    <w:rsid w:val="0010299D"/>
    <w:rsid w:val="001109F1"/>
    <w:rsid w:val="00117889"/>
    <w:rsid w:val="001253D4"/>
    <w:rsid w:val="0012699D"/>
    <w:rsid w:val="00135494"/>
    <w:rsid w:val="00135D96"/>
    <w:rsid w:val="0013626C"/>
    <w:rsid w:val="00136CF2"/>
    <w:rsid w:val="00137867"/>
    <w:rsid w:val="00142472"/>
    <w:rsid w:val="00160812"/>
    <w:rsid w:val="00161025"/>
    <w:rsid w:val="00163342"/>
    <w:rsid w:val="001679EC"/>
    <w:rsid w:val="001721ED"/>
    <w:rsid w:val="001724C1"/>
    <w:rsid w:val="0018566A"/>
    <w:rsid w:val="001905CB"/>
    <w:rsid w:val="00191ABD"/>
    <w:rsid w:val="00196343"/>
    <w:rsid w:val="00197395"/>
    <w:rsid w:val="001A0ADA"/>
    <w:rsid w:val="001A2416"/>
    <w:rsid w:val="001A29B4"/>
    <w:rsid w:val="001A4A32"/>
    <w:rsid w:val="001A528C"/>
    <w:rsid w:val="001A6037"/>
    <w:rsid w:val="001B3350"/>
    <w:rsid w:val="001B3ECD"/>
    <w:rsid w:val="001B6AA1"/>
    <w:rsid w:val="001C4ED3"/>
    <w:rsid w:val="001D19F2"/>
    <w:rsid w:val="001E0D34"/>
    <w:rsid w:val="001E12E8"/>
    <w:rsid w:val="001E7D37"/>
    <w:rsid w:val="001F445A"/>
    <w:rsid w:val="001F4F7C"/>
    <w:rsid w:val="001F70C3"/>
    <w:rsid w:val="00201B15"/>
    <w:rsid w:val="0020444D"/>
    <w:rsid w:val="0020629E"/>
    <w:rsid w:val="00212D97"/>
    <w:rsid w:val="00213385"/>
    <w:rsid w:val="00215868"/>
    <w:rsid w:val="00215CE4"/>
    <w:rsid w:val="00217378"/>
    <w:rsid w:val="00221F17"/>
    <w:rsid w:val="00222BC2"/>
    <w:rsid w:val="0022656C"/>
    <w:rsid w:val="00230AB6"/>
    <w:rsid w:val="0023554F"/>
    <w:rsid w:val="002438F3"/>
    <w:rsid w:val="0024471E"/>
    <w:rsid w:val="00253A5A"/>
    <w:rsid w:val="00257C4D"/>
    <w:rsid w:val="002606A5"/>
    <w:rsid w:val="00262992"/>
    <w:rsid w:val="00276A67"/>
    <w:rsid w:val="00285C4D"/>
    <w:rsid w:val="00287464"/>
    <w:rsid w:val="00291156"/>
    <w:rsid w:val="00297055"/>
    <w:rsid w:val="00297A99"/>
    <w:rsid w:val="002A1E73"/>
    <w:rsid w:val="002A4E33"/>
    <w:rsid w:val="002B2006"/>
    <w:rsid w:val="002B2FF7"/>
    <w:rsid w:val="002B7739"/>
    <w:rsid w:val="002C10BB"/>
    <w:rsid w:val="002C2787"/>
    <w:rsid w:val="002D2228"/>
    <w:rsid w:val="002D346A"/>
    <w:rsid w:val="002E5A64"/>
    <w:rsid w:val="002F0672"/>
    <w:rsid w:val="002F77C3"/>
    <w:rsid w:val="002F7C60"/>
    <w:rsid w:val="003012FA"/>
    <w:rsid w:val="0030255A"/>
    <w:rsid w:val="00303110"/>
    <w:rsid w:val="003104B0"/>
    <w:rsid w:val="003109CE"/>
    <w:rsid w:val="00311A3A"/>
    <w:rsid w:val="00312043"/>
    <w:rsid w:val="00316C79"/>
    <w:rsid w:val="003175D6"/>
    <w:rsid w:val="00334C56"/>
    <w:rsid w:val="00336493"/>
    <w:rsid w:val="00342824"/>
    <w:rsid w:val="00344B85"/>
    <w:rsid w:val="00351A40"/>
    <w:rsid w:val="00353569"/>
    <w:rsid w:val="0035363D"/>
    <w:rsid w:val="003538F3"/>
    <w:rsid w:val="003557D8"/>
    <w:rsid w:val="00357784"/>
    <w:rsid w:val="0035789A"/>
    <w:rsid w:val="00364E16"/>
    <w:rsid w:val="003701F6"/>
    <w:rsid w:val="0037165F"/>
    <w:rsid w:val="003827EF"/>
    <w:rsid w:val="00383EFD"/>
    <w:rsid w:val="0038551C"/>
    <w:rsid w:val="003859A7"/>
    <w:rsid w:val="003866CE"/>
    <w:rsid w:val="003957C5"/>
    <w:rsid w:val="00397F9C"/>
    <w:rsid w:val="003A1030"/>
    <w:rsid w:val="003A4A39"/>
    <w:rsid w:val="003A542C"/>
    <w:rsid w:val="003B0012"/>
    <w:rsid w:val="003B1B7C"/>
    <w:rsid w:val="003B2903"/>
    <w:rsid w:val="003B71EA"/>
    <w:rsid w:val="003C0ED0"/>
    <w:rsid w:val="003C2345"/>
    <w:rsid w:val="003C341D"/>
    <w:rsid w:val="003D1B38"/>
    <w:rsid w:val="003F3C1C"/>
    <w:rsid w:val="003F7592"/>
    <w:rsid w:val="004122A1"/>
    <w:rsid w:val="00415128"/>
    <w:rsid w:val="004164FB"/>
    <w:rsid w:val="0043046E"/>
    <w:rsid w:val="00431142"/>
    <w:rsid w:val="00435AF2"/>
    <w:rsid w:val="00440664"/>
    <w:rsid w:val="004449FB"/>
    <w:rsid w:val="0045174C"/>
    <w:rsid w:val="00452C6F"/>
    <w:rsid w:val="00454D93"/>
    <w:rsid w:val="00461048"/>
    <w:rsid w:val="00461A0B"/>
    <w:rsid w:val="00464F9A"/>
    <w:rsid w:val="00472ABF"/>
    <w:rsid w:val="00473387"/>
    <w:rsid w:val="004736B1"/>
    <w:rsid w:val="00474B3D"/>
    <w:rsid w:val="004826BA"/>
    <w:rsid w:val="00483FFB"/>
    <w:rsid w:val="00485176"/>
    <w:rsid w:val="00490D85"/>
    <w:rsid w:val="00491192"/>
    <w:rsid w:val="00492DCF"/>
    <w:rsid w:val="00492ED7"/>
    <w:rsid w:val="00494A19"/>
    <w:rsid w:val="004B1314"/>
    <w:rsid w:val="004B1856"/>
    <w:rsid w:val="004C40DB"/>
    <w:rsid w:val="004D17F5"/>
    <w:rsid w:val="004D1E9B"/>
    <w:rsid w:val="004D3591"/>
    <w:rsid w:val="004D66B6"/>
    <w:rsid w:val="004D69FA"/>
    <w:rsid w:val="004E04EC"/>
    <w:rsid w:val="004E3059"/>
    <w:rsid w:val="00501614"/>
    <w:rsid w:val="00502161"/>
    <w:rsid w:val="00505D7E"/>
    <w:rsid w:val="005060BC"/>
    <w:rsid w:val="0050654E"/>
    <w:rsid w:val="00511AD9"/>
    <w:rsid w:val="00511F24"/>
    <w:rsid w:val="00511FB3"/>
    <w:rsid w:val="005131A7"/>
    <w:rsid w:val="00513396"/>
    <w:rsid w:val="005212CF"/>
    <w:rsid w:val="0052536E"/>
    <w:rsid w:val="0052670F"/>
    <w:rsid w:val="005275D2"/>
    <w:rsid w:val="00532643"/>
    <w:rsid w:val="00537FCA"/>
    <w:rsid w:val="00544E5E"/>
    <w:rsid w:val="00546F2C"/>
    <w:rsid w:val="005507AC"/>
    <w:rsid w:val="00550A8C"/>
    <w:rsid w:val="00553887"/>
    <w:rsid w:val="00554B86"/>
    <w:rsid w:val="00555AE0"/>
    <w:rsid w:val="00555C75"/>
    <w:rsid w:val="00555FF1"/>
    <w:rsid w:val="00563401"/>
    <w:rsid w:val="00574DD8"/>
    <w:rsid w:val="00581284"/>
    <w:rsid w:val="00583B02"/>
    <w:rsid w:val="00587BF6"/>
    <w:rsid w:val="0059496F"/>
    <w:rsid w:val="00596586"/>
    <w:rsid w:val="005A1E38"/>
    <w:rsid w:val="005B4574"/>
    <w:rsid w:val="005B5506"/>
    <w:rsid w:val="005B667F"/>
    <w:rsid w:val="005D33A7"/>
    <w:rsid w:val="005D7C69"/>
    <w:rsid w:val="005E0BA8"/>
    <w:rsid w:val="005E3C1E"/>
    <w:rsid w:val="005F2440"/>
    <w:rsid w:val="005F79EA"/>
    <w:rsid w:val="00605115"/>
    <w:rsid w:val="006105CB"/>
    <w:rsid w:val="00610645"/>
    <w:rsid w:val="00612D26"/>
    <w:rsid w:val="0061661D"/>
    <w:rsid w:val="00621C34"/>
    <w:rsid w:val="00621F74"/>
    <w:rsid w:val="006318D0"/>
    <w:rsid w:val="00634305"/>
    <w:rsid w:val="00636F7E"/>
    <w:rsid w:val="0064404B"/>
    <w:rsid w:val="00644A1B"/>
    <w:rsid w:val="006468DA"/>
    <w:rsid w:val="0064722F"/>
    <w:rsid w:val="006475FE"/>
    <w:rsid w:val="00650134"/>
    <w:rsid w:val="00652CB9"/>
    <w:rsid w:val="00654CE3"/>
    <w:rsid w:val="0066091A"/>
    <w:rsid w:val="006662E3"/>
    <w:rsid w:val="006736A5"/>
    <w:rsid w:val="00677BD2"/>
    <w:rsid w:val="00680744"/>
    <w:rsid w:val="00680C1A"/>
    <w:rsid w:val="00686A1B"/>
    <w:rsid w:val="00686FF3"/>
    <w:rsid w:val="006943CC"/>
    <w:rsid w:val="006A031E"/>
    <w:rsid w:val="006A52AB"/>
    <w:rsid w:val="006A6B51"/>
    <w:rsid w:val="006B5C97"/>
    <w:rsid w:val="006C55FD"/>
    <w:rsid w:val="006D4EBB"/>
    <w:rsid w:val="006E0E96"/>
    <w:rsid w:val="006E2FE6"/>
    <w:rsid w:val="006E3A09"/>
    <w:rsid w:val="006F2A55"/>
    <w:rsid w:val="006F3E81"/>
    <w:rsid w:val="006F40DF"/>
    <w:rsid w:val="006F44BD"/>
    <w:rsid w:val="006F6E53"/>
    <w:rsid w:val="00700914"/>
    <w:rsid w:val="007115CD"/>
    <w:rsid w:val="0071161F"/>
    <w:rsid w:val="00715C25"/>
    <w:rsid w:val="00715E09"/>
    <w:rsid w:val="00716AAF"/>
    <w:rsid w:val="00717EE1"/>
    <w:rsid w:val="00734157"/>
    <w:rsid w:val="00737168"/>
    <w:rsid w:val="00740F4D"/>
    <w:rsid w:val="00742303"/>
    <w:rsid w:val="00751FEC"/>
    <w:rsid w:val="00752577"/>
    <w:rsid w:val="00752631"/>
    <w:rsid w:val="00753A09"/>
    <w:rsid w:val="00754B04"/>
    <w:rsid w:val="007555F8"/>
    <w:rsid w:val="00762559"/>
    <w:rsid w:val="0077201D"/>
    <w:rsid w:val="00774830"/>
    <w:rsid w:val="00776D44"/>
    <w:rsid w:val="00777BB3"/>
    <w:rsid w:val="00780E1B"/>
    <w:rsid w:val="00787498"/>
    <w:rsid w:val="007954E3"/>
    <w:rsid w:val="007A138D"/>
    <w:rsid w:val="007A5C30"/>
    <w:rsid w:val="007A7A19"/>
    <w:rsid w:val="007D1F49"/>
    <w:rsid w:val="007D7AB0"/>
    <w:rsid w:val="007E4BDE"/>
    <w:rsid w:val="007E650B"/>
    <w:rsid w:val="007F11D4"/>
    <w:rsid w:val="007F5D51"/>
    <w:rsid w:val="00811829"/>
    <w:rsid w:val="00811E0C"/>
    <w:rsid w:val="00814A74"/>
    <w:rsid w:val="008151B0"/>
    <w:rsid w:val="008213EE"/>
    <w:rsid w:val="00821450"/>
    <w:rsid w:val="008215EF"/>
    <w:rsid w:val="008218F4"/>
    <w:rsid w:val="00823DFB"/>
    <w:rsid w:val="00826348"/>
    <w:rsid w:val="008274C0"/>
    <w:rsid w:val="00831FE3"/>
    <w:rsid w:val="008330ED"/>
    <w:rsid w:val="00835307"/>
    <w:rsid w:val="0083533D"/>
    <w:rsid w:val="00837C1C"/>
    <w:rsid w:val="00841732"/>
    <w:rsid w:val="008457DA"/>
    <w:rsid w:val="00845F8F"/>
    <w:rsid w:val="008505CD"/>
    <w:rsid w:val="00851E0F"/>
    <w:rsid w:val="0085721E"/>
    <w:rsid w:val="00860442"/>
    <w:rsid w:val="00860519"/>
    <w:rsid w:val="00862493"/>
    <w:rsid w:val="0087170E"/>
    <w:rsid w:val="00873846"/>
    <w:rsid w:val="008745D6"/>
    <w:rsid w:val="00876F18"/>
    <w:rsid w:val="00881E58"/>
    <w:rsid w:val="00885A45"/>
    <w:rsid w:val="00885B85"/>
    <w:rsid w:val="00890D5D"/>
    <w:rsid w:val="00892361"/>
    <w:rsid w:val="00893DB5"/>
    <w:rsid w:val="00897DC9"/>
    <w:rsid w:val="008A0E1D"/>
    <w:rsid w:val="008A74D9"/>
    <w:rsid w:val="008B134E"/>
    <w:rsid w:val="008B7019"/>
    <w:rsid w:val="008D1EEC"/>
    <w:rsid w:val="008E146D"/>
    <w:rsid w:val="008E582F"/>
    <w:rsid w:val="008E72A6"/>
    <w:rsid w:val="008F1550"/>
    <w:rsid w:val="008F3431"/>
    <w:rsid w:val="00900122"/>
    <w:rsid w:val="009007BF"/>
    <w:rsid w:val="009019CA"/>
    <w:rsid w:val="009021CC"/>
    <w:rsid w:val="00906664"/>
    <w:rsid w:val="0091222C"/>
    <w:rsid w:val="00913B17"/>
    <w:rsid w:val="009200CE"/>
    <w:rsid w:val="009227AF"/>
    <w:rsid w:val="009311B5"/>
    <w:rsid w:val="00932B50"/>
    <w:rsid w:val="00933AC0"/>
    <w:rsid w:val="00940EB0"/>
    <w:rsid w:val="009438DC"/>
    <w:rsid w:val="00944AAF"/>
    <w:rsid w:val="00945DCD"/>
    <w:rsid w:val="0094622F"/>
    <w:rsid w:val="00955EE3"/>
    <w:rsid w:val="009561FE"/>
    <w:rsid w:val="0096619E"/>
    <w:rsid w:val="0097012D"/>
    <w:rsid w:val="00971E6F"/>
    <w:rsid w:val="00973849"/>
    <w:rsid w:val="00975BE8"/>
    <w:rsid w:val="00977EE6"/>
    <w:rsid w:val="00993022"/>
    <w:rsid w:val="0099503F"/>
    <w:rsid w:val="009A589A"/>
    <w:rsid w:val="009B14B2"/>
    <w:rsid w:val="009B3C50"/>
    <w:rsid w:val="009B72D6"/>
    <w:rsid w:val="009C14E2"/>
    <w:rsid w:val="009C2F73"/>
    <w:rsid w:val="009D448B"/>
    <w:rsid w:val="009D63C6"/>
    <w:rsid w:val="009E305C"/>
    <w:rsid w:val="009E5773"/>
    <w:rsid w:val="009F06E2"/>
    <w:rsid w:val="009F1886"/>
    <w:rsid w:val="009F4F21"/>
    <w:rsid w:val="009F5BC3"/>
    <w:rsid w:val="009F6175"/>
    <w:rsid w:val="00A0407A"/>
    <w:rsid w:val="00A0532F"/>
    <w:rsid w:val="00A0543E"/>
    <w:rsid w:val="00A20FA2"/>
    <w:rsid w:val="00A212B4"/>
    <w:rsid w:val="00A245C4"/>
    <w:rsid w:val="00A25A4C"/>
    <w:rsid w:val="00A31C22"/>
    <w:rsid w:val="00A3444B"/>
    <w:rsid w:val="00A3607B"/>
    <w:rsid w:val="00A3681F"/>
    <w:rsid w:val="00A561A9"/>
    <w:rsid w:val="00A65335"/>
    <w:rsid w:val="00A66569"/>
    <w:rsid w:val="00A74529"/>
    <w:rsid w:val="00A74621"/>
    <w:rsid w:val="00A767EA"/>
    <w:rsid w:val="00A824AF"/>
    <w:rsid w:val="00A8428A"/>
    <w:rsid w:val="00A8453A"/>
    <w:rsid w:val="00A8566D"/>
    <w:rsid w:val="00A85984"/>
    <w:rsid w:val="00A879C4"/>
    <w:rsid w:val="00A90872"/>
    <w:rsid w:val="00A918F5"/>
    <w:rsid w:val="00A9351A"/>
    <w:rsid w:val="00A93E4E"/>
    <w:rsid w:val="00A9430C"/>
    <w:rsid w:val="00A969D1"/>
    <w:rsid w:val="00A96AA1"/>
    <w:rsid w:val="00AA2F39"/>
    <w:rsid w:val="00AA387B"/>
    <w:rsid w:val="00AA56D4"/>
    <w:rsid w:val="00AA6A7C"/>
    <w:rsid w:val="00AA7CB8"/>
    <w:rsid w:val="00AB204F"/>
    <w:rsid w:val="00AC5B36"/>
    <w:rsid w:val="00AC68EF"/>
    <w:rsid w:val="00AC79AB"/>
    <w:rsid w:val="00AD5B07"/>
    <w:rsid w:val="00AD6768"/>
    <w:rsid w:val="00AE139A"/>
    <w:rsid w:val="00AE243C"/>
    <w:rsid w:val="00AE4225"/>
    <w:rsid w:val="00AE61AF"/>
    <w:rsid w:val="00AF13D1"/>
    <w:rsid w:val="00AF208D"/>
    <w:rsid w:val="00AF2781"/>
    <w:rsid w:val="00B05FD3"/>
    <w:rsid w:val="00B103E8"/>
    <w:rsid w:val="00B21B35"/>
    <w:rsid w:val="00B23784"/>
    <w:rsid w:val="00B248C7"/>
    <w:rsid w:val="00B2594A"/>
    <w:rsid w:val="00B25D79"/>
    <w:rsid w:val="00B2693D"/>
    <w:rsid w:val="00B270D4"/>
    <w:rsid w:val="00B27DE9"/>
    <w:rsid w:val="00B30004"/>
    <w:rsid w:val="00B33C07"/>
    <w:rsid w:val="00B3495F"/>
    <w:rsid w:val="00B3641D"/>
    <w:rsid w:val="00B36DD0"/>
    <w:rsid w:val="00B3701F"/>
    <w:rsid w:val="00B42019"/>
    <w:rsid w:val="00B43CC2"/>
    <w:rsid w:val="00B43FA4"/>
    <w:rsid w:val="00B6377F"/>
    <w:rsid w:val="00B67FE5"/>
    <w:rsid w:val="00B71052"/>
    <w:rsid w:val="00B714EF"/>
    <w:rsid w:val="00B74E08"/>
    <w:rsid w:val="00B75094"/>
    <w:rsid w:val="00B80EE9"/>
    <w:rsid w:val="00B80FE1"/>
    <w:rsid w:val="00B828AD"/>
    <w:rsid w:val="00B851C9"/>
    <w:rsid w:val="00B87E4E"/>
    <w:rsid w:val="00B912FA"/>
    <w:rsid w:val="00B93AAA"/>
    <w:rsid w:val="00B94827"/>
    <w:rsid w:val="00BA1B1E"/>
    <w:rsid w:val="00BC4765"/>
    <w:rsid w:val="00BC4DB6"/>
    <w:rsid w:val="00BC5B0E"/>
    <w:rsid w:val="00BC64FF"/>
    <w:rsid w:val="00BC6AAF"/>
    <w:rsid w:val="00BD2D2F"/>
    <w:rsid w:val="00BD5BE7"/>
    <w:rsid w:val="00BE0CD2"/>
    <w:rsid w:val="00BE616F"/>
    <w:rsid w:val="00BF422E"/>
    <w:rsid w:val="00BF51B9"/>
    <w:rsid w:val="00C04076"/>
    <w:rsid w:val="00C10ED4"/>
    <w:rsid w:val="00C12005"/>
    <w:rsid w:val="00C14700"/>
    <w:rsid w:val="00C219DA"/>
    <w:rsid w:val="00C35180"/>
    <w:rsid w:val="00C35BBD"/>
    <w:rsid w:val="00C35BE1"/>
    <w:rsid w:val="00C36FE5"/>
    <w:rsid w:val="00C41EA0"/>
    <w:rsid w:val="00C43F56"/>
    <w:rsid w:val="00C476C2"/>
    <w:rsid w:val="00C47731"/>
    <w:rsid w:val="00C47F86"/>
    <w:rsid w:val="00C5145D"/>
    <w:rsid w:val="00C53E8A"/>
    <w:rsid w:val="00C6035C"/>
    <w:rsid w:val="00C60732"/>
    <w:rsid w:val="00C612A0"/>
    <w:rsid w:val="00C6351E"/>
    <w:rsid w:val="00C65D05"/>
    <w:rsid w:val="00C67F2A"/>
    <w:rsid w:val="00C77AE2"/>
    <w:rsid w:val="00C801EA"/>
    <w:rsid w:val="00C86C07"/>
    <w:rsid w:val="00C8723D"/>
    <w:rsid w:val="00C967B8"/>
    <w:rsid w:val="00C973A2"/>
    <w:rsid w:val="00CA20F5"/>
    <w:rsid w:val="00CA4812"/>
    <w:rsid w:val="00CA4929"/>
    <w:rsid w:val="00CB1F20"/>
    <w:rsid w:val="00CB6822"/>
    <w:rsid w:val="00CC63F2"/>
    <w:rsid w:val="00CD2C6B"/>
    <w:rsid w:val="00CD3325"/>
    <w:rsid w:val="00CD4D15"/>
    <w:rsid w:val="00CE0CB6"/>
    <w:rsid w:val="00CE0DA6"/>
    <w:rsid w:val="00CE20E0"/>
    <w:rsid w:val="00CE688F"/>
    <w:rsid w:val="00CF06EB"/>
    <w:rsid w:val="00D006DA"/>
    <w:rsid w:val="00D10446"/>
    <w:rsid w:val="00D11CDE"/>
    <w:rsid w:val="00D1438F"/>
    <w:rsid w:val="00D20E76"/>
    <w:rsid w:val="00D212E5"/>
    <w:rsid w:val="00D34899"/>
    <w:rsid w:val="00D367AA"/>
    <w:rsid w:val="00D37BE5"/>
    <w:rsid w:val="00D42C44"/>
    <w:rsid w:val="00D46F17"/>
    <w:rsid w:val="00D53ECE"/>
    <w:rsid w:val="00D64F42"/>
    <w:rsid w:val="00D67DCF"/>
    <w:rsid w:val="00D73A63"/>
    <w:rsid w:val="00D77647"/>
    <w:rsid w:val="00D80A01"/>
    <w:rsid w:val="00D83486"/>
    <w:rsid w:val="00D870B5"/>
    <w:rsid w:val="00D916CC"/>
    <w:rsid w:val="00D93FEC"/>
    <w:rsid w:val="00DA76E5"/>
    <w:rsid w:val="00DB5C12"/>
    <w:rsid w:val="00DB68A9"/>
    <w:rsid w:val="00DC3621"/>
    <w:rsid w:val="00DC631A"/>
    <w:rsid w:val="00DD7869"/>
    <w:rsid w:val="00DD7D58"/>
    <w:rsid w:val="00DE4A2A"/>
    <w:rsid w:val="00DE4C1C"/>
    <w:rsid w:val="00DF2C38"/>
    <w:rsid w:val="00DF3344"/>
    <w:rsid w:val="00DF3C62"/>
    <w:rsid w:val="00DF7381"/>
    <w:rsid w:val="00E004A0"/>
    <w:rsid w:val="00E01334"/>
    <w:rsid w:val="00E02BBE"/>
    <w:rsid w:val="00E0610A"/>
    <w:rsid w:val="00E061CA"/>
    <w:rsid w:val="00E06CEE"/>
    <w:rsid w:val="00E07303"/>
    <w:rsid w:val="00E07D41"/>
    <w:rsid w:val="00E128D6"/>
    <w:rsid w:val="00E23AF0"/>
    <w:rsid w:val="00E25F8E"/>
    <w:rsid w:val="00E27E96"/>
    <w:rsid w:val="00E314D5"/>
    <w:rsid w:val="00E31C6E"/>
    <w:rsid w:val="00E371B0"/>
    <w:rsid w:val="00E42F17"/>
    <w:rsid w:val="00E44576"/>
    <w:rsid w:val="00E465D4"/>
    <w:rsid w:val="00E4790C"/>
    <w:rsid w:val="00E4790D"/>
    <w:rsid w:val="00E529C2"/>
    <w:rsid w:val="00E5320A"/>
    <w:rsid w:val="00E53892"/>
    <w:rsid w:val="00E73913"/>
    <w:rsid w:val="00E77280"/>
    <w:rsid w:val="00E90C85"/>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34C5"/>
    <w:rsid w:val="00ED77EA"/>
    <w:rsid w:val="00ED7CF9"/>
    <w:rsid w:val="00EE38E4"/>
    <w:rsid w:val="00EE7529"/>
    <w:rsid w:val="00EF7905"/>
    <w:rsid w:val="00F01179"/>
    <w:rsid w:val="00F0192E"/>
    <w:rsid w:val="00F03F24"/>
    <w:rsid w:val="00F2289B"/>
    <w:rsid w:val="00F32945"/>
    <w:rsid w:val="00F32F63"/>
    <w:rsid w:val="00F40228"/>
    <w:rsid w:val="00F43183"/>
    <w:rsid w:val="00F4679E"/>
    <w:rsid w:val="00F56FBF"/>
    <w:rsid w:val="00F612A6"/>
    <w:rsid w:val="00F63D74"/>
    <w:rsid w:val="00F648AC"/>
    <w:rsid w:val="00F7404E"/>
    <w:rsid w:val="00F774DE"/>
    <w:rsid w:val="00F80D0C"/>
    <w:rsid w:val="00F81780"/>
    <w:rsid w:val="00F85071"/>
    <w:rsid w:val="00F86273"/>
    <w:rsid w:val="00F873FE"/>
    <w:rsid w:val="00F911E1"/>
    <w:rsid w:val="00FA73F0"/>
    <w:rsid w:val="00FB1790"/>
    <w:rsid w:val="00FC1BB2"/>
    <w:rsid w:val="00FD69D1"/>
    <w:rsid w:val="00FD7410"/>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A6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customStyle="1" w:styleId="MediumList2-Accent21">
    <w:name w:val="Medium List 2 - Accent 21"/>
    <w:hidden/>
    <w:uiPriority w:val="71"/>
    <w:rsid w:val="009E57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 w:type="paragraph" w:customStyle="1" w:styleId="MediumList2-Accent21">
    <w:name w:val="Medium List 2 - Accent 21"/>
    <w:hidden/>
    <w:uiPriority w:val="71"/>
    <w:rsid w:val="009E57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6264</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7385</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2014-01-31T21:57:00Z</dcterms:created>
  <dcterms:modified xsi:type="dcterms:W3CDTF">2014-01-31T21:57:00Z</dcterms:modified>
  <cp:category> </cp:category>
  <cp:contentStatus> </cp:contentStatus>
</cp:coreProperties>
</file>