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C" w:rsidRPr="007D2871" w:rsidRDefault="004D69FC" w:rsidP="004D69FC">
      <w:pPr>
        <w:jc w:val="right"/>
        <w:rPr>
          <w:b/>
          <w:sz w:val="24"/>
          <w:szCs w:val="24"/>
        </w:rPr>
      </w:pPr>
      <w:bookmarkStart w:id="0" w:name="_GoBack"/>
      <w:bookmarkEnd w:id="0"/>
      <w:r w:rsidRPr="007D2871">
        <w:rPr>
          <w:b/>
          <w:bCs/>
          <w:sz w:val="24"/>
          <w:szCs w:val="24"/>
        </w:rPr>
        <w:t>DA 14-</w:t>
      </w:r>
      <w:r w:rsidR="00F020DE" w:rsidRPr="007D2871">
        <w:rPr>
          <w:b/>
          <w:bCs/>
          <w:sz w:val="24"/>
          <w:szCs w:val="24"/>
        </w:rPr>
        <w:t>1229</w:t>
      </w:r>
    </w:p>
    <w:p w:rsidR="00174359" w:rsidRPr="007D2871" w:rsidRDefault="00174359" w:rsidP="00174359">
      <w:pPr>
        <w:rPr>
          <w:sz w:val="24"/>
          <w:szCs w:val="24"/>
        </w:rPr>
      </w:pPr>
    </w:p>
    <w:p w:rsidR="0033243B" w:rsidRPr="007D2871" w:rsidRDefault="0033243B" w:rsidP="0033243B">
      <w:pPr>
        <w:pStyle w:val="Heading1"/>
        <w:rPr>
          <w:b/>
          <w:sz w:val="24"/>
          <w:szCs w:val="24"/>
        </w:rPr>
      </w:pPr>
      <w:r w:rsidRPr="007D2871">
        <w:rPr>
          <w:b/>
          <w:sz w:val="24"/>
          <w:szCs w:val="24"/>
          <w:u w:val="single"/>
        </w:rPr>
        <w:t>SENT</w:t>
      </w:r>
      <w:r w:rsidRPr="007D2871">
        <w:rPr>
          <w:sz w:val="24"/>
          <w:szCs w:val="24"/>
          <w:u w:val="single"/>
        </w:rPr>
        <w:t xml:space="preserve"> </w:t>
      </w:r>
      <w:r w:rsidRPr="007D2871">
        <w:rPr>
          <w:b/>
          <w:sz w:val="24"/>
          <w:szCs w:val="24"/>
          <w:u w:val="single"/>
        </w:rPr>
        <w:t>VIA CERTIFIED MAIL, RETURN RECEIPT REQUESTED</w:t>
      </w:r>
    </w:p>
    <w:p w:rsidR="0033243B" w:rsidRPr="007D2871" w:rsidRDefault="0033243B" w:rsidP="0033243B">
      <w:pPr>
        <w:rPr>
          <w:sz w:val="24"/>
          <w:szCs w:val="24"/>
        </w:rPr>
      </w:pPr>
    </w:p>
    <w:p w:rsidR="0033243B" w:rsidRPr="007D2871" w:rsidRDefault="0033243B" w:rsidP="0033243B">
      <w:pPr>
        <w:rPr>
          <w:sz w:val="24"/>
          <w:szCs w:val="24"/>
        </w:rPr>
      </w:pPr>
      <w:r w:rsidRPr="007D2871">
        <w:rPr>
          <w:sz w:val="24"/>
          <w:szCs w:val="24"/>
        </w:rPr>
        <w:t>Mr. Gregory Paul Styles</w:t>
      </w:r>
    </w:p>
    <w:p w:rsidR="0033243B" w:rsidRPr="007D2871" w:rsidRDefault="0033243B" w:rsidP="0033243B">
      <w:pPr>
        <w:rPr>
          <w:sz w:val="24"/>
          <w:szCs w:val="24"/>
        </w:rPr>
      </w:pPr>
      <w:r w:rsidRPr="007D2871">
        <w:rPr>
          <w:sz w:val="24"/>
          <w:szCs w:val="24"/>
        </w:rPr>
        <w:t>15506 Banjo C</w:t>
      </w:r>
      <w:r w:rsidR="00FF0A0B" w:rsidRPr="007D2871">
        <w:rPr>
          <w:sz w:val="24"/>
          <w:szCs w:val="24"/>
        </w:rPr>
        <w:t>our</w:t>
      </w:r>
      <w:r w:rsidRPr="007D2871">
        <w:rPr>
          <w:sz w:val="24"/>
          <w:szCs w:val="24"/>
        </w:rPr>
        <w:t>t</w:t>
      </w:r>
    </w:p>
    <w:p w:rsidR="0033243B" w:rsidRPr="007D2871" w:rsidRDefault="0033243B" w:rsidP="0033243B">
      <w:pPr>
        <w:rPr>
          <w:sz w:val="24"/>
          <w:szCs w:val="24"/>
        </w:rPr>
      </w:pPr>
      <w:r w:rsidRPr="007D2871">
        <w:rPr>
          <w:sz w:val="24"/>
          <w:szCs w:val="24"/>
        </w:rPr>
        <w:t>Woodbridge, VA 22193</w:t>
      </w:r>
    </w:p>
    <w:p w:rsidR="0033243B" w:rsidRPr="007D2871" w:rsidRDefault="0033243B" w:rsidP="0033243B">
      <w:pPr>
        <w:rPr>
          <w:sz w:val="24"/>
          <w:szCs w:val="24"/>
        </w:rPr>
      </w:pPr>
    </w:p>
    <w:p w:rsidR="0033243B" w:rsidRPr="007D2871" w:rsidRDefault="0033243B" w:rsidP="0033243B">
      <w:pPr>
        <w:ind w:right="720" w:firstLine="720"/>
        <w:rPr>
          <w:sz w:val="24"/>
          <w:szCs w:val="24"/>
        </w:rPr>
      </w:pPr>
      <w:r w:rsidRPr="007D2871">
        <w:rPr>
          <w:sz w:val="24"/>
          <w:szCs w:val="24"/>
        </w:rPr>
        <w:t>Re:  Notice of Suspension and Initiation of Debarment Proceeding</w:t>
      </w:r>
    </w:p>
    <w:p w:rsidR="0033243B" w:rsidRPr="007D2871" w:rsidRDefault="0033243B" w:rsidP="0033243B">
      <w:pPr>
        <w:ind w:left="720" w:right="720" w:firstLine="450"/>
        <w:rPr>
          <w:b/>
          <w:sz w:val="24"/>
          <w:szCs w:val="24"/>
        </w:rPr>
      </w:pPr>
      <w:r w:rsidRPr="007D2871">
        <w:rPr>
          <w:sz w:val="24"/>
          <w:szCs w:val="24"/>
        </w:rPr>
        <w:t>File No. EB-IHD-14-00013502</w:t>
      </w:r>
    </w:p>
    <w:p w:rsidR="0033243B" w:rsidRPr="007D2871" w:rsidRDefault="0033243B" w:rsidP="0033243B">
      <w:pPr>
        <w:rPr>
          <w:sz w:val="24"/>
          <w:szCs w:val="24"/>
        </w:rPr>
      </w:pPr>
    </w:p>
    <w:p w:rsidR="0033243B" w:rsidRPr="007D2871" w:rsidRDefault="0033243B" w:rsidP="0033243B">
      <w:pPr>
        <w:rPr>
          <w:sz w:val="24"/>
          <w:szCs w:val="24"/>
        </w:rPr>
      </w:pPr>
      <w:r w:rsidRPr="007D2871">
        <w:rPr>
          <w:sz w:val="24"/>
          <w:szCs w:val="24"/>
        </w:rPr>
        <w:t>Dear Mr. Styles:</w:t>
      </w:r>
    </w:p>
    <w:p w:rsidR="0033243B" w:rsidRPr="007D2871" w:rsidRDefault="0033243B" w:rsidP="0033243B">
      <w:pPr>
        <w:rPr>
          <w:sz w:val="24"/>
          <w:szCs w:val="24"/>
        </w:rPr>
      </w:pPr>
    </w:p>
    <w:p w:rsidR="0033243B" w:rsidRPr="007D2871" w:rsidRDefault="0033243B" w:rsidP="0033243B">
      <w:pPr>
        <w:ind w:firstLine="720"/>
        <w:rPr>
          <w:sz w:val="24"/>
          <w:szCs w:val="24"/>
        </w:rPr>
      </w:pPr>
      <w:r w:rsidRPr="007D2871">
        <w:rPr>
          <w:sz w:val="24"/>
          <w:szCs w:val="24"/>
        </w:rPr>
        <w:t>The Federal Communications Commission (Commission) has received notice of your conviction for conspiracy to commit mail fraud in violation of</w:t>
      </w:r>
      <w:r w:rsidRPr="007D2871" w:rsidDel="00F1200A">
        <w:rPr>
          <w:sz w:val="24"/>
          <w:szCs w:val="24"/>
        </w:rPr>
        <w:t xml:space="preserve"> </w:t>
      </w:r>
      <w:r w:rsidRPr="007D2871">
        <w:rPr>
          <w:sz w:val="24"/>
          <w:szCs w:val="24"/>
        </w:rPr>
        <w:t>18 U.S.C § 371,</w:t>
      </w:r>
      <w:r w:rsidRPr="007D2871">
        <w:rPr>
          <w:rStyle w:val="FootnoteReference"/>
          <w:rFonts w:eastAsia="PMingLiU"/>
          <w:sz w:val="24"/>
          <w:szCs w:val="24"/>
        </w:rPr>
        <w:footnoteReference w:id="1"/>
      </w:r>
      <w:r w:rsidRPr="007D2871">
        <w:rPr>
          <w:sz w:val="24"/>
          <w:szCs w:val="24"/>
        </w:rPr>
        <w:t xml:space="preserve"> a conviction that arose out of activities associated with the federal schools and libraries universal service support mechanism (E-Rate program).  Consequently, pursuant to 47 C.F.R. § 54.8, this letter constitutes official notice of your suspension from the E-Rate program.</w:t>
      </w:r>
      <w:r w:rsidRPr="007D2871">
        <w:rPr>
          <w:rStyle w:val="FootnoteReference"/>
          <w:rFonts w:eastAsia="PMingLiU"/>
          <w:sz w:val="24"/>
          <w:szCs w:val="24"/>
        </w:rPr>
        <w:footnoteReference w:id="2"/>
      </w:r>
      <w:r w:rsidRPr="007D2871">
        <w:rPr>
          <w:sz w:val="24"/>
          <w:szCs w:val="24"/>
        </w:rPr>
        <w:t xml:space="preserve">  In addition, the Enforcement Bureau (Bureau) hereby notifies you that the Bureau will commence debarment proceedings against you.</w:t>
      </w:r>
      <w:r w:rsidRPr="007D2871">
        <w:rPr>
          <w:rStyle w:val="FootnoteReference"/>
          <w:rFonts w:eastAsia="PMingLiU"/>
          <w:sz w:val="24"/>
          <w:szCs w:val="24"/>
        </w:rPr>
        <w:footnoteReference w:id="3"/>
      </w:r>
    </w:p>
    <w:p w:rsidR="0033243B" w:rsidRPr="007D2871" w:rsidRDefault="0033243B" w:rsidP="0033243B">
      <w:pPr>
        <w:ind w:firstLine="540"/>
        <w:rPr>
          <w:sz w:val="24"/>
          <w:szCs w:val="24"/>
        </w:rPr>
      </w:pPr>
    </w:p>
    <w:p w:rsidR="0033243B" w:rsidRPr="007D2871" w:rsidRDefault="0033243B" w:rsidP="0033243B">
      <w:pPr>
        <w:keepNext/>
        <w:numPr>
          <w:ilvl w:val="0"/>
          <w:numId w:val="1"/>
        </w:numPr>
        <w:rPr>
          <w:sz w:val="24"/>
          <w:szCs w:val="24"/>
        </w:rPr>
      </w:pPr>
      <w:r w:rsidRPr="007D2871">
        <w:rPr>
          <w:b/>
          <w:sz w:val="24"/>
          <w:szCs w:val="24"/>
        </w:rPr>
        <w:t>Notice of Suspension</w:t>
      </w:r>
    </w:p>
    <w:p w:rsidR="0033243B" w:rsidRPr="007D2871" w:rsidRDefault="0033243B" w:rsidP="0033243B">
      <w:pPr>
        <w:spacing w:before="100" w:beforeAutospacing="1" w:after="240"/>
        <w:ind w:firstLine="720"/>
        <w:rPr>
          <w:sz w:val="24"/>
          <w:szCs w:val="24"/>
        </w:rPr>
      </w:pPr>
      <w:r w:rsidRPr="007D2871">
        <w:rPr>
          <w:sz w:val="24"/>
          <w:szCs w:val="24"/>
        </w:rPr>
        <w:t xml:space="preserve">The Commission has established procedures to prevent persons who have “defrauded the government or engaged in similar acts through activities associated with or related to the [E-Rate </w:t>
      </w:r>
      <w:r w:rsidRPr="007D2871">
        <w:rPr>
          <w:sz w:val="24"/>
          <w:szCs w:val="24"/>
        </w:rPr>
        <w:lastRenderedPageBreak/>
        <w:t>program]” from receiving the benefits associated with that program.</w:t>
      </w:r>
      <w:r w:rsidRPr="007D2871">
        <w:rPr>
          <w:rStyle w:val="FootnoteReference"/>
          <w:rFonts w:eastAsia="PMingLiU"/>
          <w:sz w:val="24"/>
          <w:szCs w:val="24"/>
        </w:rPr>
        <w:footnoteReference w:id="4"/>
      </w:r>
      <w:r w:rsidRPr="007D2871">
        <w:rPr>
          <w:sz w:val="24"/>
          <w:szCs w:val="24"/>
        </w:rPr>
        <w:t xml:space="preserve">  The statutory provisions and Commission rules relating to the E-Rate program are designed to ensure that all E-Rate funds are used for their intended purpose.</w:t>
      </w:r>
      <w:r w:rsidRPr="007D2871">
        <w:rPr>
          <w:rStyle w:val="FootnoteReference"/>
          <w:rFonts w:eastAsia="PMingLiU"/>
          <w:sz w:val="24"/>
          <w:szCs w:val="24"/>
        </w:rPr>
        <w:footnoteReference w:id="5"/>
      </w:r>
      <w:r w:rsidRPr="007D2871">
        <w:rPr>
          <w:sz w:val="24"/>
          <w:szCs w:val="24"/>
        </w:rPr>
        <w:t xml:space="preserve">  Sections 54.503 and 54.511 of the Commission’s rules r</w:t>
      </w:r>
      <w:r w:rsidR="00D84336" w:rsidRPr="007D2871">
        <w:rPr>
          <w:sz w:val="24"/>
          <w:szCs w:val="24"/>
        </w:rPr>
        <w:t>equire that solicitations for E-</w:t>
      </w:r>
      <w:r w:rsidRPr="007D2871">
        <w:rPr>
          <w:sz w:val="24"/>
          <w:szCs w:val="24"/>
        </w:rPr>
        <w:t>Rate services be based on a fair and open competitive bidding process that is free from conflicts of interest.</w:t>
      </w:r>
      <w:r w:rsidRPr="007D2871">
        <w:rPr>
          <w:rStyle w:val="FootnoteReference"/>
          <w:rFonts w:eastAsia="PMingLiU"/>
          <w:sz w:val="24"/>
          <w:szCs w:val="24"/>
        </w:rPr>
        <w:footnoteReference w:id="6"/>
      </w:r>
      <w:bookmarkStart w:id="3" w:name="FN[FN14]"/>
      <w:bookmarkEnd w:id="3"/>
    </w:p>
    <w:p w:rsidR="0033243B" w:rsidRPr="007D2871" w:rsidRDefault="0033243B" w:rsidP="0033243B">
      <w:pPr>
        <w:rPr>
          <w:sz w:val="24"/>
          <w:szCs w:val="24"/>
        </w:rPr>
      </w:pPr>
      <w:r w:rsidRPr="007D2871">
        <w:rPr>
          <w:sz w:val="24"/>
          <w:szCs w:val="24"/>
        </w:rPr>
        <w:tab/>
        <w:t>On November 1, 2010, you pled guilty to conspiri</w:t>
      </w:r>
      <w:r w:rsidR="00D84336" w:rsidRPr="007D2871">
        <w:rPr>
          <w:sz w:val="24"/>
          <w:szCs w:val="24"/>
        </w:rPr>
        <w:t>ng with others to defraud the E-</w:t>
      </w:r>
      <w:r w:rsidRPr="007D2871">
        <w:rPr>
          <w:sz w:val="24"/>
          <w:szCs w:val="24"/>
        </w:rPr>
        <w:t xml:space="preserve">Rate program.  During the course of that conspiracy, you used your position as the Management Information Systems Director (MIS Director) for the Chowchilla Elementary School District (CESD) to circumvent </w:t>
      </w:r>
      <w:r w:rsidR="00D84336" w:rsidRPr="007D2871">
        <w:rPr>
          <w:sz w:val="24"/>
          <w:szCs w:val="24"/>
        </w:rPr>
        <w:t>the E-</w:t>
      </w:r>
      <w:r w:rsidRPr="007D2871">
        <w:rPr>
          <w:sz w:val="24"/>
          <w:szCs w:val="24"/>
        </w:rPr>
        <w:t>Rate program’s competitive bidding rules.</w:t>
      </w:r>
      <w:r w:rsidRPr="007D2871">
        <w:rPr>
          <w:rStyle w:val="FootnoteReference"/>
          <w:rFonts w:eastAsia="PMingLiU"/>
          <w:sz w:val="24"/>
          <w:szCs w:val="24"/>
        </w:rPr>
        <w:footnoteReference w:id="7"/>
      </w:r>
      <w:r w:rsidRPr="007D2871">
        <w:rPr>
          <w:sz w:val="24"/>
          <w:szCs w:val="24"/>
        </w:rPr>
        <w:t xml:space="preserve">  As the MIS Director, you were responsible for CESD’s E</w:t>
      </w:r>
      <w:r w:rsidR="00D84336" w:rsidRPr="007D2871">
        <w:rPr>
          <w:sz w:val="24"/>
          <w:szCs w:val="24"/>
        </w:rPr>
        <w:t>-</w:t>
      </w:r>
      <w:r w:rsidRPr="007D2871">
        <w:rPr>
          <w:sz w:val="24"/>
          <w:szCs w:val="24"/>
        </w:rPr>
        <w:t>Rate procurement process, which included reviewing bids, selecting service providers, awarding contracts, and billing the Universal Service Administrat</w:t>
      </w:r>
      <w:r w:rsidR="00D84336" w:rsidRPr="007D2871">
        <w:rPr>
          <w:sz w:val="24"/>
          <w:szCs w:val="24"/>
        </w:rPr>
        <w:t>ive Company (USAC) for E-</w:t>
      </w:r>
      <w:r w:rsidRPr="007D2871">
        <w:rPr>
          <w:sz w:val="24"/>
          <w:szCs w:val="24"/>
        </w:rPr>
        <w:t>Rate work.</w:t>
      </w:r>
      <w:r w:rsidRPr="007D2871">
        <w:rPr>
          <w:rStyle w:val="FootnoteReference"/>
          <w:rFonts w:eastAsia="PMingLiU"/>
          <w:sz w:val="24"/>
          <w:szCs w:val="24"/>
        </w:rPr>
        <w:footnoteReference w:id="8"/>
      </w:r>
      <w:r w:rsidRPr="007D2871">
        <w:rPr>
          <w:sz w:val="24"/>
          <w:szCs w:val="24"/>
        </w:rPr>
        <w:t xml:space="preserve">  Those responsibilities made </w:t>
      </w:r>
      <w:r w:rsidR="00D84336" w:rsidRPr="007D2871">
        <w:rPr>
          <w:sz w:val="24"/>
          <w:szCs w:val="24"/>
        </w:rPr>
        <w:t>you ineligible to bid on CESD E-</w:t>
      </w:r>
      <w:r w:rsidRPr="007D2871">
        <w:rPr>
          <w:sz w:val="24"/>
          <w:szCs w:val="24"/>
        </w:rPr>
        <w:t>Rate projects or receive funds for those projects from USAC.</w:t>
      </w:r>
      <w:r w:rsidRPr="007D2871">
        <w:rPr>
          <w:rStyle w:val="FootnoteReference"/>
          <w:rFonts w:eastAsia="PMingLiU"/>
          <w:sz w:val="24"/>
          <w:szCs w:val="24"/>
        </w:rPr>
        <w:footnoteReference w:id="9"/>
      </w:r>
      <w:r w:rsidRPr="007D2871">
        <w:rPr>
          <w:sz w:val="24"/>
          <w:szCs w:val="24"/>
        </w:rPr>
        <w:t xml:space="preserve">  To circumvent these prohibitions, you conspired with Marvin Freeman to have his silk screening business, Twi</w:t>
      </w:r>
      <w:r w:rsidR="00D84336" w:rsidRPr="007D2871">
        <w:rPr>
          <w:sz w:val="24"/>
          <w:szCs w:val="24"/>
        </w:rPr>
        <w:t>sted Head Design, bid on CESD E-</w:t>
      </w:r>
      <w:r w:rsidRPr="007D2871">
        <w:rPr>
          <w:sz w:val="24"/>
          <w:szCs w:val="24"/>
        </w:rPr>
        <w:t>Rate contracts.</w:t>
      </w:r>
      <w:r w:rsidRPr="007D2871">
        <w:rPr>
          <w:rStyle w:val="FootnoteReference"/>
          <w:rFonts w:eastAsia="PMingLiU"/>
          <w:sz w:val="24"/>
          <w:szCs w:val="24"/>
        </w:rPr>
        <w:footnoteReference w:id="10"/>
      </w:r>
      <w:r w:rsidRPr="007D2871">
        <w:rPr>
          <w:sz w:val="24"/>
          <w:szCs w:val="24"/>
        </w:rPr>
        <w:t xml:space="preserve">  You then selected Twisted Head Design’s bids knowing that the company was unqualified to perform E</w:t>
      </w:r>
      <w:r w:rsidR="00D84336" w:rsidRPr="007D2871">
        <w:rPr>
          <w:sz w:val="24"/>
          <w:szCs w:val="24"/>
        </w:rPr>
        <w:t>-</w:t>
      </w:r>
      <w:r w:rsidRPr="007D2871">
        <w:rPr>
          <w:sz w:val="24"/>
          <w:szCs w:val="24"/>
        </w:rPr>
        <w:t>Rate work, performed the work yourself or had it performed through subcontractors, and billed USAC for the work.</w:t>
      </w:r>
      <w:r w:rsidRPr="007D2871">
        <w:rPr>
          <w:rStyle w:val="FootnoteReference"/>
          <w:rFonts w:eastAsia="PMingLiU"/>
          <w:sz w:val="24"/>
          <w:szCs w:val="24"/>
        </w:rPr>
        <w:footnoteReference w:id="11"/>
      </w:r>
      <w:r w:rsidRPr="007D2871">
        <w:rPr>
          <w:sz w:val="24"/>
          <w:szCs w:val="24"/>
        </w:rPr>
        <w:t xml:space="preserve">  </w:t>
      </w:r>
      <w:r w:rsidR="00AC40AA" w:rsidRPr="007D2871">
        <w:rPr>
          <w:sz w:val="24"/>
          <w:szCs w:val="24"/>
        </w:rPr>
        <w:t xml:space="preserve">As a result </w:t>
      </w:r>
      <w:r w:rsidR="00AC40AA" w:rsidRPr="007D2871">
        <w:rPr>
          <w:sz w:val="24"/>
          <w:szCs w:val="24"/>
        </w:rPr>
        <w:lastRenderedPageBreak/>
        <w:t>of y</w:t>
      </w:r>
      <w:r w:rsidRPr="007D2871">
        <w:rPr>
          <w:sz w:val="24"/>
          <w:szCs w:val="24"/>
        </w:rPr>
        <w:t>our frau</w:t>
      </w:r>
      <w:r w:rsidR="00F2256A" w:rsidRPr="007D2871">
        <w:rPr>
          <w:sz w:val="24"/>
          <w:szCs w:val="24"/>
        </w:rPr>
        <w:t>dulent scheme</w:t>
      </w:r>
      <w:r w:rsidR="00664348" w:rsidRPr="007D2871">
        <w:rPr>
          <w:sz w:val="24"/>
          <w:szCs w:val="24"/>
        </w:rPr>
        <w:t>,</w:t>
      </w:r>
      <w:r w:rsidR="00F2256A" w:rsidRPr="007D2871">
        <w:rPr>
          <w:sz w:val="24"/>
          <w:szCs w:val="24"/>
        </w:rPr>
        <w:t xml:space="preserve"> USAC</w:t>
      </w:r>
      <w:r w:rsidRPr="007D2871">
        <w:rPr>
          <w:sz w:val="24"/>
          <w:szCs w:val="24"/>
        </w:rPr>
        <w:t xml:space="preserve"> disburs</w:t>
      </w:r>
      <w:r w:rsidR="00AC40AA" w:rsidRPr="007D2871">
        <w:rPr>
          <w:sz w:val="24"/>
          <w:szCs w:val="24"/>
        </w:rPr>
        <w:t>ed</w:t>
      </w:r>
      <w:r w:rsidRPr="007D2871">
        <w:rPr>
          <w:sz w:val="24"/>
          <w:szCs w:val="24"/>
        </w:rPr>
        <w:t xml:space="preserve"> $787,950 to Mr. Freeman, a substantial portion of which Mr. Freeman forwarded to you and </w:t>
      </w:r>
      <w:r w:rsidR="00AC40AA" w:rsidRPr="007D2871">
        <w:rPr>
          <w:sz w:val="24"/>
          <w:szCs w:val="24"/>
        </w:rPr>
        <w:t xml:space="preserve">which </w:t>
      </w:r>
      <w:r w:rsidRPr="007D2871">
        <w:rPr>
          <w:sz w:val="24"/>
          <w:szCs w:val="24"/>
        </w:rPr>
        <w:t>you deposited in your bank account.</w:t>
      </w:r>
      <w:r w:rsidRPr="007D2871">
        <w:rPr>
          <w:rStyle w:val="FootnoteReference"/>
          <w:rFonts w:eastAsia="PMingLiU"/>
          <w:sz w:val="24"/>
          <w:szCs w:val="24"/>
        </w:rPr>
        <w:footnoteReference w:id="12"/>
      </w:r>
    </w:p>
    <w:p w:rsidR="0033243B" w:rsidRPr="007D2871" w:rsidRDefault="0033243B" w:rsidP="0033243B">
      <w:pPr>
        <w:rPr>
          <w:sz w:val="24"/>
          <w:szCs w:val="24"/>
        </w:rPr>
      </w:pPr>
    </w:p>
    <w:p w:rsidR="0033243B" w:rsidRPr="007D2871" w:rsidRDefault="0033243B" w:rsidP="0033243B">
      <w:pPr>
        <w:ind w:firstLine="720"/>
        <w:rPr>
          <w:sz w:val="24"/>
          <w:szCs w:val="24"/>
        </w:rPr>
      </w:pPr>
      <w:r w:rsidRPr="007D2871">
        <w:rPr>
          <w:sz w:val="24"/>
          <w:szCs w:val="24"/>
        </w:rPr>
        <w:t>On March 17, 2011, the United States District Court for the Eastern District of California sentenced you to serve 30 days in prison followed by three years of supervised release.</w:t>
      </w:r>
      <w:r w:rsidRPr="007D2871">
        <w:rPr>
          <w:rStyle w:val="FootnoteReference"/>
          <w:rFonts w:eastAsia="PMingLiU"/>
          <w:sz w:val="24"/>
          <w:szCs w:val="24"/>
        </w:rPr>
        <w:footnoteReference w:id="13"/>
      </w:r>
      <w:r w:rsidRPr="007D2871">
        <w:rPr>
          <w:sz w:val="24"/>
          <w:szCs w:val="24"/>
        </w:rPr>
        <w:t xml:space="preserve">  The court also ordered you to pay $40,000 in restitution to CESD</w:t>
      </w:r>
      <w:r w:rsidRPr="007D2871">
        <w:rPr>
          <w:rStyle w:val="FootnoteReference"/>
          <w:rFonts w:eastAsia="PMingLiU"/>
          <w:sz w:val="24"/>
          <w:szCs w:val="24"/>
        </w:rPr>
        <w:footnoteReference w:id="14"/>
      </w:r>
      <w:r w:rsidRPr="007D2871">
        <w:rPr>
          <w:sz w:val="24"/>
          <w:szCs w:val="24"/>
        </w:rPr>
        <w:t xml:space="preserve"> and a $100 special assessment, and to forfeit certain personal property.</w:t>
      </w:r>
      <w:r w:rsidRPr="007D2871">
        <w:rPr>
          <w:rStyle w:val="FootnoteReference"/>
          <w:rFonts w:eastAsia="PMingLiU"/>
          <w:sz w:val="24"/>
          <w:szCs w:val="24"/>
        </w:rPr>
        <w:footnoteReference w:id="15"/>
      </w:r>
    </w:p>
    <w:p w:rsidR="0033243B" w:rsidRPr="007D2871" w:rsidRDefault="0033243B" w:rsidP="0033243B">
      <w:pPr>
        <w:rPr>
          <w:sz w:val="24"/>
          <w:szCs w:val="24"/>
        </w:rPr>
      </w:pPr>
    </w:p>
    <w:p w:rsidR="0033243B" w:rsidRPr="007D2871" w:rsidRDefault="0033243B" w:rsidP="0033243B">
      <w:pPr>
        <w:ind w:firstLine="720"/>
        <w:rPr>
          <w:sz w:val="24"/>
          <w:szCs w:val="24"/>
        </w:rPr>
      </w:pPr>
      <w:r w:rsidRPr="007D2871">
        <w:rPr>
          <w:sz w:val="24"/>
          <w:szCs w:val="24"/>
        </w:rPr>
        <w:t>Pursuant to Section 54.8(b) of the Commission’s rules,</w:t>
      </w:r>
      <w:r w:rsidRPr="007D2871">
        <w:rPr>
          <w:rStyle w:val="FootnoteReference"/>
          <w:rFonts w:eastAsia="PMingLiU"/>
          <w:sz w:val="24"/>
          <w:szCs w:val="24"/>
        </w:rPr>
        <w:footnoteReference w:id="16"/>
      </w:r>
      <w:r w:rsidRPr="007D2871">
        <w:rPr>
          <w:sz w:val="24"/>
          <w:szCs w:val="24"/>
        </w:rPr>
        <w:t xml:space="preserve"> your conviction</w:t>
      </w:r>
      <w:r w:rsidRPr="007D2871" w:rsidDel="00F65083">
        <w:rPr>
          <w:sz w:val="24"/>
          <w:szCs w:val="24"/>
        </w:rPr>
        <w:t xml:space="preserve"> </w:t>
      </w:r>
      <w:r w:rsidRPr="007D2871">
        <w:rPr>
          <w:sz w:val="24"/>
          <w:szCs w:val="24"/>
        </w:rPr>
        <w:t xml:space="preserve"> requires the Bureau to suspend you from participating in any activities associated with or related to the E</w:t>
      </w:r>
      <w:r w:rsidR="00D84336" w:rsidRPr="007D2871">
        <w:rPr>
          <w:sz w:val="24"/>
          <w:szCs w:val="24"/>
        </w:rPr>
        <w:t>-</w:t>
      </w:r>
      <w:r w:rsidRPr="007D2871">
        <w:rPr>
          <w:sz w:val="24"/>
          <w:szCs w:val="24"/>
        </w:rPr>
        <w:t xml:space="preserve">Rate program, including </w:t>
      </w:r>
      <w:r w:rsidR="00AC40AA" w:rsidRPr="007D2871">
        <w:rPr>
          <w:sz w:val="24"/>
          <w:szCs w:val="24"/>
        </w:rPr>
        <w:t>receiving</w:t>
      </w:r>
      <w:r w:rsidRPr="007D2871">
        <w:rPr>
          <w:sz w:val="24"/>
          <w:szCs w:val="24"/>
        </w:rPr>
        <w:t xml:space="preserve"> funds or discounted services through the E-Rate program, or consulting with, assisting, or advising applicants or service providers regarding the E-Rate program.</w:t>
      </w:r>
      <w:r w:rsidRPr="007D2871">
        <w:rPr>
          <w:rStyle w:val="FootnoteReference"/>
          <w:rFonts w:eastAsia="PMingLiU"/>
          <w:sz w:val="24"/>
          <w:szCs w:val="24"/>
        </w:rPr>
        <w:footnoteReference w:id="17"/>
      </w:r>
      <w:r w:rsidRPr="007D2871">
        <w:rPr>
          <w:sz w:val="24"/>
          <w:szCs w:val="24"/>
        </w:rPr>
        <w:t xml:space="preserve">  Your suspension becomes effective upon either your receipt of this letter or its publication in the Federal Register, whichever comes first.</w:t>
      </w:r>
      <w:r w:rsidRPr="007D2871">
        <w:rPr>
          <w:rStyle w:val="FootnoteReference"/>
          <w:rFonts w:eastAsia="PMingLiU"/>
          <w:sz w:val="24"/>
          <w:szCs w:val="24"/>
        </w:rPr>
        <w:footnoteReference w:id="18"/>
      </w:r>
    </w:p>
    <w:p w:rsidR="0033243B" w:rsidRPr="007D2871" w:rsidRDefault="0033243B" w:rsidP="0033243B">
      <w:pPr>
        <w:ind w:firstLine="720"/>
        <w:rPr>
          <w:sz w:val="24"/>
          <w:szCs w:val="24"/>
        </w:rPr>
      </w:pPr>
    </w:p>
    <w:p w:rsidR="0033243B" w:rsidRPr="007D2871" w:rsidRDefault="0033243B" w:rsidP="0033243B">
      <w:pPr>
        <w:ind w:firstLine="720"/>
        <w:rPr>
          <w:sz w:val="24"/>
          <w:szCs w:val="24"/>
        </w:rPr>
      </w:pPr>
      <w:r w:rsidRPr="007D2871">
        <w:rPr>
          <w:sz w:val="24"/>
          <w:szCs w:val="24"/>
        </w:rPr>
        <w:t>In accordance with the Commission’s suspension and debarment rules, you may contest this suspension or the scope of this suspension by filing arguments, with any relevant documents, within thirty (30) calendar days of your receipt of this letter or its publication in the Federal Register, whichever comes first.</w:t>
      </w:r>
      <w:r w:rsidRPr="007D2871">
        <w:rPr>
          <w:rStyle w:val="FootnoteReference"/>
          <w:rFonts w:eastAsia="PMingLiU"/>
          <w:sz w:val="24"/>
          <w:szCs w:val="24"/>
        </w:rPr>
        <w:footnoteReference w:id="19"/>
      </w:r>
      <w:r w:rsidRPr="007D2871">
        <w:rPr>
          <w:sz w:val="24"/>
          <w:szCs w:val="24"/>
        </w:rPr>
        <w:t xml:space="preserve">  Such requests, however, will not ordinarily be granted.</w:t>
      </w:r>
      <w:r w:rsidRPr="007D2871">
        <w:rPr>
          <w:rStyle w:val="FootnoteReference"/>
          <w:rFonts w:eastAsia="PMingLiU"/>
          <w:sz w:val="24"/>
          <w:szCs w:val="24"/>
        </w:rPr>
        <w:footnoteReference w:id="20"/>
      </w:r>
      <w:r w:rsidRPr="007D2871">
        <w:rPr>
          <w:sz w:val="24"/>
          <w:szCs w:val="24"/>
        </w:rPr>
        <w:t xml:space="preserve">  The Bureau may reverse or limit the scope of a suspension only upon a finding of extraordinary circumstances.</w:t>
      </w:r>
      <w:r w:rsidRPr="007D2871">
        <w:rPr>
          <w:rStyle w:val="FootnoteReference"/>
          <w:rFonts w:eastAsia="PMingLiU"/>
          <w:sz w:val="24"/>
          <w:szCs w:val="24"/>
        </w:rPr>
        <w:footnoteReference w:id="21"/>
      </w:r>
      <w:r w:rsidRPr="007D2871">
        <w:rPr>
          <w:sz w:val="24"/>
          <w:szCs w:val="24"/>
        </w:rPr>
        <w:t xml:space="preserve">  The Bureau will decide any request to reverse or modify a suspension within ninety (90) calendar days of its receipt of such request.</w:t>
      </w:r>
      <w:r w:rsidRPr="007D2871">
        <w:rPr>
          <w:rStyle w:val="FootnoteReference"/>
          <w:rFonts w:eastAsia="PMingLiU"/>
          <w:sz w:val="24"/>
          <w:szCs w:val="24"/>
        </w:rPr>
        <w:footnoteReference w:id="22"/>
      </w:r>
    </w:p>
    <w:p w:rsidR="0033243B" w:rsidRPr="007D2871" w:rsidRDefault="0033243B" w:rsidP="0033243B">
      <w:pPr>
        <w:rPr>
          <w:sz w:val="24"/>
          <w:szCs w:val="24"/>
        </w:rPr>
      </w:pPr>
    </w:p>
    <w:p w:rsidR="0033243B" w:rsidRPr="007D2871" w:rsidRDefault="0033243B" w:rsidP="0033243B">
      <w:pPr>
        <w:numPr>
          <w:ilvl w:val="0"/>
          <w:numId w:val="1"/>
        </w:numPr>
        <w:rPr>
          <w:sz w:val="24"/>
          <w:szCs w:val="24"/>
        </w:rPr>
      </w:pPr>
      <w:r w:rsidRPr="007D2871">
        <w:rPr>
          <w:b/>
          <w:sz w:val="24"/>
          <w:szCs w:val="24"/>
        </w:rPr>
        <w:t>Initiation of Debarment Proceedings</w:t>
      </w:r>
    </w:p>
    <w:p w:rsidR="0033243B" w:rsidRPr="007D2871" w:rsidRDefault="0033243B" w:rsidP="0033243B">
      <w:pPr>
        <w:tabs>
          <w:tab w:val="left" w:pos="540"/>
        </w:tabs>
        <w:rPr>
          <w:sz w:val="24"/>
          <w:szCs w:val="24"/>
        </w:rPr>
      </w:pPr>
    </w:p>
    <w:p w:rsidR="0033243B" w:rsidRPr="007D2871" w:rsidRDefault="0033243B" w:rsidP="0033243B">
      <w:pPr>
        <w:ind w:firstLine="720"/>
        <w:rPr>
          <w:sz w:val="24"/>
          <w:szCs w:val="24"/>
        </w:rPr>
      </w:pPr>
      <w:r w:rsidRPr="007D2871">
        <w:rPr>
          <w:sz w:val="24"/>
          <w:szCs w:val="24"/>
        </w:rPr>
        <w:t>In addition to requiring your immediate suspension from the E-Rate program, your conviction is cause for debarment as defined in Section 54.8(c) of the Commission’s rules.</w:t>
      </w:r>
      <w:r w:rsidRPr="007D2871">
        <w:rPr>
          <w:rStyle w:val="FootnoteReference"/>
          <w:rFonts w:eastAsia="PMingLiU"/>
          <w:sz w:val="24"/>
          <w:szCs w:val="24"/>
        </w:rPr>
        <w:footnoteReference w:id="23"/>
      </w:r>
      <w:r w:rsidRPr="007D2871">
        <w:rPr>
          <w:sz w:val="24"/>
          <w:szCs w:val="24"/>
        </w:rPr>
        <w:t xml:space="preserve">  Therefore, pursuant to Section 54.8(b) of the Commission’s rules, your conviction requires the Bureau to commence debarment proceedings against you.</w:t>
      </w:r>
      <w:r w:rsidRPr="007D2871">
        <w:rPr>
          <w:rStyle w:val="FootnoteReference"/>
          <w:rFonts w:eastAsia="PMingLiU"/>
          <w:sz w:val="24"/>
          <w:szCs w:val="24"/>
        </w:rPr>
        <w:footnoteReference w:id="24"/>
      </w:r>
    </w:p>
    <w:p w:rsidR="0033243B" w:rsidRPr="007D2871" w:rsidRDefault="0033243B" w:rsidP="0033243B">
      <w:pPr>
        <w:tabs>
          <w:tab w:val="left" w:pos="540"/>
        </w:tabs>
        <w:rPr>
          <w:sz w:val="24"/>
          <w:szCs w:val="24"/>
        </w:rPr>
      </w:pPr>
    </w:p>
    <w:p w:rsidR="0033243B" w:rsidRPr="007D2871" w:rsidRDefault="0033243B" w:rsidP="0033243B">
      <w:pPr>
        <w:ind w:firstLine="720"/>
        <w:rPr>
          <w:sz w:val="24"/>
          <w:szCs w:val="24"/>
        </w:rPr>
      </w:pPr>
      <w:r w:rsidRPr="007D2871">
        <w:rPr>
          <w:sz w:val="24"/>
          <w:szCs w:val="24"/>
        </w:rPr>
        <w:t>As with the suspension process, you may contest the proposed debarment or the scope of the proposed debarment by filing arguments and any relevant documentation within thirty (30) calendar days of receipt of this letter or its publication in the Federal Register, whichever comes first.</w:t>
      </w:r>
      <w:r w:rsidRPr="007D2871">
        <w:rPr>
          <w:rStyle w:val="FootnoteReference"/>
          <w:rFonts w:eastAsia="PMingLiU"/>
          <w:sz w:val="24"/>
          <w:szCs w:val="24"/>
        </w:rPr>
        <w:footnoteReference w:id="25"/>
      </w:r>
      <w:r w:rsidRPr="007D2871">
        <w:rPr>
          <w:sz w:val="24"/>
          <w:szCs w:val="24"/>
        </w:rPr>
        <w:t xml:space="preserve">  The Bureau, in the absence of extraordinary circumstances, will notify you of its decision to debar within ninety (90) calendar days of receiving any information you may have filed.</w:t>
      </w:r>
      <w:r w:rsidRPr="007D2871">
        <w:rPr>
          <w:rStyle w:val="FootnoteReference"/>
          <w:rFonts w:eastAsia="PMingLiU"/>
          <w:sz w:val="24"/>
          <w:szCs w:val="24"/>
        </w:rPr>
        <w:footnoteReference w:id="26"/>
      </w:r>
      <w:r w:rsidRPr="007D2871">
        <w:rPr>
          <w:rStyle w:val="FootnoteReference"/>
          <w:rFonts w:eastAsia="PMingLiU"/>
          <w:sz w:val="24"/>
          <w:szCs w:val="24"/>
        </w:rPr>
        <w:t xml:space="preserve"> </w:t>
      </w:r>
      <w:r w:rsidRPr="007D2871">
        <w:rPr>
          <w:sz w:val="24"/>
          <w:szCs w:val="24"/>
        </w:rPr>
        <w:t xml:space="preserve"> If the Bureau decides to debar you, its decision will become effective upon either your receipt of a debarment notice or publication of the decision in the Federal Register, whichever comes first.</w:t>
      </w:r>
      <w:r w:rsidRPr="007D2871">
        <w:rPr>
          <w:rStyle w:val="FootnoteReference"/>
          <w:rFonts w:eastAsia="PMingLiU"/>
          <w:sz w:val="24"/>
          <w:szCs w:val="24"/>
        </w:rPr>
        <w:footnoteReference w:id="27"/>
      </w:r>
    </w:p>
    <w:p w:rsidR="0033243B" w:rsidRPr="007D2871" w:rsidRDefault="0033243B" w:rsidP="0033243B">
      <w:pPr>
        <w:tabs>
          <w:tab w:val="left" w:pos="540"/>
        </w:tabs>
        <w:rPr>
          <w:sz w:val="24"/>
          <w:szCs w:val="24"/>
        </w:rPr>
      </w:pPr>
    </w:p>
    <w:p w:rsidR="0033243B" w:rsidRPr="007D2871" w:rsidRDefault="0033243B" w:rsidP="0033243B">
      <w:pPr>
        <w:ind w:firstLine="720"/>
        <w:rPr>
          <w:sz w:val="24"/>
          <w:szCs w:val="24"/>
        </w:rPr>
      </w:pPr>
      <w:r w:rsidRPr="007D2871">
        <w:rPr>
          <w:sz w:val="24"/>
          <w:szCs w:val="24"/>
        </w:rPr>
        <w:t>If and when your debarment becomes effective, you will be prohibited from participating in activities associated with or related to the E-Rate program for three years from the date of debarment.</w:t>
      </w:r>
      <w:r w:rsidRPr="007D2871">
        <w:rPr>
          <w:rStyle w:val="FootnoteReference"/>
          <w:rFonts w:eastAsia="PMingLiU"/>
          <w:sz w:val="24"/>
          <w:szCs w:val="24"/>
        </w:rPr>
        <w:footnoteReference w:id="28"/>
      </w:r>
      <w:r w:rsidRPr="007D2871">
        <w:rPr>
          <w:sz w:val="24"/>
          <w:szCs w:val="24"/>
        </w:rPr>
        <w:t xml:space="preserve">  The Bureau may set a longer debarment period or extend an existing debarment period if necessary to protect the public interest.</w:t>
      </w:r>
      <w:r w:rsidRPr="007D2871">
        <w:rPr>
          <w:rStyle w:val="FootnoteReference"/>
          <w:rFonts w:eastAsia="PMingLiU"/>
          <w:sz w:val="24"/>
          <w:szCs w:val="24"/>
        </w:rPr>
        <w:footnoteReference w:id="29"/>
      </w:r>
    </w:p>
    <w:p w:rsidR="0033243B" w:rsidRPr="007D2871" w:rsidRDefault="0033243B" w:rsidP="0033243B">
      <w:pPr>
        <w:tabs>
          <w:tab w:val="left" w:pos="540"/>
        </w:tabs>
        <w:rPr>
          <w:sz w:val="24"/>
          <w:szCs w:val="24"/>
        </w:rPr>
      </w:pPr>
    </w:p>
    <w:p w:rsidR="0033243B" w:rsidRPr="007D2871" w:rsidRDefault="0033243B" w:rsidP="007D2871">
      <w:pPr>
        <w:ind w:firstLine="720"/>
        <w:rPr>
          <w:sz w:val="24"/>
          <w:szCs w:val="24"/>
        </w:rPr>
      </w:pPr>
      <w:r w:rsidRPr="007D2871">
        <w:rPr>
          <w:sz w:val="24"/>
          <w:szCs w:val="24"/>
        </w:rPr>
        <w:t>Please direct any response, if sent by messenger or hand delivery, to Marlene H. Dortch, Secretary, Federal Communications Commission, 445 12</w:t>
      </w:r>
      <w:r w:rsidRPr="007D2871">
        <w:rPr>
          <w:sz w:val="24"/>
          <w:szCs w:val="24"/>
          <w:vertAlign w:val="superscript"/>
        </w:rPr>
        <w:t>th</w:t>
      </w:r>
      <w:r w:rsidRPr="007D2871">
        <w:rPr>
          <w:sz w:val="24"/>
          <w:szCs w:val="24"/>
        </w:rPr>
        <w:t xml:space="preserve"> Street, S.W., Room</w:t>
      </w:r>
      <w:r w:rsidR="00812997" w:rsidRPr="007D2871">
        <w:rPr>
          <w:sz w:val="24"/>
          <w:szCs w:val="24"/>
        </w:rPr>
        <w:t xml:space="preserve"> </w:t>
      </w:r>
      <w:r w:rsidR="007D2871">
        <w:rPr>
          <w:sz w:val="24"/>
          <w:szCs w:val="24"/>
        </w:rPr>
        <w:t>TW-</w:t>
      </w:r>
      <w:r w:rsidRPr="007D2871">
        <w:rPr>
          <w:sz w:val="24"/>
          <w:szCs w:val="24"/>
        </w:rPr>
        <w:t>A325, Washington, D.C. 20554 and to the attention of Joy M. Ragsdale, Attorney Advisor, Investigations and Hearings Division, Enforcement Bureau, Room 4-C330, Federal Communications Commission, 445 12</w:t>
      </w:r>
      <w:r w:rsidRPr="007D2871">
        <w:rPr>
          <w:sz w:val="24"/>
          <w:szCs w:val="24"/>
          <w:vertAlign w:val="superscript"/>
        </w:rPr>
        <w:t>th</w:t>
      </w:r>
      <w:r w:rsidRPr="007D2871">
        <w:rPr>
          <w:sz w:val="24"/>
          <w:szCs w:val="24"/>
        </w:rPr>
        <w:t xml:space="preserve"> Street, S.W., Washington, D.C. 20554 with a copy to Theresa Z. Cavanaugh, Division Chief, Investigations and Hearings Division, Enforcement Bureau, Room 4-C330, Federal Communications Commission, 445 12</w:t>
      </w:r>
      <w:r w:rsidRPr="007D2871">
        <w:rPr>
          <w:sz w:val="24"/>
          <w:szCs w:val="24"/>
          <w:vertAlign w:val="superscript"/>
        </w:rPr>
        <w:t>th</w:t>
      </w:r>
      <w:r w:rsidRPr="007D2871">
        <w:rPr>
          <w:sz w:val="24"/>
          <w:szCs w:val="24"/>
        </w:rPr>
        <w:t xml:space="preserve"> Street, S.W., Washington, D.C. 20554.  All messenger or hand delivery filings must be submitted without envelopes.</w:t>
      </w:r>
      <w:r w:rsidRPr="007D2871">
        <w:rPr>
          <w:rStyle w:val="FootnoteReference"/>
          <w:rFonts w:eastAsia="PMingLiU"/>
          <w:sz w:val="24"/>
          <w:szCs w:val="24"/>
        </w:rPr>
        <w:footnoteReference w:id="30"/>
      </w:r>
      <w:r w:rsidRPr="007D2871">
        <w:rPr>
          <w:sz w:val="24"/>
          <w:szCs w:val="24"/>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Joy Ragsdale, Attorney Advisor, Investigations and Hearings Division, Enforcement Bureau, Federal Communications Commission, 445 12</w:t>
      </w:r>
      <w:r w:rsidRPr="007D2871">
        <w:rPr>
          <w:sz w:val="24"/>
          <w:szCs w:val="24"/>
          <w:vertAlign w:val="superscript"/>
        </w:rPr>
        <w:t>th</w:t>
      </w:r>
      <w:r w:rsidRPr="007D2871">
        <w:rPr>
          <w:sz w:val="24"/>
          <w:szCs w:val="24"/>
        </w:rPr>
        <w:t xml:space="preserve"> Street, S.W., Room 4-C330, Washington, D.C. 20554, with a copy to Theresa Z. Cavanaugh, Chief, Investigations and Hearings Division, Enforcement Bureau, Federal Communications Commission, 445 12</w:t>
      </w:r>
      <w:r w:rsidRPr="007D2871">
        <w:rPr>
          <w:sz w:val="24"/>
          <w:szCs w:val="24"/>
          <w:vertAlign w:val="superscript"/>
        </w:rPr>
        <w:t>th</w:t>
      </w:r>
      <w:r w:rsidRPr="007D2871">
        <w:rPr>
          <w:sz w:val="24"/>
          <w:szCs w:val="24"/>
        </w:rPr>
        <w:t xml:space="preserve"> Street, S.W., Room</w:t>
      </w:r>
      <w:r w:rsidR="007D2871">
        <w:rPr>
          <w:sz w:val="24"/>
          <w:szCs w:val="24"/>
        </w:rPr>
        <w:t xml:space="preserve"> </w:t>
      </w:r>
      <w:r w:rsidRPr="007D2871">
        <w:rPr>
          <w:sz w:val="24"/>
          <w:szCs w:val="24"/>
        </w:rPr>
        <w:t xml:space="preserve">4-C330, Washington, D.C. 20554.  </w:t>
      </w:r>
      <w:r w:rsidRPr="007D2871">
        <w:rPr>
          <w:color w:val="000000"/>
          <w:sz w:val="24"/>
          <w:szCs w:val="24"/>
        </w:rPr>
        <w:t>You</w:t>
      </w:r>
      <w:r w:rsidRPr="007D2871">
        <w:rPr>
          <w:sz w:val="24"/>
          <w:szCs w:val="24"/>
        </w:rPr>
        <w:t xml:space="preserve"> shall also transmit a copy of your response via </w:t>
      </w:r>
      <w:r w:rsidR="008954F7" w:rsidRPr="007D2871">
        <w:rPr>
          <w:sz w:val="24"/>
          <w:szCs w:val="24"/>
        </w:rPr>
        <w:t xml:space="preserve">e-mail to Joy M. </w:t>
      </w:r>
      <w:r w:rsidRPr="007D2871">
        <w:rPr>
          <w:sz w:val="24"/>
          <w:szCs w:val="24"/>
        </w:rPr>
        <w:t>Ragsdale, Joy.Ragsdale@fcc.gov,</w:t>
      </w:r>
      <w:r w:rsidRPr="007D2871">
        <w:rPr>
          <w:b/>
          <w:sz w:val="24"/>
          <w:szCs w:val="24"/>
        </w:rPr>
        <w:t xml:space="preserve"> </w:t>
      </w:r>
      <w:r w:rsidRPr="007D2871">
        <w:rPr>
          <w:sz w:val="24"/>
          <w:szCs w:val="24"/>
        </w:rPr>
        <w:t>and Theresa Z. Cavanaugh, Terry.Cavanaugh@fcc.gov.</w:t>
      </w:r>
    </w:p>
    <w:p w:rsidR="007D2871" w:rsidRDefault="007D2871" w:rsidP="00D84336">
      <w:pPr>
        <w:ind w:firstLine="720"/>
        <w:rPr>
          <w:sz w:val="24"/>
          <w:szCs w:val="24"/>
        </w:rPr>
      </w:pPr>
    </w:p>
    <w:p w:rsidR="0033243B" w:rsidRPr="007D2871" w:rsidRDefault="0033243B" w:rsidP="00D84336">
      <w:pPr>
        <w:ind w:firstLine="720"/>
        <w:rPr>
          <w:sz w:val="24"/>
          <w:szCs w:val="24"/>
        </w:rPr>
      </w:pPr>
      <w:r w:rsidRPr="007D2871">
        <w:rPr>
          <w:sz w:val="24"/>
          <w:szCs w:val="24"/>
        </w:rPr>
        <w:t>If you have any questions, please contact Ms. Ragsdale via U.S. postal mail, e-mail, or by telephone at (202) 418-1697.  You may contact me at (202) 418-1553 or at the e-mail address noted above if Ms. Ragsdale is unavailable.</w:t>
      </w:r>
    </w:p>
    <w:p w:rsidR="0033243B" w:rsidRPr="007D2871" w:rsidRDefault="0033243B" w:rsidP="0033243B">
      <w:pPr>
        <w:jc w:val="both"/>
        <w:rPr>
          <w:sz w:val="24"/>
          <w:szCs w:val="24"/>
        </w:rPr>
      </w:pPr>
    </w:p>
    <w:p w:rsidR="0033243B" w:rsidRPr="007D2871" w:rsidRDefault="0033243B" w:rsidP="00AF478E">
      <w:pPr>
        <w:ind w:left="2880" w:firstLine="720"/>
        <w:rPr>
          <w:sz w:val="24"/>
          <w:szCs w:val="24"/>
        </w:rPr>
      </w:pPr>
      <w:r w:rsidRPr="007D2871">
        <w:rPr>
          <w:sz w:val="24"/>
          <w:szCs w:val="24"/>
        </w:rPr>
        <w:t>Sincerely yours,</w:t>
      </w:r>
    </w:p>
    <w:p w:rsidR="0033243B" w:rsidRPr="007D2871" w:rsidRDefault="0033243B" w:rsidP="0033243B">
      <w:pPr>
        <w:jc w:val="both"/>
        <w:rPr>
          <w:sz w:val="24"/>
          <w:szCs w:val="24"/>
        </w:rPr>
      </w:pPr>
    </w:p>
    <w:p w:rsidR="0033243B" w:rsidRPr="007D2871" w:rsidRDefault="0033243B" w:rsidP="0033243B">
      <w:pPr>
        <w:jc w:val="both"/>
        <w:rPr>
          <w:sz w:val="24"/>
          <w:szCs w:val="24"/>
        </w:rPr>
      </w:pPr>
    </w:p>
    <w:p w:rsidR="0033243B" w:rsidRPr="007D2871" w:rsidRDefault="0033243B" w:rsidP="0033243B">
      <w:pPr>
        <w:jc w:val="both"/>
        <w:rPr>
          <w:sz w:val="24"/>
          <w:szCs w:val="24"/>
        </w:rPr>
      </w:pPr>
    </w:p>
    <w:p w:rsidR="0033243B" w:rsidRPr="007D2871" w:rsidRDefault="0033243B" w:rsidP="0033243B">
      <w:pPr>
        <w:tabs>
          <w:tab w:val="left" w:pos="3600"/>
        </w:tabs>
        <w:jc w:val="both"/>
        <w:rPr>
          <w:sz w:val="24"/>
          <w:szCs w:val="24"/>
        </w:rPr>
      </w:pPr>
      <w:r w:rsidRPr="007D2871">
        <w:rPr>
          <w:sz w:val="24"/>
          <w:szCs w:val="24"/>
        </w:rPr>
        <w:tab/>
        <w:t xml:space="preserve"> Theresa Z. Cavanaugh</w:t>
      </w:r>
    </w:p>
    <w:p w:rsidR="0033243B" w:rsidRPr="007D2871" w:rsidRDefault="0033243B" w:rsidP="0033243B">
      <w:pPr>
        <w:jc w:val="both"/>
        <w:rPr>
          <w:sz w:val="24"/>
          <w:szCs w:val="24"/>
        </w:rPr>
      </w:pPr>
      <w:r w:rsidRPr="007D2871">
        <w:rPr>
          <w:sz w:val="24"/>
          <w:szCs w:val="24"/>
        </w:rPr>
        <w:tab/>
      </w:r>
      <w:r w:rsidRPr="007D2871">
        <w:rPr>
          <w:sz w:val="24"/>
          <w:szCs w:val="24"/>
        </w:rPr>
        <w:tab/>
      </w:r>
      <w:r w:rsidRPr="007D2871">
        <w:rPr>
          <w:sz w:val="24"/>
          <w:szCs w:val="24"/>
        </w:rPr>
        <w:tab/>
      </w:r>
      <w:r w:rsidRPr="007D2871">
        <w:rPr>
          <w:sz w:val="24"/>
          <w:szCs w:val="24"/>
        </w:rPr>
        <w:tab/>
      </w:r>
      <w:r w:rsidRPr="007D2871">
        <w:rPr>
          <w:sz w:val="24"/>
          <w:szCs w:val="24"/>
        </w:rPr>
        <w:tab/>
        <w:t xml:space="preserve"> Chief</w:t>
      </w:r>
    </w:p>
    <w:p w:rsidR="0033243B" w:rsidRPr="007D2871" w:rsidRDefault="0033243B" w:rsidP="0033243B">
      <w:pPr>
        <w:pStyle w:val="BodyText2"/>
        <w:rPr>
          <w:sz w:val="24"/>
          <w:szCs w:val="24"/>
        </w:rPr>
      </w:pPr>
      <w:r w:rsidRPr="007D2871">
        <w:rPr>
          <w:sz w:val="24"/>
          <w:szCs w:val="24"/>
        </w:rPr>
        <w:tab/>
      </w:r>
      <w:r w:rsidRPr="007D2871">
        <w:rPr>
          <w:sz w:val="24"/>
          <w:szCs w:val="24"/>
        </w:rPr>
        <w:tab/>
      </w:r>
      <w:r w:rsidRPr="007D2871">
        <w:rPr>
          <w:sz w:val="24"/>
          <w:szCs w:val="24"/>
        </w:rPr>
        <w:tab/>
      </w:r>
      <w:r w:rsidRPr="007D2871">
        <w:rPr>
          <w:sz w:val="24"/>
          <w:szCs w:val="24"/>
        </w:rPr>
        <w:tab/>
      </w:r>
      <w:r w:rsidRPr="007D2871">
        <w:rPr>
          <w:sz w:val="24"/>
          <w:szCs w:val="24"/>
        </w:rPr>
        <w:tab/>
        <w:t xml:space="preserve"> Investigations and Hearings Division</w:t>
      </w:r>
    </w:p>
    <w:p w:rsidR="0033243B" w:rsidRPr="007D2871" w:rsidRDefault="0033243B" w:rsidP="0033243B">
      <w:pPr>
        <w:jc w:val="both"/>
        <w:rPr>
          <w:sz w:val="24"/>
          <w:szCs w:val="24"/>
        </w:rPr>
      </w:pPr>
      <w:r w:rsidRPr="007D2871">
        <w:rPr>
          <w:sz w:val="24"/>
          <w:szCs w:val="24"/>
        </w:rPr>
        <w:tab/>
      </w:r>
      <w:r w:rsidRPr="007D2871">
        <w:rPr>
          <w:sz w:val="24"/>
          <w:szCs w:val="24"/>
        </w:rPr>
        <w:tab/>
      </w:r>
      <w:r w:rsidRPr="007D2871">
        <w:rPr>
          <w:sz w:val="24"/>
          <w:szCs w:val="24"/>
        </w:rPr>
        <w:tab/>
      </w:r>
      <w:r w:rsidRPr="007D2871">
        <w:rPr>
          <w:sz w:val="24"/>
          <w:szCs w:val="24"/>
        </w:rPr>
        <w:tab/>
      </w:r>
      <w:r w:rsidRPr="007D2871">
        <w:rPr>
          <w:sz w:val="24"/>
          <w:szCs w:val="24"/>
        </w:rPr>
        <w:tab/>
        <w:t xml:space="preserve"> Enforcement Bureau</w:t>
      </w:r>
    </w:p>
    <w:p w:rsidR="0033243B" w:rsidRPr="007D2871" w:rsidRDefault="0033243B" w:rsidP="0033243B">
      <w:pPr>
        <w:rPr>
          <w:sz w:val="24"/>
          <w:szCs w:val="24"/>
        </w:rPr>
      </w:pPr>
    </w:p>
    <w:p w:rsidR="0033243B" w:rsidRPr="007D2871" w:rsidRDefault="0033243B" w:rsidP="0033243B">
      <w:pPr>
        <w:ind w:left="540" w:hanging="540"/>
        <w:rPr>
          <w:sz w:val="24"/>
          <w:szCs w:val="24"/>
        </w:rPr>
      </w:pPr>
      <w:r w:rsidRPr="007D2871">
        <w:rPr>
          <w:sz w:val="24"/>
          <w:szCs w:val="24"/>
        </w:rPr>
        <w:t>cc:  Johnnay Schrieber, Universal Service Administrative Company (via e-mail)</w:t>
      </w:r>
    </w:p>
    <w:p w:rsidR="0033243B" w:rsidRPr="007D2871" w:rsidRDefault="0033243B" w:rsidP="0033243B">
      <w:pPr>
        <w:ind w:left="540" w:hanging="540"/>
        <w:rPr>
          <w:sz w:val="24"/>
          <w:szCs w:val="24"/>
        </w:rPr>
      </w:pPr>
      <w:r w:rsidRPr="007D2871">
        <w:rPr>
          <w:sz w:val="24"/>
          <w:szCs w:val="24"/>
        </w:rPr>
        <w:t xml:space="preserve">       Rashann Duvall, Universal Service Administrative Company (via e-mail)</w:t>
      </w:r>
    </w:p>
    <w:p w:rsidR="00204CE3" w:rsidRPr="007D2871" w:rsidRDefault="0033243B" w:rsidP="0021448B">
      <w:pPr>
        <w:ind w:firstLine="270"/>
        <w:rPr>
          <w:sz w:val="24"/>
          <w:szCs w:val="24"/>
        </w:rPr>
      </w:pPr>
      <w:r w:rsidRPr="007D2871">
        <w:rPr>
          <w:sz w:val="24"/>
          <w:szCs w:val="24"/>
        </w:rPr>
        <w:t xml:space="preserve">  Mark J. McKeon, United States Attorney’s Office, Eastern District of California (via e-mail)</w:t>
      </w:r>
    </w:p>
    <w:sectPr w:rsidR="00204CE3" w:rsidRPr="007D2871">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1A" w:rsidRDefault="00B6681A">
      <w:r>
        <w:separator/>
      </w:r>
    </w:p>
  </w:endnote>
  <w:endnote w:type="continuationSeparator" w:id="0">
    <w:p w:rsidR="00B6681A" w:rsidRDefault="00B6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E0" w:rsidRDefault="007C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E0" w:rsidRDefault="007C1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E0" w:rsidRDefault="007C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1A" w:rsidRDefault="00B6681A">
      <w:r>
        <w:separator/>
      </w:r>
    </w:p>
  </w:footnote>
  <w:footnote w:type="continuationSeparator" w:id="0">
    <w:p w:rsidR="00B6681A" w:rsidRDefault="00B6681A">
      <w:r>
        <w:continuationSeparator/>
      </w:r>
    </w:p>
  </w:footnote>
  <w:footnote w:id="1">
    <w:p w:rsidR="00FF0A0B" w:rsidRDefault="00FF0A0B" w:rsidP="0033243B">
      <w:pPr>
        <w:pStyle w:val="FootnoteText"/>
      </w:pPr>
      <w:r>
        <w:rPr>
          <w:rStyle w:val="FootnoteReference"/>
        </w:rPr>
        <w:footnoteRef/>
      </w:r>
      <w:r>
        <w:t xml:space="preserve"> Any further reference in this letter to “your conviction” refers to your guilty plea and subsequent sentencing for conspiring to defraud the</w:t>
      </w:r>
      <w:r w:rsidRPr="00C13C40">
        <w:t xml:space="preserve"> </w:t>
      </w:r>
      <w:r w:rsidRPr="007255D0">
        <w:t>United States</w:t>
      </w:r>
      <w:r>
        <w:t xml:space="preserve"> in</w:t>
      </w:r>
      <w:r w:rsidRPr="00C13C40">
        <w:rPr>
          <w:i/>
        </w:rPr>
        <w:t xml:space="preserve"> United States v. </w:t>
      </w:r>
      <w:r>
        <w:rPr>
          <w:i/>
        </w:rPr>
        <w:t>Styles</w:t>
      </w:r>
      <w:r w:rsidRPr="00C13C40">
        <w:t xml:space="preserve">, Criminal Docket No. </w:t>
      </w:r>
      <w:r>
        <w:t>1</w:t>
      </w:r>
      <w:r w:rsidRPr="00C13C40">
        <w:t>:</w:t>
      </w:r>
      <w:r>
        <w:t>06</w:t>
      </w:r>
      <w:r w:rsidRPr="00C13C40">
        <w:t>-</w:t>
      </w:r>
      <w:r>
        <w:t>CR</w:t>
      </w:r>
      <w:r w:rsidRPr="00C13C40">
        <w:t>-00</w:t>
      </w:r>
      <w:r>
        <w:t>013</w:t>
      </w:r>
      <w:r w:rsidRPr="00C13C40">
        <w:t>-</w:t>
      </w:r>
      <w:r>
        <w:t>LJO-1</w:t>
      </w:r>
      <w:r w:rsidRPr="00C13C40">
        <w:t xml:space="preserve">, </w:t>
      </w:r>
      <w:r>
        <w:t>Plea Agreement (</w:t>
      </w:r>
      <w:r w:rsidRPr="00C13C40">
        <w:t xml:space="preserve">E.D. </w:t>
      </w:r>
      <w:r>
        <w:t>Cal</w:t>
      </w:r>
      <w:r w:rsidRPr="00C13C40">
        <w:t xml:space="preserve">. filed </w:t>
      </w:r>
      <w:r>
        <w:t>Oct. 22, 2010) (</w:t>
      </w:r>
      <w:r>
        <w:rPr>
          <w:i/>
        </w:rPr>
        <w:t>Plea Agreement</w:t>
      </w:r>
      <w:r>
        <w:t>).</w:t>
      </w:r>
    </w:p>
  </w:footnote>
  <w:footnote w:id="2">
    <w:p w:rsidR="00FF0A0B" w:rsidRDefault="00FF0A0B" w:rsidP="0033243B">
      <w:pPr>
        <w:pStyle w:val="FootnoteText"/>
      </w:pPr>
      <w:r>
        <w:rPr>
          <w:rStyle w:val="FootnoteReference"/>
        </w:rPr>
        <w:footnoteRef/>
      </w:r>
      <w:r>
        <w:t xml:space="preserve"> 47 C.F.R. § 54.8.</w:t>
      </w:r>
    </w:p>
  </w:footnote>
  <w:footnote w:id="3">
    <w:p w:rsidR="00FF0A0B" w:rsidRDefault="00FF0A0B" w:rsidP="0033243B">
      <w:pPr>
        <w:pStyle w:val="FootnoteText"/>
      </w:pPr>
      <w:r>
        <w:rPr>
          <w:rStyle w:val="FootnoteReference"/>
        </w:rPr>
        <w:footnoteRef/>
      </w:r>
      <w:r>
        <w:t xml:space="preserve"> </w:t>
      </w:r>
      <w:r w:rsidRPr="00DA0784">
        <w:rPr>
          <w:i/>
        </w:rPr>
        <w:t>Id</w:t>
      </w:r>
      <w:r>
        <w:t>. § 0.111</w:t>
      </w:r>
      <w:r w:rsidRPr="004D7475">
        <w:t xml:space="preserve"> </w:t>
      </w:r>
      <w:r>
        <w:t xml:space="preserve">(delegating to the Enforcement Bureau authority to resolve universal service suspension and debarment proceedings).  The Commission adopted debarment rules for </w:t>
      </w:r>
      <w:r w:rsidRPr="00402FB1">
        <w:t>the E-Rate program</w:t>
      </w:r>
      <w:r>
        <w:t xml:space="preserve"> in 2003.  </w:t>
      </w:r>
      <w:r>
        <w:rPr>
          <w:i/>
        </w:rPr>
        <w:t>See Schools and Libraries Universal Service Support Mechanism</w:t>
      </w:r>
      <w:r>
        <w:t>, Second Report and Order and Further Notice of Proposed Rulemaking, 18 FCC Rcd 9202 (2003) (</w:t>
      </w:r>
      <w:r>
        <w:rPr>
          <w:i/>
        </w:rPr>
        <w:t>Second Report and Order</w:t>
      </w:r>
      <w:r>
        <w:t>)</w:t>
      </w:r>
      <w:r>
        <w:rPr>
          <w:i/>
        </w:rPr>
        <w:t xml:space="preserve"> </w:t>
      </w:r>
      <w:r>
        <w:t xml:space="preserve">(adopting Section 54.521 to suspend and debar parties from the E-Rate program).  In 2007 the Commission extended the debarment rules to apply to all federal universal service support mechanisms.  </w:t>
      </w:r>
      <w:r>
        <w:rPr>
          <w:i/>
        </w:rPr>
        <w:t>Comprehensive Review of the Universal Service Fund Management, Administration, and Oversight; Federal-State Joint Board on Universal Service; Schools and Libraries Universal Service Support Mechanism; Rural Health Care Support Mechanism; Lifeline and Link Up; Changes to the Board of Directors for the National Exchange Carrier Association, Inc.</w:t>
      </w:r>
      <w:r>
        <w:t>, Report and Order, 22 FCC Rcd 16372, App. C at 16410–12 (2007) (</w:t>
      </w:r>
      <w:r>
        <w:rPr>
          <w:i/>
        </w:rPr>
        <w:t>Program Management Order</w:t>
      </w:r>
      <w:r>
        <w:t>) (renumbering Section 54.521 of the universal service debarment rules as Section 54.8 and amending subsections (a)(1), (a)(5), (c), (d), (e)(2)(i), (e)(3), (e)(4), and (g)).</w:t>
      </w:r>
    </w:p>
  </w:footnote>
  <w:footnote w:id="4">
    <w:p w:rsidR="00FF0A0B" w:rsidRDefault="00FF0A0B" w:rsidP="0033243B">
      <w:pPr>
        <w:pStyle w:val="FootnoteText"/>
      </w:pPr>
      <w:r>
        <w:rPr>
          <w:rStyle w:val="FootnoteReference"/>
        </w:rPr>
        <w:footnoteRef/>
      </w:r>
      <w:r>
        <w:t xml:space="preserve"> </w:t>
      </w:r>
      <w:r>
        <w:rPr>
          <w:i/>
        </w:rPr>
        <w:t>Second Report and Order</w:t>
      </w:r>
      <w:r>
        <w:t xml:space="preserve">, 118 FCC Rcd at 9225, para. 66; </w:t>
      </w:r>
      <w:r>
        <w:rPr>
          <w:i/>
        </w:rPr>
        <w:t>Program Management Order</w:t>
      </w:r>
      <w:r>
        <w:t>, 22 FCC Rcd at 16387, para. 32.  The Commission’s debarment rules define a “person” as “[a]ny individual, group of individuals, corporation, partnership, association, unit of government or legal entity, however organized.”  47 C.F.R. § 54.8(a)(6).</w:t>
      </w:r>
    </w:p>
  </w:footnote>
  <w:footnote w:id="5">
    <w:p w:rsidR="00FF0A0B" w:rsidRDefault="00FF0A0B" w:rsidP="0033243B">
      <w:pPr>
        <w:pStyle w:val="FootnoteText"/>
      </w:pPr>
      <w:r>
        <w:rPr>
          <w:rStyle w:val="FootnoteReference"/>
        </w:rPr>
        <w:footnoteRef/>
      </w:r>
      <w:r>
        <w:t xml:space="preserve"> </w:t>
      </w:r>
      <w:r>
        <w:rPr>
          <w:i/>
        </w:rPr>
        <w:t>NEC-Business Network Solutions, Inc</w:t>
      </w:r>
      <w:r>
        <w:t>., Notice of Debarment and Order Denying Waiver Petition, 21 FCC Rcd 7491, 7493, para. 7 (2006).</w:t>
      </w:r>
    </w:p>
  </w:footnote>
  <w:footnote w:id="6">
    <w:p w:rsidR="00FF0A0B" w:rsidRPr="005C6E3B" w:rsidRDefault="00FF0A0B" w:rsidP="0033243B">
      <w:pPr>
        <w:pStyle w:val="FootnoteText"/>
        <w:rPr>
          <w:rFonts w:eastAsia="Times New Roman"/>
        </w:rPr>
      </w:pPr>
      <w:r>
        <w:rPr>
          <w:rStyle w:val="FootnoteReference"/>
        </w:rPr>
        <w:footnoteRef/>
      </w:r>
      <w:r>
        <w:t xml:space="preserve"> </w:t>
      </w:r>
      <w:r w:rsidRPr="002506AA">
        <w:rPr>
          <w:color w:val="000000"/>
        </w:rPr>
        <w:t>47 C.F.R. §§</w:t>
      </w:r>
      <w:r w:rsidRPr="00012518">
        <w:rPr>
          <w:color w:val="000000"/>
        </w:rPr>
        <w:t xml:space="preserve"> </w:t>
      </w:r>
      <w:r>
        <w:rPr>
          <w:color w:val="000000"/>
        </w:rPr>
        <w:t>54.503,</w:t>
      </w:r>
      <w:r w:rsidRPr="00012518">
        <w:rPr>
          <w:color w:val="000000"/>
        </w:rPr>
        <w:t xml:space="preserve"> 54.5</w:t>
      </w:r>
      <w:r>
        <w:rPr>
          <w:color w:val="000000"/>
        </w:rPr>
        <w:t xml:space="preserve">11(a); </w:t>
      </w:r>
      <w:r w:rsidRPr="00BE0E26">
        <w:rPr>
          <w:i/>
        </w:rPr>
        <w:t xml:space="preserve">see </w:t>
      </w:r>
      <w:r w:rsidRPr="00BD1CE1">
        <w:rPr>
          <w:i/>
          <w:iCs/>
        </w:rPr>
        <w:t>Federal-State Joint Board on Universal Service</w:t>
      </w:r>
      <w:r w:rsidRPr="00BD1CE1">
        <w:t>, CC Docket No. 96</w:t>
      </w:r>
      <w:r>
        <w:t>-</w:t>
      </w:r>
      <w:r w:rsidRPr="00BD1CE1">
        <w:t>45, Report and Order, 12 FCC Rcd 8776, 9078</w:t>
      </w:r>
      <w:r w:rsidRPr="00FE0469">
        <w:t>–</w:t>
      </w:r>
      <w:r w:rsidRPr="00BD1CE1">
        <w:t>80, para</w:t>
      </w:r>
      <w:r>
        <w:t>s</w:t>
      </w:r>
      <w:r w:rsidRPr="00BD1CE1">
        <w:t>. 480</w:t>
      </w:r>
      <w:r w:rsidRPr="00FE0469">
        <w:t>–</w:t>
      </w:r>
      <w:r>
        <w:t>81</w:t>
      </w:r>
      <w:r w:rsidRPr="00BD1CE1">
        <w:t xml:space="preserve"> </w:t>
      </w:r>
      <w:r>
        <w:t xml:space="preserve">(1997) </w:t>
      </w:r>
      <w:r w:rsidRPr="00BD1CE1">
        <w:t>(subsequent history omitted) (finding that without competitive bidding requirements, the applicant may not receive the most cost-effective services);</w:t>
      </w:r>
      <w:r>
        <w:t xml:space="preserve"> </w:t>
      </w:r>
      <w:r w:rsidRPr="00E67336">
        <w:rPr>
          <w:i/>
        </w:rPr>
        <w:t>Lazo Technologies, Inc</w:t>
      </w:r>
      <w:r w:rsidRPr="00E67336">
        <w:t>., Order on Reconsideration, 26 FCC Rcd 16661, 1666</w:t>
      </w:r>
      <w:r>
        <w:t>4, para. 7</w:t>
      </w:r>
      <w:r w:rsidRPr="00E67336">
        <w:t xml:space="preserve"> (2011)</w:t>
      </w:r>
      <w:r w:rsidRPr="00686C6A" w:rsidDel="007E1BF3">
        <w:rPr>
          <w:i/>
        </w:rPr>
        <w:t xml:space="preserve"> </w:t>
      </w:r>
      <w:r>
        <w:rPr>
          <w:rFonts w:eastAsia="Times New Roman"/>
          <w:color w:val="000000"/>
        </w:rPr>
        <w:t>(</w:t>
      </w:r>
      <w:r w:rsidRPr="00FA5298">
        <w:t xml:space="preserve">explaining </w:t>
      </w:r>
      <w:r w:rsidRPr="005C6E3B">
        <w:t>that</w:t>
      </w:r>
      <w:r>
        <w:t xml:space="preserve"> a service provider may not be involved in the </w:t>
      </w:r>
      <w:r w:rsidRPr="005C6E3B">
        <w:t xml:space="preserve">competitive bidding process </w:t>
      </w:r>
      <w:r>
        <w:t>other than as a bidder)</w:t>
      </w:r>
      <w:bookmarkStart w:id="1" w:name="SR;3156"/>
      <w:bookmarkStart w:id="2" w:name="SearchTerm"/>
      <w:bookmarkEnd w:id="1"/>
      <w:bookmarkEnd w:id="2"/>
      <w:r>
        <w:t xml:space="preserve"> (</w:t>
      </w:r>
      <w:r>
        <w:rPr>
          <w:i/>
        </w:rPr>
        <w:t>Lazo Recon. Order</w:t>
      </w:r>
      <w:r>
        <w:t>)</w:t>
      </w:r>
      <w:r w:rsidRPr="00686C6A">
        <w:t>;</w:t>
      </w:r>
      <w:r>
        <w:t xml:space="preserve"> </w:t>
      </w:r>
      <w:r w:rsidRPr="00686C6A">
        <w:rPr>
          <w:i/>
        </w:rPr>
        <w:t>see also</w:t>
      </w:r>
      <w:r w:rsidRPr="00686C6A">
        <w:t xml:space="preserve"> </w:t>
      </w:r>
      <w:r>
        <w:t>USAC’s</w:t>
      </w:r>
      <w:r w:rsidRPr="00686C6A">
        <w:t xml:space="preserve"> </w:t>
      </w:r>
      <w:r>
        <w:t xml:space="preserve">website </w:t>
      </w:r>
      <w:r w:rsidRPr="00686C6A">
        <w:t>description of an Open and Fair Competitive Bidding Process</w:t>
      </w:r>
      <w:r>
        <w:t>, Step 2</w:t>
      </w:r>
      <w:r w:rsidRPr="00686C6A">
        <w:t xml:space="preserve"> </w:t>
      </w:r>
      <w:r w:rsidRPr="00DC7E47">
        <w:rPr>
          <w:i/>
        </w:rPr>
        <w:t>available at</w:t>
      </w:r>
      <w:r w:rsidRPr="00686C6A">
        <w:t xml:space="preserve"> </w:t>
      </w:r>
      <w:r w:rsidRPr="00290F5B">
        <w:t>http://www.universalservice.org/sl/applicants/step02/competitive-bidding.aspx</w:t>
      </w:r>
      <w:r>
        <w:t xml:space="preserve"> (last visited June 9, 2014)</w:t>
      </w:r>
      <w:r w:rsidRPr="00686C6A">
        <w:t>.</w:t>
      </w:r>
    </w:p>
  </w:footnote>
  <w:footnote w:id="7">
    <w:p w:rsidR="00FF0A0B" w:rsidRDefault="00FF0A0B" w:rsidP="0033243B">
      <w:pPr>
        <w:pStyle w:val="FootnoteText"/>
      </w:pPr>
      <w:r>
        <w:rPr>
          <w:rStyle w:val="FootnoteReference"/>
        </w:rPr>
        <w:footnoteRef/>
      </w:r>
      <w:r>
        <w:t xml:space="preserve"> </w:t>
      </w:r>
      <w:r w:rsidRPr="000D1A07">
        <w:rPr>
          <w:i/>
        </w:rPr>
        <w:t xml:space="preserve">Plea Agreement </w:t>
      </w:r>
      <w:r>
        <w:t>at</w:t>
      </w:r>
      <w:r w:rsidRPr="005C6E3B">
        <w:t xml:space="preserve"> </w:t>
      </w:r>
      <w:r>
        <w:t>10</w:t>
      </w:r>
      <w:r w:rsidRPr="005C6E3B">
        <w:t>–1</w:t>
      </w:r>
      <w:r>
        <w:t>2</w:t>
      </w:r>
      <w:r w:rsidRPr="005C6E3B">
        <w:t>;</w:t>
      </w:r>
      <w:r w:rsidRPr="00851598">
        <w:rPr>
          <w:i/>
        </w:rPr>
        <w:t xml:space="preserve"> </w:t>
      </w:r>
      <w:r>
        <w:rPr>
          <w:i/>
        </w:rPr>
        <w:t>s</w:t>
      </w:r>
      <w:r w:rsidRPr="00BD1CE1">
        <w:rPr>
          <w:i/>
        </w:rPr>
        <w:t>ee also</w:t>
      </w:r>
      <w:r w:rsidRPr="00BD1CE1">
        <w:t xml:space="preserve"> </w:t>
      </w:r>
      <w:r w:rsidRPr="00BD1CE1">
        <w:rPr>
          <w:smallCaps/>
        </w:rPr>
        <w:t xml:space="preserve">United States Attorney’s Office, </w:t>
      </w:r>
      <w:r>
        <w:rPr>
          <w:smallCaps/>
        </w:rPr>
        <w:t xml:space="preserve">Eastern </w:t>
      </w:r>
      <w:r w:rsidRPr="00BD1CE1">
        <w:rPr>
          <w:smallCaps/>
        </w:rPr>
        <w:t xml:space="preserve">District of </w:t>
      </w:r>
      <w:r>
        <w:rPr>
          <w:smallCaps/>
        </w:rPr>
        <w:t>California</w:t>
      </w:r>
      <w:r w:rsidRPr="00BD1CE1">
        <w:t xml:space="preserve">, </w:t>
      </w:r>
      <w:r>
        <w:t>Press Releases</w:t>
      </w:r>
      <w:r w:rsidRPr="00BD1CE1">
        <w:t xml:space="preserve">, </w:t>
      </w:r>
      <w:r>
        <w:rPr>
          <w:i/>
        </w:rPr>
        <w:t>Two Plead Guilty in Scheme to Defraud the Chowchilla Elementary School District</w:t>
      </w:r>
      <w:r>
        <w:t>,</w:t>
      </w:r>
      <w:r w:rsidRPr="00BD1CE1">
        <w:t xml:space="preserve"> </w:t>
      </w:r>
      <w:r>
        <w:t>Nov. 1, 2010</w:t>
      </w:r>
      <w:r w:rsidRPr="00BD1CE1">
        <w:t xml:space="preserve">, </w:t>
      </w:r>
      <w:r w:rsidRPr="00764DCF">
        <w:rPr>
          <w:i/>
        </w:rPr>
        <w:t xml:space="preserve">available </w:t>
      </w:r>
      <w:r w:rsidRPr="000A1AF9">
        <w:rPr>
          <w:i/>
        </w:rPr>
        <w:t>at</w:t>
      </w:r>
      <w:r w:rsidRPr="00BD1CE1">
        <w:t xml:space="preserve"> </w:t>
      </w:r>
      <w:r w:rsidRPr="005C6E3B">
        <w:t>http://www.fbi.gov/sacramento/press-releases/2010/sc110110.html</w:t>
      </w:r>
      <w:r>
        <w:t>.</w:t>
      </w:r>
    </w:p>
  </w:footnote>
  <w:footnote w:id="8">
    <w:p w:rsidR="00FF0A0B" w:rsidRPr="00223ECF" w:rsidRDefault="00FF0A0B" w:rsidP="0033243B">
      <w:pPr>
        <w:pStyle w:val="FootnoteText"/>
        <w:rPr>
          <w:rFonts w:eastAsia="Times New Roman"/>
        </w:rPr>
      </w:pPr>
      <w:r>
        <w:rPr>
          <w:rStyle w:val="FootnoteReference"/>
        </w:rPr>
        <w:footnoteRef/>
      </w:r>
      <w:r>
        <w:t xml:space="preserve"> </w:t>
      </w:r>
      <w:r w:rsidRPr="00C13C40">
        <w:rPr>
          <w:i/>
        </w:rPr>
        <w:t xml:space="preserve">United States v. </w:t>
      </w:r>
      <w:r>
        <w:rPr>
          <w:i/>
        </w:rPr>
        <w:t>Styles</w:t>
      </w:r>
      <w:r w:rsidRPr="00C13C40">
        <w:t xml:space="preserve">, Criminal Docket No. </w:t>
      </w:r>
      <w:r>
        <w:t>1</w:t>
      </w:r>
      <w:r w:rsidRPr="00C13C40">
        <w:t>:</w:t>
      </w:r>
      <w:r>
        <w:t>06</w:t>
      </w:r>
      <w:r w:rsidRPr="00C13C40">
        <w:t>-</w:t>
      </w:r>
      <w:r>
        <w:t>CR</w:t>
      </w:r>
      <w:r w:rsidRPr="00C13C40">
        <w:t>-00</w:t>
      </w:r>
      <w:r>
        <w:t>013</w:t>
      </w:r>
      <w:r w:rsidRPr="00C13C40">
        <w:t>-</w:t>
      </w:r>
      <w:r>
        <w:t>001</w:t>
      </w:r>
      <w:r w:rsidRPr="00C13C40">
        <w:t xml:space="preserve">, </w:t>
      </w:r>
      <w:r>
        <w:t>Indictment at 2</w:t>
      </w:r>
      <w:r w:rsidRPr="00C13C40">
        <w:t xml:space="preserve"> (E.D. </w:t>
      </w:r>
      <w:r>
        <w:t>Cal</w:t>
      </w:r>
      <w:r w:rsidRPr="00C13C40">
        <w:t xml:space="preserve">. filed </w:t>
      </w:r>
      <w:r>
        <w:t>Jan. 19, 2006) (</w:t>
      </w:r>
      <w:r>
        <w:rPr>
          <w:i/>
        </w:rPr>
        <w:t>Indictment</w:t>
      </w:r>
      <w:r>
        <w:t>).</w:t>
      </w:r>
    </w:p>
  </w:footnote>
  <w:footnote w:id="9">
    <w:p w:rsidR="00FF0A0B" w:rsidRDefault="00FF0A0B" w:rsidP="0033243B">
      <w:pPr>
        <w:pStyle w:val="FootnoteText"/>
      </w:pPr>
      <w:r>
        <w:rPr>
          <w:rStyle w:val="FootnoteReference"/>
        </w:rPr>
        <w:footnoteRef/>
      </w:r>
      <w:r>
        <w:t xml:space="preserve"> </w:t>
      </w:r>
      <w:r>
        <w:rPr>
          <w:i/>
        </w:rPr>
        <w:t>See Lazo Recon. Order</w:t>
      </w:r>
      <w:r>
        <w:t xml:space="preserve">, </w:t>
      </w:r>
      <w:r w:rsidRPr="00A034FE">
        <w:t xml:space="preserve">26 FCC Rcd </w:t>
      </w:r>
      <w:r>
        <w:t>at</w:t>
      </w:r>
      <w:r w:rsidRPr="00A034FE">
        <w:t xml:space="preserve"> 16664, para. 7</w:t>
      </w:r>
      <w:r>
        <w:t>.</w:t>
      </w:r>
    </w:p>
  </w:footnote>
  <w:footnote w:id="10">
    <w:p w:rsidR="00FF0A0B" w:rsidRDefault="00FF0A0B" w:rsidP="0033243B">
      <w:pPr>
        <w:pStyle w:val="FootnoteText"/>
      </w:pPr>
      <w:r>
        <w:rPr>
          <w:rStyle w:val="FootnoteReference"/>
        </w:rPr>
        <w:footnoteRef/>
      </w:r>
      <w:r>
        <w:t xml:space="preserve"> </w:t>
      </w:r>
      <w:r>
        <w:rPr>
          <w:i/>
        </w:rPr>
        <w:t xml:space="preserve">Plea Agreement </w:t>
      </w:r>
      <w:r>
        <w:t xml:space="preserve">at 11; </w:t>
      </w:r>
      <w:r>
        <w:rPr>
          <w:i/>
        </w:rPr>
        <w:t xml:space="preserve">see </w:t>
      </w:r>
      <w:r w:rsidRPr="009343E8">
        <w:rPr>
          <w:i/>
        </w:rPr>
        <w:t>I</w:t>
      </w:r>
      <w:r w:rsidRPr="00931D68">
        <w:rPr>
          <w:i/>
        </w:rPr>
        <w:t>ndictment</w:t>
      </w:r>
      <w:r>
        <w:t xml:space="preserve"> at 6.  The Bureau is also serving a notice of suspension and initiation of debarment proceedings on Mr. Freeman.  </w:t>
      </w:r>
      <w:r>
        <w:rPr>
          <w:i/>
        </w:rPr>
        <w:t xml:space="preserve">See </w:t>
      </w:r>
      <w:r>
        <w:t xml:space="preserve">Letter from Theresa Z. Cavanaugh, Chief, Investigations and Hearings Division, FCC Enforcement Bureau, to Marvin Mitchell Freeman, Notice of Suspension and Initiation of Debarment </w:t>
      </w:r>
      <w:r w:rsidR="006B59B7">
        <w:t>Proceedings, DA 14-1230</w:t>
      </w:r>
      <w:r w:rsidRPr="00D84336">
        <w:rPr>
          <w:iCs/>
        </w:rPr>
        <w:t xml:space="preserve"> (Enf. Bur. </w:t>
      </w:r>
      <w:r w:rsidR="006B59B7">
        <w:rPr>
          <w:iCs/>
        </w:rPr>
        <w:t>Aug. 26</w:t>
      </w:r>
      <w:r w:rsidRPr="00D84336">
        <w:rPr>
          <w:iCs/>
        </w:rPr>
        <w:t>, 2014).</w:t>
      </w:r>
    </w:p>
  </w:footnote>
  <w:footnote w:id="11">
    <w:p w:rsidR="00FF0A0B" w:rsidRDefault="00FF0A0B" w:rsidP="0033243B">
      <w:pPr>
        <w:pStyle w:val="FootnoteText"/>
      </w:pPr>
      <w:r>
        <w:rPr>
          <w:rStyle w:val="FootnoteReference"/>
        </w:rPr>
        <w:footnoteRef/>
      </w:r>
      <w:r>
        <w:t xml:space="preserve"> </w:t>
      </w:r>
      <w:r>
        <w:rPr>
          <w:i/>
        </w:rPr>
        <w:t xml:space="preserve">Plea Agreement </w:t>
      </w:r>
      <w:r>
        <w:t xml:space="preserve">at 11; </w:t>
      </w:r>
      <w:r>
        <w:rPr>
          <w:i/>
        </w:rPr>
        <w:t xml:space="preserve">see </w:t>
      </w:r>
      <w:r w:rsidRPr="009343E8">
        <w:rPr>
          <w:i/>
        </w:rPr>
        <w:t>I</w:t>
      </w:r>
      <w:r w:rsidRPr="00931D68">
        <w:rPr>
          <w:i/>
        </w:rPr>
        <w:t>ndictment</w:t>
      </w:r>
      <w:r>
        <w:t xml:space="preserve"> at 6. </w:t>
      </w:r>
    </w:p>
  </w:footnote>
  <w:footnote w:id="12">
    <w:p w:rsidR="00FF0A0B" w:rsidRDefault="00FF0A0B" w:rsidP="0033243B">
      <w:pPr>
        <w:pStyle w:val="FootnoteText"/>
      </w:pPr>
      <w:r>
        <w:rPr>
          <w:rStyle w:val="FootnoteReference"/>
        </w:rPr>
        <w:footnoteRef/>
      </w:r>
      <w:r>
        <w:t xml:space="preserve"> </w:t>
      </w:r>
      <w:r w:rsidRPr="000D1A07">
        <w:rPr>
          <w:i/>
        </w:rPr>
        <w:t>Plea Agreement</w:t>
      </w:r>
      <w:r w:rsidRPr="00395E87">
        <w:t xml:space="preserve"> at 12; </w:t>
      </w:r>
      <w:r>
        <w:rPr>
          <w:i/>
        </w:rPr>
        <w:t xml:space="preserve">see </w:t>
      </w:r>
      <w:r w:rsidRPr="002568B5">
        <w:rPr>
          <w:i/>
        </w:rPr>
        <w:t>I</w:t>
      </w:r>
      <w:r>
        <w:rPr>
          <w:i/>
        </w:rPr>
        <w:t>ndictment</w:t>
      </w:r>
      <w:r>
        <w:t xml:space="preserve"> at 9, 12.</w:t>
      </w:r>
    </w:p>
  </w:footnote>
  <w:footnote w:id="13">
    <w:p w:rsidR="00FF0A0B" w:rsidRPr="00FA5298" w:rsidRDefault="00FF0A0B" w:rsidP="0033243B">
      <w:pPr>
        <w:pStyle w:val="FootnoteText"/>
      </w:pPr>
      <w:r>
        <w:rPr>
          <w:rStyle w:val="FootnoteReference"/>
        </w:rPr>
        <w:footnoteRef/>
      </w:r>
      <w:r>
        <w:t xml:space="preserve"> </w:t>
      </w:r>
      <w:r w:rsidRPr="00C13C40">
        <w:rPr>
          <w:i/>
        </w:rPr>
        <w:t xml:space="preserve">United States v. </w:t>
      </w:r>
      <w:r>
        <w:rPr>
          <w:i/>
        </w:rPr>
        <w:t>Styles</w:t>
      </w:r>
      <w:r w:rsidRPr="00C13C40">
        <w:t xml:space="preserve">, Criminal Docket No. </w:t>
      </w:r>
      <w:r>
        <w:t>1</w:t>
      </w:r>
      <w:r w:rsidRPr="00C13C40">
        <w:t>:</w:t>
      </w:r>
      <w:r>
        <w:t>06</w:t>
      </w:r>
      <w:r w:rsidRPr="00C13C40">
        <w:t>-</w:t>
      </w:r>
      <w:r>
        <w:t>CR</w:t>
      </w:r>
      <w:r w:rsidRPr="00C13C40">
        <w:t>-00</w:t>
      </w:r>
      <w:r>
        <w:t>013</w:t>
      </w:r>
      <w:r w:rsidRPr="00C13C40">
        <w:t>-</w:t>
      </w:r>
      <w:r>
        <w:t>001</w:t>
      </w:r>
      <w:r w:rsidRPr="00C13C40">
        <w:t xml:space="preserve">, </w:t>
      </w:r>
      <w:r>
        <w:t>Judgment at 1</w:t>
      </w:r>
      <w:r>
        <w:sym w:font="Symbol" w:char="F02D"/>
      </w:r>
      <w:r>
        <w:t>5</w:t>
      </w:r>
      <w:r w:rsidRPr="00C13C40">
        <w:t xml:space="preserve"> (E.D. </w:t>
      </w:r>
      <w:r>
        <w:t>Cal</w:t>
      </w:r>
      <w:r w:rsidRPr="00C13C40">
        <w:t xml:space="preserve">. </w:t>
      </w:r>
      <w:r>
        <w:t xml:space="preserve">filed Mar. 17, 2011, </w:t>
      </w:r>
      <w:r w:rsidRPr="00C876F0">
        <w:rPr>
          <w:i/>
        </w:rPr>
        <w:t>amended</w:t>
      </w:r>
      <w:r>
        <w:rPr>
          <w:i/>
        </w:rPr>
        <w:t xml:space="preserve"> </w:t>
      </w:r>
      <w:r>
        <w:t>June 15, 2011) (</w:t>
      </w:r>
      <w:r>
        <w:rPr>
          <w:i/>
        </w:rPr>
        <w:t>Judgment</w:t>
      </w:r>
      <w:r>
        <w:t>).</w:t>
      </w:r>
    </w:p>
  </w:footnote>
  <w:footnote w:id="14">
    <w:p w:rsidR="00FF0A0B" w:rsidRPr="00553F57" w:rsidRDefault="00FF0A0B" w:rsidP="0033243B">
      <w:pPr>
        <w:pStyle w:val="FootnoteText"/>
      </w:pPr>
      <w:r>
        <w:rPr>
          <w:rStyle w:val="FootnoteReference"/>
        </w:rPr>
        <w:footnoteRef/>
      </w:r>
      <w:r>
        <w:t xml:space="preserve"> </w:t>
      </w:r>
      <w:r w:rsidRPr="005457E5">
        <w:rPr>
          <w:i/>
        </w:rPr>
        <w:t>Id</w:t>
      </w:r>
      <w:r>
        <w:t xml:space="preserve">. at 5.  The court ordered Messrs. Styles and Freeman to pay this restitution joint and severally.  </w:t>
      </w:r>
      <w:r>
        <w:rPr>
          <w:i/>
        </w:rPr>
        <w:t>Id.</w:t>
      </w:r>
      <w:r>
        <w:t xml:space="preserve"> at 6.</w:t>
      </w:r>
    </w:p>
  </w:footnote>
  <w:footnote w:id="15">
    <w:p w:rsidR="00FF0A0B" w:rsidRDefault="00FF0A0B" w:rsidP="0033243B">
      <w:pPr>
        <w:pStyle w:val="FootnoteText"/>
      </w:pPr>
      <w:r>
        <w:rPr>
          <w:rStyle w:val="FootnoteReference"/>
        </w:rPr>
        <w:footnoteRef/>
      </w:r>
      <w:r>
        <w:t xml:space="preserve"> </w:t>
      </w:r>
      <w:r>
        <w:rPr>
          <w:i/>
        </w:rPr>
        <w:t>Id.</w:t>
      </w:r>
    </w:p>
  </w:footnote>
  <w:footnote w:id="16">
    <w:p w:rsidR="00FF0A0B" w:rsidRDefault="00FF0A0B" w:rsidP="0033243B">
      <w:pPr>
        <w:pStyle w:val="FootnoteText"/>
      </w:pPr>
      <w:r>
        <w:rPr>
          <w:rStyle w:val="FootnoteReference"/>
        </w:rPr>
        <w:footnoteRef/>
      </w:r>
      <w:r>
        <w:t xml:space="preserve"> 47 C.F.R. § 54.8(a)(4); </w:t>
      </w:r>
      <w:r>
        <w:rPr>
          <w:i/>
        </w:rPr>
        <w:t>see</w:t>
      </w:r>
      <w:r>
        <w:t xml:space="preserve"> </w:t>
      </w:r>
      <w:r>
        <w:rPr>
          <w:i/>
        </w:rPr>
        <w:t>Second Report and Order</w:t>
      </w:r>
      <w:r>
        <w:t>, 18 FCC Rcd at 9225–27, paras. 67–74.</w:t>
      </w:r>
    </w:p>
  </w:footnote>
  <w:footnote w:id="17">
    <w:p w:rsidR="00FF0A0B" w:rsidRDefault="00FF0A0B" w:rsidP="0033243B">
      <w:pPr>
        <w:pStyle w:val="FootnoteText"/>
      </w:pPr>
      <w:r>
        <w:rPr>
          <w:rStyle w:val="FootnoteReference"/>
        </w:rPr>
        <w:footnoteRef/>
      </w:r>
      <w:r>
        <w:t xml:space="preserve"> 47 C.F.R. §§ 54.8(a)(1), (d).</w:t>
      </w:r>
    </w:p>
  </w:footnote>
  <w:footnote w:id="18">
    <w:p w:rsidR="00FF0A0B" w:rsidRDefault="00FF0A0B" w:rsidP="0033243B">
      <w:pPr>
        <w:pStyle w:val="FootnoteText"/>
      </w:pPr>
      <w:r>
        <w:rPr>
          <w:rStyle w:val="FootnoteReference"/>
        </w:rPr>
        <w:footnoteRef/>
      </w:r>
      <w:r>
        <w:t xml:space="preserve"> </w:t>
      </w:r>
      <w:r>
        <w:rPr>
          <w:i/>
        </w:rPr>
        <w:t>Second Report and Order</w:t>
      </w:r>
      <w:r>
        <w:t>, 18 FCC Rcd at 9226, para. 69; 47 C.F.R. § 54.8(e)(1).</w:t>
      </w:r>
    </w:p>
  </w:footnote>
  <w:footnote w:id="19">
    <w:p w:rsidR="00FF0A0B" w:rsidRDefault="00FF0A0B" w:rsidP="0033243B">
      <w:pPr>
        <w:pStyle w:val="FootnoteText"/>
        <w:rPr>
          <w:lang w:val="es-ES"/>
        </w:rPr>
      </w:pPr>
      <w:r>
        <w:rPr>
          <w:rStyle w:val="FootnoteReference"/>
        </w:rPr>
        <w:footnoteRef/>
      </w:r>
      <w:r>
        <w:rPr>
          <w:lang w:val="es-ES"/>
        </w:rPr>
        <w:t xml:space="preserve"> 47 C.F.R. § 54.8(e)(4).</w:t>
      </w:r>
    </w:p>
  </w:footnote>
  <w:footnote w:id="20">
    <w:p w:rsidR="00FF0A0B" w:rsidRDefault="00FF0A0B" w:rsidP="0033243B">
      <w:pPr>
        <w:pStyle w:val="FootnoteText"/>
        <w:rPr>
          <w:lang w:val="es-ES"/>
        </w:rPr>
      </w:pPr>
      <w:r>
        <w:rPr>
          <w:rStyle w:val="FootnoteReference"/>
        </w:rPr>
        <w:footnoteRef/>
      </w:r>
      <w:r>
        <w:rPr>
          <w:lang w:val="es-ES"/>
        </w:rPr>
        <w:t xml:space="preserve"> </w:t>
      </w:r>
      <w:r>
        <w:rPr>
          <w:i/>
          <w:lang w:val="es-ES"/>
        </w:rPr>
        <w:t>Id</w:t>
      </w:r>
      <w:r>
        <w:rPr>
          <w:lang w:val="es-ES"/>
        </w:rPr>
        <w:t>.</w:t>
      </w:r>
    </w:p>
  </w:footnote>
  <w:footnote w:id="21">
    <w:p w:rsidR="00FF0A0B" w:rsidRDefault="00FF0A0B" w:rsidP="0033243B">
      <w:pPr>
        <w:pStyle w:val="FootnoteText"/>
      </w:pPr>
      <w:r>
        <w:rPr>
          <w:rStyle w:val="FootnoteReference"/>
        </w:rPr>
        <w:footnoteRef/>
      </w:r>
      <w:r>
        <w:t xml:space="preserve"> 47 C.F.R. § 54.8(f).</w:t>
      </w:r>
    </w:p>
  </w:footnote>
  <w:footnote w:id="22">
    <w:p w:rsidR="00FF0A0B" w:rsidRDefault="00FF0A0B" w:rsidP="0033243B">
      <w:pPr>
        <w:pStyle w:val="FootnoteText"/>
      </w:pPr>
      <w:r>
        <w:rPr>
          <w:rStyle w:val="FootnoteReference"/>
        </w:rPr>
        <w:footnoteRef/>
      </w:r>
      <w:r>
        <w:t xml:space="preserve"> </w:t>
      </w:r>
      <w:r>
        <w:rPr>
          <w:i/>
        </w:rPr>
        <w:t>Second Report and Order</w:t>
      </w:r>
      <w:r>
        <w:t>, 18 FCC Rcd at 9226, para. 70; 47 C.F.R. §§ 54.8(e)(5), (f).</w:t>
      </w:r>
    </w:p>
  </w:footnote>
  <w:footnote w:id="23">
    <w:p w:rsidR="00FF0A0B" w:rsidRDefault="00FF0A0B" w:rsidP="0033243B">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healthcare support mechanism, and the low-income support mechanism.”  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 § 54.8(a)(1).</w:t>
      </w:r>
    </w:p>
  </w:footnote>
  <w:footnote w:id="24">
    <w:p w:rsidR="00FF0A0B" w:rsidRDefault="00FF0A0B" w:rsidP="0033243B">
      <w:pPr>
        <w:pStyle w:val="FootnoteText"/>
      </w:pPr>
      <w:r>
        <w:rPr>
          <w:rStyle w:val="FootnoteReference"/>
        </w:rPr>
        <w:footnoteRef/>
      </w:r>
      <w:r>
        <w:t xml:space="preserve"> </w:t>
      </w:r>
      <w:r>
        <w:rPr>
          <w:i/>
        </w:rPr>
        <w:t>Id</w:t>
      </w:r>
      <w:r>
        <w:t>. § 54.8(b).</w:t>
      </w:r>
    </w:p>
  </w:footnote>
  <w:footnote w:id="25">
    <w:p w:rsidR="00FF0A0B" w:rsidRDefault="00FF0A0B" w:rsidP="0033243B">
      <w:pPr>
        <w:pStyle w:val="FootnoteText"/>
      </w:pPr>
      <w:r>
        <w:rPr>
          <w:rStyle w:val="FootnoteReference"/>
        </w:rPr>
        <w:footnoteRef/>
      </w:r>
      <w:r>
        <w:t xml:space="preserve"> </w:t>
      </w:r>
      <w:r>
        <w:rPr>
          <w:i/>
        </w:rPr>
        <w:t xml:space="preserve">Second Report and Order, </w:t>
      </w:r>
      <w:r>
        <w:t>18 FCC Rcd at 9226, para. 70; 47 C.F.R. § 54.8(e)(3).</w:t>
      </w:r>
    </w:p>
  </w:footnote>
  <w:footnote w:id="26">
    <w:p w:rsidR="00FF0A0B" w:rsidRDefault="00FF0A0B" w:rsidP="0033243B">
      <w:pPr>
        <w:pStyle w:val="FootnoteText"/>
      </w:pPr>
      <w:r>
        <w:rPr>
          <w:rStyle w:val="FootnoteReference"/>
        </w:rPr>
        <w:footnoteRef/>
      </w:r>
      <w:r>
        <w:t xml:space="preserve"> </w:t>
      </w:r>
      <w:r>
        <w:rPr>
          <w:i/>
        </w:rPr>
        <w:t xml:space="preserve">Second Report and Order, </w:t>
      </w:r>
      <w:r>
        <w:t>18 FCC Rcd at 9226, para. 70; 47 C.F.R. § 54.8(e)(5).</w:t>
      </w:r>
    </w:p>
  </w:footnote>
  <w:footnote w:id="27">
    <w:p w:rsidR="00FF0A0B" w:rsidRDefault="00FF0A0B" w:rsidP="0033243B">
      <w:pPr>
        <w:pStyle w:val="FootnoteText"/>
      </w:pPr>
      <w:r>
        <w:rPr>
          <w:rStyle w:val="FootnoteReference"/>
        </w:rPr>
        <w:footnoteRef/>
      </w:r>
      <w:r>
        <w:t xml:space="preserve"> 47 C.F.R. § 54.8(e)(5).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8">
    <w:p w:rsidR="00FF0A0B" w:rsidRDefault="00FF0A0B" w:rsidP="0033243B">
      <w:pPr>
        <w:pStyle w:val="FootnoteText"/>
      </w:pPr>
      <w:r>
        <w:rPr>
          <w:rStyle w:val="FootnoteReference"/>
        </w:rPr>
        <w:footnoteRef/>
      </w:r>
      <w:r>
        <w:t xml:space="preserve"> </w:t>
      </w:r>
      <w:r>
        <w:rPr>
          <w:i/>
        </w:rPr>
        <w:t>Second Report and Order</w:t>
      </w:r>
      <w:r>
        <w:t>, 18 FCC Rcd at 9225, para. 67; 47 C.F.R. § 54.8(d), (g).</w:t>
      </w:r>
    </w:p>
  </w:footnote>
  <w:footnote w:id="29">
    <w:p w:rsidR="00FF0A0B" w:rsidRDefault="00FF0A0B" w:rsidP="0033243B">
      <w:pPr>
        <w:pStyle w:val="FootnoteText"/>
      </w:pPr>
      <w:r>
        <w:rPr>
          <w:rStyle w:val="FootnoteReference"/>
        </w:rPr>
        <w:footnoteRef/>
      </w:r>
      <w:r>
        <w:t xml:space="preserve"> 47 C.F.R. § 54.8(g).</w:t>
      </w:r>
    </w:p>
  </w:footnote>
  <w:footnote w:id="30">
    <w:p w:rsidR="00FF0A0B" w:rsidRDefault="00FF0A0B" w:rsidP="0033243B">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E0" w:rsidRDefault="007C1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0B" w:rsidRPr="00174359" w:rsidRDefault="00FF0A0B" w:rsidP="00174359">
    <w:pPr>
      <w:rPr>
        <w:sz w:val="22"/>
        <w:szCs w:val="22"/>
      </w:rPr>
    </w:pPr>
    <w:r>
      <w:rPr>
        <w:sz w:val="22"/>
        <w:szCs w:val="22"/>
      </w:rPr>
      <w:t>Gregory Paul Styles</w:t>
    </w:r>
  </w:p>
  <w:p w:rsidR="00FF0A0B" w:rsidRPr="00174359" w:rsidRDefault="00BB7249" w:rsidP="00174359">
    <w:pPr>
      <w:rPr>
        <w:rStyle w:val="PageNumber"/>
        <w:sz w:val="22"/>
        <w:szCs w:val="22"/>
      </w:rPr>
    </w:pPr>
    <w:r>
      <w:rPr>
        <w:rStyle w:val="PageNumber"/>
        <w:sz w:val="22"/>
        <w:szCs w:val="22"/>
      </w:rPr>
      <w:t>August 26</w:t>
    </w:r>
    <w:r w:rsidR="00FF0A0B" w:rsidRPr="00174359">
      <w:rPr>
        <w:rStyle w:val="PageNumber"/>
        <w:sz w:val="22"/>
        <w:szCs w:val="22"/>
      </w:rPr>
      <w:t>, 2014</w:t>
    </w:r>
  </w:p>
  <w:p w:rsidR="00FF0A0B" w:rsidRPr="00174359" w:rsidRDefault="00FF0A0B"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0A147E">
      <w:rPr>
        <w:rStyle w:val="PageNumber"/>
        <w:noProof/>
        <w:sz w:val="22"/>
        <w:szCs w:val="22"/>
      </w:rPr>
      <w:t>2</w:t>
    </w:r>
    <w:r w:rsidRPr="00174359">
      <w:rPr>
        <w:rStyle w:val="PageNumber"/>
        <w:sz w:val="22"/>
        <w:szCs w:val="22"/>
      </w:rPr>
      <w:fldChar w:fldCharType="end"/>
    </w:r>
  </w:p>
  <w:p w:rsidR="00FF0A0B" w:rsidRDefault="00FF0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0B" w:rsidRDefault="000A147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0559769" r:id="rId2"/>
      </w:pict>
    </w:r>
    <w:r w:rsidR="00FF0A0B">
      <w:rPr>
        <w:rFonts w:ascii="CG Times (W1)" w:hAnsi="CG Times (W1)"/>
        <w:sz w:val="28"/>
      </w:rPr>
      <w:t>Federal Communications Commission</w:t>
    </w:r>
  </w:p>
  <w:p w:rsidR="00FF0A0B" w:rsidRDefault="00FF0A0B">
    <w:pPr>
      <w:jc w:val="center"/>
    </w:pPr>
    <w:r>
      <w:rPr>
        <w:rFonts w:ascii="CG Times (W1)" w:hAnsi="CG Times (W1)"/>
        <w:sz w:val="28"/>
      </w:rPr>
      <w:t>Washington, D.C. 20554</w:t>
    </w:r>
  </w:p>
  <w:p w:rsidR="00FF0A0B" w:rsidRDefault="00FF0A0B">
    <w:pPr>
      <w:pStyle w:val="Header"/>
      <w:tabs>
        <w:tab w:val="clear" w:pos="4320"/>
      </w:tabs>
      <w:jc w:val="center"/>
      <w:rPr>
        <w:sz w:val="22"/>
      </w:rPr>
    </w:pPr>
  </w:p>
  <w:p w:rsidR="00FF0A0B" w:rsidRDefault="00FF0A0B">
    <w:pPr>
      <w:pStyle w:val="Header"/>
      <w:tabs>
        <w:tab w:val="clear" w:pos="4320"/>
      </w:tabs>
      <w:jc w:val="center"/>
      <w:rPr>
        <w:sz w:val="22"/>
      </w:rPr>
    </w:pPr>
  </w:p>
  <w:p w:rsidR="00FF0A0B" w:rsidRDefault="006C6DD4">
    <w:pPr>
      <w:pStyle w:val="Header"/>
      <w:tabs>
        <w:tab w:val="clear" w:pos="4320"/>
      </w:tabs>
      <w:jc w:val="center"/>
      <w:rPr>
        <w:sz w:val="24"/>
      </w:rPr>
    </w:pPr>
    <w:r>
      <w:rPr>
        <w:sz w:val="24"/>
      </w:rPr>
      <w:t>August 26</w:t>
    </w:r>
    <w:r w:rsidR="00D84336">
      <w:rPr>
        <w:sz w:val="24"/>
      </w:rPr>
      <w:t>, 2014</w:t>
    </w:r>
  </w:p>
  <w:p w:rsidR="00D53743" w:rsidRDefault="00D53743">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A147E"/>
    <w:rsid w:val="000C57F3"/>
    <w:rsid w:val="000D2A77"/>
    <w:rsid w:val="00102473"/>
    <w:rsid w:val="00174359"/>
    <w:rsid w:val="00181EC7"/>
    <w:rsid w:val="001821FE"/>
    <w:rsid w:val="001A609C"/>
    <w:rsid w:val="002040C0"/>
    <w:rsid w:val="00204CE3"/>
    <w:rsid w:val="0021448B"/>
    <w:rsid w:val="002A5FE8"/>
    <w:rsid w:val="002B54DB"/>
    <w:rsid w:val="0033243B"/>
    <w:rsid w:val="003A71D9"/>
    <w:rsid w:val="003E0325"/>
    <w:rsid w:val="003F468A"/>
    <w:rsid w:val="004556EA"/>
    <w:rsid w:val="004D3B53"/>
    <w:rsid w:val="004D69FC"/>
    <w:rsid w:val="00535C0B"/>
    <w:rsid w:val="00542DF5"/>
    <w:rsid w:val="00553F57"/>
    <w:rsid w:val="005E7D77"/>
    <w:rsid w:val="00664348"/>
    <w:rsid w:val="006B59B7"/>
    <w:rsid w:val="006B7C21"/>
    <w:rsid w:val="006C6DD4"/>
    <w:rsid w:val="0079326D"/>
    <w:rsid w:val="007933CB"/>
    <w:rsid w:val="007C13E0"/>
    <w:rsid w:val="007D2871"/>
    <w:rsid w:val="00812997"/>
    <w:rsid w:val="0081534E"/>
    <w:rsid w:val="008954F7"/>
    <w:rsid w:val="009836A6"/>
    <w:rsid w:val="00991996"/>
    <w:rsid w:val="00A17E5A"/>
    <w:rsid w:val="00A744F5"/>
    <w:rsid w:val="00AC40AA"/>
    <w:rsid w:val="00AF478E"/>
    <w:rsid w:val="00B6681A"/>
    <w:rsid w:val="00B74B0F"/>
    <w:rsid w:val="00BB7249"/>
    <w:rsid w:val="00BD03A2"/>
    <w:rsid w:val="00C55C72"/>
    <w:rsid w:val="00C77FC2"/>
    <w:rsid w:val="00C876F0"/>
    <w:rsid w:val="00C942DE"/>
    <w:rsid w:val="00C94C96"/>
    <w:rsid w:val="00CA345B"/>
    <w:rsid w:val="00CD5C56"/>
    <w:rsid w:val="00D53743"/>
    <w:rsid w:val="00D84336"/>
    <w:rsid w:val="00DF22CD"/>
    <w:rsid w:val="00F020DE"/>
    <w:rsid w:val="00F2256A"/>
    <w:rsid w:val="00F337A5"/>
    <w:rsid w:val="00F343DF"/>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
    <w:basedOn w:val="Normal"/>
    <w:link w:val="FootnoteTextChar"/>
    <w:autoRedefine/>
    <w:semiHidden/>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
    <w:basedOn w:val="DefaultParagraphFont"/>
    <w:link w:val="FootnoteText"/>
    <w:rsid w:val="00174359"/>
    <w:rPr>
      <w:rFonts w:eastAsia="PMingLiU"/>
    </w:rPr>
  </w:style>
  <w:style w:type="character" w:styleId="FootnoteReference">
    <w:name w:val="footnote reference"/>
    <w:semiHidden/>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B"/>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
    <w:basedOn w:val="Normal"/>
    <w:link w:val="FootnoteTextChar"/>
    <w:autoRedefine/>
    <w:semiHidden/>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
    <w:basedOn w:val="DefaultParagraphFont"/>
    <w:link w:val="FootnoteText"/>
    <w:rsid w:val="00174359"/>
    <w:rPr>
      <w:rFonts w:eastAsia="PMingLiU"/>
    </w:rPr>
  </w:style>
  <w:style w:type="character" w:styleId="FootnoteReference">
    <w:name w:val="footnote reference"/>
    <w:semiHidden/>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1127</Words>
  <Characters>6495</Characters>
  <Application>Microsoft Office Word</Application>
  <DocSecurity>0</DocSecurity>
  <Lines>119</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2014-08-25T16:21:00Z</cp:lastPrinted>
  <dcterms:created xsi:type="dcterms:W3CDTF">2014-08-26T16:03:00Z</dcterms:created>
  <dcterms:modified xsi:type="dcterms:W3CDTF">2014-08-26T16:03:00Z</dcterms:modified>
  <cp:category> </cp:category>
  <cp:contentStatus> </cp:contentStatus>
</cp:coreProperties>
</file>