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E3" w:rsidRDefault="00204CE3">
      <w:pPr>
        <w:rPr>
          <w:sz w:val="22"/>
          <w:szCs w:val="22"/>
        </w:rPr>
      </w:pPr>
      <w:bookmarkStart w:id="0" w:name="_GoBack"/>
      <w:bookmarkEnd w:id="0"/>
    </w:p>
    <w:p w:rsidR="007E2E9B" w:rsidRDefault="007E2E9B" w:rsidP="007E2E9B">
      <w:pPr>
        <w:jc w:val="right"/>
        <w:rPr>
          <w:b/>
          <w:szCs w:val="24"/>
        </w:rPr>
      </w:pPr>
      <w:r w:rsidRPr="00190932">
        <w:rPr>
          <w:b/>
          <w:bCs/>
          <w:szCs w:val="24"/>
        </w:rPr>
        <w:t>DA 14-</w:t>
      </w:r>
      <w:r w:rsidR="002F0D14">
        <w:rPr>
          <w:b/>
          <w:bCs/>
          <w:szCs w:val="24"/>
        </w:rPr>
        <w:t>1231</w:t>
      </w:r>
    </w:p>
    <w:p w:rsidR="007E2E9B" w:rsidRPr="001F6014" w:rsidRDefault="007E2E9B" w:rsidP="007E2E9B">
      <w:pPr>
        <w:rPr>
          <w:szCs w:val="24"/>
        </w:rPr>
      </w:pPr>
    </w:p>
    <w:p w:rsidR="007E2E9B" w:rsidRPr="00190932" w:rsidRDefault="007E2E9B" w:rsidP="007E2E9B">
      <w:pPr>
        <w:pStyle w:val="Heading1"/>
        <w:rPr>
          <w:b/>
          <w:szCs w:val="24"/>
        </w:rPr>
      </w:pPr>
      <w:r w:rsidRPr="00190932">
        <w:rPr>
          <w:b/>
          <w:szCs w:val="24"/>
          <w:u w:val="single"/>
        </w:rPr>
        <w:t>SENT</w:t>
      </w:r>
      <w:r w:rsidRPr="00190932">
        <w:rPr>
          <w:szCs w:val="24"/>
          <w:u w:val="single"/>
        </w:rPr>
        <w:t xml:space="preserve"> </w:t>
      </w:r>
      <w:r w:rsidRPr="00190932">
        <w:rPr>
          <w:b/>
          <w:szCs w:val="24"/>
          <w:u w:val="single"/>
        </w:rPr>
        <w:t>VIA CERTIFIED MAIL, RETURN RECEIPT REQUESTED</w:t>
      </w:r>
    </w:p>
    <w:p w:rsidR="007E2E9B" w:rsidRPr="00190932" w:rsidRDefault="007E2E9B" w:rsidP="007E2E9B">
      <w:pPr>
        <w:rPr>
          <w:szCs w:val="24"/>
        </w:rPr>
      </w:pPr>
    </w:p>
    <w:p w:rsidR="007E2E9B" w:rsidRDefault="007E2E9B" w:rsidP="007E2E9B">
      <w:pPr>
        <w:rPr>
          <w:szCs w:val="24"/>
        </w:rPr>
      </w:pPr>
      <w:r>
        <w:rPr>
          <w:szCs w:val="24"/>
        </w:rPr>
        <w:t>Ms. Donna P. English</w:t>
      </w:r>
    </w:p>
    <w:p w:rsidR="007E2E9B" w:rsidRDefault="007E2E9B" w:rsidP="007E2E9B">
      <w:pPr>
        <w:rPr>
          <w:rFonts w:eastAsia="Times New Roman"/>
          <w:color w:val="000000"/>
          <w:szCs w:val="24"/>
        </w:rPr>
      </w:pPr>
      <w:r>
        <w:rPr>
          <w:rFonts w:eastAsia="Times New Roman"/>
          <w:color w:val="000000"/>
          <w:szCs w:val="24"/>
        </w:rPr>
        <w:t>225 Warren Road</w:t>
      </w:r>
    </w:p>
    <w:p w:rsidR="007E2E9B" w:rsidRDefault="007E2E9B" w:rsidP="007E2E9B">
      <w:pPr>
        <w:rPr>
          <w:rFonts w:eastAsia="Times New Roman"/>
          <w:color w:val="000000"/>
          <w:szCs w:val="24"/>
        </w:rPr>
      </w:pPr>
      <w:r>
        <w:rPr>
          <w:rFonts w:eastAsia="Times New Roman"/>
          <w:color w:val="000000"/>
          <w:szCs w:val="24"/>
        </w:rPr>
        <w:t>Michigan City</w:t>
      </w:r>
      <w:r w:rsidRPr="00774669">
        <w:rPr>
          <w:rFonts w:eastAsia="Times New Roman"/>
          <w:color w:val="000000"/>
          <w:szCs w:val="24"/>
        </w:rPr>
        <w:t>, I</w:t>
      </w:r>
      <w:r>
        <w:rPr>
          <w:rFonts w:eastAsia="Times New Roman"/>
          <w:color w:val="000000"/>
          <w:szCs w:val="24"/>
        </w:rPr>
        <w:t>N</w:t>
      </w:r>
      <w:r w:rsidRPr="00774669">
        <w:rPr>
          <w:rFonts w:eastAsia="Times New Roman"/>
          <w:color w:val="000000"/>
          <w:szCs w:val="24"/>
        </w:rPr>
        <w:t xml:space="preserve"> </w:t>
      </w:r>
      <w:r>
        <w:rPr>
          <w:rFonts w:eastAsia="Times New Roman"/>
          <w:color w:val="000000"/>
          <w:szCs w:val="24"/>
        </w:rPr>
        <w:t>46360</w:t>
      </w:r>
    </w:p>
    <w:p w:rsidR="007E2E9B" w:rsidRPr="00190932" w:rsidRDefault="007E2E9B" w:rsidP="007E2E9B">
      <w:pPr>
        <w:rPr>
          <w:szCs w:val="24"/>
        </w:rPr>
      </w:pPr>
    </w:p>
    <w:p w:rsidR="007E2E9B" w:rsidRPr="00F92D40" w:rsidRDefault="007E2E9B" w:rsidP="007E2E9B">
      <w:pPr>
        <w:ind w:right="720" w:firstLine="720"/>
        <w:rPr>
          <w:szCs w:val="24"/>
        </w:rPr>
      </w:pPr>
      <w:r w:rsidRPr="00D7736E">
        <w:rPr>
          <w:szCs w:val="24"/>
        </w:rPr>
        <w:t>Re:</w:t>
      </w:r>
      <w:r w:rsidRPr="00AF3092">
        <w:rPr>
          <w:szCs w:val="24"/>
        </w:rPr>
        <w:t xml:space="preserve">  </w:t>
      </w:r>
      <w:r w:rsidRPr="00F92D40">
        <w:rPr>
          <w:szCs w:val="24"/>
        </w:rPr>
        <w:t>Notice of Suspension and Initiation of Debarment Proceeding</w:t>
      </w:r>
    </w:p>
    <w:p w:rsidR="007E2E9B" w:rsidRPr="00DA0BAF" w:rsidRDefault="007E2E9B" w:rsidP="007E2E9B">
      <w:pPr>
        <w:ind w:left="720" w:right="720" w:firstLine="450"/>
        <w:rPr>
          <w:b/>
          <w:szCs w:val="24"/>
        </w:rPr>
      </w:pPr>
      <w:r w:rsidRPr="00DA0BAF">
        <w:rPr>
          <w:szCs w:val="24"/>
        </w:rPr>
        <w:t>File No. EB-IHD</w:t>
      </w:r>
      <w:r>
        <w:rPr>
          <w:szCs w:val="24"/>
        </w:rPr>
        <w:t>-</w:t>
      </w:r>
      <w:r w:rsidRPr="00DA0BAF">
        <w:rPr>
          <w:szCs w:val="24"/>
        </w:rPr>
        <w:t>14</w:t>
      </w:r>
      <w:r>
        <w:rPr>
          <w:szCs w:val="24"/>
        </w:rPr>
        <w:t>-00015686</w:t>
      </w:r>
    </w:p>
    <w:p w:rsidR="007E2E9B" w:rsidRPr="00190932" w:rsidRDefault="007E2E9B" w:rsidP="007E2E9B">
      <w:pPr>
        <w:rPr>
          <w:szCs w:val="24"/>
        </w:rPr>
      </w:pPr>
    </w:p>
    <w:p w:rsidR="007E2E9B" w:rsidRPr="00190932" w:rsidRDefault="007E2E9B" w:rsidP="007E2E9B">
      <w:pPr>
        <w:rPr>
          <w:szCs w:val="24"/>
        </w:rPr>
      </w:pPr>
      <w:r w:rsidRPr="00190932">
        <w:rPr>
          <w:szCs w:val="24"/>
        </w:rPr>
        <w:t>Dear M</w:t>
      </w:r>
      <w:r>
        <w:rPr>
          <w:szCs w:val="24"/>
        </w:rPr>
        <w:t>s.</w:t>
      </w:r>
      <w:r w:rsidRPr="00190932">
        <w:rPr>
          <w:szCs w:val="24"/>
        </w:rPr>
        <w:t xml:space="preserve"> </w:t>
      </w:r>
      <w:r>
        <w:rPr>
          <w:szCs w:val="24"/>
        </w:rPr>
        <w:t>English</w:t>
      </w:r>
      <w:r w:rsidRPr="00190932">
        <w:rPr>
          <w:szCs w:val="24"/>
        </w:rPr>
        <w:t>:</w:t>
      </w:r>
    </w:p>
    <w:p w:rsidR="007E2E9B" w:rsidRPr="00190932" w:rsidRDefault="007E2E9B" w:rsidP="007E2E9B">
      <w:pPr>
        <w:rPr>
          <w:szCs w:val="24"/>
        </w:rPr>
      </w:pPr>
    </w:p>
    <w:p w:rsidR="007E2E9B" w:rsidRDefault="007E2E9B" w:rsidP="007E2E9B">
      <w:pPr>
        <w:ind w:firstLine="720"/>
        <w:rPr>
          <w:szCs w:val="24"/>
        </w:rPr>
      </w:pPr>
      <w:r w:rsidRPr="00A3098A">
        <w:rPr>
          <w:szCs w:val="24"/>
        </w:rPr>
        <w:t xml:space="preserve">The Federal Communications Commission (Commission) has received notice of your </w:t>
      </w:r>
      <w:r>
        <w:rPr>
          <w:szCs w:val="24"/>
        </w:rPr>
        <w:t>conviction for</w:t>
      </w:r>
      <w:r w:rsidRPr="00A3098A">
        <w:rPr>
          <w:szCs w:val="24"/>
        </w:rPr>
        <w:t xml:space="preserve"> </w:t>
      </w:r>
      <w:r>
        <w:rPr>
          <w:szCs w:val="24"/>
        </w:rPr>
        <w:t xml:space="preserve">several offenses, including </w:t>
      </w:r>
      <w:r w:rsidRPr="00A3098A">
        <w:rPr>
          <w:szCs w:val="24"/>
        </w:rPr>
        <w:t xml:space="preserve">mail </w:t>
      </w:r>
      <w:r>
        <w:rPr>
          <w:szCs w:val="24"/>
        </w:rPr>
        <w:t xml:space="preserve">and wire </w:t>
      </w:r>
      <w:r w:rsidRPr="00A3098A">
        <w:rPr>
          <w:szCs w:val="24"/>
        </w:rPr>
        <w:t>fraud</w:t>
      </w:r>
      <w:r>
        <w:rPr>
          <w:szCs w:val="24"/>
        </w:rPr>
        <w:t xml:space="preserve"> </w:t>
      </w:r>
      <w:r w:rsidRPr="00A3098A">
        <w:rPr>
          <w:szCs w:val="24"/>
        </w:rPr>
        <w:t>in violation of 18</w:t>
      </w:r>
      <w:r>
        <w:rPr>
          <w:szCs w:val="24"/>
        </w:rPr>
        <w:t> </w:t>
      </w:r>
      <w:r w:rsidRPr="00A3098A">
        <w:rPr>
          <w:szCs w:val="24"/>
        </w:rPr>
        <w:t>U.S.C</w:t>
      </w:r>
      <w:r>
        <w:rPr>
          <w:szCs w:val="24"/>
        </w:rPr>
        <w:t> </w:t>
      </w:r>
      <w:r w:rsidRPr="00BF4B32">
        <w:rPr>
          <w:szCs w:val="24"/>
        </w:rPr>
        <w:t>§</w:t>
      </w:r>
      <w:r w:rsidRPr="00A3098A">
        <w:rPr>
          <w:szCs w:val="24"/>
        </w:rPr>
        <w:t>§</w:t>
      </w:r>
      <w:r>
        <w:rPr>
          <w:szCs w:val="24"/>
        </w:rPr>
        <w:t> 1341 and 1343,</w:t>
      </w:r>
      <w:r w:rsidRPr="00A3098A">
        <w:rPr>
          <w:szCs w:val="24"/>
        </w:rPr>
        <w:t xml:space="preserve"> </w:t>
      </w:r>
      <w:r>
        <w:rPr>
          <w:szCs w:val="24"/>
        </w:rPr>
        <w:t xml:space="preserve">arising out of activities </w:t>
      </w:r>
      <w:r w:rsidRPr="00BF4B32">
        <w:rPr>
          <w:szCs w:val="24"/>
        </w:rPr>
        <w:t>associated with the federal schools and libraries universal service support mechanism (E-Rate program).</w:t>
      </w:r>
      <w:r w:rsidRPr="00BF4B32">
        <w:rPr>
          <w:rStyle w:val="FootnoteReference"/>
          <w:szCs w:val="24"/>
        </w:rPr>
        <w:footnoteReference w:id="1"/>
      </w:r>
      <w:r w:rsidRPr="00BF4B32">
        <w:rPr>
          <w:szCs w:val="24"/>
        </w:rPr>
        <w:t xml:space="preserve">  Consequently, pursuant to 47 C.F.R. § 54.8, this letter constitutes official notice of your suspension from the E-Rate program.</w:t>
      </w:r>
      <w:r w:rsidRPr="00BF4B32">
        <w:rPr>
          <w:rStyle w:val="FootnoteReference"/>
          <w:szCs w:val="24"/>
        </w:rPr>
        <w:footnoteReference w:id="2"/>
      </w:r>
      <w:r w:rsidRPr="00BF4B32">
        <w:rPr>
          <w:szCs w:val="24"/>
        </w:rPr>
        <w:t xml:space="preserve">  In addition, the Enforcement Bureau (Bureau)</w:t>
      </w:r>
      <w:r w:rsidRPr="00F92D40">
        <w:rPr>
          <w:szCs w:val="24"/>
        </w:rPr>
        <w:t xml:space="preserve"> hereby notifies you that </w:t>
      </w:r>
      <w:r w:rsidRPr="00DA0BAF">
        <w:rPr>
          <w:szCs w:val="24"/>
        </w:rPr>
        <w:t>the Bureau will commence debarment proceedings against you.</w:t>
      </w:r>
      <w:r w:rsidRPr="00F92D40">
        <w:rPr>
          <w:rStyle w:val="FootnoteReference"/>
          <w:szCs w:val="24"/>
        </w:rPr>
        <w:footnoteReference w:id="3"/>
      </w:r>
    </w:p>
    <w:p w:rsidR="007E2E9B" w:rsidRPr="00F92D40" w:rsidRDefault="007E2E9B" w:rsidP="00617ECF">
      <w:pPr>
        <w:rPr>
          <w:szCs w:val="24"/>
        </w:rPr>
      </w:pPr>
    </w:p>
    <w:p w:rsidR="007E2E9B" w:rsidRPr="00D7736E" w:rsidRDefault="007E2E9B" w:rsidP="007E2E9B">
      <w:pPr>
        <w:keepNext/>
        <w:numPr>
          <w:ilvl w:val="0"/>
          <w:numId w:val="1"/>
        </w:numPr>
        <w:rPr>
          <w:szCs w:val="24"/>
        </w:rPr>
      </w:pPr>
      <w:r w:rsidRPr="00F92D40">
        <w:rPr>
          <w:b/>
          <w:szCs w:val="24"/>
        </w:rPr>
        <w:t>Notice of Suspension</w:t>
      </w:r>
    </w:p>
    <w:p w:rsidR="007E2E9B" w:rsidRPr="00F92D40" w:rsidRDefault="007E2E9B" w:rsidP="007E2E9B">
      <w:pPr>
        <w:keepNext/>
        <w:ind w:left="720"/>
        <w:rPr>
          <w:szCs w:val="24"/>
        </w:rPr>
      </w:pPr>
    </w:p>
    <w:p w:rsidR="007E2E9B" w:rsidRPr="005C6E3B" w:rsidRDefault="007E2E9B" w:rsidP="00617ECF">
      <w:pPr>
        <w:ind w:firstLine="720"/>
        <w:rPr>
          <w:sz w:val="22"/>
          <w:szCs w:val="22"/>
        </w:rPr>
      </w:pPr>
      <w:r w:rsidRPr="00190932">
        <w:rPr>
          <w:szCs w:val="24"/>
        </w:rPr>
        <w:t xml:space="preserve">The Commission has established procedures to prevent persons who have “defrauded the government or engaged in similar acts through activities associated with or related to the </w:t>
      </w:r>
      <w:r w:rsidRPr="004175BF">
        <w:rPr>
          <w:szCs w:val="24"/>
        </w:rPr>
        <w:t>[E-Rate program]” from receiving the benefits associated with that program.</w:t>
      </w:r>
      <w:r w:rsidRPr="004175BF">
        <w:rPr>
          <w:rStyle w:val="FootnoteReference"/>
          <w:szCs w:val="24"/>
        </w:rPr>
        <w:footnoteReference w:id="4"/>
      </w:r>
      <w:r w:rsidRPr="004175BF">
        <w:rPr>
          <w:szCs w:val="24"/>
        </w:rPr>
        <w:t xml:space="preserve">  T</w:t>
      </w:r>
      <w:r w:rsidRPr="004175BF">
        <w:rPr>
          <w:rFonts w:eastAsia="Times New Roman"/>
          <w:szCs w:val="24"/>
        </w:rPr>
        <w:t xml:space="preserve">he statutory </w:t>
      </w:r>
      <w:r w:rsidRPr="00382F52">
        <w:rPr>
          <w:rFonts w:eastAsia="Times New Roman"/>
          <w:szCs w:val="24"/>
        </w:rPr>
        <w:t xml:space="preserve">provisions </w:t>
      </w:r>
      <w:r w:rsidRPr="00382F52">
        <w:rPr>
          <w:rFonts w:eastAsia="Times New Roman"/>
          <w:szCs w:val="24"/>
        </w:rPr>
        <w:lastRenderedPageBreak/>
        <w:t>and Commission rules relating to the E-Rate program are designed to ensure</w:t>
      </w:r>
      <w:r w:rsidR="00617ECF">
        <w:rPr>
          <w:rFonts w:eastAsia="Times New Roman"/>
          <w:szCs w:val="24"/>
        </w:rPr>
        <w:t xml:space="preserve"> </w:t>
      </w:r>
      <w:r w:rsidRPr="00382F52">
        <w:rPr>
          <w:rFonts w:eastAsia="Times New Roman"/>
          <w:szCs w:val="24"/>
        </w:rPr>
        <w:t>E-Rate funds are used for their intended purpose</w:t>
      </w:r>
      <w:r w:rsidRPr="00382F52">
        <w:rPr>
          <w:szCs w:val="24"/>
        </w:rPr>
        <w:t>.</w:t>
      </w:r>
      <w:r w:rsidRPr="00382F52">
        <w:rPr>
          <w:rStyle w:val="FootnoteReference"/>
          <w:szCs w:val="24"/>
        </w:rPr>
        <w:footnoteReference w:id="5"/>
      </w:r>
      <w:r w:rsidRPr="00382F52">
        <w:rPr>
          <w:szCs w:val="24"/>
        </w:rPr>
        <w:t xml:space="preserve">  </w:t>
      </w:r>
      <w:r w:rsidRPr="005952A4">
        <w:rPr>
          <w:szCs w:val="24"/>
        </w:rPr>
        <w:t>Schools may receive E-Rate program funding for eligible goods and services by filing application forms, seeking competitive bids, and selecting the most cost-effective vendor.</w:t>
      </w:r>
      <w:r w:rsidRPr="005952A4">
        <w:rPr>
          <w:rStyle w:val="FootnoteReference"/>
          <w:szCs w:val="24"/>
        </w:rPr>
        <w:footnoteReference w:id="6"/>
      </w:r>
      <w:r w:rsidRPr="005952A4">
        <w:rPr>
          <w:szCs w:val="24"/>
        </w:rPr>
        <w:t xml:space="preserve">  </w:t>
      </w:r>
      <w:r>
        <w:rPr>
          <w:szCs w:val="24"/>
        </w:rPr>
        <w:t>T</w:t>
      </w:r>
      <w:r w:rsidRPr="005952A4">
        <w:rPr>
          <w:szCs w:val="24"/>
        </w:rPr>
        <w:t>he E-</w:t>
      </w:r>
      <w:r>
        <w:rPr>
          <w:szCs w:val="24"/>
        </w:rPr>
        <w:t>R</w:t>
      </w:r>
      <w:r w:rsidRPr="005952A4">
        <w:rPr>
          <w:szCs w:val="24"/>
        </w:rPr>
        <w:t>ate program rules prohibit an E-Rate vendor or anyone associated with an E-Rate vendor from participating in the application process or vendor selection.</w:t>
      </w:r>
      <w:r w:rsidRPr="005952A4">
        <w:rPr>
          <w:rStyle w:val="FootnoteReference"/>
          <w:szCs w:val="24"/>
        </w:rPr>
        <w:footnoteReference w:id="7"/>
      </w:r>
      <w:bookmarkStart w:id="5" w:name="FN[FN14]"/>
      <w:bookmarkEnd w:id="5"/>
    </w:p>
    <w:p w:rsidR="007E2E9B" w:rsidRDefault="007E2E9B" w:rsidP="007E2E9B">
      <w:pPr>
        <w:spacing w:before="100" w:beforeAutospacing="1" w:after="240"/>
        <w:ind w:firstLine="720"/>
        <w:rPr>
          <w:szCs w:val="24"/>
        </w:rPr>
      </w:pPr>
      <w:r>
        <w:rPr>
          <w:szCs w:val="24"/>
        </w:rPr>
        <w:t>I</w:t>
      </w:r>
      <w:r w:rsidRPr="006963DB">
        <w:rPr>
          <w:szCs w:val="24"/>
        </w:rPr>
        <w:t xml:space="preserve">n </w:t>
      </w:r>
      <w:r>
        <w:rPr>
          <w:szCs w:val="24"/>
        </w:rPr>
        <w:t xml:space="preserve">December </w:t>
      </w:r>
      <w:r w:rsidRPr="006963DB">
        <w:rPr>
          <w:szCs w:val="24"/>
        </w:rPr>
        <w:t>201</w:t>
      </w:r>
      <w:r>
        <w:rPr>
          <w:szCs w:val="24"/>
        </w:rPr>
        <w:t>0</w:t>
      </w:r>
      <w:r w:rsidRPr="006963DB">
        <w:rPr>
          <w:szCs w:val="24"/>
        </w:rPr>
        <w:t xml:space="preserve">, </w:t>
      </w:r>
      <w:r w:rsidRPr="00A3098A">
        <w:rPr>
          <w:szCs w:val="24"/>
        </w:rPr>
        <w:t xml:space="preserve">you pled guilty to </w:t>
      </w:r>
      <w:r w:rsidRPr="00FA7FD0">
        <w:rPr>
          <w:szCs w:val="24"/>
        </w:rPr>
        <w:t xml:space="preserve">knowingly </w:t>
      </w:r>
      <w:r>
        <w:rPr>
          <w:szCs w:val="24"/>
        </w:rPr>
        <w:t xml:space="preserve">devising a scheme to fraudulently obtain money from </w:t>
      </w:r>
      <w:r w:rsidRPr="00FA7FD0">
        <w:rPr>
          <w:szCs w:val="24"/>
        </w:rPr>
        <w:t>the E-Rate program</w:t>
      </w:r>
      <w:r>
        <w:rPr>
          <w:szCs w:val="24"/>
        </w:rPr>
        <w:t>.</w:t>
      </w:r>
      <w:r w:rsidRPr="00A3098A">
        <w:rPr>
          <w:rStyle w:val="FootnoteReference"/>
          <w:szCs w:val="24"/>
        </w:rPr>
        <w:footnoteReference w:id="8"/>
      </w:r>
      <w:r w:rsidRPr="00A3098A">
        <w:rPr>
          <w:szCs w:val="24"/>
        </w:rPr>
        <w:t xml:space="preserve"> </w:t>
      </w:r>
      <w:r w:rsidRPr="00FA7FD0">
        <w:rPr>
          <w:szCs w:val="24"/>
        </w:rPr>
        <w:t xml:space="preserve"> </w:t>
      </w:r>
      <w:r>
        <w:rPr>
          <w:szCs w:val="24"/>
        </w:rPr>
        <w:t>You perpetrated this scheme as the</w:t>
      </w:r>
      <w:r w:rsidRPr="00A3098A">
        <w:rPr>
          <w:szCs w:val="24"/>
        </w:rPr>
        <w:t xml:space="preserve"> owner of </w:t>
      </w:r>
      <w:r>
        <w:rPr>
          <w:szCs w:val="24"/>
        </w:rPr>
        <w:t xml:space="preserve">Project Managers, Inc. </w:t>
      </w:r>
      <w:r w:rsidRPr="00A3098A">
        <w:rPr>
          <w:szCs w:val="24"/>
        </w:rPr>
        <w:t>(</w:t>
      </w:r>
      <w:r>
        <w:rPr>
          <w:szCs w:val="24"/>
        </w:rPr>
        <w:t>PMI</w:t>
      </w:r>
      <w:r w:rsidRPr="00A3098A">
        <w:rPr>
          <w:szCs w:val="24"/>
        </w:rPr>
        <w:t>)</w:t>
      </w:r>
      <w:r>
        <w:rPr>
          <w:szCs w:val="24"/>
        </w:rPr>
        <w:t>, a self-styled information technology consulting company</w:t>
      </w:r>
      <w:r w:rsidRPr="00A3098A">
        <w:rPr>
          <w:szCs w:val="24"/>
        </w:rPr>
        <w:t xml:space="preserve"> in </w:t>
      </w:r>
      <w:r>
        <w:rPr>
          <w:szCs w:val="24"/>
        </w:rPr>
        <w:t xml:space="preserve">Michigan City, Indiana, that purported to provide technological services to and </w:t>
      </w:r>
      <w:r w:rsidRPr="00A3098A">
        <w:rPr>
          <w:szCs w:val="24"/>
        </w:rPr>
        <w:t xml:space="preserve">assist </w:t>
      </w:r>
      <w:r>
        <w:rPr>
          <w:szCs w:val="24"/>
        </w:rPr>
        <w:t>the River Forest Community School Corporation (RFCSC) in its</w:t>
      </w:r>
      <w:r w:rsidRPr="00A3098A">
        <w:rPr>
          <w:szCs w:val="24"/>
        </w:rPr>
        <w:t xml:space="preserve"> efforts to qualify for E-Rate funding</w:t>
      </w:r>
      <w:r>
        <w:rPr>
          <w:szCs w:val="24"/>
        </w:rPr>
        <w:t>.</w:t>
      </w:r>
      <w:r>
        <w:rPr>
          <w:rStyle w:val="FootnoteReference"/>
          <w:szCs w:val="24"/>
        </w:rPr>
        <w:footnoteReference w:id="9"/>
      </w:r>
      <w:r>
        <w:rPr>
          <w:szCs w:val="24"/>
        </w:rPr>
        <w:t xml:space="preserve">  </w:t>
      </w:r>
      <w:r w:rsidRPr="005952A4">
        <w:rPr>
          <w:szCs w:val="24"/>
        </w:rPr>
        <w:t xml:space="preserve">Specifically, </w:t>
      </w:r>
      <w:r>
        <w:rPr>
          <w:szCs w:val="24"/>
        </w:rPr>
        <w:t xml:space="preserve">from </w:t>
      </w:r>
      <w:r w:rsidRPr="005952A4">
        <w:rPr>
          <w:szCs w:val="24"/>
        </w:rPr>
        <w:t>200</w:t>
      </w:r>
      <w:r>
        <w:rPr>
          <w:szCs w:val="24"/>
        </w:rPr>
        <w:t>2 through 2007</w:t>
      </w:r>
      <w:r w:rsidRPr="005952A4">
        <w:rPr>
          <w:szCs w:val="24"/>
        </w:rPr>
        <w:t>, you</w:t>
      </w:r>
      <w:r>
        <w:rPr>
          <w:szCs w:val="24"/>
        </w:rPr>
        <w:t xml:space="preserve"> </w:t>
      </w:r>
      <w:r w:rsidRPr="005952A4">
        <w:rPr>
          <w:szCs w:val="24"/>
        </w:rPr>
        <w:t xml:space="preserve">violated </w:t>
      </w:r>
      <w:r>
        <w:rPr>
          <w:szCs w:val="24"/>
        </w:rPr>
        <w:t xml:space="preserve">the </w:t>
      </w:r>
      <w:r w:rsidRPr="005952A4">
        <w:rPr>
          <w:szCs w:val="24"/>
        </w:rPr>
        <w:t>E-Rate program rules by completing, submitting</w:t>
      </w:r>
      <w:r>
        <w:rPr>
          <w:szCs w:val="24"/>
        </w:rPr>
        <w:t>,</w:t>
      </w:r>
      <w:r w:rsidRPr="005952A4">
        <w:rPr>
          <w:szCs w:val="24"/>
        </w:rPr>
        <w:t xml:space="preserve"> and fraudulently </w:t>
      </w:r>
      <w:r>
        <w:rPr>
          <w:szCs w:val="24"/>
        </w:rPr>
        <w:t>certifying</w:t>
      </w:r>
      <w:r w:rsidRPr="005952A4">
        <w:rPr>
          <w:szCs w:val="24"/>
        </w:rPr>
        <w:t xml:space="preserve"> </w:t>
      </w:r>
      <w:r w:rsidR="00617ECF">
        <w:rPr>
          <w:szCs w:val="24"/>
        </w:rPr>
        <w:t>E-</w:t>
      </w:r>
      <w:r w:rsidRPr="005952A4">
        <w:rPr>
          <w:szCs w:val="24"/>
        </w:rPr>
        <w:t xml:space="preserve">Rate </w:t>
      </w:r>
      <w:r>
        <w:rPr>
          <w:szCs w:val="24"/>
        </w:rPr>
        <w:t xml:space="preserve">program </w:t>
      </w:r>
      <w:r w:rsidRPr="005952A4">
        <w:rPr>
          <w:szCs w:val="24"/>
        </w:rPr>
        <w:t xml:space="preserve">applications (FCC Forms 470, 471, </w:t>
      </w:r>
      <w:r>
        <w:rPr>
          <w:szCs w:val="24"/>
        </w:rPr>
        <w:t xml:space="preserve">474, </w:t>
      </w:r>
      <w:r w:rsidRPr="005952A4">
        <w:rPr>
          <w:szCs w:val="24"/>
        </w:rPr>
        <w:t xml:space="preserve">and 486) on behalf of </w:t>
      </w:r>
      <w:r>
        <w:rPr>
          <w:szCs w:val="24"/>
        </w:rPr>
        <w:t>RFCSC.</w:t>
      </w:r>
      <w:r w:rsidRPr="00A3098A">
        <w:rPr>
          <w:rStyle w:val="FootnoteReference"/>
          <w:szCs w:val="24"/>
        </w:rPr>
        <w:footnoteReference w:id="10"/>
      </w:r>
      <w:r w:rsidRPr="00A3098A">
        <w:rPr>
          <w:szCs w:val="24"/>
        </w:rPr>
        <w:t xml:space="preserve">  </w:t>
      </w:r>
      <w:r>
        <w:rPr>
          <w:szCs w:val="24"/>
        </w:rPr>
        <w:t xml:space="preserve">In addition, </w:t>
      </w:r>
      <w:r w:rsidRPr="00A3098A">
        <w:rPr>
          <w:szCs w:val="24"/>
        </w:rPr>
        <w:t xml:space="preserve">you </w:t>
      </w:r>
      <w:r>
        <w:rPr>
          <w:szCs w:val="24"/>
        </w:rPr>
        <w:t>submitted false invoices to and received payment from RFCSC and USAC for a Cisco SMARTnet network maintenance agreement, Watchguard Internet Security Program Renewal, and technical service hours that you never provided to RFCSC.</w:t>
      </w:r>
      <w:r>
        <w:rPr>
          <w:rStyle w:val="FootnoteReference"/>
          <w:szCs w:val="24"/>
        </w:rPr>
        <w:footnoteReference w:id="11"/>
      </w:r>
      <w:r>
        <w:rPr>
          <w:szCs w:val="24"/>
        </w:rPr>
        <w:t xml:space="preserve">  You also sought cash advances from RFCSC for your purported E-Rate services, but never repaid the advances once the E-Rate program paid you.</w:t>
      </w:r>
      <w:r>
        <w:rPr>
          <w:rStyle w:val="FootnoteReference"/>
          <w:szCs w:val="24"/>
        </w:rPr>
        <w:footnoteReference w:id="12"/>
      </w:r>
    </w:p>
    <w:p w:rsidR="007E2E9B" w:rsidRPr="00F92D40" w:rsidRDefault="007E2E9B" w:rsidP="007E2E9B">
      <w:pPr>
        <w:spacing w:before="100" w:beforeAutospacing="1" w:after="240"/>
        <w:ind w:firstLine="720"/>
        <w:rPr>
          <w:szCs w:val="24"/>
        </w:rPr>
      </w:pPr>
      <w:r>
        <w:rPr>
          <w:szCs w:val="24"/>
        </w:rPr>
        <w:lastRenderedPageBreak/>
        <w:t>I</w:t>
      </w:r>
      <w:r w:rsidRPr="00190932">
        <w:rPr>
          <w:szCs w:val="24"/>
        </w:rPr>
        <w:t xml:space="preserve">n </w:t>
      </w:r>
      <w:r>
        <w:rPr>
          <w:szCs w:val="24"/>
        </w:rPr>
        <w:t>October 2011</w:t>
      </w:r>
      <w:r w:rsidRPr="00190932">
        <w:rPr>
          <w:szCs w:val="24"/>
        </w:rPr>
        <w:t>, the United St</w:t>
      </w:r>
      <w:r>
        <w:rPr>
          <w:szCs w:val="24"/>
        </w:rPr>
        <w:t>ates District Court for the North</w:t>
      </w:r>
      <w:r w:rsidRPr="00190932">
        <w:rPr>
          <w:szCs w:val="24"/>
        </w:rPr>
        <w:t xml:space="preserve">ern District of </w:t>
      </w:r>
      <w:r>
        <w:rPr>
          <w:szCs w:val="24"/>
        </w:rPr>
        <w:t>Indiana</w:t>
      </w:r>
      <w:r w:rsidRPr="00190932">
        <w:rPr>
          <w:szCs w:val="24"/>
        </w:rPr>
        <w:t xml:space="preserve"> sentenced you to</w:t>
      </w:r>
      <w:r>
        <w:rPr>
          <w:szCs w:val="24"/>
        </w:rPr>
        <w:t xml:space="preserve"> 27 months imprisonment followed by three years supervised release.</w:t>
      </w:r>
      <w:r w:rsidRPr="00F92D40">
        <w:rPr>
          <w:rStyle w:val="FootnoteReference"/>
          <w:szCs w:val="24"/>
        </w:rPr>
        <w:footnoteReference w:id="13"/>
      </w:r>
      <w:r w:rsidRPr="00F92D40">
        <w:rPr>
          <w:szCs w:val="24"/>
        </w:rPr>
        <w:t xml:space="preserve">  The court also ordered you to pay</w:t>
      </w:r>
      <w:r>
        <w:rPr>
          <w:szCs w:val="24"/>
        </w:rPr>
        <w:t xml:space="preserve"> $213,064</w:t>
      </w:r>
      <w:r w:rsidRPr="00190932">
        <w:rPr>
          <w:szCs w:val="24"/>
        </w:rPr>
        <w:t xml:space="preserve"> in restitution</w:t>
      </w:r>
      <w:r w:rsidRPr="00F92D40">
        <w:rPr>
          <w:szCs w:val="24"/>
        </w:rPr>
        <w:t xml:space="preserve"> </w:t>
      </w:r>
      <w:r>
        <w:rPr>
          <w:szCs w:val="24"/>
        </w:rPr>
        <w:t>and a $400 special assessment.</w:t>
      </w:r>
      <w:r>
        <w:rPr>
          <w:rStyle w:val="FootnoteReference"/>
          <w:szCs w:val="24"/>
        </w:rPr>
        <w:footnoteReference w:id="14"/>
      </w:r>
    </w:p>
    <w:p w:rsidR="00617ECF" w:rsidRDefault="007E2E9B" w:rsidP="007E2E9B">
      <w:pPr>
        <w:ind w:firstLine="720"/>
        <w:rPr>
          <w:szCs w:val="24"/>
        </w:rPr>
      </w:pPr>
      <w:r w:rsidRPr="00190932">
        <w:rPr>
          <w:szCs w:val="24"/>
        </w:rPr>
        <w:t>Pursuant to Section 54.8(b) of the Commission’s rules,</w:t>
      </w:r>
      <w:r w:rsidRPr="00190932">
        <w:rPr>
          <w:rStyle w:val="FootnoteReference"/>
          <w:szCs w:val="24"/>
        </w:rPr>
        <w:footnoteReference w:id="15"/>
      </w:r>
      <w:r w:rsidRPr="00190932">
        <w:rPr>
          <w:szCs w:val="24"/>
        </w:rPr>
        <w:t xml:space="preserve"> your conviction </w:t>
      </w:r>
      <w:r>
        <w:rPr>
          <w:szCs w:val="24"/>
        </w:rPr>
        <w:t xml:space="preserve">requires </w:t>
      </w:r>
      <w:r w:rsidRPr="00190932">
        <w:rPr>
          <w:szCs w:val="24"/>
        </w:rPr>
        <w:t>the Bureau to suspend you from participating in any activities associated with or related to the</w:t>
      </w:r>
    </w:p>
    <w:p w:rsidR="007E2E9B" w:rsidRDefault="007E2E9B" w:rsidP="00617ECF">
      <w:pPr>
        <w:rPr>
          <w:szCs w:val="24"/>
        </w:rPr>
      </w:pPr>
      <w:r w:rsidRPr="00190932">
        <w:rPr>
          <w:szCs w:val="24"/>
        </w:rPr>
        <w:t>E</w:t>
      </w:r>
      <w:r w:rsidR="00617ECF">
        <w:rPr>
          <w:szCs w:val="24"/>
        </w:rPr>
        <w:t>-</w:t>
      </w:r>
      <w:r w:rsidRPr="00190932">
        <w:rPr>
          <w:szCs w:val="24"/>
        </w:rPr>
        <w:t>Rate program, including the receipt of funds or discounted services through the E-Rate program, or consulting with, assisting, or advising applicants or service providers regarding the E-Rate program.</w:t>
      </w:r>
      <w:r w:rsidRPr="00190932">
        <w:rPr>
          <w:rStyle w:val="FootnoteReference"/>
          <w:szCs w:val="24"/>
        </w:rPr>
        <w:footnoteReference w:id="16"/>
      </w:r>
      <w:r w:rsidRPr="00190932">
        <w:rPr>
          <w:szCs w:val="24"/>
        </w:rPr>
        <w:t xml:space="preserve">  Your suspension becomes effective upon either your receipt of this letter or its publication in the Federal Register, whichever comes first.</w:t>
      </w:r>
      <w:r w:rsidRPr="00190932">
        <w:rPr>
          <w:rStyle w:val="FootnoteReference"/>
          <w:szCs w:val="24"/>
        </w:rPr>
        <w:footnoteReference w:id="17"/>
      </w:r>
    </w:p>
    <w:p w:rsidR="007E2E9B" w:rsidRPr="00190932" w:rsidRDefault="007E2E9B" w:rsidP="007E2E9B">
      <w:pPr>
        <w:ind w:firstLine="720"/>
        <w:rPr>
          <w:szCs w:val="24"/>
        </w:rPr>
      </w:pPr>
    </w:p>
    <w:p w:rsidR="007E2E9B" w:rsidRPr="00190932" w:rsidRDefault="007E2E9B" w:rsidP="007E2E9B">
      <w:pPr>
        <w:ind w:firstLine="720"/>
        <w:rPr>
          <w:szCs w:val="24"/>
        </w:rPr>
      </w:pPr>
      <w:r w:rsidRPr="00190932">
        <w:rPr>
          <w:szCs w:val="24"/>
        </w:rPr>
        <w:t>In accordance with the Commission’s suspension and debarment rules, you may contest this suspension or the scope of this suspension by filing arguments, with any relevant documents, within thirty (30) calendar days of your receipt of this letter or its publication in the Federal Register, whichever comes first.</w:t>
      </w:r>
      <w:r w:rsidRPr="00190932">
        <w:rPr>
          <w:rStyle w:val="FootnoteReference"/>
          <w:szCs w:val="24"/>
        </w:rPr>
        <w:footnoteReference w:id="18"/>
      </w:r>
      <w:r w:rsidRPr="00190932">
        <w:rPr>
          <w:szCs w:val="24"/>
        </w:rPr>
        <w:t xml:space="preserve">  Such requests, however, will not ordinarily be granted.</w:t>
      </w:r>
      <w:r w:rsidRPr="00190932">
        <w:rPr>
          <w:rStyle w:val="FootnoteReference"/>
          <w:szCs w:val="24"/>
        </w:rPr>
        <w:footnoteReference w:id="19"/>
      </w:r>
      <w:r w:rsidRPr="00190932">
        <w:rPr>
          <w:szCs w:val="24"/>
        </w:rPr>
        <w:t xml:space="preserve">  The Bureau may reverse or limit the scope of a suspension only upon a finding of extraordinary circumstances.</w:t>
      </w:r>
      <w:r w:rsidRPr="00190932">
        <w:rPr>
          <w:rStyle w:val="FootnoteReference"/>
          <w:szCs w:val="24"/>
        </w:rPr>
        <w:footnoteReference w:id="20"/>
      </w:r>
      <w:r w:rsidRPr="00190932">
        <w:rPr>
          <w:szCs w:val="24"/>
        </w:rPr>
        <w:t xml:space="preserve">  The Bureau will decide any request to reverse or modify a suspension within ninety (90) calendar days of its receipt of such request.</w:t>
      </w:r>
      <w:r w:rsidRPr="00190932">
        <w:rPr>
          <w:rStyle w:val="FootnoteReference"/>
          <w:szCs w:val="24"/>
        </w:rPr>
        <w:footnoteReference w:id="21"/>
      </w:r>
    </w:p>
    <w:p w:rsidR="007E2E9B" w:rsidRPr="00190932" w:rsidRDefault="007E2E9B" w:rsidP="007E2E9B">
      <w:pPr>
        <w:rPr>
          <w:szCs w:val="24"/>
        </w:rPr>
      </w:pPr>
    </w:p>
    <w:p w:rsidR="007E2E9B" w:rsidRPr="00190932" w:rsidRDefault="007E2E9B" w:rsidP="007E2E9B">
      <w:pPr>
        <w:numPr>
          <w:ilvl w:val="0"/>
          <w:numId w:val="1"/>
        </w:numPr>
        <w:rPr>
          <w:szCs w:val="24"/>
        </w:rPr>
      </w:pPr>
      <w:r w:rsidRPr="00190932">
        <w:rPr>
          <w:b/>
          <w:szCs w:val="24"/>
        </w:rPr>
        <w:t>Initiation of Debarment Proceedings</w:t>
      </w:r>
    </w:p>
    <w:p w:rsidR="007E2E9B" w:rsidRPr="00190932" w:rsidRDefault="007E2E9B" w:rsidP="007E2E9B">
      <w:pPr>
        <w:tabs>
          <w:tab w:val="left" w:pos="540"/>
        </w:tabs>
        <w:rPr>
          <w:szCs w:val="24"/>
        </w:rPr>
      </w:pPr>
    </w:p>
    <w:p w:rsidR="007E2E9B" w:rsidRPr="00F92D40" w:rsidRDefault="007E2E9B" w:rsidP="007E2E9B">
      <w:pPr>
        <w:ind w:firstLine="720"/>
        <w:rPr>
          <w:szCs w:val="24"/>
        </w:rPr>
      </w:pPr>
      <w:r w:rsidRPr="00190932">
        <w:rPr>
          <w:szCs w:val="24"/>
        </w:rPr>
        <w:t>In addition to requiring your immediate suspension from the E-Rate program, your conviction is cause for debarment as defined in Section 54.8(c) of the Commission’s rules.</w:t>
      </w:r>
      <w:r w:rsidRPr="00190932">
        <w:rPr>
          <w:rStyle w:val="FootnoteReference"/>
          <w:szCs w:val="24"/>
        </w:rPr>
        <w:footnoteReference w:id="22"/>
      </w:r>
      <w:r w:rsidRPr="00190932">
        <w:rPr>
          <w:szCs w:val="24"/>
        </w:rPr>
        <w:t xml:space="preserve">  Therefore, pursuant to Section 54.8(b) of the Commission’s rules, your conviction requires the Bureau to commence debarment proceedings against you.</w:t>
      </w:r>
      <w:r w:rsidRPr="00190932">
        <w:rPr>
          <w:rStyle w:val="FootnoteReference"/>
          <w:szCs w:val="24"/>
        </w:rPr>
        <w:footnoteReference w:id="23"/>
      </w:r>
    </w:p>
    <w:p w:rsidR="007E2E9B" w:rsidRPr="00190932" w:rsidRDefault="007E2E9B" w:rsidP="007E2E9B">
      <w:pPr>
        <w:tabs>
          <w:tab w:val="left" w:pos="540"/>
        </w:tabs>
        <w:rPr>
          <w:szCs w:val="24"/>
        </w:rPr>
      </w:pPr>
    </w:p>
    <w:p w:rsidR="007E2E9B" w:rsidRDefault="007E2E9B" w:rsidP="007E2E9B">
      <w:pPr>
        <w:ind w:firstLine="720"/>
        <w:rPr>
          <w:szCs w:val="24"/>
        </w:rPr>
      </w:pPr>
      <w:r w:rsidRPr="00190932">
        <w:rPr>
          <w:szCs w:val="24"/>
        </w:rPr>
        <w:t>As with the suspension process, you may contest the proposed debarment or the scope of the proposed debarment by filing arguments and any relevant documentation within thirty (30) calendar days of receipt of this letter or its publication in the Federal Register, whichever comes first.</w:t>
      </w:r>
      <w:r w:rsidRPr="00190932">
        <w:rPr>
          <w:rStyle w:val="FootnoteReference"/>
          <w:szCs w:val="24"/>
        </w:rPr>
        <w:footnoteReference w:id="24"/>
      </w:r>
      <w:r w:rsidRPr="00190932">
        <w:rPr>
          <w:szCs w:val="24"/>
        </w:rPr>
        <w:t xml:space="preserve">  The Bureau, in the absence of extraordinary circumstances, will notify you of its decision to debar within ninety (90) calendar days of receiving any information you may have filed.</w:t>
      </w:r>
      <w:r w:rsidRPr="00190932">
        <w:rPr>
          <w:rStyle w:val="FootnoteReference"/>
          <w:szCs w:val="24"/>
        </w:rPr>
        <w:footnoteReference w:id="25"/>
      </w:r>
      <w:r w:rsidRPr="00F92D40">
        <w:rPr>
          <w:rStyle w:val="FootnoteReference"/>
          <w:szCs w:val="24"/>
        </w:rPr>
        <w:t xml:space="preserve"> </w:t>
      </w:r>
      <w:r w:rsidRPr="00190932">
        <w:rPr>
          <w:szCs w:val="24"/>
        </w:rPr>
        <w:t xml:space="preserve"> If the Bureau decides to debar you, its decision will become effective upon either your receipt of a debarment notice or publication of the decision in the Federal Register, whichever comes first.</w:t>
      </w:r>
      <w:r w:rsidRPr="00190932">
        <w:rPr>
          <w:rStyle w:val="FootnoteReference"/>
          <w:szCs w:val="24"/>
        </w:rPr>
        <w:footnoteReference w:id="26"/>
      </w:r>
    </w:p>
    <w:p w:rsidR="007E2E9B" w:rsidRPr="00190932" w:rsidRDefault="007E2E9B" w:rsidP="007E2E9B">
      <w:pPr>
        <w:tabs>
          <w:tab w:val="left" w:pos="540"/>
        </w:tabs>
        <w:rPr>
          <w:szCs w:val="24"/>
        </w:rPr>
      </w:pPr>
    </w:p>
    <w:p w:rsidR="007E2E9B" w:rsidRPr="00190932" w:rsidRDefault="007E2E9B" w:rsidP="007E2E9B">
      <w:pPr>
        <w:ind w:firstLine="720"/>
        <w:rPr>
          <w:szCs w:val="24"/>
        </w:rPr>
      </w:pPr>
      <w:r w:rsidRPr="00190932">
        <w:rPr>
          <w:szCs w:val="24"/>
        </w:rPr>
        <w:t>If and when your debarment becomes effective, you will be prohibited from participating in activities associated with or related to the E-Rate program for three years from the date of debarment.</w:t>
      </w:r>
      <w:r w:rsidRPr="00F92D40">
        <w:rPr>
          <w:rStyle w:val="FootnoteReference"/>
          <w:szCs w:val="24"/>
        </w:rPr>
        <w:footnoteReference w:id="27"/>
      </w:r>
      <w:r w:rsidRPr="00190932">
        <w:rPr>
          <w:szCs w:val="24"/>
        </w:rPr>
        <w:t xml:space="preserve">  The Bureau may set a longer debarment period or extend an existing debarment period if necessary to protect the public interest.</w:t>
      </w:r>
      <w:r w:rsidRPr="00190932">
        <w:rPr>
          <w:rStyle w:val="FootnoteReference"/>
          <w:szCs w:val="24"/>
        </w:rPr>
        <w:footnoteReference w:id="28"/>
      </w:r>
    </w:p>
    <w:p w:rsidR="007E2E9B" w:rsidRPr="00190932" w:rsidRDefault="007E2E9B" w:rsidP="007E2E9B">
      <w:pPr>
        <w:tabs>
          <w:tab w:val="left" w:pos="540"/>
        </w:tabs>
        <w:rPr>
          <w:szCs w:val="24"/>
        </w:rPr>
      </w:pPr>
    </w:p>
    <w:p w:rsidR="007E2E9B" w:rsidRPr="00190932" w:rsidRDefault="007E2E9B" w:rsidP="00077749">
      <w:pPr>
        <w:ind w:firstLine="720"/>
        <w:rPr>
          <w:szCs w:val="24"/>
        </w:rPr>
      </w:pPr>
      <w:r w:rsidRPr="00190932">
        <w:rPr>
          <w:szCs w:val="24"/>
        </w:rPr>
        <w:t>Please direct any response, if sent by messenger or hand delivery, to Marlene H. Dortch, Secretary, Federal Communications Commission, 445 12</w:t>
      </w:r>
      <w:r w:rsidRPr="00190932">
        <w:rPr>
          <w:szCs w:val="24"/>
          <w:vertAlign w:val="superscript"/>
        </w:rPr>
        <w:t>th</w:t>
      </w:r>
      <w:r>
        <w:rPr>
          <w:szCs w:val="24"/>
        </w:rPr>
        <w:t xml:space="preserve"> Street, S.W., Room </w:t>
      </w:r>
      <w:r w:rsidRPr="00190932">
        <w:rPr>
          <w:szCs w:val="24"/>
        </w:rPr>
        <w:t>TW-A325, Washington, D.C. 20554 and to the attention of Joy M. Ragsdale, Attorney</w:t>
      </w:r>
      <w:r w:rsidRPr="005D39C7">
        <w:rPr>
          <w:szCs w:val="24"/>
        </w:rPr>
        <w:t xml:space="preserve"> </w:t>
      </w:r>
      <w:r w:rsidRPr="00190932">
        <w:rPr>
          <w:szCs w:val="24"/>
        </w:rPr>
        <w:t>Advisor, Investigations and Hearings Division, Enforcement Bureau, Room 4-C330, Federal Communications Commission, 445 12</w:t>
      </w:r>
      <w:r w:rsidRPr="00190932">
        <w:rPr>
          <w:szCs w:val="24"/>
          <w:vertAlign w:val="superscript"/>
        </w:rPr>
        <w:t>th</w:t>
      </w:r>
      <w:r w:rsidRPr="00190932">
        <w:rPr>
          <w:szCs w:val="24"/>
        </w:rPr>
        <w:t xml:space="preserve"> Street, S.W., Washington, D.C. 20554 with a copy to Theresa Z. Cavanaugh, Division Chief, Investigations and Hearings Division, Enforcement Bureau, Room 4-C330, Federal Communications Commission, 445 12</w:t>
      </w:r>
      <w:r w:rsidRPr="00190932">
        <w:rPr>
          <w:szCs w:val="24"/>
          <w:vertAlign w:val="superscript"/>
        </w:rPr>
        <w:t>th</w:t>
      </w:r>
      <w:r w:rsidRPr="00190932">
        <w:rPr>
          <w:szCs w:val="24"/>
        </w:rPr>
        <w:t xml:space="preserve"> Street, S.W., Washington, D.C. 20554.  All messenger or hand delivery filings must be submitted without envelopes.</w:t>
      </w:r>
      <w:r w:rsidRPr="00190932">
        <w:rPr>
          <w:rStyle w:val="FootnoteReference"/>
          <w:szCs w:val="24"/>
        </w:rPr>
        <w:footnoteReference w:id="29"/>
      </w:r>
      <w:r w:rsidRPr="00190932">
        <w:rPr>
          <w:szCs w:val="24"/>
        </w:rPr>
        <w:t xml:space="preserve">  If sent by commercial overnight mail (other than U.S. Postal Service (USPS) Express Mail and Priority Mail), the response must be sent to the Federal Communications Commission, 9300 East Hampton Drive, Capitol Heights, Maryland 20743.  If sent by USPS First Class, Express Mail, or Priority Mail, the response should be addressed to Joy Ragsdale, Attorney Advisor, Investigations and Hearings Division, Enforcement Bureau, Federal Communications Commission, 445 12</w:t>
      </w:r>
      <w:r w:rsidRPr="00190932">
        <w:rPr>
          <w:szCs w:val="24"/>
          <w:vertAlign w:val="superscript"/>
        </w:rPr>
        <w:t>th</w:t>
      </w:r>
      <w:r w:rsidRPr="00190932">
        <w:rPr>
          <w:szCs w:val="24"/>
        </w:rPr>
        <w:t xml:space="preserve"> Street, S.W., Room 4-C330, Washington, D.C. 20554, with a copy to Theresa Z. Cavanaugh, Chief, Investigations and Hearings Division, Enforcement Bureau, Federal Communications Commission, 445 12</w:t>
      </w:r>
      <w:r w:rsidRPr="00190932">
        <w:rPr>
          <w:szCs w:val="24"/>
          <w:vertAlign w:val="superscript"/>
        </w:rPr>
        <w:t>th</w:t>
      </w:r>
      <w:r w:rsidRPr="00190932">
        <w:rPr>
          <w:szCs w:val="24"/>
        </w:rPr>
        <w:t xml:space="preserve"> Street, S.W., Room </w:t>
      </w:r>
      <w:r w:rsidR="00617ECF">
        <w:rPr>
          <w:szCs w:val="24"/>
        </w:rPr>
        <w:t>4-</w:t>
      </w:r>
      <w:r w:rsidRPr="00190932">
        <w:rPr>
          <w:szCs w:val="24"/>
        </w:rPr>
        <w:t xml:space="preserve">C330, Washington, D.C. 20554.  </w:t>
      </w:r>
      <w:r w:rsidRPr="00190932">
        <w:rPr>
          <w:color w:val="000000"/>
          <w:szCs w:val="24"/>
        </w:rPr>
        <w:t>You</w:t>
      </w:r>
      <w:r w:rsidRPr="00190932">
        <w:rPr>
          <w:szCs w:val="24"/>
        </w:rPr>
        <w:t xml:space="preserve"> shall also transmit a copy of your response via </w:t>
      </w:r>
      <w:r w:rsidR="00617ECF">
        <w:rPr>
          <w:szCs w:val="24"/>
        </w:rPr>
        <w:t>e-</w:t>
      </w:r>
      <w:r w:rsidRPr="00190932">
        <w:rPr>
          <w:szCs w:val="24"/>
        </w:rPr>
        <w:t>mail to Joy M. Ragsdale, Joy.Ragsdale@fcc.gov</w:t>
      </w:r>
      <w:r w:rsidRPr="00190932">
        <w:rPr>
          <w:b/>
          <w:szCs w:val="24"/>
        </w:rPr>
        <w:t xml:space="preserve"> </w:t>
      </w:r>
      <w:r w:rsidRPr="00190932">
        <w:rPr>
          <w:szCs w:val="24"/>
        </w:rPr>
        <w:t>and to Theresa Z. Cavanaugh, Terry.Cavanaugh@fcc.gov.</w:t>
      </w:r>
    </w:p>
    <w:p w:rsidR="007E2E9B" w:rsidRPr="00190932" w:rsidRDefault="007E2E9B" w:rsidP="007E2E9B">
      <w:pPr>
        <w:tabs>
          <w:tab w:val="left" w:pos="2250"/>
        </w:tabs>
        <w:ind w:firstLine="720"/>
        <w:rPr>
          <w:szCs w:val="24"/>
        </w:rPr>
      </w:pPr>
    </w:p>
    <w:p w:rsidR="007E2E9B" w:rsidRPr="00190932" w:rsidRDefault="007E2E9B" w:rsidP="007E2E9B">
      <w:pPr>
        <w:tabs>
          <w:tab w:val="left" w:pos="2250"/>
        </w:tabs>
        <w:ind w:firstLine="720"/>
        <w:rPr>
          <w:szCs w:val="24"/>
        </w:rPr>
      </w:pPr>
      <w:r w:rsidRPr="00190932">
        <w:rPr>
          <w:szCs w:val="24"/>
        </w:rPr>
        <w:t>If you have any questions, please contact Ms. Ragsdale via U.S. postal mail, e-mail, or by telephone at (202) 418-1697.  You may contact me at (202) 418-1553 or at the e-mail address noted above if Ms. Ragsdale is unavailable.</w:t>
      </w:r>
    </w:p>
    <w:p w:rsidR="007E2E9B" w:rsidRPr="00190932" w:rsidRDefault="007E2E9B" w:rsidP="007E2E9B">
      <w:pPr>
        <w:jc w:val="both"/>
        <w:rPr>
          <w:szCs w:val="24"/>
        </w:rPr>
      </w:pPr>
    </w:p>
    <w:p w:rsidR="007E2E9B" w:rsidRPr="00190932" w:rsidRDefault="007E2E9B" w:rsidP="007E2E9B">
      <w:pPr>
        <w:jc w:val="center"/>
        <w:rPr>
          <w:szCs w:val="24"/>
        </w:rPr>
      </w:pPr>
      <w:r w:rsidRPr="00190932">
        <w:rPr>
          <w:szCs w:val="24"/>
        </w:rPr>
        <w:t>Sincerely yours,</w:t>
      </w:r>
    </w:p>
    <w:p w:rsidR="007E2E9B" w:rsidRPr="00190932" w:rsidRDefault="007E2E9B" w:rsidP="007E2E9B">
      <w:pPr>
        <w:jc w:val="both"/>
        <w:rPr>
          <w:szCs w:val="24"/>
        </w:rPr>
      </w:pPr>
    </w:p>
    <w:p w:rsidR="007E2E9B" w:rsidRDefault="007E2E9B" w:rsidP="007E2E9B">
      <w:pPr>
        <w:jc w:val="both"/>
        <w:rPr>
          <w:szCs w:val="24"/>
        </w:rPr>
      </w:pPr>
    </w:p>
    <w:p w:rsidR="007E2E9B" w:rsidRPr="00190932" w:rsidRDefault="007E2E9B" w:rsidP="007E2E9B">
      <w:pPr>
        <w:jc w:val="both"/>
        <w:rPr>
          <w:szCs w:val="24"/>
        </w:rPr>
      </w:pPr>
    </w:p>
    <w:p w:rsidR="007E2E9B" w:rsidRPr="00190932" w:rsidRDefault="007E2E9B" w:rsidP="007E2E9B">
      <w:pPr>
        <w:jc w:val="both"/>
        <w:rPr>
          <w:szCs w:val="24"/>
        </w:rPr>
      </w:pPr>
    </w:p>
    <w:p w:rsidR="007E2E9B" w:rsidRPr="00190932" w:rsidRDefault="007E2E9B" w:rsidP="007E2E9B">
      <w:pPr>
        <w:tabs>
          <w:tab w:val="left" w:pos="3600"/>
        </w:tabs>
        <w:jc w:val="both"/>
        <w:rPr>
          <w:szCs w:val="24"/>
        </w:rPr>
      </w:pPr>
      <w:r w:rsidRPr="00190932">
        <w:rPr>
          <w:szCs w:val="24"/>
        </w:rPr>
        <w:tab/>
        <w:t xml:space="preserve"> Theresa Z. Cavanaugh</w:t>
      </w:r>
    </w:p>
    <w:p w:rsidR="007E2E9B" w:rsidRPr="00190932" w:rsidRDefault="007E2E9B" w:rsidP="007E2E9B">
      <w:pPr>
        <w:jc w:val="both"/>
        <w:rPr>
          <w:szCs w:val="24"/>
        </w:rPr>
      </w:pPr>
      <w:r w:rsidRPr="00190932">
        <w:rPr>
          <w:szCs w:val="24"/>
        </w:rPr>
        <w:tab/>
      </w:r>
      <w:r w:rsidRPr="00190932">
        <w:rPr>
          <w:szCs w:val="24"/>
        </w:rPr>
        <w:tab/>
      </w:r>
      <w:r w:rsidRPr="00190932">
        <w:rPr>
          <w:szCs w:val="24"/>
        </w:rPr>
        <w:tab/>
      </w:r>
      <w:r w:rsidRPr="00190932">
        <w:rPr>
          <w:szCs w:val="24"/>
        </w:rPr>
        <w:tab/>
      </w:r>
      <w:r w:rsidRPr="00190932">
        <w:rPr>
          <w:szCs w:val="24"/>
        </w:rPr>
        <w:tab/>
        <w:t xml:space="preserve"> Chief</w:t>
      </w:r>
    </w:p>
    <w:p w:rsidR="007E2E9B" w:rsidRPr="00190932" w:rsidRDefault="007E2E9B" w:rsidP="007E2E9B">
      <w:pPr>
        <w:pStyle w:val="BodyText2"/>
        <w:rPr>
          <w:szCs w:val="24"/>
        </w:rPr>
      </w:pPr>
      <w:r w:rsidRPr="00190932">
        <w:rPr>
          <w:szCs w:val="24"/>
        </w:rPr>
        <w:tab/>
      </w:r>
      <w:r w:rsidRPr="00190932">
        <w:rPr>
          <w:szCs w:val="24"/>
        </w:rPr>
        <w:tab/>
      </w:r>
      <w:r w:rsidRPr="00190932">
        <w:rPr>
          <w:szCs w:val="24"/>
        </w:rPr>
        <w:tab/>
      </w:r>
      <w:r w:rsidRPr="00190932">
        <w:rPr>
          <w:szCs w:val="24"/>
        </w:rPr>
        <w:tab/>
      </w:r>
      <w:r w:rsidRPr="00190932">
        <w:rPr>
          <w:szCs w:val="24"/>
        </w:rPr>
        <w:tab/>
        <w:t xml:space="preserve"> Investigations and Hearings Division</w:t>
      </w:r>
    </w:p>
    <w:p w:rsidR="007E2E9B" w:rsidRPr="00190932" w:rsidRDefault="007E2E9B" w:rsidP="007E2E9B">
      <w:pPr>
        <w:jc w:val="both"/>
        <w:rPr>
          <w:szCs w:val="24"/>
        </w:rPr>
      </w:pPr>
      <w:r w:rsidRPr="00190932">
        <w:rPr>
          <w:szCs w:val="24"/>
        </w:rPr>
        <w:tab/>
      </w:r>
      <w:r w:rsidRPr="00190932">
        <w:rPr>
          <w:szCs w:val="24"/>
        </w:rPr>
        <w:tab/>
      </w:r>
      <w:r w:rsidRPr="00190932">
        <w:rPr>
          <w:szCs w:val="24"/>
        </w:rPr>
        <w:tab/>
      </w:r>
      <w:r w:rsidRPr="00190932">
        <w:rPr>
          <w:szCs w:val="24"/>
        </w:rPr>
        <w:tab/>
      </w:r>
      <w:r w:rsidRPr="00190932">
        <w:rPr>
          <w:szCs w:val="24"/>
        </w:rPr>
        <w:tab/>
        <w:t xml:space="preserve"> Enforcement Bureau</w:t>
      </w:r>
    </w:p>
    <w:p w:rsidR="007E2E9B" w:rsidRDefault="007E2E9B" w:rsidP="007E2E9B">
      <w:pPr>
        <w:rPr>
          <w:szCs w:val="24"/>
        </w:rPr>
      </w:pPr>
    </w:p>
    <w:p w:rsidR="007E2E9B" w:rsidRPr="00667BB9" w:rsidRDefault="007E2E9B" w:rsidP="007E2E9B">
      <w:pPr>
        <w:ind w:left="540" w:hanging="540"/>
        <w:rPr>
          <w:szCs w:val="24"/>
        </w:rPr>
      </w:pPr>
      <w:r w:rsidRPr="00667BB9">
        <w:rPr>
          <w:szCs w:val="24"/>
        </w:rPr>
        <w:t>cc:  Johnnay Schrieber, Universal Service Administrative Company (via e-mail)</w:t>
      </w:r>
    </w:p>
    <w:p w:rsidR="007E2E9B" w:rsidRPr="00667BB9" w:rsidRDefault="007E2E9B" w:rsidP="007E2E9B">
      <w:pPr>
        <w:ind w:left="540" w:hanging="540"/>
        <w:rPr>
          <w:szCs w:val="24"/>
        </w:rPr>
      </w:pPr>
      <w:r w:rsidRPr="00667BB9">
        <w:rPr>
          <w:szCs w:val="24"/>
        </w:rPr>
        <w:t xml:space="preserve">      </w:t>
      </w:r>
      <w:r>
        <w:rPr>
          <w:szCs w:val="24"/>
        </w:rPr>
        <w:t xml:space="preserve"> </w:t>
      </w:r>
      <w:r w:rsidRPr="00667BB9">
        <w:rPr>
          <w:szCs w:val="24"/>
        </w:rPr>
        <w:t>Rashann Duvall, Universal Service Administrative Company (via e-mail)</w:t>
      </w:r>
    </w:p>
    <w:p w:rsidR="007E2E9B" w:rsidRPr="00667BB9" w:rsidRDefault="007E2E9B" w:rsidP="007E2E9B">
      <w:pPr>
        <w:rPr>
          <w:rFonts w:eastAsia="Times New Roman"/>
          <w:color w:val="000000"/>
          <w:szCs w:val="24"/>
        </w:rPr>
      </w:pPr>
      <w:r w:rsidRPr="00667BB9">
        <w:rPr>
          <w:szCs w:val="24"/>
        </w:rPr>
        <w:t xml:space="preserve">    </w:t>
      </w:r>
      <w:r>
        <w:rPr>
          <w:szCs w:val="24"/>
        </w:rPr>
        <w:t xml:space="preserve"> </w:t>
      </w:r>
      <w:r w:rsidRPr="00667BB9">
        <w:rPr>
          <w:szCs w:val="24"/>
        </w:rPr>
        <w:t xml:space="preserve"> </w:t>
      </w:r>
      <w:r>
        <w:rPr>
          <w:szCs w:val="24"/>
        </w:rPr>
        <w:t xml:space="preserve"> </w:t>
      </w:r>
      <w:r w:rsidRPr="00667BB9">
        <w:rPr>
          <w:szCs w:val="24"/>
        </w:rPr>
        <w:t xml:space="preserve">Jonathan M. Minkus, </w:t>
      </w:r>
      <w:r w:rsidRPr="00667BB9">
        <w:rPr>
          <w:rFonts w:eastAsia="Times New Roman"/>
          <w:color w:val="000000"/>
          <w:szCs w:val="24"/>
        </w:rPr>
        <w:t>Law Offices of Jonathan Minkus</w:t>
      </w:r>
      <w:r>
        <w:rPr>
          <w:rFonts w:eastAsia="Times New Roman"/>
          <w:color w:val="000000"/>
          <w:szCs w:val="24"/>
        </w:rPr>
        <w:t xml:space="preserve"> (via e-mail)</w:t>
      </w:r>
    </w:p>
    <w:p w:rsidR="007E2E9B" w:rsidRPr="00667BB9" w:rsidRDefault="007E2E9B" w:rsidP="007E2E9B">
      <w:pPr>
        <w:rPr>
          <w:szCs w:val="24"/>
        </w:rPr>
      </w:pPr>
      <w:r w:rsidRPr="00667BB9">
        <w:rPr>
          <w:szCs w:val="24"/>
        </w:rPr>
        <w:t xml:space="preserve">      </w:t>
      </w:r>
      <w:r>
        <w:rPr>
          <w:szCs w:val="24"/>
        </w:rPr>
        <w:t xml:space="preserve"> </w:t>
      </w:r>
      <w:r w:rsidRPr="00667BB9">
        <w:rPr>
          <w:szCs w:val="24"/>
        </w:rPr>
        <w:t>Toi Denise Houston, United States Attorney’s Office, Hammond, IN (via e-mail)</w:t>
      </w:r>
    </w:p>
    <w:p w:rsidR="007E2E9B" w:rsidRPr="00667BB9" w:rsidRDefault="00D20CDE" w:rsidP="007E2E9B">
      <w:pPr>
        <w:ind w:firstLine="270"/>
        <w:rPr>
          <w:szCs w:val="24"/>
        </w:rPr>
      </w:pPr>
      <w:r>
        <w:rPr>
          <w:szCs w:val="24"/>
        </w:rPr>
        <w:t xml:space="preserve">   Jennifer Dixton, United States Department of Justice, Antitrust Division</w:t>
      </w:r>
      <w:r w:rsidR="003A3D0F">
        <w:rPr>
          <w:szCs w:val="24"/>
        </w:rPr>
        <w:t xml:space="preserve"> (via e-mail)</w:t>
      </w:r>
    </w:p>
    <w:sectPr w:rsidR="007E2E9B" w:rsidRPr="00667BB9">
      <w:headerReference w:type="even" r:id="rId8"/>
      <w:headerReference w:type="default" r:id="rId9"/>
      <w:footerReference w:type="even" r:id="rId10"/>
      <w:footerReference w:type="default" r:id="rId11"/>
      <w:headerReference w:type="first" r:id="rId12"/>
      <w:footerReference w:type="first" r:id="rId13"/>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E8C" w:rsidRDefault="00961E8C">
      <w:r>
        <w:separator/>
      </w:r>
    </w:p>
  </w:endnote>
  <w:endnote w:type="continuationSeparator" w:id="0">
    <w:p w:rsidR="00961E8C" w:rsidRDefault="0096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7C" w:rsidRDefault="003877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7C" w:rsidRDefault="003877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7C" w:rsidRDefault="00387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E8C" w:rsidRDefault="00961E8C">
      <w:r>
        <w:separator/>
      </w:r>
    </w:p>
  </w:footnote>
  <w:footnote w:type="continuationSeparator" w:id="0">
    <w:p w:rsidR="00961E8C" w:rsidRDefault="00961E8C">
      <w:r>
        <w:continuationSeparator/>
      </w:r>
    </w:p>
  </w:footnote>
  <w:footnote w:id="1">
    <w:p w:rsidR="00617ECF" w:rsidRDefault="00617ECF" w:rsidP="007E2E9B">
      <w:pPr>
        <w:pStyle w:val="FootnoteText"/>
      </w:pPr>
      <w:r>
        <w:rPr>
          <w:rStyle w:val="FootnoteReference"/>
        </w:rPr>
        <w:footnoteRef/>
      </w:r>
      <w:r>
        <w:t xml:space="preserve"> Any further reference in this letter to “your conviction” refers to your guilty plea and subsequent sentencing in </w:t>
      </w:r>
      <w:r>
        <w:rPr>
          <w:i/>
        </w:rPr>
        <w:t>United States v. English</w:t>
      </w:r>
      <w:r>
        <w:t>,</w:t>
      </w:r>
      <w:r w:rsidRPr="004767F4">
        <w:t xml:space="preserve"> </w:t>
      </w:r>
      <w:r>
        <w:t xml:space="preserve">Case No. 2:10cr75-001, Plea Agreement (N.D. </w:t>
      </w:r>
      <w:r w:rsidRPr="00F85804">
        <w:t>I</w:t>
      </w:r>
      <w:r>
        <w:t>nd.</w:t>
      </w:r>
      <w:r w:rsidRPr="00F46C8E">
        <w:t>,</w:t>
      </w:r>
      <w:r>
        <w:t xml:space="preserve"> filed Dec. 6, 2010) (</w:t>
      </w:r>
      <w:r w:rsidRPr="00E17231">
        <w:rPr>
          <w:i/>
        </w:rPr>
        <w:t>Plea Agreement</w:t>
      </w:r>
      <w:r>
        <w:t>).</w:t>
      </w:r>
    </w:p>
  </w:footnote>
  <w:footnote w:id="2">
    <w:p w:rsidR="00617ECF" w:rsidRDefault="00617ECF" w:rsidP="007E2E9B">
      <w:pPr>
        <w:pStyle w:val="FootnoteText"/>
      </w:pPr>
      <w:r>
        <w:rPr>
          <w:rStyle w:val="FootnoteReference"/>
        </w:rPr>
        <w:footnoteRef/>
      </w:r>
      <w:r>
        <w:t xml:space="preserve"> 47 C.F.R. § 54.8.</w:t>
      </w:r>
    </w:p>
  </w:footnote>
  <w:footnote w:id="3">
    <w:p w:rsidR="00617ECF" w:rsidRDefault="00617ECF" w:rsidP="007E2E9B">
      <w:pPr>
        <w:pStyle w:val="FootnoteText"/>
      </w:pPr>
      <w:r>
        <w:rPr>
          <w:rStyle w:val="FootnoteReference"/>
        </w:rPr>
        <w:footnoteRef/>
      </w:r>
      <w:r>
        <w:t xml:space="preserve"> </w:t>
      </w:r>
      <w:r w:rsidRPr="00DA0784">
        <w:rPr>
          <w:i/>
        </w:rPr>
        <w:t>Id</w:t>
      </w:r>
      <w:r>
        <w:t>. § 0.111</w:t>
      </w:r>
      <w:r w:rsidRPr="004D7475">
        <w:t xml:space="preserve"> </w:t>
      </w:r>
      <w:r>
        <w:t xml:space="preserve">(delegating to the Enforcement Bureau authority to resolve universal service suspension and debarment proceedings).  The Commission adopted debarment rules for </w:t>
      </w:r>
      <w:r w:rsidRPr="00402FB1">
        <w:t>the E-Rate program</w:t>
      </w:r>
      <w:r>
        <w:t xml:space="preserve"> in 2003.  </w:t>
      </w:r>
      <w:r>
        <w:rPr>
          <w:i/>
        </w:rPr>
        <w:t>See Schools and Libraries Universal Service Support Mechanism</w:t>
      </w:r>
      <w:r>
        <w:t>, Second Report and Order and Further Notice of Proposed Rulemaking, 18 FCC Rcd 9202 (2003) (</w:t>
      </w:r>
      <w:r>
        <w:rPr>
          <w:i/>
        </w:rPr>
        <w:t>Second Report and Order</w:t>
      </w:r>
      <w:r>
        <w:t>)</w:t>
      </w:r>
      <w:r>
        <w:rPr>
          <w:i/>
        </w:rPr>
        <w:t xml:space="preserve"> </w:t>
      </w:r>
      <w:r>
        <w:t xml:space="preserve">(adopting Section 54.521 to suspend and debar parties from the E-Rate program).  In 2007 the Commission extended the debarment rules to apply to all federal universal service support mechanisms.  </w:t>
      </w:r>
      <w:r>
        <w:rPr>
          <w:i/>
        </w:rPr>
        <w:t>Comprehensive Review of the Universal Service Fund Management, Administration, and Oversight; Federal-State Joint Board on Universal Service; Schools and Libraries Universal Service Support Mechanism; Rural Health Care Support Mechanism; Lifeline and Link Up; Changes to the Board of Directors for the National Exchange Carrier Association, Inc.</w:t>
      </w:r>
      <w:r>
        <w:t>, Report and Order, 22 FCC Rcd 16372, App. C at 16410–12 (2007) (</w:t>
      </w:r>
      <w:r>
        <w:rPr>
          <w:i/>
        </w:rPr>
        <w:t>Program Management Order</w:t>
      </w:r>
      <w:r>
        <w:t>) (renumbering Section 54.521 of the universal service debarment rules as Section 54.8 and amending subsections (a)(1), (a)(5), (c), (d), (e)(2)(i), (e)(3), (e)(4), and (g)).</w:t>
      </w:r>
    </w:p>
  </w:footnote>
  <w:footnote w:id="4">
    <w:p w:rsidR="00617ECF" w:rsidRDefault="00617ECF" w:rsidP="007E2E9B">
      <w:pPr>
        <w:pStyle w:val="FootnoteText"/>
      </w:pPr>
      <w:r>
        <w:rPr>
          <w:rStyle w:val="FootnoteReference"/>
        </w:rPr>
        <w:footnoteRef/>
      </w:r>
      <w:r>
        <w:t xml:space="preserve"> </w:t>
      </w:r>
      <w:r>
        <w:rPr>
          <w:i/>
        </w:rPr>
        <w:t>Second Report and Order</w:t>
      </w:r>
      <w:r>
        <w:t xml:space="preserve">, 118 FCC Rcd at 9225, para. 66; </w:t>
      </w:r>
      <w:r>
        <w:rPr>
          <w:i/>
        </w:rPr>
        <w:t>Program Management Order</w:t>
      </w:r>
      <w:r>
        <w:t>, 22 FCC Rcd at 16387, para. 32.  The Commission’s debarment rules define a “person” as “[a]ny individual, group of individuals, corporation, partnership, association, unit of government or legal entity, however organized.”</w:t>
      </w:r>
      <w:r w:rsidR="00C86446">
        <w:t xml:space="preserve">  47 C.F.R. § </w:t>
      </w:r>
      <w:r>
        <w:t>54.8(a)(6).</w:t>
      </w:r>
    </w:p>
  </w:footnote>
  <w:footnote w:id="5">
    <w:p w:rsidR="00617ECF" w:rsidRDefault="00617ECF" w:rsidP="007E2E9B">
      <w:pPr>
        <w:pStyle w:val="FootnoteText"/>
      </w:pPr>
      <w:r>
        <w:rPr>
          <w:rStyle w:val="FootnoteReference"/>
        </w:rPr>
        <w:footnoteRef/>
      </w:r>
      <w:r>
        <w:t xml:space="preserve"> </w:t>
      </w:r>
      <w:r>
        <w:rPr>
          <w:i/>
        </w:rPr>
        <w:t>NEC-Business Network Solutions, Inc</w:t>
      </w:r>
      <w:r>
        <w:t xml:space="preserve">., Notice of Debarment and Order Denying Waiver Petition, </w:t>
      </w:r>
      <w:r w:rsidR="00C86446">
        <w:t xml:space="preserve">21 FCC Rcd </w:t>
      </w:r>
      <w:r>
        <w:t>7491, 7493, para. 7 (2006).</w:t>
      </w:r>
    </w:p>
  </w:footnote>
  <w:footnote w:id="6">
    <w:p w:rsidR="00617ECF" w:rsidRDefault="00617ECF" w:rsidP="007E2E9B">
      <w:pPr>
        <w:pStyle w:val="FootnoteText"/>
      </w:pPr>
      <w:r>
        <w:rPr>
          <w:rStyle w:val="FootnoteReference"/>
        </w:rPr>
        <w:footnoteRef/>
      </w:r>
      <w:r>
        <w:t xml:space="preserve"> 47 C.F.R. §§ 54.503, 54.504(a), 54.511(a</w:t>
      </w:r>
      <w:r w:rsidRPr="00AE759B">
        <w:t>).</w:t>
      </w:r>
    </w:p>
  </w:footnote>
  <w:footnote w:id="7">
    <w:p w:rsidR="00617ECF" w:rsidRPr="00686C6A" w:rsidRDefault="00617ECF" w:rsidP="007E2E9B">
      <w:pPr>
        <w:pStyle w:val="FootnoteText"/>
      </w:pPr>
      <w:r>
        <w:rPr>
          <w:rStyle w:val="FootnoteReference"/>
        </w:rPr>
        <w:footnoteRef/>
      </w:r>
      <w:r>
        <w:t xml:space="preserve"> 47 C.F.R. § 54.503(a); s</w:t>
      </w:r>
      <w:r w:rsidRPr="00686C6A">
        <w:rPr>
          <w:i/>
        </w:rPr>
        <w:t>ee</w:t>
      </w:r>
      <w:r w:rsidRPr="00686C6A">
        <w:t xml:space="preserve"> </w:t>
      </w:r>
      <w:r w:rsidRPr="008C0282">
        <w:rPr>
          <w:i/>
        </w:rPr>
        <w:t xml:space="preserve">Request for Review by </w:t>
      </w:r>
      <w:bookmarkStart w:id="1" w:name="SR;3120"/>
      <w:bookmarkEnd w:id="1"/>
      <w:r w:rsidRPr="008C0282">
        <w:rPr>
          <w:i/>
        </w:rPr>
        <w:t>Mastermind Internet Services, Inc., Federal-State Joint Board on Universal Service, Changes to the Board of Directors of the National Exchange Carrier Association, Inc</w:t>
      </w:r>
      <w:r w:rsidRPr="00686C6A">
        <w:t xml:space="preserve">., CC Docket No. 96-45, Order, </w:t>
      </w:r>
      <w:bookmarkStart w:id="2" w:name="SR;3150"/>
      <w:bookmarkEnd w:id="2"/>
      <w:r w:rsidRPr="00686C6A">
        <w:t>16 FCC Rcd 4028, 4032</w:t>
      </w:r>
      <w:r>
        <w:t>–</w:t>
      </w:r>
      <w:r w:rsidRPr="00686C6A">
        <w:t xml:space="preserve">33 </w:t>
      </w:r>
      <w:r>
        <w:t>paras.</w:t>
      </w:r>
      <w:r w:rsidRPr="00686C6A">
        <w:t xml:space="preserve"> 10</w:t>
      </w:r>
      <w:r>
        <w:t>–</w:t>
      </w:r>
      <w:r w:rsidRPr="00686C6A">
        <w:t>12 (2000) (</w:t>
      </w:r>
      <w:bookmarkStart w:id="3" w:name="SR;3156"/>
      <w:bookmarkStart w:id="4" w:name="SearchTerm"/>
      <w:bookmarkEnd w:id="3"/>
      <w:bookmarkEnd w:id="4"/>
      <w:r w:rsidRPr="00A86A72">
        <w:rPr>
          <w:i/>
        </w:rPr>
        <w:t>Mastermind Order</w:t>
      </w:r>
      <w:r w:rsidRPr="00686C6A">
        <w:t xml:space="preserve">) (finding </w:t>
      </w:r>
      <w:r>
        <w:t xml:space="preserve">that when an </w:t>
      </w:r>
      <w:r w:rsidRPr="00686C6A">
        <w:t xml:space="preserve">applicant surrenders control of the bidding process to an employee of </w:t>
      </w:r>
      <w:r>
        <w:t>an entity</w:t>
      </w:r>
      <w:r w:rsidRPr="00686C6A">
        <w:t xml:space="preserve"> that will also participate in the bidding process as a prospective service provider</w:t>
      </w:r>
      <w:r>
        <w:t xml:space="preserve">, the </w:t>
      </w:r>
      <w:r w:rsidRPr="00686C6A">
        <w:t xml:space="preserve">applicant irreparably impairs its ability to hold a fair and open competitive bidding process); </w:t>
      </w:r>
      <w:r w:rsidRPr="00686C6A">
        <w:rPr>
          <w:i/>
        </w:rPr>
        <w:t>see also</w:t>
      </w:r>
      <w:r w:rsidRPr="00686C6A">
        <w:t xml:space="preserve"> </w:t>
      </w:r>
      <w:r>
        <w:t>Universal Service Administration Company’s</w:t>
      </w:r>
      <w:r w:rsidRPr="00686C6A">
        <w:t xml:space="preserve"> </w:t>
      </w:r>
      <w:r>
        <w:t xml:space="preserve">(USAC’s) website </w:t>
      </w:r>
      <w:r w:rsidRPr="00686C6A">
        <w:t>description of an Open and Fair Competitive Bidding Process</w:t>
      </w:r>
      <w:r>
        <w:t>, Step 2</w:t>
      </w:r>
      <w:r w:rsidRPr="00686C6A">
        <w:t xml:space="preserve"> </w:t>
      </w:r>
      <w:r w:rsidRPr="00DC7E47">
        <w:rPr>
          <w:i/>
        </w:rPr>
        <w:t>available at</w:t>
      </w:r>
      <w:r w:rsidRPr="00686C6A">
        <w:t xml:space="preserve"> </w:t>
      </w:r>
      <w:r w:rsidR="00C86446" w:rsidRPr="00B558C9">
        <w:t>http://www.universalservice.org/sl/applicants/</w:t>
      </w:r>
      <w:r w:rsidR="00C86446">
        <w:t xml:space="preserve"> </w:t>
      </w:r>
      <w:r w:rsidRPr="00290F5B">
        <w:t>step02/competitive-bidding.aspx</w:t>
      </w:r>
      <w:r>
        <w:t xml:space="preserve"> (last visited May 6, 2014)</w:t>
      </w:r>
      <w:r w:rsidRPr="00686C6A">
        <w:t>.</w:t>
      </w:r>
    </w:p>
  </w:footnote>
  <w:footnote w:id="8">
    <w:p w:rsidR="00617ECF" w:rsidRPr="00D31236" w:rsidRDefault="00617ECF" w:rsidP="007E2E9B">
      <w:pPr>
        <w:pStyle w:val="FootnoteText"/>
      </w:pPr>
      <w:r>
        <w:rPr>
          <w:rStyle w:val="FootnoteReference"/>
        </w:rPr>
        <w:footnoteRef/>
      </w:r>
      <w:r>
        <w:t xml:space="preserve"> Plea Agreement at 5.  Mrs. English also served as RFCSC’s interim technology director between June 2005 and March 2007.</w:t>
      </w:r>
    </w:p>
  </w:footnote>
  <w:footnote w:id="9">
    <w:p w:rsidR="00617ECF" w:rsidRDefault="00617ECF" w:rsidP="007E2E9B">
      <w:pPr>
        <w:pStyle w:val="FootnoteText"/>
      </w:pPr>
      <w:r>
        <w:rPr>
          <w:rStyle w:val="FootnoteReference"/>
        </w:rPr>
        <w:footnoteRef/>
      </w:r>
      <w:r>
        <w:t xml:space="preserve"> </w:t>
      </w:r>
      <w:r>
        <w:rPr>
          <w:i/>
        </w:rPr>
        <w:t>United States v. English</w:t>
      </w:r>
      <w:r w:rsidRPr="004767F4">
        <w:t xml:space="preserve"> </w:t>
      </w:r>
      <w:r>
        <w:t xml:space="preserve">Case No. 2:10cr75-001, Indictment at 1 (N.D. </w:t>
      </w:r>
      <w:r w:rsidRPr="00F85804">
        <w:t>I</w:t>
      </w:r>
      <w:r>
        <w:t>nd.</w:t>
      </w:r>
      <w:r w:rsidRPr="00F46C8E">
        <w:t>,</w:t>
      </w:r>
      <w:r>
        <w:t xml:space="preserve"> filed May 6, 2010) (</w:t>
      </w:r>
      <w:r>
        <w:rPr>
          <w:i/>
        </w:rPr>
        <w:t>I</w:t>
      </w:r>
      <w:r w:rsidRPr="000C609D">
        <w:rPr>
          <w:i/>
        </w:rPr>
        <w:t>ndictment</w:t>
      </w:r>
      <w:r>
        <w:t xml:space="preserve">).  The RFCSC school district consists of two (2) K–5 elementary schools, one (1) K–6 elementary school, and the River Forest Junior–Senior High School.  </w:t>
      </w:r>
      <w:r w:rsidRPr="001B1CA8">
        <w:rPr>
          <w:i/>
        </w:rPr>
        <w:t>Id</w:t>
      </w:r>
      <w:r>
        <w:t>. at 1–2.</w:t>
      </w:r>
    </w:p>
  </w:footnote>
  <w:footnote w:id="10">
    <w:p w:rsidR="00617ECF" w:rsidRDefault="00617ECF" w:rsidP="007E2E9B">
      <w:pPr>
        <w:pStyle w:val="FootnoteText"/>
      </w:pPr>
      <w:r>
        <w:rPr>
          <w:rStyle w:val="FootnoteReference"/>
        </w:rPr>
        <w:footnoteRef/>
      </w:r>
      <w:r>
        <w:t xml:space="preserve"> </w:t>
      </w:r>
      <w:r w:rsidRPr="001B1CA8">
        <w:rPr>
          <w:i/>
        </w:rPr>
        <w:t>Id</w:t>
      </w:r>
      <w:r>
        <w:t>. at 6–7, 10.</w:t>
      </w:r>
    </w:p>
  </w:footnote>
  <w:footnote w:id="11">
    <w:p w:rsidR="00617ECF" w:rsidRDefault="00617ECF" w:rsidP="007E2E9B">
      <w:pPr>
        <w:pStyle w:val="FootnoteText"/>
      </w:pPr>
      <w:r>
        <w:rPr>
          <w:rStyle w:val="FootnoteReference"/>
        </w:rPr>
        <w:footnoteRef/>
      </w:r>
      <w:r>
        <w:t xml:space="preserve"> </w:t>
      </w:r>
      <w:r w:rsidRPr="001B1CA8">
        <w:rPr>
          <w:i/>
        </w:rPr>
        <w:t>Id</w:t>
      </w:r>
      <w:r>
        <w:t>. at 7–8.</w:t>
      </w:r>
    </w:p>
  </w:footnote>
  <w:footnote w:id="12">
    <w:p w:rsidR="00617ECF" w:rsidRDefault="00617ECF" w:rsidP="007E2E9B">
      <w:pPr>
        <w:pStyle w:val="FootnoteText"/>
      </w:pPr>
      <w:r>
        <w:rPr>
          <w:rStyle w:val="FootnoteReference"/>
        </w:rPr>
        <w:footnoteRef/>
      </w:r>
      <w:r>
        <w:t xml:space="preserve"> Plea Agreement at 6.</w:t>
      </w:r>
    </w:p>
  </w:footnote>
  <w:footnote w:id="13">
    <w:p w:rsidR="00617ECF" w:rsidRPr="00FA5298" w:rsidRDefault="00617ECF" w:rsidP="007E2E9B">
      <w:pPr>
        <w:pStyle w:val="FootnoteText"/>
      </w:pPr>
      <w:r>
        <w:rPr>
          <w:rStyle w:val="FootnoteReference"/>
        </w:rPr>
        <w:footnoteRef/>
      </w:r>
      <w:r>
        <w:t xml:space="preserve"> </w:t>
      </w:r>
      <w:r>
        <w:rPr>
          <w:i/>
        </w:rPr>
        <w:t>United States v. English</w:t>
      </w:r>
      <w:r w:rsidRPr="004767F4">
        <w:t xml:space="preserve"> </w:t>
      </w:r>
      <w:r>
        <w:t xml:space="preserve">Case No. 2:10cr75-001, Judgment at 6 (N.D. </w:t>
      </w:r>
      <w:r w:rsidRPr="00F85804">
        <w:t>I</w:t>
      </w:r>
      <w:r>
        <w:t>nd.</w:t>
      </w:r>
      <w:r w:rsidRPr="00F46C8E">
        <w:t>,</w:t>
      </w:r>
      <w:r>
        <w:t xml:space="preserve"> May 11, 2011) (</w:t>
      </w:r>
      <w:r>
        <w:rPr>
          <w:i/>
        </w:rPr>
        <w:t>Judgment</w:t>
      </w:r>
      <w:r>
        <w:t xml:space="preserve">).  </w:t>
      </w:r>
      <w:r w:rsidRPr="00BF709E">
        <w:t>The prison term consist</w:t>
      </w:r>
      <w:r>
        <w:t>s</w:t>
      </w:r>
      <w:r w:rsidRPr="00BF709E">
        <w:t xml:space="preserve"> of 27 months </w:t>
      </w:r>
      <w:r>
        <w:t>for</w:t>
      </w:r>
      <w:r w:rsidRPr="00BF709E">
        <w:t xml:space="preserve"> each</w:t>
      </w:r>
      <w:r>
        <w:t xml:space="preserve"> of</w:t>
      </w:r>
      <w:r w:rsidRPr="00BF709E">
        <w:t xml:space="preserve"> count</w:t>
      </w:r>
      <w:r>
        <w:t>s</w:t>
      </w:r>
      <w:r w:rsidRPr="00BF709E">
        <w:t xml:space="preserve"> 4, 16, 22, and 23</w:t>
      </w:r>
      <w:r>
        <w:t xml:space="preserve"> and will run </w:t>
      </w:r>
      <w:r w:rsidRPr="00BF709E">
        <w:t xml:space="preserve">concurrently.  </w:t>
      </w:r>
      <w:r>
        <w:t xml:space="preserve">The </w:t>
      </w:r>
      <w:r w:rsidRPr="00BF709E">
        <w:t>supervised release</w:t>
      </w:r>
      <w:r>
        <w:t xml:space="preserve"> period is</w:t>
      </w:r>
      <w:r w:rsidRPr="00BF709E">
        <w:t xml:space="preserve"> for 3 years </w:t>
      </w:r>
      <w:r>
        <w:t>for</w:t>
      </w:r>
      <w:r w:rsidRPr="00BF709E">
        <w:t xml:space="preserve"> each of counts 4,</w:t>
      </w:r>
      <w:r>
        <w:t xml:space="preserve"> </w:t>
      </w:r>
      <w:r w:rsidRPr="00BF709E">
        <w:t>16,</w:t>
      </w:r>
      <w:r>
        <w:t xml:space="preserve"> </w:t>
      </w:r>
      <w:r w:rsidRPr="00BF709E">
        <w:t>22</w:t>
      </w:r>
      <w:r>
        <w:t>,</w:t>
      </w:r>
      <w:r w:rsidRPr="00BF709E">
        <w:t xml:space="preserve"> and 23, </w:t>
      </w:r>
      <w:r>
        <w:t>and will run</w:t>
      </w:r>
      <w:r w:rsidRPr="00BF709E">
        <w:t xml:space="preserve"> concurrently.</w:t>
      </w:r>
    </w:p>
  </w:footnote>
  <w:footnote w:id="14">
    <w:p w:rsidR="00617ECF" w:rsidRDefault="00617ECF" w:rsidP="007E2E9B">
      <w:pPr>
        <w:pStyle w:val="FootnoteText"/>
      </w:pPr>
      <w:r>
        <w:rPr>
          <w:rStyle w:val="FootnoteReference"/>
        </w:rPr>
        <w:footnoteRef/>
      </w:r>
      <w:r>
        <w:t xml:space="preserve"> </w:t>
      </w:r>
      <w:r w:rsidRPr="00C47432">
        <w:rPr>
          <w:i/>
        </w:rPr>
        <w:t>Id</w:t>
      </w:r>
      <w:r w:rsidRPr="00C47432">
        <w:t>.</w:t>
      </w:r>
      <w:r>
        <w:t xml:space="preserve"> at 6.  This restitution order includes $87,983.14 payable to USAC.</w:t>
      </w:r>
    </w:p>
  </w:footnote>
  <w:footnote w:id="15">
    <w:p w:rsidR="00617ECF" w:rsidRDefault="00617ECF" w:rsidP="007E2E9B">
      <w:pPr>
        <w:pStyle w:val="FootnoteText"/>
      </w:pPr>
      <w:r>
        <w:rPr>
          <w:rStyle w:val="FootnoteReference"/>
        </w:rPr>
        <w:footnoteRef/>
      </w:r>
      <w:r>
        <w:t xml:space="preserve"> 47 C.F.R. § 54.8(a)(4); </w:t>
      </w:r>
      <w:r>
        <w:rPr>
          <w:i/>
        </w:rPr>
        <w:t>see</w:t>
      </w:r>
      <w:r>
        <w:t xml:space="preserve"> </w:t>
      </w:r>
      <w:r>
        <w:rPr>
          <w:i/>
        </w:rPr>
        <w:t>Second Report and Order</w:t>
      </w:r>
      <w:r>
        <w:t>, 18 FCC Rcd at 9225–27, paras. 67–74.</w:t>
      </w:r>
    </w:p>
  </w:footnote>
  <w:footnote w:id="16">
    <w:p w:rsidR="00617ECF" w:rsidRDefault="00617ECF" w:rsidP="007E2E9B">
      <w:pPr>
        <w:pStyle w:val="FootnoteText"/>
      </w:pPr>
      <w:r>
        <w:rPr>
          <w:rStyle w:val="FootnoteReference"/>
        </w:rPr>
        <w:footnoteRef/>
      </w:r>
      <w:r>
        <w:t xml:space="preserve"> 47 C.F.R. §§ 54.8(a)(1), (d).</w:t>
      </w:r>
    </w:p>
  </w:footnote>
  <w:footnote w:id="17">
    <w:p w:rsidR="00617ECF" w:rsidRDefault="00617ECF" w:rsidP="007E2E9B">
      <w:pPr>
        <w:pStyle w:val="FootnoteText"/>
      </w:pPr>
      <w:r>
        <w:rPr>
          <w:rStyle w:val="FootnoteReference"/>
        </w:rPr>
        <w:footnoteRef/>
      </w:r>
      <w:r>
        <w:t xml:space="preserve"> </w:t>
      </w:r>
      <w:r>
        <w:rPr>
          <w:i/>
        </w:rPr>
        <w:t>Second Report and Order</w:t>
      </w:r>
      <w:r>
        <w:t>, 18 FCC Rcd at 9226, para. 69; 47 C.F.R. § 54.8(e)(1).</w:t>
      </w:r>
    </w:p>
  </w:footnote>
  <w:footnote w:id="18">
    <w:p w:rsidR="00617ECF" w:rsidRDefault="00617ECF" w:rsidP="007E2E9B">
      <w:pPr>
        <w:pStyle w:val="FootnoteText"/>
        <w:rPr>
          <w:lang w:val="es-ES"/>
        </w:rPr>
      </w:pPr>
      <w:r>
        <w:rPr>
          <w:rStyle w:val="FootnoteReference"/>
        </w:rPr>
        <w:footnoteRef/>
      </w:r>
      <w:r>
        <w:rPr>
          <w:lang w:val="es-ES"/>
        </w:rPr>
        <w:t xml:space="preserve"> 47 C.F.R. § 54.8(e)(4).</w:t>
      </w:r>
    </w:p>
  </w:footnote>
  <w:footnote w:id="19">
    <w:p w:rsidR="00617ECF" w:rsidRDefault="00617ECF" w:rsidP="007E2E9B">
      <w:pPr>
        <w:pStyle w:val="FootnoteText"/>
        <w:rPr>
          <w:lang w:val="es-ES"/>
        </w:rPr>
      </w:pPr>
      <w:r>
        <w:rPr>
          <w:rStyle w:val="FootnoteReference"/>
        </w:rPr>
        <w:footnoteRef/>
      </w:r>
      <w:r>
        <w:rPr>
          <w:lang w:val="es-ES"/>
        </w:rPr>
        <w:t xml:space="preserve"> </w:t>
      </w:r>
      <w:r>
        <w:rPr>
          <w:i/>
          <w:lang w:val="es-ES"/>
        </w:rPr>
        <w:t>Id</w:t>
      </w:r>
      <w:r>
        <w:rPr>
          <w:lang w:val="es-ES"/>
        </w:rPr>
        <w:t>.</w:t>
      </w:r>
    </w:p>
  </w:footnote>
  <w:footnote w:id="20">
    <w:p w:rsidR="00617ECF" w:rsidRDefault="00617ECF" w:rsidP="007E2E9B">
      <w:pPr>
        <w:pStyle w:val="FootnoteText"/>
      </w:pPr>
      <w:r>
        <w:rPr>
          <w:rStyle w:val="FootnoteReference"/>
        </w:rPr>
        <w:footnoteRef/>
      </w:r>
      <w:r>
        <w:t xml:space="preserve"> 47 C.F.R. § 54.8(f).</w:t>
      </w:r>
    </w:p>
  </w:footnote>
  <w:footnote w:id="21">
    <w:p w:rsidR="00617ECF" w:rsidRDefault="00617ECF" w:rsidP="007E2E9B">
      <w:pPr>
        <w:pStyle w:val="FootnoteText"/>
      </w:pPr>
      <w:r>
        <w:rPr>
          <w:rStyle w:val="FootnoteReference"/>
        </w:rPr>
        <w:footnoteRef/>
      </w:r>
      <w:r>
        <w:t xml:space="preserve"> </w:t>
      </w:r>
      <w:r>
        <w:rPr>
          <w:i/>
        </w:rPr>
        <w:t>Second Report and Order</w:t>
      </w:r>
      <w:r>
        <w:t>, 18 FCC Rcd at 9226, para. 70; 47 C.F.R. §§ 54.8(e)(5), (f).</w:t>
      </w:r>
    </w:p>
  </w:footnote>
  <w:footnote w:id="22">
    <w:p w:rsidR="00617ECF" w:rsidRDefault="00617ECF" w:rsidP="007E2E9B">
      <w:pPr>
        <w:pStyle w:val="FootnoteText"/>
      </w:pPr>
      <w:r>
        <w:rPr>
          <w:rStyle w:val="FootnoteReference"/>
        </w:rPr>
        <w:footnoteRef/>
      </w:r>
      <w:r>
        <w:t xml:space="preserve"> “Causes for suspension and debarment are conviction of or civil judgment for attempt or commission of criminal fraud, theft, embezzlement, forgery, bribery, falsification or destruction of records, making false statements, receiving stolen property, making false claims, obstruction of justice and other fraud or criminal offense arising out of activities associated with or related to the schools and libraries support mechanism, the high-cost support mechanism, the rural healthcare support mechanism, and the low-income support mechanism.”  47 C.F.R. § 54.8(c).  Associated activities “include the receipt of funds or discounted services through [the federal universal service] support mechanisms, or consulting with, assisting, or advising applicants or service providers regarding [the federal universal service] support mechanisms.”  </w:t>
      </w:r>
      <w:r>
        <w:rPr>
          <w:i/>
        </w:rPr>
        <w:t>Id</w:t>
      </w:r>
      <w:r>
        <w:t>. § 54.8(a)(1).</w:t>
      </w:r>
    </w:p>
  </w:footnote>
  <w:footnote w:id="23">
    <w:p w:rsidR="00617ECF" w:rsidRDefault="00617ECF" w:rsidP="007E2E9B">
      <w:pPr>
        <w:pStyle w:val="FootnoteText"/>
      </w:pPr>
      <w:r>
        <w:rPr>
          <w:rStyle w:val="FootnoteReference"/>
        </w:rPr>
        <w:footnoteRef/>
      </w:r>
      <w:r>
        <w:t xml:space="preserve"> </w:t>
      </w:r>
      <w:r>
        <w:rPr>
          <w:i/>
        </w:rPr>
        <w:t>Id</w:t>
      </w:r>
      <w:r>
        <w:t>. § 54.8(b).</w:t>
      </w:r>
    </w:p>
  </w:footnote>
  <w:footnote w:id="24">
    <w:p w:rsidR="00617ECF" w:rsidRDefault="00617ECF" w:rsidP="007E2E9B">
      <w:pPr>
        <w:pStyle w:val="FootnoteText"/>
      </w:pPr>
      <w:r>
        <w:rPr>
          <w:rStyle w:val="FootnoteReference"/>
        </w:rPr>
        <w:footnoteRef/>
      </w:r>
      <w:r>
        <w:t xml:space="preserve"> </w:t>
      </w:r>
      <w:r>
        <w:rPr>
          <w:i/>
        </w:rPr>
        <w:t xml:space="preserve">Second Report and Order, </w:t>
      </w:r>
      <w:r>
        <w:t>18 FCC Rcd at 9226, para. 70; 47 C.F.R. § 54.8(e)(3).</w:t>
      </w:r>
    </w:p>
  </w:footnote>
  <w:footnote w:id="25">
    <w:p w:rsidR="00617ECF" w:rsidRDefault="00617ECF" w:rsidP="007E2E9B">
      <w:pPr>
        <w:pStyle w:val="FootnoteText"/>
      </w:pPr>
      <w:r>
        <w:rPr>
          <w:rStyle w:val="FootnoteReference"/>
        </w:rPr>
        <w:footnoteRef/>
      </w:r>
      <w:r>
        <w:t xml:space="preserve"> </w:t>
      </w:r>
      <w:r>
        <w:rPr>
          <w:i/>
        </w:rPr>
        <w:t xml:space="preserve">Second Report and Order, </w:t>
      </w:r>
      <w:r>
        <w:t>18 FCC Rcd at 9226, para. 70; 47 C.F.R. § 54.8(e)(5).</w:t>
      </w:r>
    </w:p>
  </w:footnote>
  <w:footnote w:id="26">
    <w:p w:rsidR="00617ECF" w:rsidRDefault="00617ECF" w:rsidP="007E2E9B">
      <w:pPr>
        <w:pStyle w:val="FootnoteText"/>
      </w:pPr>
      <w:r>
        <w:rPr>
          <w:rStyle w:val="FootnoteReference"/>
        </w:rPr>
        <w:footnoteRef/>
      </w:r>
      <w:r>
        <w:t xml:space="preserve"> 47 C.F.R. § 54.8(e)(5).  The Commission may reverse a debarment, or may limit the scope or period of debarment, upon a finding of extraordinary circumstances, following the filing of a petition by you or an interested party or upon motion by the Commission.  </w:t>
      </w:r>
      <w:r>
        <w:rPr>
          <w:i/>
        </w:rPr>
        <w:t>Id.</w:t>
      </w:r>
      <w:r>
        <w:t xml:space="preserve"> § 54.8(f).</w:t>
      </w:r>
    </w:p>
  </w:footnote>
  <w:footnote w:id="27">
    <w:p w:rsidR="00617ECF" w:rsidRDefault="00617ECF" w:rsidP="007E2E9B">
      <w:pPr>
        <w:pStyle w:val="FootnoteText"/>
      </w:pPr>
      <w:r>
        <w:rPr>
          <w:rStyle w:val="FootnoteReference"/>
        </w:rPr>
        <w:footnoteRef/>
      </w:r>
      <w:r>
        <w:t xml:space="preserve"> </w:t>
      </w:r>
      <w:r>
        <w:rPr>
          <w:i/>
        </w:rPr>
        <w:t>Second Report and Order</w:t>
      </w:r>
      <w:r>
        <w:t>, 18 FCC Rcd at 9225, para. 67; 47 C.F.R. § 54.8(d), (g).</w:t>
      </w:r>
    </w:p>
  </w:footnote>
  <w:footnote w:id="28">
    <w:p w:rsidR="00617ECF" w:rsidRDefault="00617ECF" w:rsidP="007E2E9B">
      <w:pPr>
        <w:pStyle w:val="FootnoteText"/>
      </w:pPr>
      <w:r>
        <w:rPr>
          <w:rStyle w:val="FootnoteReference"/>
        </w:rPr>
        <w:footnoteRef/>
      </w:r>
      <w:r>
        <w:t xml:space="preserve"> 47 C.F.R. § 54.8(g).</w:t>
      </w:r>
    </w:p>
  </w:footnote>
  <w:footnote w:id="29">
    <w:p w:rsidR="00617ECF" w:rsidRDefault="00617ECF" w:rsidP="007E2E9B">
      <w:pPr>
        <w:pStyle w:val="FootnoteText"/>
      </w:pPr>
      <w:r>
        <w:rPr>
          <w:rStyle w:val="FootnoteReference"/>
        </w:rPr>
        <w:footnoteRef/>
      </w:r>
      <w:r>
        <w:t xml:space="preserve"> </w:t>
      </w:r>
      <w:r>
        <w:rPr>
          <w:i/>
        </w:rPr>
        <w:t>See</w:t>
      </w:r>
      <w:r>
        <w:t xml:space="preserve"> FCC </w:t>
      </w:r>
      <w:r>
        <w:rPr>
          <w:i/>
        </w:rPr>
        <w:t>Public Notice</w:t>
      </w:r>
      <w:r>
        <w:t>, DA 09-2529 for further filing instructions (rel. Dec. 3,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7C" w:rsidRDefault="003877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ECF" w:rsidRPr="00174359" w:rsidRDefault="00617ECF" w:rsidP="00617ECF">
    <w:pPr>
      <w:rPr>
        <w:sz w:val="22"/>
        <w:szCs w:val="22"/>
      </w:rPr>
    </w:pPr>
    <w:r>
      <w:rPr>
        <w:sz w:val="22"/>
        <w:szCs w:val="22"/>
      </w:rPr>
      <w:t>Donna P. English</w:t>
    </w:r>
  </w:p>
  <w:p w:rsidR="00617ECF" w:rsidRPr="00174359" w:rsidRDefault="00717D8E" w:rsidP="00617ECF">
    <w:pPr>
      <w:rPr>
        <w:rStyle w:val="PageNumber"/>
        <w:sz w:val="22"/>
        <w:szCs w:val="22"/>
      </w:rPr>
    </w:pPr>
    <w:r>
      <w:rPr>
        <w:rStyle w:val="PageNumber"/>
        <w:sz w:val="22"/>
        <w:szCs w:val="22"/>
      </w:rPr>
      <w:t xml:space="preserve">August </w:t>
    </w:r>
    <w:r w:rsidR="00617ECF">
      <w:rPr>
        <w:rStyle w:val="PageNumber"/>
        <w:sz w:val="22"/>
        <w:szCs w:val="22"/>
      </w:rPr>
      <w:t>2</w:t>
    </w:r>
    <w:r>
      <w:rPr>
        <w:rStyle w:val="PageNumber"/>
        <w:sz w:val="22"/>
        <w:szCs w:val="22"/>
      </w:rPr>
      <w:t>6</w:t>
    </w:r>
    <w:r w:rsidR="00617ECF" w:rsidRPr="00174359">
      <w:rPr>
        <w:rStyle w:val="PageNumber"/>
        <w:sz w:val="22"/>
        <w:szCs w:val="22"/>
      </w:rPr>
      <w:t>, 2014</w:t>
    </w:r>
  </w:p>
  <w:p w:rsidR="00617ECF" w:rsidRPr="00174359" w:rsidRDefault="00617ECF" w:rsidP="00617ECF">
    <w:pPr>
      <w:rPr>
        <w:rStyle w:val="PageNumber"/>
        <w:sz w:val="22"/>
        <w:szCs w:val="22"/>
      </w:rPr>
    </w:pPr>
    <w:r w:rsidRPr="00174359">
      <w:rPr>
        <w:rStyle w:val="PageNumber"/>
        <w:sz w:val="22"/>
        <w:szCs w:val="22"/>
      </w:rPr>
      <w:t xml:space="preserve">Page </w:t>
    </w:r>
    <w:r w:rsidRPr="00174359">
      <w:rPr>
        <w:rStyle w:val="PageNumber"/>
        <w:sz w:val="22"/>
        <w:szCs w:val="22"/>
      </w:rPr>
      <w:fldChar w:fldCharType="begin"/>
    </w:r>
    <w:r w:rsidRPr="00174359">
      <w:rPr>
        <w:rStyle w:val="PageNumber"/>
        <w:sz w:val="22"/>
        <w:szCs w:val="22"/>
      </w:rPr>
      <w:instrText xml:space="preserve"> PAGE </w:instrText>
    </w:r>
    <w:r w:rsidRPr="00174359">
      <w:rPr>
        <w:rStyle w:val="PageNumber"/>
        <w:sz w:val="22"/>
        <w:szCs w:val="22"/>
      </w:rPr>
      <w:fldChar w:fldCharType="separate"/>
    </w:r>
    <w:r w:rsidR="00710AFA">
      <w:rPr>
        <w:rStyle w:val="PageNumber"/>
        <w:noProof/>
        <w:sz w:val="22"/>
        <w:szCs w:val="22"/>
      </w:rPr>
      <w:t>2</w:t>
    </w:r>
    <w:r w:rsidRPr="00174359">
      <w:rPr>
        <w:rStyle w:val="PageNumber"/>
        <w:sz w:val="22"/>
        <w:szCs w:val="22"/>
      </w:rPr>
      <w:fldChar w:fldCharType="end"/>
    </w:r>
  </w:p>
  <w:p w:rsidR="00617ECF" w:rsidRDefault="00617ECF" w:rsidP="00617ECF">
    <w:pPr>
      <w:pStyle w:val="Header"/>
    </w:pPr>
  </w:p>
  <w:p w:rsidR="00617ECF" w:rsidRDefault="00617E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ECF" w:rsidRDefault="00710AFA">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70559303" r:id="rId2"/>
      </w:pict>
    </w:r>
    <w:r w:rsidR="00617ECF">
      <w:rPr>
        <w:rFonts w:ascii="CG Times (W1)" w:hAnsi="CG Times (W1)"/>
        <w:sz w:val="28"/>
      </w:rPr>
      <w:t>Federal Communications Commission</w:t>
    </w:r>
  </w:p>
  <w:p w:rsidR="00617ECF" w:rsidRDefault="00617ECF">
    <w:pPr>
      <w:jc w:val="center"/>
    </w:pPr>
    <w:r>
      <w:rPr>
        <w:rFonts w:ascii="CG Times (W1)" w:hAnsi="CG Times (W1)"/>
        <w:sz w:val="28"/>
      </w:rPr>
      <w:t>Washington, D.C. 20554</w:t>
    </w:r>
  </w:p>
  <w:p w:rsidR="00617ECF" w:rsidRDefault="00617ECF">
    <w:pPr>
      <w:pStyle w:val="Header"/>
      <w:tabs>
        <w:tab w:val="clear" w:pos="4320"/>
      </w:tabs>
      <w:jc w:val="center"/>
      <w:rPr>
        <w:sz w:val="22"/>
      </w:rPr>
    </w:pPr>
  </w:p>
  <w:p w:rsidR="00617ECF" w:rsidRDefault="00617ECF">
    <w:pPr>
      <w:pStyle w:val="Header"/>
      <w:tabs>
        <w:tab w:val="clear" w:pos="4320"/>
      </w:tabs>
      <w:jc w:val="center"/>
      <w:rPr>
        <w:sz w:val="22"/>
      </w:rPr>
    </w:pPr>
  </w:p>
  <w:p w:rsidR="00B93B86" w:rsidRDefault="008A7767" w:rsidP="008A7767">
    <w:pPr>
      <w:jc w:val="center"/>
    </w:pPr>
    <w:r>
      <w:t xml:space="preserve">   </w:t>
    </w:r>
    <w:r w:rsidR="00717D8E">
      <w:t>August 26,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42FE9"/>
    <w:multiLevelType w:val="hybridMultilevel"/>
    <w:tmpl w:val="4880ABEE"/>
    <w:lvl w:ilvl="0" w:tplc="4CE2E0B4">
      <w:start w:val="1"/>
      <w:numFmt w:val="upperRoman"/>
      <w:lvlText w:val="%1."/>
      <w:lvlJc w:val="left"/>
      <w:pPr>
        <w:tabs>
          <w:tab w:val="num" w:pos="720"/>
        </w:tabs>
        <w:ind w:left="720" w:hanging="720"/>
      </w:pPr>
      <w:rPr>
        <w:rFonts w:hint="default"/>
        <w:b/>
      </w:rPr>
    </w:lvl>
    <w:lvl w:ilvl="1" w:tplc="FFFFFFFF">
      <w:start w:val="1"/>
      <w:numFmt w:val="upperLetter"/>
      <w:lvlText w:val="%2."/>
      <w:lvlJc w:val="left"/>
      <w:pPr>
        <w:tabs>
          <w:tab w:val="num" w:pos="1440"/>
        </w:tabs>
        <w:ind w:left="1440" w:hanging="72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E9B"/>
    <w:rsid w:val="00077749"/>
    <w:rsid w:val="00204CE3"/>
    <w:rsid w:val="002B54DB"/>
    <w:rsid w:val="002F0D14"/>
    <w:rsid w:val="0038777C"/>
    <w:rsid w:val="003A3D0F"/>
    <w:rsid w:val="004D3B53"/>
    <w:rsid w:val="00567288"/>
    <w:rsid w:val="00617ECF"/>
    <w:rsid w:val="00710AFA"/>
    <w:rsid w:val="00717D8E"/>
    <w:rsid w:val="007E2E9B"/>
    <w:rsid w:val="008A7767"/>
    <w:rsid w:val="008B5650"/>
    <w:rsid w:val="008C1F60"/>
    <w:rsid w:val="00961E8C"/>
    <w:rsid w:val="00B558C9"/>
    <w:rsid w:val="00B93B86"/>
    <w:rsid w:val="00C86446"/>
    <w:rsid w:val="00D20CDE"/>
    <w:rsid w:val="00D45E68"/>
    <w:rsid w:val="00E4690B"/>
    <w:rsid w:val="00EB2B7F"/>
    <w:rsid w:val="00F3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E9B"/>
    <w:rPr>
      <w:rFonts w:eastAsia="MS Mincho"/>
      <w:sz w:val="24"/>
    </w:rPr>
  </w:style>
  <w:style w:type="paragraph" w:styleId="Heading1">
    <w:name w:val="heading 1"/>
    <w:basedOn w:val="Normal"/>
    <w:next w:val="Normal"/>
    <w:link w:val="Heading1Char"/>
    <w:qFormat/>
    <w:rsid w:val="007E2E9B"/>
    <w:pPr>
      <w:keepNext/>
      <w:outlineLvl w:val="0"/>
    </w:pPr>
    <w:rPr>
      <w:rFonts w:eastAsia="PMingLi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1Char">
    <w:name w:val="Heading 1 Char"/>
    <w:basedOn w:val="DefaultParagraphFont"/>
    <w:link w:val="Heading1"/>
    <w:rsid w:val="007E2E9B"/>
    <w:rPr>
      <w:rFonts w:eastAsia="PMingLiU"/>
      <w:sz w:val="24"/>
    </w:rPr>
  </w:style>
  <w:style w:type="paragraph" w:styleId="FootnoteText">
    <w:name w:val="footnote text"/>
    <w:aliases w:val="Footnote Text Char1,Footnote Text Char Char"/>
    <w:basedOn w:val="Normal"/>
    <w:link w:val="FootnoteTextChar"/>
    <w:autoRedefine/>
    <w:semiHidden/>
    <w:rsid w:val="007E2E9B"/>
    <w:pPr>
      <w:tabs>
        <w:tab w:val="left" w:pos="360"/>
      </w:tabs>
      <w:spacing w:after="120"/>
    </w:pPr>
    <w:rPr>
      <w:rFonts w:eastAsia="PMingLiU"/>
      <w:sz w:val="20"/>
    </w:rPr>
  </w:style>
  <w:style w:type="character" w:customStyle="1" w:styleId="FootnoteTextChar">
    <w:name w:val="Footnote Text Char"/>
    <w:aliases w:val="Footnote Text Char1 Char,Footnote Text Char Char Char"/>
    <w:basedOn w:val="DefaultParagraphFont"/>
    <w:link w:val="FootnoteText"/>
    <w:semiHidden/>
    <w:rsid w:val="007E2E9B"/>
    <w:rPr>
      <w:rFonts w:eastAsia="PMingLiU"/>
    </w:rPr>
  </w:style>
  <w:style w:type="character" w:styleId="FootnoteReference">
    <w:name w:val="footnote reference"/>
    <w:semiHidden/>
    <w:rsid w:val="007E2E9B"/>
    <w:rPr>
      <w:vertAlign w:val="superscript"/>
    </w:rPr>
  </w:style>
  <w:style w:type="paragraph" w:styleId="BodyText2">
    <w:name w:val="Body Text 2"/>
    <w:basedOn w:val="Normal"/>
    <w:link w:val="BodyText2Char"/>
    <w:rsid w:val="007E2E9B"/>
    <w:rPr>
      <w:rFonts w:eastAsia="PMingLiU"/>
    </w:rPr>
  </w:style>
  <w:style w:type="character" w:customStyle="1" w:styleId="BodyText2Char">
    <w:name w:val="Body Text 2 Char"/>
    <w:basedOn w:val="DefaultParagraphFont"/>
    <w:link w:val="BodyText2"/>
    <w:rsid w:val="007E2E9B"/>
    <w:rPr>
      <w:rFonts w:eastAsia="PMingLiU"/>
      <w:sz w:val="24"/>
    </w:rPr>
  </w:style>
  <w:style w:type="character" w:styleId="PageNumber">
    <w:name w:val="page number"/>
    <w:basedOn w:val="DefaultParagraphFont"/>
    <w:rsid w:val="00617ECF"/>
  </w:style>
  <w:style w:type="character" w:styleId="Hyperlink">
    <w:name w:val="Hyperlink"/>
    <w:basedOn w:val="DefaultParagraphFont"/>
    <w:uiPriority w:val="99"/>
    <w:unhideWhenUsed/>
    <w:rsid w:val="00C86446"/>
    <w:rPr>
      <w:color w:val="0000FF" w:themeColor="hyperlink"/>
      <w:u w:val="single"/>
    </w:rPr>
  </w:style>
  <w:style w:type="paragraph" w:styleId="BalloonText">
    <w:name w:val="Balloon Text"/>
    <w:basedOn w:val="Normal"/>
    <w:link w:val="BalloonTextChar"/>
    <w:uiPriority w:val="99"/>
    <w:semiHidden/>
    <w:unhideWhenUsed/>
    <w:rsid w:val="00C86446"/>
    <w:rPr>
      <w:rFonts w:ascii="Tahoma" w:hAnsi="Tahoma" w:cs="Tahoma"/>
      <w:sz w:val="16"/>
      <w:szCs w:val="16"/>
    </w:rPr>
  </w:style>
  <w:style w:type="character" w:customStyle="1" w:styleId="BalloonTextChar">
    <w:name w:val="Balloon Text Char"/>
    <w:basedOn w:val="DefaultParagraphFont"/>
    <w:link w:val="BalloonText"/>
    <w:uiPriority w:val="99"/>
    <w:semiHidden/>
    <w:rsid w:val="00C86446"/>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E9B"/>
    <w:rPr>
      <w:rFonts w:eastAsia="MS Mincho"/>
      <w:sz w:val="24"/>
    </w:rPr>
  </w:style>
  <w:style w:type="paragraph" w:styleId="Heading1">
    <w:name w:val="heading 1"/>
    <w:basedOn w:val="Normal"/>
    <w:next w:val="Normal"/>
    <w:link w:val="Heading1Char"/>
    <w:qFormat/>
    <w:rsid w:val="007E2E9B"/>
    <w:pPr>
      <w:keepNext/>
      <w:outlineLvl w:val="0"/>
    </w:pPr>
    <w:rPr>
      <w:rFonts w:eastAsia="PMingLi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1Char">
    <w:name w:val="Heading 1 Char"/>
    <w:basedOn w:val="DefaultParagraphFont"/>
    <w:link w:val="Heading1"/>
    <w:rsid w:val="007E2E9B"/>
    <w:rPr>
      <w:rFonts w:eastAsia="PMingLiU"/>
      <w:sz w:val="24"/>
    </w:rPr>
  </w:style>
  <w:style w:type="paragraph" w:styleId="FootnoteText">
    <w:name w:val="footnote text"/>
    <w:aliases w:val="Footnote Text Char1,Footnote Text Char Char"/>
    <w:basedOn w:val="Normal"/>
    <w:link w:val="FootnoteTextChar"/>
    <w:autoRedefine/>
    <w:semiHidden/>
    <w:rsid w:val="007E2E9B"/>
    <w:pPr>
      <w:tabs>
        <w:tab w:val="left" w:pos="360"/>
      </w:tabs>
      <w:spacing w:after="120"/>
    </w:pPr>
    <w:rPr>
      <w:rFonts w:eastAsia="PMingLiU"/>
      <w:sz w:val="20"/>
    </w:rPr>
  </w:style>
  <w:style w:type="character" w:customStyle="1" w:styleId="FootnoteTextChar">
    <w:name w:val="Footnote Text Char"/>
    <w:aliases w:val="Footnote Text Char1 Char,Footnote Text Char Char Char"/>
    <w:basedOn w:val="DefaultParagraphFont"/>
    <w:link w:val="FootnoteText"/>
    <w:semiHidden/>
    <w:rsid w:val="007E2E9B"/>
    <w:rPr>
      <w:rFonts w:eastAsia="PMingLiU"/>
    </w:rPr>
  </w:style>
  <w:style w:type="character" w:styleId="FootnoteReference">
    <w:name w:val="footnote reference"/>
    <w:semiHidden/>
    <w:rsid w:val="007E2E9B"/>
    <w:rPr>
      <w:vertAlign w:val="superscript"/>
    </w:rPr>
  </w:style>
  <w:style w:type="paragraph" w:styleId="BodyText2">
    <w:name w:val="Body Text 2"/>
    <w:basedOn w:val="Normal"/>
    <w:link w:val="BodyText2Char"/>
    <w:rsid w:val="007E2E9B"/>
    <w:rPr>
      <w:rFonts w:eastAsia="PMingLiU"/>
    </w:rPr>
  </w:style>
  <w:style w:type="character" w:customStyle="1" w:styleId="BodyText2Char">
    <w:name w:val="Body Text 2 Char"/>
    <w:basedOn w:val="DefaultParagraphFont"/>
    <w:link w:val="BodyText2"/>
    <w:rsid w:val="007E2E9B"/>
    <w:rPr>
      <w:rFonts w:eastAsia="PMingLiU"/>
      <w:sz w:val="24"/>
    </w:rPr>
  </w:style>
  <w:style w:type="character" w:styleId="PageNumber">
    <w:name w:val="page number"/>
    <w:basedOn w:val="DefaultParagraphFont"/>
    <w:rsid w:val="00617ECF"/>
  </w:style>
  <w:style w:type="character" w:styleId="Hyperlink">
    <w:name w:val="Hyperlink"/>
    <w:basedOn w:val="DefaultParagraphFont"/>
    <w:uiPriority w:val="99"/>
    <w:unhideWhenUsed/>
    <w:rsid w:val="00C86446"/>
    <w:rPr>
      <w:color w:val="0000FF" w:themeColor="hyperlink"/>
      <w:u w:val="single"/>
    </w:rPr>
  </w:style>
  <w:style w:type="paragraph" w:styleId="BalloonText">
    <w:name w:val="Balloon Text"/>
    <w:basedOn w:val="Normal"/>
    <w:link w:val="BalloonTextChar"/>
    <w:uiPriority w:val="99"/>
    <w:semiHidden/>
    <w:unhideWhenUsed/>
    <w:rsid w:val="00C86446"/>
    <w:rPr>
      <w:rFonts w:ascii="Tahoma" w:hAnsi="Tahoma" w:cs="Tahoma"/>
      <w:sz w:val="16"/>
      <w:szCs w:val="16"/>
    </w:rPr>
  </w:style>
  <w:style w:type="character" w:customStyle="1" w:styleId="BalloonTextChar">
    <w:name w:val="Balloon Text Char"/>
    <w:basedOn w:val="DefaultParagraphFont"/>
    <w:link w:val="BalloonText"/>
    <w:uiPriority w:val="99"/>
    <w:semiHidden/>
    <w:rsid w:val="00C86446"/>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3</Pages>
  <Words>1122</Words>
  <Characters>6517</Characters>
  <Application>Microsoft Office Word</Application>
  <DocSecurity>0</DocSecurity>
  <Lines>121</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2014-08-25T16:22:00Z</cp:lastPrinted>
  <dcterms:created xsi:type="dcterms:W3CDTF">2014-08-26T15:55:00Z</dcterms:created>
  <dcterms:modified xsi:type="dcterms:W3CDTF">2014-08-26T15:55:00Z</dcterms:modified>
  <cp:category> </cp:category>
  <cp:contentStatus> </cp:contentStatus>
</cp:coreProperties>
</file>