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48" w:rsidRPr="003B1879" w:rsidRDefault="008A4E48" w:rsidP="008A4E48">
      <w:pPr>
        <w:pStyle w:val="Header"/>
        <w:tabs>
          <w:tab w:val="clear" w:pos="4320"/>
          <w:tab w:val="clear" w:pos="8640"/>
        </w:tabs>
        <w:rPr>
          <w:szCs w:val="22"/>
        </w:rPr>
        <w:sectPr w:rsidR="008A4E48" w:rsidRPr="003B187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8A4E48" w:rsidRPr="003B1879" w:rsidRDefault="008A4E48" w:rsidP="008A4E48">
      <w:pPr>
        <w:spacing w:after="120"/>
        <w:jc w:val="right"/>
        <w:rPr>
          <w:b/>
          <w:szCs w:val="22"/>
        </w:rPr>
      </w:pPr>
      <w:r w:rsidRPr="003B1879">
        <w:rPr>
          <w:b/>
          <w:szCs w:val="22"/>
        </w:rPr>
        <w:lastRenderedPageBreak/>
        <w:t xml:space="preserve">DA </w:t>
      </w:r>
      <w:r w:rsidR="00984FF1" w:rsidRPr="00984FF1">
        <w:rPr>
          <w:b/>
          <w:szCs w:val="22"/>
        </w:rPr>
        <w:t>14-1234</w:t>
      </w:r>
    </w:p>
    <w:p w:rsidR="008A4E48" w:rsidRPr="003B1879" w:rsidRDefault="008A4E48" w:rsidP="00816623">
      <w:pPr>
        <w:spacing w:after="120"/>
        <w:jc w:val="right"/>
        <w:rPr>
          <w:b/>
          <w:szCs w:val="22"/>
        </w:rPr>
      </w:pPr>
      <w:r w:rsidRPr="003B1879">
        <w:rPr>
          <w:b/>
          <w:szCs w:val="22"/>
        </w:rPr>
        <w:t xml:space="preserve">Released:  </w:t>
      </w:r>
      <w:r w:rsidR="003B6CFD" w:rsidRPr="003B1879">
        <w:rPr>
          <w:b/>
          <w:szCs w:val="22"/>
        </w:rPr>
        <w:t>August</w:t>
      </w:r>
      <w:r w:rsidRPr="003B1879">
        <w:rPr>
          <w:b/>
          <w:szCs w:val="22"/>
        </w:rPr>
        <w:t xml:space="preserve"> </w:t>
      </w:r>
      <w:r w:rsidR="00A40BF0">
        <w:rPr>
          <w:b/>
          <w:szCs w:val="22"/>
        </w:rPr>
        <w:t>25</w:t>
      </w:r>
      <w:r w:rsidRPr="003B1879">
        <w:rPr>
          <w:b/>
          <w:szCs w:val="22"/>
        </w:rPr>
        <w:t>, 2014</w:t>
      </w:r>
    </w:p>
    <w:p w:rsidR="008A4E48" w:rsidRPr="003B1879" w:rsidRDefault="008A4E48" w:rsidP="008A4E48">
      <w:pPr>
        <w:rPr>
          <w:szCs w:val="22"/>
        </w:rPr>
      </w:pPr>
    </w:p>
    <w:p w:rsidR="008A4E48" w:rsidRPr="003B1879" w:rsidRDefault="008A4E48" w:rsidP="00C61766">
      <w:pPr>
        <w:jc w:val="center"/>
        <w:rPr>
          <w:b/>
          <w:szCs w:val="22"/>
        </w:rPr>
      </w:pPr>
      <w:r w:rsidRPr="003B1879">
        <w:rPr>
          <w:b/>
          <w:szCs w:val="22"/>
        </w:rPr>
        <w:t xml:space="preserve">WIRELINE COMPETITION BUREAU </w:t>
      </w:r>
      <w:r w:rsidR="00A4181A">
        <w:rPr>
          <w:b/>
          <w:szCs w:val="22"/>
        </w:rPr>
        <w:t xml:space="preserve">TAKES ADDITIONAL STEPS TO ELIMINATE </w:t>
      </w:r>
      <w:r w:rsidR="00F3745D" w:rsidRPr="003B1879">
        <w:rPr>
          <w:b/>
          <w:szCs w:val="22"/>
        </w:rPr>
        <w:t>DUPLICATIVE CLAIMS FOR LIFELINE SUPPORT</w:t>
      </w:r>
    </w:p>
    <w:p w:rsidR="002E70E5" w:rsidRPr="003B1879" w:rsidRDefault="002E70E5" w:rsidP="008A4E48">
      <w:pPr>
        <w:jc w:val="center"/>
        <w:rPr>
          <w:b/>
          <w:szCs w:val="22"/>
        </w:rPr>
      </w:pPr>
    </w:p>
    <w:p w:rsidR="008A4E48" w:rsidRPr="003B1879" w:rsidRDefault="008A4E48" w:rsidP="008A4E48">
      <w:pPr>
        <w:jc w:val="center"/>
        <w:rPr>
          <w:b/>
          <w:szCs w:val="22"/>
        </w:rPr>
      </w:pPr>
      <w:r w:rsidRPr="003B1879">
        <w:rPr>
          <w:b/>
          <w:szCs w:val="22"/>
        </w:rPr>
        <w:t>WC Docket No. 11-42</w:t>
      </w:r>
    </w:p>
    <w:p w:rsidR="00247BA8" w:rsidRPr="003B1879" w:rsidRDefault="00247BA8" w:rsidP="00247BA8"/>
    <w:p w:rsidR="005A178E" w:rsidRPr="003B1879" w:rsidRDefault="00247BA8" w:rsidP="007311FD">
      <w:pPr>
        <w:ind w:firstLine="720"/>
      </w:pPr>
      <w:r w:rsidRPr="003B1879">
        <w:t xml:space="preserve">By this Public Notice, the Wireline Competition Bureau (Bureau) </w:t>
      </w:r>
      <w:r w:rsidR="00BC10E3" w:rsidRPr="003B1879">
        <w:t>announces the process for resolving inter-company household duplicate subscribers found during the National Lifeline Accountability Database (NLAD) loading process.</w:t>
      </w:r>
      <w:r w:rsidR="00BC10E3" w:rsidRPr="003B1879">
        <w:rPr>
          <w:vertAlign w:val="superscript"/>
        </w:rPr>
        <w:footnoteReference w:id="1"/>
      </w:r>
      <w:r w:rsidR="007D04C8">
        <w:t xml:space="preserve">  </w:t>
      </w:r>
      <w:r w:rsidR="008C24E5" w:rsidRPr="003B1879">
        <w:t>Additional information about th</w:t>
      </w:r>
      <w:r w:rsidR="007D04C8">
        <w:t>is process</w:t>
      </w:r>
      <w:r w:rsidR="008C24E5" w:rsidRPr="003B1879">
        <w:t xml:space="preserve"> </w:t>
      </w:r>
      <w:r w:rsidR="008C24E5">
        <w:t>is</w:t>
      </w:r>
      <w:r w:rsidR="008C24E5" w:rsidRPr="003B1879">
        <w:t xml:space="preserve"> available on the website of the Universal Service Administrative Company (USAC), administrator of the federal universal service fund (Fund).</w:t>
      </w:r>
      <w:r w:rsidR="008C24E5" w:rsidRPr="003B1879">
        <w:rPr>
          <w:rStyle w:val="FootnoteReference"/>
        </w:rPr>
        <w:footnoteReference w:id="2"/>
      </w:r>
      <w:r w:rsidR="008C24E5" w:rsidRPr="003B1879">
        <w:t xml:space="preserve">      </w:t>
      </w:r>
    </w:p>
    <w:p w:rsidR="005A178E" w:rsidRPr="003B1879" w:rsidRDefault="005A178E" w:rsidP="00247BA8">
      <w:pPr>
        <w:ind w:firstLine="720"/>
      </w:pPr>
    </w:p>
    <w:p w:rsidR="001A6A5F" w:rsidRDefault="00BC10E3" w:rsidP="00BC10E3">
      <w:pPr>
        <w:ind w:firstLine="720"/>
        <w:rPr>
          <w:szCs w:val="22"/>
        </w:rPr>
      </w:pPr>
      <w:r w:rsidRPr="003B1879">
        <w:t xml:space="preserve">In the </w:t>
      </w:r>
      <w:r w:rsidRPr="003B1879">
        <w:rPr>
          <w:i/>
        </w:rPr>
        <w:t>Lifeline Reform Order</w:t>
      </w:r>
      <w:r w:rsidRPr="003B1879">
        <w:t xml:space="preserve">, the </w:t>
      </w:r>
      <w:r w:rsidRPr="001E1D1C">
        <w:rPr>
          <w:rFonts w:cs="TimesNewRoman"/>
          <w:szCs w:val="22"/>
        </w:rPr>
        <w:t xml:space="preserve">Commission </w:t>
      </w:r>
      <w:r w:rsidRPr="0055691F">
        <w:rPr>
          <w:szCs w:val="22"/>
        </w:rPr>
        <w:t>codified the rule that subscribers may only have one Lifeline</w:t>
      </w:r>
      <w:r w:rsidR="001A6A5F">
        <w:rPr>
          <w:szCs w:val="22"/>
        </w:rPr>
        <w:t>-</w:t>
      </w:r>
      <w:r w:rsidRPr="0055691F">
        <w:rPr>
          <w:szCs w:val="22"/>
        </w:rPr>
        <w:t xml:space="preserve">supported service per household, and </w:t>
      </w:r>
      <w:r w:rsidR="001A6A5F">
        <w:rPr>
          <w:szCs w:val="22"/>
        </w:rPr>
        <w:t xml:space="preserve">it </w:t>
      </w:r>
      <w:r w:rsidRPr="0055691F">
        <w:rPr>
          <w:szCs w:val="22"/>
        </w:rPr>
        <w:t xml:space="preserve">established the </w:t>
      </w:r>
      <w:r w:rsidRPr="003B1879">
        <w:rPr>
          <w:szCs w:val="22"/>
        </w:rPr>
        <w:t>NLAD to detect and prevent duplicative support in the Lifeline program.</w:t>
      </w:r>
      <w:r w:rsidRPr="0055691F">
        <w:rPr>
          <w:szCs w:val="22"/>
          <w:vertAlign w:val="superscript"/>
        </w:rPr>
        <w:footnoteReference w:id="3"/>
      </w:r>
      <w:r w:rsidRPr="0055691F">
        <w:rPr>
          <w:szCs w:val="22"/>
        </w:rPr>
        <w:t xml:space="preserve">  The Commission </w:t>
      </w:r>
      <w:r w:rsidRPr="003B1879">
        <w:rPr>
          <w:szCs w:val="22"/>
        </w:rPr>
        <w:t xml:space="preserve">directed the Bureau and USAC to work with eligible telecommunications carriers (ETCs) to </w:t>
      </w:r>
      <w:r w:rsidR="001A6A5F">
        <w:rPr>
          <w:szCs w:val="22"/>
        </w:rPr>
        <w:t xml:space="preserve">implement </w:t>
      </w:r>
      <w:r w:rsidRPr="003B1879">
        <w:rPr>
          <w:szCs w:val="22"/>
        </w:rPr>
        <w:t>a process for resolving duplicative support provided by multiple ETCs to the same household (inter-company household duplicates).</w:t>
      </w:r>
      <w:r w:rsidRPr="0055691F">
        <w:rPr>
          <w:szCs w:val="22"/>
          <w:vertAlign w:val="superscript"/>
        </w:rPr>
        <w:footnoteReference w:id="4"/>
      </w:r>
      <w:r w:rsidRPr="0055691F">
        <w:rPr>
          <w:szCs w:val="22"/>
        </w:rPr>
        <w:t xml:space="preserve">  </w:t>
      </w:r>
    </w:p>
    <w:p w:rsidR="001A6A5F" w:rsidRDefault="001A6A5F" w:rsidP="00BC10E3">
      <w:pPr>
        <w:ind w:firstLine="720"/>
        <w:rPr>
          <w:szCs w:val="22"/>
        </w:rPr>
      </w:pPr>
    </w:p>
    <w:p w:rsidR="00BC10E3" w:rsidRPr="00AE2E85" w:rsidRDefault="00BC10E3">
      <w:pPr>
        <w:ind w:firstLine="720"/>
        <w:rPr>
          <w:rFonts w:cs="TimesNewRoman"/>
          <w:szCs w:val="22"/>
        </w:rPr>
      </w:pPr>
      <w:r w:rsidRPr="0055691F">
        <w:rPr>
          <w:szCs w:val="22"/>
        </w:rPr>
        <w:t xml:space="preserve">In September 2013, the Bureau </w:t>
      </w:r>
      <w:r w:rsidRPr="001E1D1C">
        <w:rPr>
          <w:rFonts w:cs="TimesNewRoman"/>
          <w:szCs w:val="22"/>
        </w:rPr>
        <w:t>directed USAC to develop a process to</w:t>
      </w:r>
      <w:r w:rsidRPr="0055691F">
        <w:rPr>
          <w:szCs w:val="22"/>
        </w:rPr>
        <w:t xml:space="preserve"> eliminate inter-company household duplicates prior to the deployment of the </w:t>
      </w:r>
      <w:r w:rsidRPr="001E1D1C">
        <w:rPr>
          <w:rFonts w:cs="TimesNewRoman"/>
          <w:szCs w:val="22"/>
        </w:rPr>
        <w:t>NLAD.</w:t>
      </w:r>
      <w:r w:rsidRPr="001E1D1C">
        <w:rPr>
          <w:rFonts w:cs="TimesNewRoman"/>
          <w:szCs w:val="22"/>
          <w:vertAlign w:val="superscript"/>
        </w:rPr>
        <w:footnoteReference w:id="5"/>
      </w:r>
      <w:r w:rsidRPr="001E1D1C">
        <w:rPr>
          <w:rFonts w:cs="TimesNewRoman"/>
          <w:szCs w:val="22"/>
        </w:rPr>
        <w:t xml:space="preserve">  </w:t>
      </w:r>
      <w:r w:rsidR="001A6A5F">
        <w:rPr>
          <w:rFonts w:cs="TimesNewRoman"/>
          <w:szCs w:val="22"/>
        </w:rPr>
        <w:t>Pursuant to that</w:t>
      </w:r>
      <w:r w:rsidRPr="001E1D1C">
        <w:rPr>
          <w:rFonts w:cs="TimesNewRoman"/>
          <w:szCs w:val="22"/>
        </w:rPr>
        <w:t xml:space="preserve"> directive, USAC worked with select ETCs in Michigan </w:t>
      </w:r>
      <w:r w:rsidR="001A6A5F">
        <w:rPr>
          <w:rFonts w:cs="TimesNewRoman"/>
          <w:szCs w:val="22"/>
        </w:rPr>
        <w:t xml:space="preserve">to test </w:t>
      </w:r>
      <w:r w:rsidRPr="001E1D1C">
        <w:rPr>
          <w:rFonts w:cs="TimesNewRoman"/>
          <w:szCs w:val="22"/>
        </w:rPr>
        <w:t>a process that resolved inter-company household duplicates.</w:t>
      </w:r>
      <w:r w:rsidRPr="001E1D1C">
        <w:rPr>
          <w:rFonts w:cs="TimesNewRoman"/>
          <w:szCs w:val="22"/>
          <w:vertAlign w:val="superscript"/>
        </w:rPr>
        <w:footnoteReference w:id="6"/>
      </w:r>
      <w:r w:rsidRPr="001E1D1C">
        <w:rPr>
          <w:rFonts w:cs="TimesNewRoman"/>
          <w:szCs w:val="22"/>
        </w:rPr>
        <w:t xml:space="preserve">  </w:t>
      </w:r>
      <w:r w:rsidRPr="0055691F">
        <w:rPr>
          <w:szCs w:val="22"/>
        </w:rPr>
        <w:t xml:space="preserve">Similar to the </w:t>
      </w:r>
      <w:r w:rsidRPr="00AE2E85">
        <w:rPr>
          <w:rFonts w:cs="TimesNewRoman"/>
          <w:szCs w:val="22"/>
        </w:rPr>
        <w:t>in-depth data validations</w:t>
      </w:r>
      <w:r w:rsidRPr="0055691F">
        <w:rPr>
          <w:szCs w:val="22"/>
        </w:rPr>
        <w:t xml:space="preserve"> (IDV) process,</w:t>
      </w:r>
      <w:r w:rsidRPr="0055691F">
        <w:rPr>
          <w:szCs w:val="22"/>
          <w:vertAlign w:val="superscript"/>
        </w:rPr>
        <w:footnoteReference w:id="7"/>
      </w:r>
      <w:r w:rsidRPr="0055691F">
        <w:rPr>
          <w:szCs w:val="22"/>
        </w:rPr>
        <w:t xml:space="preserve"> USAC first mailed letters to subscribers who </w:t>
      </w:r>
      <w:r w:rsidRPr="003B1879">
        <w:rPr>
          <w:szCs w:val="22"/>
        </w:rPr>
        <w:t xml:space="preserve">were </w:t>
      </w:r>
      <w:r w:rsidRPr="003B1879">
        <w:rPr>
          <w:szCs w:val="22"/>
        </w:rPr>
        <w:lastRenderedPageBreak/>
        <w:t>living at an address where another Lifeline subscriber also resided and directed all subscribers at the address to complete a one-per-household worksheet (household worksheet).</w:t>
      </w:r>
      <w:r w:rsidRPr="0055691F">
        <w:rPr>
          <w:szCs w:val="22"/>
          <w:vertAlign w:val="superscript"/>
        </w:rPr>
        <w:footnoteReference w:id="8"/>
      </w:r>
      <w:r w:rsidRPr="0055691F">
        <w:rPr>
          <w:szCs w:val="22"/>
        </w:rPr>
        <w:t xml:space="preserve">  The Bureau </w:t>
      </w:r>
      <w:r w:rsidRPr="003B1879">
        <w:rPr>
          <w:szCs w:val="22"/>
        </w:rPr>
        <w:t xml:space="preserve">tested two options for subscribers to respond to the USAC letter.  Subscribers could </w:t>
      </w:r>
      <w:r w:rsidRPr="00AE2E85">
        <w:rPr>
          <w:rFonts w:cs="TimesNewRoman"/>
          <w:szCs w:val="22"/>
        </w:rPr>
        <w:t>provide responses to their ETC or directly to USAC.</w:t>
      </w:r>
      <w:r w:rsidRPr="00AE2E85">
        <w:rPr>
          <w:rFonts w:cs="TimesNewRoman"/>
          <w:szCs w:val="22"/>
          <w:vertAlign w:val="superscript"/>
        </w:rPr>
        <w:footnoteReference w:id="9"/>
      </w:r>
      <w:r w:rsidRPr="00AE2E85">
        <w:rPr>
          <w:rFonts w:cs="TimesNewRoman"/>
          <w:szCs w:val="22"/>
        </w:rPr>
        <w:t xml:space="preserve">  USAC resolved the inter-company household duplicates </w:t>
      </w:r>
      <w:r w:rsidR="00A4181A">
        <w:rPr>
          <w:rFonts w:cs="TimesNewRoman"/>
          <w:szCs w:val="22"/>
        </w:rPr>
        <w:t xml:space="preserve">as directed in </w:t>
      </w:r>
      <w:r w:rsidRPr="00AE2E85">
        <w:rPr>
          <w:rFonts w:cs="TimesNewRoman"/>
          <w:szCs w:val="22"/>
        </w:rPr>
        <w:t xml:space="preserve">the </w:t>
      </w:r>
      <w:r w:rsidRPr="00AE2E85">
        <w:rPr>
          <w:rFonts w:cs="TimesNewRoman"/>
          <w:i/>
          <w:szCs w:val="22"/>
        </w:rPr>
        <w:t>September Guidance Letter</w:t>
      </w:r>
      <w:r w:rsidRPr="00AE2E85">
        <w:rPr>
          <w:rFonts w:cs="TimesNewRoman"/>
          <w:szCs w:val="22"/>
        </w:rPr>
        <w:t>.</w:t>
      </w:r>
      <w:r w:rsidRPr="00AE2E85">
        <w:rPr>
          <w:rFonts w:cs="TimesNewRoman"/>
          <w:szCs w:val="22"/>
          <w:vertAlign w:val="superscript"/>
        </w:rPr>
        <w:footnoteReference w:id="10"/>
      </w:r>
      <w:r w:rsidRPr="00AE2E85">
        <w:rPr>
          <w:rFonts w:cs="TimesNewRoman"/>
          <w:szCs w:val="22"/>
        </w:rPr>
        <w:t xml:space="preserve">  </w:t>
      </w:r>
    </w:p>
    <w:p w:rsidR="00BC10E3" w:rsidRPr="00AE2E85" w:rsidRDefault="00BC10E3" w:rsidP="00BC10E3">
      <w:pPr>
        <w:ind w:firstLine="720"/>
        <w:rPr>
          <w:rFonts w:cs="TimesNewRoman"/>
          <w:szCs w:val="22"/>
        </w:rPr>
      </w:pPr>
    </w:p>
    <w:p w:rsidR="006407BC" w:rsidRPr="00AE2E85" w:rsidRDefault="001E1D1C" w:rsidP="00BC10E3">
      <w:pPr>
        <w:ind w:firstLine="720"/>
        <w:rPr>
          <w:rFonts w:cs="TimesNewRoman"/>
          <w:szCs w:val="22"/>
        </w:rPr>
      </w:pPr>
      <w:r>
        <w:rPr>
          <w:rFonts w:cs="TimesNewRoman"/>
          <w:szCs w:val="22"/>
        </w:rPr>
        <w:t xml:space="preserve">Consistent with the </w:t>
      </w:r>
      <w:r w:rsidRPr="001E1D1C">
        <w:rPr>
          <w:rFonts w:cs="TimesNewRoman"/>
          <w:i/>
          <w:szCs w:val="22"/>
        </w:rPr>
        <w:t>Lifeline Reform Order</w:t>
      </w:r>
      <w:r>
        <w:rPr>
          <w:rFonts w:cs="TimesNewRoman"/>
          <w:szCs w:val="22"/>
        </w:rPr>
        <w:t>, and as part of our continuing effort to resolve duplicative claims for Lifeline support, w</w:t>
      </w:r>
      <w:r w:rsidR="00BC10E3" w:rsidRPr="00AE2E85">
        <w:rPr>
          <w:rFonts w:cs="TimesNewRoman"/>
          <w:szCs w:val="22"/>
        </w:rPr>
        <w:t xml:space="preserve">e </w:t>
      </w:r>
      <w:r w:rsidR="00A4181A">
        <w:rPr>
          <w:rFonts w:cs="TimesNewRoman"/>
          <w:szCs w:val="22"/>
        </w:rPr>
        <w:t xml:space="preserve">now approve the following </w:t>
      </w:r>
      <w:r w:rsidR="00BC10E3" w:rsidRPr="00AE2E85">
        <w:rPr>
          <w:rFonts w:cs="TimesNewRoman"/>
          <w:szCs w:val="22"/>
        </w:rPr>
        <w:t xml:space="preserve">process </w:t>
      </w:r>
      <w:r w:rsidR="000C1CD3" w:rsidRPr="00AE2E85">
        <w:rPr>
          <w:rFonts w:cs="TimesNewRoman"/>
          <w:szCs w:val="22"/>
        </w:rPr>
        <w:t xml:space="preserve">summarized in this </w:t>
      </w:r>
      <w:r>
        <w:rPr>
          <w:rFonts w:cs="TimesNewRoman"/>
          <w:szCs w:val="22"/>
        </w:rPr>
        <w:t>P</w:t>
      </w:r>
      <w:r w:rsidR="000C1CD3" w:rsidRPr="00AE2E85">
        <w:rPr>
          <w:rFonts w:cs="TimesNewRoman"/>
          <w:szCs w:val="22"/>
        </w:rPr>
        <w:t xml:space="preserve">ublic </w:t>
      </w:r>
      <w:r>
        <w:rPr>
          <w:rFonts w:cs="TimesNewRoman"/>
          <w:szCs w:val="22"/>
        </w:rPr>
        <w:t>N</w:t>
      </w:r>
      <w:r w:rsidR="000C1CD3" w:rsidRPr="00AE2E85">
        <w:rPr>
          <w:rFonts w:cs="TimesNewRoman"/>
          <w:szCs w:val="22"/>
        </w:rPr>
        <w:t xml:space="preserve">otice and detailed on USAC’s website </w:t>
      </w:r>
      <w:r w:rsidR="00BC10E3" w:rsidRPr="00AE2E85">
        <w:rPr>
          <w:rFonts w:cs="TimesNewRoman"/>
          <w:szCs w:val="22"/>
        </w:rPr>
        <w:t>to resolve inter-company household duplicates identified during the NLAD loading process.</w:t>
      </w:r>
      <w:r w:rsidR="00BC10E3" w:rsidRPr="00AE2E85">
        <w:rPr>
          <w:rStyle w:val="FootnoteReference"/>
          <w:rFonts w:cs="TimesNewRoman"/>
          <w:szCs w:val="22"/>
        </w:rPr>
        <w:footnoteReference w:id="11"/>
      </w:r>
      <w:r w:rsidR="00BC10E3" w:rsidRPr="00AE2E85">
        <w:rPr>
          <w:rFonts w:cs="TimesNewRoman"/>
          <w:szCs w:val="22"/>
        </w:rPr>
        <w:t xml:space="preserve">  </w:t>
      </w:r>
    </w:p>
    <w:p w:rsidR="00167C0B" w:rsidRPr="00AE2E85" w:rsidRDefault="00167C0B" w:rsidP="00AE2E85">
      <w:pPr>
        <w:rPr>
          <w:rFonts w:cs="TimesNewRoman"/>
          <w:szCs w:val="22"/>
        </w:rPr>
      </w:pPr>
    </w:p>
    <w:p w:rsidR="00167C0B" w:rsidRPr="001E1D1C" w:rsidRDefault="00BC10E3" w:rsidP="00AE2E85">
      <w:pPr>
        <w:pStyle w:val="ListParagraph"/>
        <w:numPr>
          <w:ilvl w:val="0"/>
          <w:numId w:val="6"/>
        </w:numPr>
        <w:rPr>
          <w:rFonts w:cs="TimesNewRoman"/>
          <w:szCs w:val="22"/>
        </w:rPr>
      </w:pPr>
      <w:r w:rsidRPr="0055691F">
        <w:t xml:space="preserve">USAC </w:t>
      </w:r>
      <w:r w:rsidR="006407BC" w:rsidRPr="003B1879">
        <w:t xml:space="preserve">will </w:t>
      </w:r>
      <w:r w:rsidRPr="003B1879">
        <w:t xml:space="preserve">provide each ETC with a list of its </w:t>
      </w:r>
      <w:r w:rsidR="00A4181A">
        <w:t xml:space="preserve">subscribers with </w:t>
      </w:r>
      <w:r w:rsidRPr="003B1879">
        <w:t>inter-company household duplicate</w:t>
      </w:r>
      <w:r w:rsidR="00A4181A">
        <w:t>s</w:t>
      </w:r>
      <w:r w:rsidRPr="003B1879">
        <w:t xml:space="preserve">.  </w:t>
      </w:r>
    </w:p>
    <w:p w:rsidR="00CD6FB6" w:rsidRDefault="00BC10E3" w:rsidP="00AE2E85">
      <w:pPr>
        <w:pStyle w:val="ListParagraph"/>
        <w:numPr>
          <w:ilvl w:val="0"/>
          <w:numId w:val="6"/>
        </w:numPr>
        <w:rPr>
          <w:rFonts w:cs="TimesNewRoman"/>
          <w:szCs w:val="22"/>
        </w:rPr>
      </w:pPr>
      <w:r w:rsidRPr="003B1879">
        <w:t>ETC</w:t>
      </w:r>
      <w:r w:rsidR="006407BC" w:rsidRPr="003B1879">
        <w:t>s</w:t>
      </w:r>
      <w:r w:rsidR="003B1879">
        <w:t xml:space="preserve"> must communicate with their subscribers, informing them of the </w:t>
      </w:r>
      <w:r w:rsidR="00CD6FB6">
        <w:t>one per household obligation,</w:t>
      </w:r>
      <w:r w:rsidR="0002728F">
        <w:t xml:space="preserve"> explain the eligibility requirements for qualifying as a household,</w:t>
      </w:r>
      <w:r w:rsidR="00CD6FB6">
        <w:t xml:space="preserve"> and attempt to </w:t>
      </w:r>
      <w:r w:rsidRPr="003B1879">
        <w:t xml:space="preserve">obtain a household worksheet </w:t>
      </w:r>
      <w:r w:rsidR="00CD6FB6">
        <w:t>from those subscribers</w:t>
      </w:r>
      <w:r w:rsidR="0002728F">
        <w:t xml:space="preserve"> who meet those requirements</w:t>
      </w:r>
      <w:r w:rsidR="00CD6FB6">
        <w:t>.</w:t>
      </w:r>
      <w:r w:rsidR="00CD6FB6" w:rsidRPr="00CD6FB6">
        <w:rPr>
          <w:rFonts w:cs="TimesNewRoman"/>
          <w:szCs w:val="22"/>
          <w:vertAlign w:val="superscript"/>
        </w:rPr>
        <w:t xml:space="preserve"> </w:t>
      </w:r>
      <w:r w:rsidR="00CD6FB6" w:rsidRPr="008F3CC5">
        <w:rPr>
          <w:rFonts w:cs="TimesNewRoman"/>
          <w:szCs w:val="22"/>
          <w:vertAlign w:val="superscript"/>
        </w:rPr>
        <w:footnoteReference w:id="12"/>
      </w:r>
      <w:r w:rsidR="00CD6FB6" w:rsidRPr="008F3CC5">
        <w:rPr>
          <w:rFonts w:cs="TimesNewRoman"/>
          <w:szCs w:val="22"/>
        </w:rPr>
        <w:t xml:space="preserve">  </w:t>
      </w:r>
    </w:p>
    <w:p w:rsidR="00CD6FB6" w:rsidRPr="0055691F" w:rsidRDefault="00CD6FB6" w:rsidP="00AE2E85">
      <w:pPr>
        <w:pStyle w:val="ListParagraph"/>
        <w:numPr>
          <w:ilvl w:val="0"/>
          <w:numId w:val="6"/>
        </w:numPr>
        <w:rPr>
          <w:rFonts w:cs="TimesNewRoman"/>
          <w:szCs w:val="22"/>
        </w:rPr>
      </w:pPr>
      <w:r w:rsidRPr="00E054A5">
        <w:rPr>
          <w:rFonts w:cs="TimesNewRoman"/>
          <w:szCs w:val="22"/>
        </w:rPr>
        <w:t xml:space="preserve">The ETCs’ communications with the subscriber must meet the requirements of the </w:t>
      </w:r>
      <w:r w:rsidRPr="00AE2E85">
        <w:rPr>
          <w:rFonts w:cs="TimesNewRoman"/>
          <w:i/>
          <w:szCs w:val="22"/>
        </w:rPr>
        <w:t>Lifeline Reform Order</w:t>
      </w:r>
      <w:r w:rsidRPr="00E054A5">
        <w:rPr>
          <w:rFonts w:cs="TimesNewRoman"/>
          <w:szCs w:val="22"/>
        </w:rPr>
        <w:t xml:space="preserve">.  </w:t>
      </w:r>
      <w:r w:rsidRPr="00E054A5">
        <w:rPr>
          <w:szCs w:val="22"/>
        </w:rPr>
        <w:t xml:space="preserve">USAC has posted a template subscriber letter and household worksheet on its website </w:t>
      </w:r>
      <w:r w:rsidR="00A4181A">
        <w:rPr>
          <w:szCs w:val="22"/>
        </w:rPr>
        <w:t xml:space="preserve">that </w:t>
      </w:r>
      <w:r w:rsidRPr="00E054A5">
        <w:rPr>
          <w:szCs w:val="22"/>
        </w:rPr>
        <w:t>meets these requirements.</w:t>
      </w:r>
      <w:r>
        <w:rPr>
          <w:rStyle w:val="FootnoteReference"/>
          <w:szCs w:val="22"/>
        </w:rPr>
        <w:footnoteReference w:id="13"/>
      </w:r>
      <w:r w:rsidRPr="00E054A5">
        <w:rPr>
          <w:szCs w:val="22"/>
        </w:rPr>
        <w:t xml:space="preserve"> </w:t>
      </w:r>
      <w:r>
        <w:t xml:space="preserve"> </w:t>
      </w:r>
    </w:p>
    <w:p w:rsidR="00081398" w:rsidRPr="00AE2E85" w:rsidRDefault="00CD6FB6" w:rsidP="00AE2E85">
      <w:pPr>
        <w:pStyle w:val="ListParagraph"/>
        <w:numPr>
          <w:ilvl w:val="0"/>
          <w:numId w:val="6"/>
        </w:numPr>
        <w:rPr>
          <w:rFonts w:cs="TimesNewRoman"/>
          <w:szCs w:val="22"/>
        </w:rPr>
      </w:pPr>
      <w:r w:rsidRPr="0055691F">
        <w:rPr>
          <w:rFonts w:cs="TimesNewRoman"/>
          <w:szCs w:val="22"/>
        </w:rPr>
        <w:t>Those subscribers who do not compl</w:t>
      </w:r>
      <w:r w:rsidRPr="00CD6FB6">
        <w:rPr>
          <w:rFonts w:cs="TimesNewRoman"/>
          <w:szCs w:val="22"/>
        </w:rPr>
        <w:t>ete a</w:t>
      </w:r>
      <w:r w:rsidR="0002728F">
        <w:rPr>
          <w:rFonts w:cs="TimesNewRoman"/>
          <w:szCs w:val="22"/>
        </w:rPr>
        <w:t xml:space="preserve"> valid</w:t>
      </w:r>
      <w:r w:rsidRPr="00CD6FB6">
        <w:rPr>
          <w:rFonts w:cs="TimesNewRoman"/>
          <w:szCs w:val="22"/>
        </w:rPr>
        <w:t xml:space="preserve"> household worksheet and return the worksheet to their ETC must be de-enrolled from the Lifeline program and the NLAD by their ETC, as contemplated by sections 54.405 and 54.410 of the Commission’s rules.</w:t>
      </w:r>
      <w:r w:rsidRPr="00E054A5">
        <w:rPr>
          <w:rStyle w:val="FootnoteReference"/>
          <w:rFonts w:cs="TimesNewRoman"/>
          <w:szCs w:val="22"/>
        </w:rPr>
        <w:footnoteReference w:id="14"/>
      </w:r>
      <w:r w:rsidRPr="0055691F">
        <w:rPr>
          <w:rFonts w:cs="TimesNewRoman"/>
          <w:szCs w:val="22"/>
        </w:rPr>
        <w:t xml:space="preserve">  </w:t>
      </w:r>
    </w:p>
    <w:p w:rsidR="00167C0B" w:rsidRPr="0055691F" w:rsidRDefault="00167C0B" w:rsidP="00AE2E85">
      <w:pPr>
        <w:ind w:left="1080"/>
        <w:rPr>
          <w:rFonts w:cs="TimesNewRoman"/>
          <w:szCs w:val="22"/>
        </w:rPr>
      </w:pPr>
    </w:p>
    <w:p w:rsidR="0078786E" w:rsidRDefault="0078786E" w:rsidP="00AE2E85">
      <w:pPr>
        <w:rPr>
          <w:rFonts w:cs="TimesNewRoman"/>
          <w:szCs w:val="22"/>
        </w:rPr>
      </w:pPr>
    </w:p>
    <w:p w:rsidR="0078786E" w:rsidRDefault="0078786E" w:rsidP="00AE2E85">
      <w:pPr>
        <w:rPr>
          <w:rFonts w:cs="TimesNewRoman"/>
          <w:szCs w:val="22"/>
        </w:rPr>
      </w:pPr>
    </w:p>
    <w:p w:rsidR="00CD6FB6" w:rsidRDefault="00167C0B" w:rsidP="007933F7">
      <w:pPr>
        <w:ind w:firstLine="720"/>
        <w:rPr>
          <w:rFonts w:cs="TimesNewRoman"/>
          <w:szCs w:val="22"/>
        </w:rPr>
      </w:pPr>
      <w:r w:rsidRPr="00AE2E85">
        <w:rPr>
          <w:rFonts w:cs="TimesNewRoman"/>
          <w:szCs w:val="22"/>
        </w:rPr>
        <w:t>T</w:t>
      </w:r>
      <w:r w:rsidR="00BC10E3" w:rsidRPr="00AE2E85">
        <w:rPr>
          <w:rFonts w:cs="TimesNewRoman"/>
          <w:szCs w:val="22"/>
        </w:rPr>
        <w:t xml:space="preserve">his process will be performed under the following timeline: </w:t>
      </w:r>
    </w:p>
    <w:p w:rsidR="00CD6FB6" w:rsidRPr="00AE2E85" w:rsidRDefault="00CD6FB6" w:rsidP="00AE2E85">
      <w:pPr>
        <w:rPr>
          <w:rFonts w:cs="TimesNewRoman"/>
          <w:szCs w:val="22"/>
        </w:rPr>
      </w:pPr>
    </w:p>
    <w:p w:rsidR="00167C0B" w:rsidRPr="00AE2E85" w:rsidRDefault="00BC10E3" w:rsidP="00AE2E85">
      <w:pPr>
        <w:pStyle w:val="ListParagraph"/>
        <w:numPr>
          <w:ilvl w:val="0"/>
          <w:numId w:val="7"/>
        </w:numPr>
        <w:rPr>
          <w:rFonts w:cs="TimesNewRoman"/>
          <w:szCs w:val="22"/>
        </w:rPr>
      </w:pPr>
      <w:r w:rsidRPr="001E1D1C">
        <w:rPr>
          <w:rFonts w:cs="TimesNewRoman"/>
          <w:szCs w:val="22"/>
        </w:rPr>
        <w:t xml:space="preserve">ETCs have from the release date of this Public Notice until </w:t>
      </w:r>
      <w:r w:rsidRPr="001E1D1C">
        <w:rPr>
          <w:rFonts w:cs="TimesNewRoman"/>
          <w:b/>
          <w:szCs w:val="22"/>
        </w:rPr>
        <w:t>December 23, 2014</w:t>
      </w:r>
      <w:r w:rsidRPr="001E1D1C">
        <w:rPr>
          <w:rFonts w:cs="TimesNewRoman"/>
          <w:szCs w:val="22"/>
        </w:rPr>
        <w:t xml:space="preserve">, to obtain a </w:t>
      </w:r>
      <w:r w:rsidR="0002728F">
        <w:rPr>
          <w:rFonts w:cs="TimesNewRoman"/>
          <w:szCs w:val="22"/>
        </w:rPr>
        <w:t xml:space="preserve">valid </w:t>
      </w:r>
      <w:r w:rsidRPr="001E1D1C">
        <w:rPr>
          <w:rFonts w:cs="TimesNewRoman"/>
          <w:szCs w:val="22"/>
        </w:rPr>
        <w:t xml:space="preserve">household worksheet from </w:t>
      </w:r>
      <w:r w:rsidR="0002728F">
        <w:rPr>
          <w:rFonts w:cs="TimesNewRoman"/>
          <w:szCs w:val="22"/>
        </w:rPr>
        <w:t xml:space="preserve">any </w:t>
      </w:r>
      <w:r w:rsidRPr="001E1D1C">
        <w:rPr>
          <w:rFonts w:cs="TimesNewRoman"/>
          <w:szCs w:val="22"/>
        </w:rPr>
        <w:t xml:space="preserve">subscribers </w:t>
      </w:r>
      <w:r w:rsidR="00713BCB">
        <w:rPr>
          <w:rFonts w:cs="TimesNewRoman"/>
          <w:szCs w:val="22"/>
        </w:rPr>
        <w:t xml:space="preserve">identified by </w:t>
      </w:r>
      <w:r w:rsidRPr="001E1D1C">
        <w:rPr>
          <w:rFonts w:cs="TimesNewRoman"/>
          <w:szCs w:val="22"/>
        </w:rPr>
        <w:t>USAC</w:t>
      </w:r>
      <w:r w:rsidR="00713BCB">
        <w:rPr>
          <w:rFonts w:cs="TimesNewRoman"/>
          <w:szCs w:val="22"/>
        </w:rPr>
        <w:t xml:space="preserve"> as inter-company duplicates</w:t>
      </w:r>
      <w:r w:rsidR="0002728F">
        <w:rPr>
          <w:rFonts w:cs="TimesNewRoman"/>
          <w:szCs w:val="22"/>
        </w:rPr>
        <w:t>.</w:t>
      </w:r>
    </w:p>
    <w:p w:rsidR="00167C0B" w:rsidRPr="00AE2E85" w:rsidRDefault="00BC10E3" w:rsidP="00AE2E85">
      <w:pPr>
        <w:pStyle w:val="ListParagraph"/>
        <w:numPr>
          <w:ilvl w:val="0"/>
          <w:numId w:val="7"/>
        </w:numPr>
        <w:rPr>
          <w:rFonts w:cs="TimesNewRoman"/>
          <w:szCs w:val="22"/>
        </w:rPr>
      </w:pPr>
      <w:r w:rsidRPr="001E1D1C">
        <w:rPr>
          <w:rFonts w:cs="TimesNewRoman"/>
          <w:szCs w:val="22"/>
        </w:rPr>
        <w:t xml:space="preserve">ETCs MUST de-enroll any subscriber who fails to provide a </w:t>
      </w:r>
      <w:r w:rsidR="0002728F">
        <w:rPr>
          <w:rFonts w:cs="TimesNewRoman"/>
          <w:szCs w:val="22"/>
        </w:rPr>
        <w:t xml:space="preserve">valid </w:t>
      </w:r>
      <w:r w:rsidRPr="001E1D1C">
        <w:rPr>
          <w:rFonts w:cs="TimesNewRoman"/>
          <w:szCs w:val="22"/>
        </w:rPr>
        <w:t xml:space="preserve">household worksheet by </w:t>
      </w:r>
      <w:r w:rsidRPr="001E1D1C">
        <w:rPr>
          <w:rFonts w:cs="TimesNewRoman"/>
          <w:b/>
          <w:szCs w:val="22"/>
        </w:rPr>
        <w:t>December 30, 2014</w:t>
      </w:r>
      <w:r w:rsidR="00C17D93">
        <w:rPr>
          <w:rFonts w:cs="TimesNewRoman"/>
          <w:b/>
          <w:szCs w:val="22"/>
        </w:rPr>
        <w:t>.</w:t>
      </w:r>
    </w:p>
    <w:p w:rsidR="00167C0B" w:rsidRPr="00AE2E85" w:rsidRDefault="00BC10E3" w:rsidP="00AE2E85">
      <w:pPr>
        <w:pStyle w:val="ListParagraph"/>
        <w:numPr>
          <w:ilvl w:val="0"/>
          <w:numId w:val="7"/>
        </w:numPr>
        <w:rPr>
          <w:rFonts w:cs="TimesNewRoman"/>
          <w:szCs w:val="22"/>
        </w:rPr>
      </w:pPr>
      <w:r w:rsidRPr="001E1D1C">
        <w:rPr>
          <w:rFonts w:cs="TimesNewRoman"/>
          <w:szCs w:val="22"/>
        </w:rPr>
        <w:t xml:space="preserve">ETCs MUST update the NLAD regarding the status of all subscribers on their USAC-provided list by </w:t>
      </w:r>
      <w:r w:rsidRPr="001E1D1C">
        <w:rPr>
          <w:rFonts w:cs="TimesNewRoman"/>
          <w:b/>
          <w:szCs w:val="22"/>
        </w:rPr>
        <w:t xml:space="preserve">December 31, 2014 </w:t>
      </w:r>
      <w:r w:rsidRPr="00AE2E85">
        <w:rPr>
          <w:rFonts w:cs="TimesNewRoman"/>
          <w:szCs w:val="22"/>
        </w:rPr>
        <w:t>(</w:t>
      </w:r>
      <w:r w:rsidRPr="00EC3F6C">
        <w:rPr>
          <w:rFonts w:cs="TimesNewRoman"/>
          <w:szCs w:val="22"/>
        </w:rPr>
        <w:t>i.e.</w:t>
      </w:r>
      <w:r w:rsidR="00EC3F6C">
        <w:rPr>
          <w:rFonts w:cs="TimesNewRoman"/>
          <w:szCs w:val="22"/>
        </w:rPr>
        <w:t>,</w:t>
      </w:r>
      <w:r w:rsidRPr="001E1D1C">
        <w:rPr>
          <w:rFonts w:cs="TimesNewRoman"/>
          <w:szCs w:val="22"/>
        </w:rPr>
        <w:t xml:space="preserve"> ETCs must enter de-enrollment dates into the NLAD for those subscribers who fail to provide </w:t>
      </w:r>
      <w:r w:rsidR="0002728F">
        <w:rPr>
          <w:rFonts w:cs="TimesNewRoman"/>
          <w:szCs w:val="22"/>
        </w:rPr>
        <w:t xml:space="preserve">a valid </w:t>
      </w:r>
      <w:r w:rsidRPr="001E1D1C">
        <w:rPr>
          <w:rFonts w:cs="TimesNewRoman"/>
          <w:szCs w:val="22"/>
        </w:rPr>
        <w:t xml:space="preserve">household worksheet and also check the Independent Economic Household (IEH) flag for those subscribers who do provide </w:t>
      </w:r>
      <w:r w:rsidR="0002728F">
        <w:rPr>
          <w:rFonts w:cs="TimesNewRoman"/>
          <w:szCs w:val="22"/>
        </w:rPr>
        <w:t xml:space="preserve">a valid </w:t>
      </w:r>
      <w:r w:rsidRPr="001E1D1C">
        <w:rPr>
          <w:rFonts w:cs="TimesNewRoman"/>
          <w:szCs w:val="22"/>
        </w:rPr>
        <w:t xml:space="preserve"> household worksheet). </w:t>
      </w:r>
    </w:p>
    <w:p w:rsidR="00167C0B" w:rsidRPr="00AE2E85" w:rsidRDefault="00A227FB" w:rsidP="00AE2E85">
      <w:pPr>
        <w:pStyle w:val="ListParagraph"/>
        <w:numPr>
          <w:ilvl w:val="0"/>
          <w:numId w:val="7"/>
        </w:numPr>
        <w:rPr>
          <w:rFonts w:cs="TimesNewRoman"/>
          <w:szCs w:val="22"/>
        </w:rPr>
      </w:pPr>
      <w:r>
        <w:rPr>
          <w:rFonts w:cs="TimesNewRoman"/>
          <w:szCs w:val="22"/>
        </w:rPr>
        <w:t>USAC must de-enroll by</w:t>
      </w:r>
      <w:r w:rsidR="00BC10E3" w:rsidRPr="001E1D1C">
        <w:rPr>
          <w:rFonts w:cs="TimesNewRoman"/>
          <w:szCs w:val="22"/>
        </w:rPr>
        <w:t xml:space="preserve"> </w:t>
      </w:r>
      <w:r w:rsidR="00BC10E3" w:rsidRPr="001E1D1C">
        <w:rPr>
          <w:rFonts w:cs="TimesNewRoman"/>
          <w:b/>
          <w:szCs w:val="22"/>
        </w:rPr>
        <w:t xml:space="preserve">January 1, 2015 </w:t>
      </w:r>
      <w:r w:rsidR="00BC10E3" w:rsidRPr="001E1D1C">
        <w:rPr>
          <w:rFonts w:cs="TimesNewRoman"/>
          <w:szCs w:val="22"/>
        </w:rPr>
        <w:t>any subscriber</w:t>
      </w:r>
      <w:r w:rsidR="00167C0B" w:rsidRPr="00AE2E85">
        <w:rPr>
          <w:rFonts w:cs="TimesNewRoman"/>
          <w:szCs w:val="22"/>
        </w:rPr>
        <w:t xml:space="preserve"> listed</w:t>
      </w:r>
      <w:r w:rsidR="000C1CD3" w:rsidRPr="00AE2E85">
        <w:rPr>
          <w:rFonts w:cs="TimesNewRoman"/>
          <w:szCs w:val="22"/>
        </w:rPr>
        <w:t xml:space="preserve"> in the NLAD</w:t>
      </w:r>
      <w:r w:rsidR="00167C0B" w:rsidRPr="00AE2E85">
        <w:rPr>
          <w:rFonts w:cs="TimesNewRoman"/>
          <w:szCs w:val="22"/>
        </w:rPr>
        <w:t xml:space="preserve"> as an inter</w:t>
      </w:r>
      <w:r w:rsidR="000C1CD3" w:rsidRPr="00AE2E85">
        <w:rPr>
          <w:rFonts w:cs="TimesNewRoman"/>
          <w:szCs w:val="22"/>
        </w:rPr>
        <w:t>-c</w:t>
      </w:r>
      <w:r w:rsidR="00167C0B" w:rsidRPr="00AE2E85">
        <w:rPr>
          <w:rFonts w:cs="TimesNewRoman"/>
          <w:szCs w:val="22"/>
        </w:rPr>
        <w:t>ompany household duplicate</w:t>
      </w:r>
      <w:r w:rsidR="00BC10E3" w:rsidRPr="0055691F">
        <w:rPr>
          <w:rFonts w:cs="TimesNewRoman"/>
          <w:szCs w:val="22"/>
        </w:rPr>
        <w:t xml:space="preserve"> who has not been de-enrolled or who has not been enrolled into the NLAD using the IEH flag.  </w:t>
      </w:r>
    </w:p>
    <w:p w:rsidR="00167C0B" w:rsidRPr="00AE2E85" w:rsidRDefault="00167C0B" w:rsidP="00AE2E85">
      <w:pPr>
        <w:pStyle w:val="ListParagraph"/>
        <w:rPr>
          <w:rFonts w:cs="TimesNewRoman"/>
          <w:szCs w:val="22"/>
        </w:rPr>
      </w:pPr>
    </w:p>
    <w:p w:rsidR="006C01CD" w:rsidRPr="001E1D1C" w:rsidRDefault="00BC10E3" w:rsidP="007933F7">
      <w:pPr>
        <w:ind w:firstLine="720"/>
        <w:rPr>
          <w:rFonts w:cs="TimesNewRoman"/>
          <w:szCs w:val="22"/>
        </w:rPr>
      </w:pPr>
      <w:r w:rsidRPr="0055691F">
        <w:rPr>
          <w:rFonts w:cs="TimesNewRoman"/>
          <w:szCs w:val="22"/>
        </w:rPr>
        <w:t>Thi</w:t>
      </w:r>
      <w:r w:rsidRPr="001E1D1C">
        <w:rPr>
          <w:rFonts w:cs="TimesNewRoman"/>
          <w:szCs w:val="22"/>
        </w:rPr>
        <w:t>s timeline is consistent with the timeline for the recertification requirements for the Lifeline program.</w:t>
      </w:r>
      <w:r w:rsidRPr="00AE2E85">
        <w:rPr>
          <w:rStyle w:val="FootnoteReference"/>
          <w:rFonts w:cs="TimesNewRoman"/>
          <w:szCs w:val="22"/>
        </w:rPr>
        <w:footnoteReference w:id="15"/>
      </w:r>
      <w:r w:rsidR="007D04C8">
        <w:rPr>
          <w:rFonts w:cs="TimesNewRoman"/>
          <w:szCs w:val="22"/>
        </w:rPr>
        <w:t xml:space="preserve">  </w:t>
      </w:r>
      <w:r w:rsidRPr="0055691F">
        <w:rPr>
          <w:rFonts w:cs="TimesNewRoman"/>
          <w:szCs w:val="22"/>
        </w:rPr>
        <w:t>Th</w:t>
      </w:r>
      <w:r w:rsidR="00F53FCB">
        <w:rPr>
          <w:rFonts w:cs="TimesNewRoman"/>
          <w:szCs w:val="22"/>
        </w:rPr>
        <w:t xml:space="preserve">is </w:t>
      </w:r>
      <w:r w:rsidRPr="001E1D1C">
        <w:rPr>
          <w:rFonts w:cs="TimesNewRoman"/>
          <w:szCs w:val="22"/>
        </w:rPr>
        <w:t xml:space="preserve">will </w:t>
      </w:r>
      <w:r w:rsidR="00F53FCB">
        <w:rPr>
          <w:rFonts w:cs="TimesNewRoman"/>
          <w:szCs w:val="22"/>
        </w:rPr>
        <w:t xml:space="preserve">be efficient for </w:t>
      </w:r>
      <w:r w:rsidRPr="001E1D1C">
        <w:rPr>
          <w:rFonts w:cs="TimesNewRoman"/>
          <w:szCs w:val="22"/>
        </w:rPr>
        <w:t>ETC</w:t>
      </w:r>
      <w:r w:rsidR="00F53FCB">
        <w:rPr>
          <w:rFonts w:cs="TimesNewRoman"/>
          <w:szCs w:val="22"/>
        </w:rPr>
        <w:t>s</w:t>
      </w:r>
      <w:r w:rsidRPr="001E1D1C">
        <w:rPr>
          <w:rFonts w:cs="TimesNewRoman"/>
          <w:szCs w:val="22"/>
        </w:rPr>
        <w:t xml:space="preserve"> and minimize subscriber confusion.    </w:t>
      </w:r>
    </w:p>
    <w:p w:rsidR="0078786E" w:rsidRDefault="0078786E" w:rsidP="007D04C8">
      <w:pPr>
        <w:ind w:firstLine="360"/>
        <w:rPr>
          <w:szCs w:val="22"/>
        </w:rPr>
      </w:pPr>
    </w:p>
    <w:p w:rsidR="00FE6267" w:rsidRPr="003B1879" w:rsidRDefault="00FE6267" w:rsidP="007933F7">
      <w:pPr>
        <w:keepNext/>
        <w:spacing w:after="120"/>
        <w:ind w:firstLine="720"/>
        <w:rPr>
          <w:szCs w:val="22"/>
        </w:rPr>
      </w:pPr>
      <w:r w:rsidRPr="003B1879">
        <w:rPr>
          <w:szCs w:val="22"/>
        </w:rPr>
        <w:t>For further information, please contact Anita Patankar-Stoll, Telecommunications Access Policy Division, Wireline Competition Bureau at (202) 418-7400 or TTY (202) 418-0484.</w:t>
      </w:r>
    </w:p>
    <w:p w:rsidR="00FE6267" w:rsidRPr="003B1879" w:rsidRDefault="00FE6267" w:rsidP="00FE6267">
      <w:pPr>
        <w:keepNext/>
        <w:ind w:firstLine="720"/>
        <w:rPr>
          <w:szCs w:val="22"/>
        </w:rPr>
      </w:pPr>
    </w:p>
    <w:p w:rsidR="00FE6267" w:rsidRPr="003B1879" w:rsidRDefault="00984FF1" w:rsidP="00FE6267">
      <w:pPr>
        <w:jc w:val="center"/>
        <w:rPr>
          <w:b/>
        </w:rPr>
      </w:pPr>
      <w:r w:rsidRPr="003B1879">
        <w:rPr>
          <w:b/>
        </w:rPr>
        <w:t>–</w:t>
      </w:r>
      <w:r w:rsidR="00FE6267" w:rsidRPr="003B1879">
        <w:rPr>
          <w:b/>
        </w:rPr>
        <w:t xml:space="preserve"> FCC –</w:t>
      </w:r>
    </w:p>
    <w:p w:rsidR="00FE6267" w:rsidRPr="00AE2E85" w:rsidRDefault="00FE6267" w:rsidP="00D53630">
      <w:pPr>
        <w:ind w:firstLine="720"/>
        <w:rPr>
          <w:rFonts w:cs="TimesNewRoman"/>
          <w:szCs w:val="22"/>
        </w:rPr>
      </w:pPr>
    </w:p>
    <w:p w:rsidR="003B6CFD" w:rsidRPr="00AE2E85" w:rsidRDefault="003B6CFD" w:rsidP="003B6CFD">
      <w:pPr>
        <w:ind w:firstLine="720"/>
        <w:jc w:val="center"/>
        <w:rPr>
          <w:rFonts w:cs="TimesNewRoman"/>
          <w:b/>
          <w:szCs w:val="22"/>
          <w:u w:val="single"/>
        </w:rPr>
      </w:pPr>
    </w:p>
    <w:p w:rsidR="00610812" w:rsidRPr="00AE2E85" w:rsidRDefault="00610812" w:rsidP="00D53630">
      <w:pPr>
        <w:ind w:firstLine="720"/>
        <w:rPr>
          <w:rFonts w:cs="TimesNewRoman"/>
          <w:i/>
          <w:szCs w:val="22"/>
        </w:rPr>
      </w:pPr>
    </w:p>
    <w:p w:rsidR="00610812" w:rsidRPr="00AE2E85" w:rsidRDefault="00610812" w:rsidP="00D53630">
      <w:pPr>
        <w:ind w:firstLine="720"/>
        <w:rPr>
          <w:rFonts w:cs="TimesNewRoman"/>
          <w:i/>
          <w:szCs w:val="22"/>
        </w:rPr>
      </w:pPr>
    </w:p>
    <w:p w:rsidR="00610812" w:rsidRPr="00AE2E85" w:rsidRDefault="00610812" w:rsidP="00D53630">
      <w:pPr>
        <w:ind w:firstLine="720"/>
        <w:rPr>
          <w:rFonts w:cs="TimesNewRoman"/>
          <w:i/>
          <w:szCs w:val="22"/>
        </w:rPr>
      </w:pPr>
    </w:p>
    <w:p w:rsidR="003B6CFD" w:rsidRPr="00AE2E85" w:rsidRDefault="003B6CFD" w:rsidP="003B6CFD">
      <w:pPr>
        <w:rPr>
          <w:rFonts w:cs="TimesNewRoman"/>
          <w:szCs w:val="22"/>
        </w:rPr>
      </w:pPr>
    </w:p>
    <w:p w:rsidR="003B6CFD" w:rsidRPr="0055691F" w:rsidRDefault="003B6CFD" w:rsidP="008A4E48">
      <w:pPr>
        <w:jc w:val="center"/>
        <w:rPr>
          <w:b/>
        </w:rPr>
      </w:pPr>
    </w:p>
    <w:p w:rsidR="008A4E48" w:rsidRPr="003B1879" w:rsidRDefault="008A4E48" w:rsidP="008A4E48">
      <w:pPr>
        <w:jc w:val="center"/>
        <w:rPr>
          <w:b/>
        </w:rPr>
      </w:pPr>
    </w:p>
    <w:p w:rsidR="008A4E48" w:rsidRPr="003B1879" w:rsidRDefault="008A4E48" w:rsidP="002E70E5">
      <w:pPr>
        <w:rPr>
          <w:szCs w:val="22"/>
        </w:rPr>
      </w:pPr>
    </w:p>
    <w:sectPr w:rsidR="008A4E48" w:rsidRPr="003B1879" w:rsidSect="00232A93">
      <w:footerReference w:type="even" r:id="rId14"/>
      <w:footerReference w:type="default" r:id="rId15"/>
      <w:headerReference w:type="first" r:id="rId16"/>
      <w:type w:val="continuous"/>
      <w:pgSz w:w="12240" w:h="15840" w:code="1"/>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17" w:rsidRDefault="008D6517" w:rsidP="008A4E48">
      <w:r>
        <w:separator/>
      </w:r>
    </w:p>
  </w:endnote>
  <w:endnote w:type="continuationSeparator" w:id="0">
    <w:p w:rsidR="008D6517" w:rsidRDefault="008D6517" w:rsidP="008A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53" w:rsidRDefault="001A2A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A2A53" w:rsidRDefault="001A2A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53" w:rsidRDefault="001A2A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A2A53" w:rsidRDefault="001A2A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3E" w:rsidRDefault="006C22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53" w:rsidRDefault="001A2A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A2A53" w:rsidRDefault="001A2A5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53" w:rsidRDefault="001A2A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7339">
      <w:rPr>
        <w:rStyle w:val="PageNumber"/>
        <w:noProof/>
      </w:rPr>
      <w:t>2</w:t>
    </w:r>
    <w:r>
      <w:rPr>
        <w:rStyle w:val="PageNumber"/>
      </w:rPr>
      <w:fldChar w:fldCharType="end"/>
    </w:r>
  </w:p>
  <w:p w:rsidR="001A2A53" w:rsidRDefault="001A2A53">
    <w:pPr>
      <w:pStyle w:val="Footer"/>
      <w:tabs>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17" w:rsidRDefault="008D6517" w:rsidP="008A4E48">
      <w:r>
        <w:separator/>
      </w:r>
    </w:p>
  </w:footnote>
  <w:footnote w:type="continuationSeparator" w:id="0">
    <w:p w:rsidR="008D6517" w:rsidRDefault="008D6517" w:rsidP="008A4E48">
      <w:r>
        <w:continuationSeparator/>
      </w:r>
    </w:p>
  </w:footnote>
  <w:footnote w:id="1">
    <w:p w:rsidR="001A2A53" w:rsidRDefault="001A2A53" w:rsidP="00BC10E3">
      <w:pPr>
        <w:pStyle w:val="FootnoteText"/>
      </w:pPr>
      <w:r>
        <w:rPr>
          <w:rStyle w:val="FootnoteReference"/>
        </w:rPr>
        <w:footnoteRef/>
      </w:r>
      <w:r>
        <w:t xml:space="preserve"> </w:t>
      </w:r>
      <w:r w:rsidRPr="00342E7F">
        <w:rPr>
          <w:i/>
        </w:rPr>
        <w:t>See Lifeline and Link Up Reform and Modernization et al</w:t>
      </w:r>
      <w:r>
        <w:t xml:space="preserve">., WC Docket No. 11-42 et al., Report and Order and Further Notice of Proposed Rulemaking, 27 FCC Rcd 6656, </w:t>
      </w:r>
      <w:r w:rsidRPr="00525C45">
        <w:t>674</w:t>
      </w:r>
      <w:r>
        <w:t>7-49, paras. 210-16 (2012) (</w:t>
      </w:r>
      <w:r w:rsidRPr="00F42CEB">
        <w:rPr>
          <w:i/>
        </w:rPr>
        <w:t>Lifeline Reform Order</w:t>
      </w:r>
      <w:r>
        <w:t>).</w:t>
      </w:r>
    </w:p>
  </w:footnote>
  <w:footnote w:id="2">
    <w:p w:rsidR="001A2A53" w:rsidRDefault="001A2A53">
      <w:pPr>
        <w:pStyle w:val="FootnoteText"/>
      </w:pPr>
      <w:r>
        <w:rPr>
          <w:rStyle w:val="FootnoteReference"/>
        </w:rPr>
        <w:footnoteRef/>
      </w:r>
      <w:r>
        <w:t xml:space="preserve"> </w:t>
      </w:r>
      <w:r w:rsidRPr="00FB3866">
        <w:rPr>
          <w:i/>
        </w:rPr>
        <w:t>See</w:t>
      </w:r>
      <w:r>
        <w:t xml:space="preserve"> USAC</w:t>
      </w:r>
      <w:r w:rsidR="00A40BF0">
        <w:t xml:space="preserve">, Duplicate Resolution, </w:t>
      </w:r>
      <w:r w:rsidR="00A40BF0" w:rsidRPr="00A40BF0">
        <w:t>http://www.usac.org/li/tools/nlad/nlad-duplicate-resolution.aspx (last visited</w:t>
      </w:r>
      <w:r w:rsidR="00A40BF0">
        <w:t xml:space="preserve"> Aug. 25, 2014</w:t>
      </w:r>
      <w:r w:rsidRPr="00B47BB8">
        <w:t>).</w:t>
      </w:r>
    </w:p>
  </w:footnote>
  <w:footnote w:id="3">
    <w:p w:rsidR="001A2A53" w:rsidRPr="00A34A48" w:rsidRDefault="001A2A53" w:rsidP="00BC10E3">
      <w:pPr>
        <w:pStyle w:val="FootnoteText"/>
      </w:pPr>
      <w:r w:rsidRPr="00A34A48">
        <w:rPr>
          <w:rStyle w:val="FootnoteReference"/>
        </w:rPr>
        <w:footnoteRef/>
      </w:r>
      <w:r w:rsidRPr="00A34A48">
        <w:t xml:space="preserve"> </w:t>
      </w:r>
      <w:r w:rsidRPr="00A34A48">
        <w:rPr>
          <w:i/>
        </w:rPr>
        <w:t xml:space="preserve">See </w:t>
      </w:r>
      <w:r>
        <w:rPr>
          <w:i/>
        </w:rPr>
        <w:t>Lifeline Reform Order</w:t>
      </w:r>
      <w:r>
        <w:t xml:space="preserve">, 27 FCC Rcd at </w:t>
      </w:r>
      <w:r w:rsidRPr="00A34A48">
        <w:t>6687,</w:t>
      </w:r>
      <w:r>
        <w:t xml:space="preserve"> para. 69, 6734,</w:t>
      </w:r>
      <w:r w:rsidRPr="00A34A48">
        <w:t xml:space="preserve"> para. </w:t>
      </w:r>
      <w:r>
        <w:t>179</w:t>
      </w:r>
      <w:r w:rsidRPr="00A34A48">
        <w:t>; 47 C.F.R.</w:t>
      </w:r>
      <w:r>
        <w:t xml:space="preserve"> </w:t>
      </w:r>
      <w:r w:rsidRPr="00A34A48">
        <w:t>§ 54.409(c).  A household is defined as “any individual or group of individuals who are living at the same ad</w:t>
      </w:r>
      <w:r>
        <w:t>dress as one economic unit.” 47</w:t>
      </w:r>
      <w:r w:rsidRPr="00A34A48">
        <w:t xml:space="preserve"> C.F.R. § 54.400(h). </w:t>
      </w:r>
    </w:p>
  </w:footnote>
  <w:footnote w:id="4">
    <w:p w:rsidR="001A2A53" w:rsidRPr="00A34A48" w:rsidRDefault="001A2A53" w:rsidP="00BC10E3">
      <w:pPr>
        <w:pStyle w:val="FootnoteText"/>
      </w:pPr>
      <w:r w:rsidRPr="00A34A48">
        <w:rPr>
          <w:rStyle w:val="FootnoteReference"/>
        </w:rPr>
        <w:footnoteRef/>
      </w:r>
      <w:r w:rsidRPr="00A34A48">
        <w:rPr>
          <w:i/>
        </w:rPr>
        <w:t xml:space="preserve"> See </w:t>
      </w:r>
      <w:r>
        <w:rPr>
          <w:i/>
        </w:rPr>
        <w:t>Lifeline Reform Order</w:t>
      </w:r>
      <w:r>
        <w:t xml:space="preserve">, 27 FCC Rcd </w:t>
      </w:r>
      <w:r w:rsidRPr="00A34A48">
        <w:t>at</w:t>
      </w:r>
      <w:r w:rsidRPr="00A34A48">
        <w:rPr>
          <w:i/>
        </w:rPr>
        <w:t xml:space="preserve"> </w:t>
      </w:r>
      <w:r w:rsidRPr="00A34A48">
        <w:t>6747,</w:t>
      </w:r>
      <w:r w:rsidRPr="00A34A48">
        <w:rPr>
          <w:i/>
        </w:rPr>
        <w:t xml:space="preserve"> </w:t>
      </w:r>
      <w:r w:rsidRPr="00A34A48">
        <w:t>para. 211.</w:t>
      </w:r>
    </w:p>
  </w:footnote>
  <w:footnote w:id="5">
    <w:p w:rsidR="001A2A53" w:rsidRPr="00A34A48" w:rsidRDefault="001A2A53" w:rsidP="00BC10E3">
      <w:pPr>
        <w:pStyle w:val="FootnoteText"/>
      </w:pPr>
      <w:r w:rsidRPr="00A34A48">
        <w:rPr>
          <w:rStyle w:val="FootnoteReference"/>
        </w:rPr>
        <w:footnoteRef/>
      </w:r>
      <w:r w:rsidRPr="00A34A48">
        <w:t xml:space="preserve"> </w:t>
      </w:r>
      <w:r w:rsidRPr="00AA1A0D">
        <w:rPr>
          <w:i/>
        </w:rPr>
        <w:t>See</w:t>
      </w:r>
      <w:r w:rsidRPr="00A34A48">
        <w:t xml:space="preserve"> Letter from Julie A. Veach, Chief, Wireline Competition Bureau, F</w:t>
      </w:r>
      <w:r>
        <w:t>CC,</w:t>
      </w:r>
      <w:r w:rsidRPr="00A34A48">
        <w:t xml:space="preserve"> to D. Scott Barash, </w:t>
      </w:r>
      <w:r>
        <w:t xml:space="preserve">Acting CEO, </w:t>
      </w:r>
      <w:r w:rsidRPr="00A34A48">
        <w:t xml:space="preserve">USAC, WC Docket No. 11-42, </w:t>
      </w:r>
      <w:r>
        <w:t>28 FCC Rcd 13003</w:t>
      </w:r>
      <w:r w:rsidRPr="00A34A48">
        <w:t xml:space="preserve"> (Wireline Comp. Bur. 2013) (</w:t>
      </w:r>
      <w:r w:rsidRPr="00A34A48">
        <w:rPr>
          <w:i/>
        </w:rPr>
        <w:t>September Guidance Letter</w:t>
      </w:r>
      <w:r w:rsidRPr="00A34A48">
        <w:t>)</w:t>
      </w:r>
      <w:r>
        <w:t xml:space="preserve">. </w:t>
      </w:r>
    </w:p>
  </w:footnote>
  <w:footnote w:id="6">
    <w:p w:rsidR="001A2A53" w:rsidRPr="00A34A48" w:rsidRDefault="001A2A53" w:rsidP="00BC10E3">
      <w:pPr>
        <w:pStyle w:val="FootnoteText"/>
        <w:rPr>
          <w:color w:val="010101"/>
        </w:rPr>
      </w:pPr>
      <w:r w:rsidRPr="00A34A48">
        <w:rPr>
          <w:rStyle w:val="FootnoteReference"/>
        </w:rPr>
        <w:footnoteRef/>
      </w:r>
      <w:r w:rsidRPr="00A34A48">
        <w:t xml:space="preserve"> </w:t>
      </w:r>
      <w:r w:rsidRPr="00A34A48">
        <w:rPr>
          <w:color w:val="010101"/>
        </w:rPr>
        <w:t xml:space="preserve">Nexus, AT&amp;T, TracFone and Virgin Mobile </w:t>
      </w:r>
      <w:r>
        <w:rPr>
          <w:color w:val="010101"/>
        </w:rPr>
        <w:t>participated in this initiative</w:t>
      </w:r>
      <w:r w:rsidRPr="00A34A48">
        <w:rPr>
          <w:color w:val="010101"/>
        </w:rPr>
        <w:t xml:space="preserve">.  </w:t>
      </w:r>
    </w:p>
  </w:footnote>
  <w:footnote w:id="7">
    <w:p w:rsidR="001A2A53" w:rsidRPr="00A34A48" w:rsidRDefault="001A2A53" w:rsidP="00BC10E3">
      <w:pPr>
        <w:pStyle w:val="FootnoteText"/>
      </w:pPr>
      <w:r w:rsidRPr="00A34A48">
        <w:rPr>
          <w:rStyle w:val="FootnoteReference"/>
        </w:rPr>
        <w:footnoteRef/>
      </w:r>
      <w:r w:rsidRPr="00A34A48">
        <w:t xml:space="preserve"> </w:t>
      </w:r>
      <w:r w:rsidRPr="00B02E87">
        <w:rPr>
          <w:rFonts w:cs="TimesNewRoman"/>
          <w:color w:val="010101"/>
        </w:rPr>
        <w:t>In</w:t>
      </w:r>
      <w:r w:rsidRPr="00A34A48">
        <w:rPr>
          <w:rFonts w:cs="TimesNewRoman"/>
          <w:color w:val="010101"/>
        </w:rPr>
        <w:t xml:space="preserve"> June 2011, the Bureau directed </w:t>
      </w:r>
      <w:r>
        <w:rPr>
          <w:rFonts w:cs="TimesNewRoman"/>
          <w:color w:val="010101"/>
        </w:rPr>
        <w:t>USAC</w:t>
      </w:r>
      <w:r w:rsidRPr="00A34A48">
        <w:rPr>
          <w:rFonts w:cs="TimesNewRoman"/>
          <w:color w:val="010101"/>
        </w:rPr>
        <w:t xml:space="preserve"> to conduct state-specific IDVs to detect and eliminate duplicative Lifeline support.  </w:t>
      </w:r>
      <w:r w:rsidRPr="00A34A48">
        <w:rPr>
          <w:rFonts w:cs="TimesNewRoman"/>
          <w:i/>
          <w:color w:val="010101"/>
        </w:rPr>
        <w:t>See</w:t>
      </w:r>
      <w:r w:rsidRPr="00A34A48">
        <w:rPr>
          <w:rFonts w:cs="TimesNewRoman"/>
          <w:color w:val="010101"/>
        </w:rPr>
        <w:t xml:space="preserve"> </w:t>
      </w:r>
      <w:r w:rsidRPr="00A34A48">
        <w:t>Letter from Sharon E. Gillett, Chief, Wireline Competition Bureau, F</w:t>
      </w:r>
      <w:r>
        <w:t>CC,</w:t>
      </w:r>
      <w:r w:rsidRPr="00A34A48">
        <w:t xml:space="preserve"> to D. Scott Barash, </w:t>
      </w:r>
      <w:r>
        <w:t>Acting CEO, USAC,</w:t>
      </w:r>
      <w:r w:rsidRPr="00A34A48">
        <w:t xml:space="preserve"> WC Docket. No. 11-42 et al</w:t>
      </w:r>
      <w:r w:rsidRPr="00A34A48">
        <w:rPr>
          <w:i/>
        </w:rPr>
        <w:t>.</w:t>
      </w:r>
      <w:r w:rsidRPr="00A34A48">
        <w:t xml:space="preserve">, </w:t>
      </w:r>
      <w:r>
        <w:t xml:space="preserve">26 FCC Rcd 16457 </w:t>
      </w:r>
      <w:r w:rsidRPr="00A34A48">
        <w:t>(</w:t>
      </w:r>
      <w:r>
        <w:t xml:space="preserve">Wireline Comp. Bur. </w:t>
      </w:r>
      <w:r w:rsidRPr="00A34A48">
        <w:t xml:space="preserve">2011); </w:t>
      </w:r>
      <w:r w:rsidRPr="00A34A48">
        <w:rPr>
          <w:color w:val="010101"/>
        </w:rPr>
        <w:t>Letter from Sharon E. Gillett, Chief, Wireline Competition Bureau, F</w:t>
      </w:r>
      <w:r>
        <w:rPr>
          <w:color w:val="010101"/>
        </w:rPr>
        <w:t>CC</w:t>
      </w:r>
      <w:r w:rsidRPr="00A34A48">
        <w:rPr>
          <w:color w:val="010101"/>
        </w:rPr>
        <w:t xml:space="preserve">, to D. Scott Barash, </w:t>
      </w:r>
      <w:r>
        <w:rPr>
          <w:color w:val="010101"/>
        </w:rPr>
        <w:t>Acting CEO, USAC</w:t>
      </w:r>
      <w:r w:rsidRPr="00A34A48">
        <w:rPr>
          <w:color w:val="010101"/>
        </w:rPr>
        <w:t>, WC Docket No</w:t>
      </w:r>
      <w:r>
        <w:rPr>
          <w:color w:val="010101"/>
        </w:rPr>
        <w:t>s</w:t>
      </w:r>
      <w:r w:rsidRPr="00A34A48">
        <w:rPr>
          <w:color w:val="010101"/>
        </w:rPr>
        <w:t xml:space="preserve">. 11-42, 03-109, CC Docket No. 96-45, </w:t>
      </w:r>
      <w:r>
        <w:rPr>
          <w:color w:val="010101"/>
        </w:rPr>
        <w:t>26 FCC Rcd 8588</w:t>
      </w:r>
      <w:r w:rsidRPr="00A34A48">
        <w:rPr>
          <w:color w:val="010101"/>
        </w:rPr>
        <w:t xml:space="preserve"> (Wireline Comp. Bur. 2011) (</w:t>
      </w:r>
      <w:r w:rsidRPr="00A34A48">
        <w:rPr>
          <w:i/>
          <w:iCs/>
          <w:color w:val="010101"/>
        </w:rPr>
        <w:t>June Guidance Letter</w:t>
      </w:r>
      <w:r w:rsidRPr="00A34A48">
        <w:t xml:space="preserve">).  The IDV process saved the Lifeline program more than $269 million.  </w:t>
      </w:r>
    </w:p>
  </w:footnote>
  <w:footnote w:id="8">
    <w:p w:rsidR="001A2A53" w:rsidRPr="00A74372" w:rsidRDefault="001A2A53" w:rsidP="00BC10E3">
      <w:pPr>
        <w:pStyle w:val="FootnoteText"/>
      </w:pPr>
      <w:r w:rsidRPr="00A34A48">
        <w:rPr>
          <w:rStyle w:val="FootnoteReference"/>
        </w:rPr>
        <w:footnoteRef/>
      </w:r>
      <w:r w:rsidRPr="00A34A48">
        <w:t xml:space="preserve"> </w:t>
      </w:r>
      <w:r w:rsidRPr="00A34A48">
        <w:rPr>
          <w:i/>
        </w:rPr>
        <w:t>See Lifeline Reform Order</w:t>
      </w:r>
      <w:r w:rsidRPr="00A34A48">
        <w:t>, 27 FCC Rcd a</w:t>
      </w:r>
      <w:r>
        <w:t xml:space="preserve">t 6747, para. 211; </w:t>
      </w:r>
      <w:r>
        <w:rPr>
          <w:i/>
        </w:rPr>
        <w:t>s</w:t>
      </w:r>
      <w:r w:rsidRPr="00A34A48">
        <w:rPr>
          <w:i/>
        </w:rPr>
        <w:t xml:space="preserve">ee </w:t>
      </w:r>
      <w:r>
        <w:rPr>
          <w:i/>
        </w:rPr>
        <w:t>also June Guidance Letter</w:t>
      </w:r>
      <w:r>
        <w:t>,</w:t>
      </w:r>
      <w:r>
        <w:rPr>
          <w:i/>
        </w:rPr>
        <w:t xml:space="preserve"> </w:t>
      </w:r>
      <w:r w:rsidRPr="00392CF4">
        <w:t>26 FCC Rcd at 8591</w:t>
      </w:r>
      <w:r>
        <w:t>.</w:t>
      </w:r>
    </w:p>
  </w:footnote>
  <w:footnote w:id="9">
    <w:p w:rsidR="001A2A53" w:rsidRPr="00A34A48" w:rsidRDefault="001A2A53" w:rsidP="00BC10E3">
      <w:pPr>
        <w:pStyle w:val="FootnoteText"/>
      </w:pPr>
      <w:r w:rsidRPr="00A34A48">
        <w:rPr>
          <w:rStyle w:val="FootnoteReference"/>
        </w:rPr>
        <w:footnoteRef/>
      </w:r>
      <w:r w:rsidRPr="00A34A48">
        <w:t xml:space="preserve"> </w:t>
      </w:r>
      <w:r w:rsidRPr="00A34A48">
        <w:rPr>
          <w:i/>
        </w:rPr>
        <w:t>See</w:t>
      </w:r>
      <w:r w:rsidRPr="00A34A48">
        <w:t xml:space="preserve"> </w:t>
      </w:r>
      <w:r w:rsidRPr="00A34A48">
        <w:rPr>
          <w:i/>
        </w:rPr>
        <w:t>September Guidance Letter</w:t>
      </w:r>
      <w:r>
        <w:rPr>
          <w:i/>
        </w:rPr>
        <w:t xml:space="preserve">, </w:t>
      </w:r>
      <w:r w:rsidRPr="00392CF4">
        <w:t xml:space="preserve">28 FCC Rcd </w:t>
      </w:r>
      <w:r>
        <w:t xml:space="preserve">at </w:t>
      </w:r>
      <w:r w:rsidRPr="00392CF4">
        <w:t>13004</w:t>
      </w:r>
      <w:r>
        <w:t xml:space="preserve">.   </w:t>
      </w:r>
    </w:p>
  </w:footnote>
  <w:footnote w:id="10">
    <w:p w:rsidR="001A2A53" w:rsidRPr="00A34A48" w:rsidRDefault="001A2A53" w:rsidP="00BC10E3">
      <w:pPr>
        <w:pStyle w:val="FootnoteText"/>
      </w:pPr>
      <w:r w:rsidRPr="00A34A48">
        <w:rPr>
          <w:rStyle w:val="FootnoteReference"/>
        </w:rPr>
        <w:footnoteRef/>
      </w:r>
      <w:r w:rsidRPr="00A34A48">
        <w:t xml:space="preserve"> </w:t>
      </w:r>
      <w:r w:rsidRPr="00A34A48">
        <w:rPr>
          <w:i/>
        </w:rPr>
        <w:t>See</w:t>
      </w:r>
      <w:r w:rsidRPr="00A34A48">
        <w:t xml:space="preserve"> </w:t>
      </w:r>
      <w:r>
        <w:rPr>
          <w:i/>
        </w:rPr>
        <w:t xml:space="preserve">id. </w:t>
      </w:r>
      <w:r w:rsidRPr="00816623">
        <w:t>at 13005-</w:t>
      </w:r>
      <w:r>
        <w:t>0</w:t>
      </w:r>
      <w:r w:rsidRPr="00816623">
        <w:t>8</w:t>
      </w:r>
      <w:r>
        <w:t xml:space="preserve"> (describing various scenarios that could result after the USAC letter was mailed to subscribers).    </w:t>
      </w:r>
      <w:r w:rsidRPr="00A34A48">
        <w:t xml:space="preserve"> </w:t>
      </w:r>
    </w:p>
  </w:footnote>
  <w:footnote w:id="11">
    <w:p w:rsidR="001A2A53" w:rsidRDefault="001A2A53" w:rsidP="00BC10E3">
      <w:pPr>
        <w:pStyle w:val="FootnoteText"/>
      </w:pPr>
      <w:r>
        <w:rPr>
          <w:rStyle w:val="FootnoteReference"/>
        </w:rPr>
        <w:footnoteRef/>
      </w:r>
      <w:r>
        <w:t xml:space="preserve"> </w:t>
      </w:r>
      <w:r w:rsidRPr="00A34A48">
        <w:t xml:space="preserve">In the </w:t>
      </w:r>
      <w:r w:rsidRPr="00A34A48">
        <w:rPr>
          <w:i/>
        </w:rPr>
        <w:t>Lifeline Reform Order</w:t>
      </w:r>
      <w:r w:rsidRPr="00A34A48">
        <w:t xml:space="preserve">, the Commission directed USAC to develop and implement a process subject to Bureau approval for resolving inter-company duplicates once the NLAD was populated.  </w:t>
      </w:r>
      <w:r w:rsidRPr="00A34A48">
        <w:rPr>
          <w:i/>
        </w:rPr>
        <w:t>See Lifeline Reform Order</w:t>
      </w:r>
      <w:r w:rsidRPr="00A34A48">
        <w:t xml:space="preserve">, 27 FCC Rcd at 6749, para. 215.  Such process would take effect immediately upon Bureau approval.  </w:t>
      </w:r>
      <w:r w:rsidRPr="00A34A48">
        <w:rPr>
          <w:i/>
        </w:rPr>
        <w:t>See id</w:t>
      </w:r>
      <w:r w:rsidRPr="00A34A48">
        <w:t xml:space="preserve">.  </w:t>
      </w:r>
      <w:r>
        <w:t xml:space="preserve"> </w:t>
      </w:r>
    </w:p>
  </w:footnote>
  <w:footnote w:id="12">
    <w:p w:rsidR="001A2A53" w:rsidRPr="00A34A48" w:rsidRDefault="001A2A53" w:rsidP="00CD6FB6">
      <w:pPr>
        <w:pStyle w:val="FootnoteText"/>
      </w:pPr>
      <w:r w:rsidRPr="00A34A48">
        <w:rPr>
          <w:rStyle w:val="FootnoteReference"/>
        </w:rPr>
        <w:footnoteRef/>
      </w:r>
      <w:r w:rsidRPr="00A34A48">
        <w:t xml:space="preserve"> </w:t>
      </w:r>
      <w:r w:rsidRPr="00E054A5">
        <w:rPr>
          <w:rFonts w:cs="TimesNewRoman"/>
          <w:szCs w:val="22"/>
        </w:rPr>
        <w:t>We</w:t>
      </w:r>
      <w:r>
        <w:rPr>
          <w:rFonts w:cs="TimesNewRoman"/>
          <w:szCs w:val="22"/>
        </w:rPr>
        <w:t xml:space="preserve"> </w:t>
      </w:r>
      <w:r w:rsidRPr="00E054A5">
        <w:rPr>
          <w:rFonts w:cs="TimesNewRoman"/>
          <w:szCs w:val="22"/>
        </w:rPr>
        <w:t xml:space="preserve">direct ETCs, rather than USAC, to communicate with Lifeline subscribers because subscribers are more likely to respond to inquiries made by their own </w:t>
      </w:r>
      <w:r>
        <w:rPr>
          <w:rFonts w:cs="TimesNewRoman"/>
          <w:szCs w:val="22"/>
        </w:rPr>
        <w:t>service provider</w:t>
      </w:r>
      <w:r w:rsidRPr="00E054A5">
        <w:rPr>
          <w:rFonts w:cs="TimesNewRoman"/>
          <w:szCs w:val="22"/>
        </w:rPr>
        <w:t>.</w:t>
      </w:r>
      <w:r w:rsidRPr="00E054A5">
        <w:rPr>
          <w:rFonts w:cs="TimesNewRoman"/>
          <w:szCs w:val="22"/>
          <w:vertAlign w:val="superscript"/>
        </w:rPr>
        <w:t xml:space="preserve"> </w:t>
      </w:r>
      <w:r>
        <w:rPr>
          <w:rFonts w:cs="TimesNewRoman"/>
          <w:szCs w:val="22"/>
          <w:vertAlign w:val="superscript"/>
        </w:rPr>
        <w:t xml:space="preserve"> </w:t>
      </w:r>
      <w:r>
        <w:t xml:space="preserve">Having the ETCs, and not USAC, reach out to subscribers is also consistent with the proposals of several ETCs. Indeed, some ETCs have already reached out to obtain household worksheets from subscribers identified as residing at the same address during the NLAD loading process.  </w:t>
      </w:r>
      <w:r w:rsidRPr="00D62E67">
        <w:rPr>
          <w:i/>
        </w:rPr>
        <w:t>See, e.g.</w:t>
      </w:r>
      <w:r>
        <w:t xml:space="preserve">, Letter from Tiffany West Smink, Century Link, WC Docket No. 11-42 (June 30, 2014).  </w:t>
      </w:r>
      <w:r w:rsidRPr="00A34A48">
        <w:rPr>
          <w:i/>
        </w:rPr>
        <w:t>See</w:t>
      </w:r>
      <w:r>
        <w:rPr>
          <w:i/>
        </w:rPr>
        <w:t xml:space="preserve"> also</w:t>
      </w:r>
      <w:r>
        <w:t xml:space="preserve"> Letter from John J. Heitmann, C</w:t>
      </w:r>
      <w:r w:rsidRPr="00A34A48">
        <w:t>ounsel to Telrite Corporation, i-wireless LLC, Boomerang Wireless, LLC, Global Connection Inc. of America and Blue Jay Wireless, LLC, WC Docket No. 11-42 (Dec. 5, 2013); Letter from John J. Heitmann and Danielle Frappier</w:t>
      </w:r>
      <w:r>
        <w:t>,</w:t>
      </w:r>
      <w:r w:rsidRPr="00A34A48">
        <w:t xml:space="preserve"> to Marlene Dortch, Secretary, F</w:t>
      </w:r>
      <w:r>
        <w:t>CC</w:t>
      </w:r>
      <w:r w:rsidRPr="00A34A48">
        <w:t xml:space="preserve">, WC Docket No. 11-42 (May 9, 2014).  </w:t>
      </w:r>
      <w:r w:rsidRPr="00A227FB">
        <w:t>Recognizing that the goal behind Lifeline is to give some of the neediest members of our society affordable access to vital communications services, we expect that ETCs will not count their outreach efforts to resolve the household duplicate issue, in the form of minutes/texts to subscribers, against the minutes currently allotted to their subscribers</w:t>
      </w:r>
      <w:r>
        <w:t>.</w:t>
      </w:r>
    </w:p>
  </w:footnote>
  <w:footnote w:id="13">
    <w:p w:rsidR="001A2A53" w:rsidRDefault="001A2A53">
      <w:pPr>
        <w:pStyle w:val="FootnoteText"/>
      </w:pPr>
      <w:r>
        <w:rPr>
          <w:rStyle w:val="FootnoteReference"/>
        </w:rPr>
        <w:footnoteRef/>
      </w:r>
      <w:r>
        <w:t xml:space="preserve"> </w:t>
      </w:r>
      <w:r w:rsidRPr="00E054A5">
        <w:rPr>
          <w:szCs w:val="22"/>
        </w:rPr>
        <w:t xml:space="preserve">ETCs </w:t>
      </w:r>
      <w:r>
        <w:rPr>
          <w:szCs w:val="22"/>
        </w:rPr>
        <w:t xml:space="preserve">are </w:t>
      </w:r>
      <w:r w:rsidRPr="00E054A5">
        <w:rPr>
          <w:szCs w:val="22"/>
        </w:rPr>
        <w:t xml:space="preserve">not </w:t>
      </w:r>
      <w:r>
        <w:rPr>
          <w:szCs w:val="22"/>
        </w:rPr>
        <w:t xml:space="preserve">required to </w:t>
      </w:r>
      <w:r w:rsidRPr="00E054A5">
        <w:rPr>
          <w:szCs w:val="22"/>
        </w:rPr>
        <w:t xml:space="preserve">use the </w:t>
      </w:r>
      <w:r>
        <w:rPr>
          <w:szCs w:val="22"/>
        </w:rPr>
        <w:t xml:space="preserve">specific </w:t>
      </w:r>
      <w:r w:rsidRPr="00E054A5">
        <w:rPr>
          <w:szCs w:val="22"/>
        </w:rPr>
        <w:t>template subscriber letter and household worksheet</w:t>
      </w:r>
      <w:r>
        <w:rPr>
          <w:szCs w:val="22"/>
        </w:rPr>
        <w:t xml:space="preserve"> posted on USAC’s website</w:t>
      </w:r>
      <w:r w:rsidRPr="00E054A5">
        <w:rPr>
          <w:szCs w:val="22"/>
        </w:rPr>
        <w:t xml:space="preserve">.  However, all subscriber communications sent by ETCs to resolve inter-company household duplicates must convey to the subscriber, in substance, the information contained in the template letter and provide the </w:t>
      </w:r>
      <w:r>
        <w:rPr>
          <w:szCs w:val="22"/>
        </w:rPr>
        <w:t>necessary</w:t>
      </w:r>
      <w:r w:rsidRPr="00E054A5">
        <w:rPr>
          <w:szCs w:val="22"/>
        </w:rPr>
        <w:t xml:space="preserve"> guidance for the subscriber to determine if they are a separate household from </w:t>
      </w:r>
      <w:r>
        <w:rPr>
          <w:szCs w:val="22"/>
        </w:rPr>
        <w:t>any others</w:t>
      </w:r>
      <w:r w:rsidRPr="00E054A5">
        <w:rPr>
          <w:szCs w:val="22"/>
        </w:rPr>
        <w:t xml:space="preserve"> receiv</w:t>
      </w:r>
      <w:r>
        <w:rPr>
          <w:szCs w:val="22"/>
        </w:rPr>
        <w:t>ing a Lifeline-</w:t>
      </w:r>
      <w:r w:rsidRPr="00E054A5">
        <w:rPr>
          <w:szCs w:val="22"/>
        </w:rPr>
        <w:t>supported service at that address</w:t>
      </w:r>
      <w:r>
        <w:rPr>
          <w:szCs w:val="22"/>
        </w:rPr>
        <w:t xml:space="preserve">.  </w:t>
      </w:r>
      <w:r>
        <w:t xml:space="preserve">The specific requirements for communication and the template letter and worksheet can be found </w:t>
      </w:r>
      <w:r w:rsidR="00A40BF0">
        <w:t>on USAC’s website.</w:t>
      </w:r>
      <w:r w:rsidR="00A40BF0">
        <w:rPr>
          <w:i/>
        </w:rPr>
        <w:t xml:space="preserve">  </w:t>
      </w:r>
      <w:r w:rsidR="00A40BF0" w:rsidRPr="00FB3866">
        <w:rPr>
          <w:i/>
        </w:rPr>
        <w:t>See</w:t>
      </w:r>
      <w:r w:rsidR="00A40BF0">
        <w:t xml:space="preserve"> USAC, Duplicate Resolution, </w:t>
      </w:r>
      <w:r w:rsidR="00A40BF0" w:rsidRPr="00A40BF0">
        <w:t>http://www.usac.org/li/tools/nlad/nlad-duplicate-resolution.aspx (last visited</w:t>
      </w:r>
      <w:r w:rsidR="00A40BF0">
        <w:t xml:space="preserve"> Aug. 25, 2014</w:t>
      </w:r>
      <w:r w:rsidR="00A40BF0" w:rsidRPr="00B47BB8">
        <w:t>).</w:t>
      </w:r>
    </w:p>
  </w:footnote>
  <w:footnote w:id="14">
    <w:p w:rsidR="001A2A53" w:rsidRDefault="001A2A53" w:rsidP="00CD6FB6">
      <w:pPr>
        <w:pStyle w:val="FootnoteText"/>
      </w:pPr>
      <w:r>
        <w:rPr>
          <w:rStyle w:val="FootnoteReference"/>
        </w:rPr>
        <w:footnoteRef/>
      </w:r>
      <w:r>
        <w:t xml:space="preserve"> </w:t>
      </w:r>
      <w:r w:rsidRPr="001F25F6">
        <w:rPr>
          <w:i/>
        </w:rPr>
        <w:t>See</w:t>
      </w:r>
      <w:r>
        <w:t xml:space="preserve"> 47 C.F.R. </w:t>
      </w:r>
      <w:r w:rsidRPr="00A34A48">
        <w:t>§§</w:t>
      </w:r>
      <w:r>
        <w:t xml:space="preserve"> 54.405(e)(2), 54.410(d)(3)(vi).</w:t>
      </w:r>
    </w:p>
  </w:footnote>
  <w:footnote w:id="15">
    <w:p w:rsidR="001A2A53" w:rsidRDefault="001A2A53" w:rsidP="00BC10E3">
      <w:pPr>
        <w:pStyle w:val="FootnoteText"/>
      </w:pPr>
      <w:r>
        <w:rPr>
          <w:rStyle w:val="FootnoteReference"/>
        </w:rPr>
        <w:footnoteRef/>
      </w:r>
      <w:r>
        <w:t xml:space="preserve"> </w:t>
      </w:r>
      <w:r w:rsidRPr="00773EB7">
        <w:rPr>
          <w:i/>
        </w:rPr>
        <w:t>See</w:t>
      </w:r>
      <w:r>
        <w:t xml:space="preserve"> 47 C.F.R. </w:t>
      </w:r>
      <w:r w:rsidRPr="00A34A48">
        <w:t>§</w:t>
      </w:r>
      <w:r>
        <w:t xml:space="preserve"> 54.410(f).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3E" w:rsidRDefault="006C22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3E" w:rsidRDefault="006C22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53" w:rsidRDefault="001A2A53">
    <w:pPr>
      <w:pStyle w:val="Header"/>
      <w:tabs>
        <w:tab w:val="clear" w:pos="4320"/>
        <w:tab w:val="clear" w:pos="8640"/>
      </w:tabs>
      <w:spacing w:before="40"/>
      <w:ind w:firstLine="1080"/>
      <w:rPr>
        <w:rFonts w:ascii="Arial" w:hAnsi="Arial"/>
        <w:b/>
        <w:kern w:val="28"/>
        <w:sz w:val="96"/>
        <w:szCs w:val="96"/>
      </w:rPr>
    </w:pPr>
    <w:r>
      <w:rPr>
        <w:noProof/>
      </w:rPr>
      <w:drawing>
        <wp:anchor distT="0" distB="0" distL="114300" distR="114300" simplePos="0" relativeHeight="251660288" behindDoc="0" locked="0" layoutInCell="0" allowOverlap="1" wp14:anchorId="18383010" wp14:editId="3E988445">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0" allowOverlap="1" wp14:anchorId="7C171637" wp14:editId="1CBC434E">
              <wp:simplePos x="0" y="0"/>
              <wp:positionH relativeFrom="column">
                <wp:posOffset>604520</wp:posOffset>
              </wp:positionH>
              <wp:positionV relativeFrom="paragraph">
                <wp:posOffset>731520</wp:posOffset>
              </wp:positionV>
              <wp:extent cx="3108960" cy="640080"/>
              <wp:effectExtent l="0" t="0" r="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A53" w:rsidRDefault="001A2A53">
                          <w:pPr>
                            <w:rPr>
                              <w:rFonts w:ascii="Arial" w:hAnsi="Arial"/>
                              <w:b/>
                            </w:rPr>
                          </w:pPr>
                          <w:r>
                            <w:rPr>
                              <w:rFonts w:ascii="Arial" w:hAnsi="Arial"/>
                              <w:b/>
                            </w:rPr>
                            <w:t>Federal Communications Commission</w:t>
                          </w:r>
                        </w:p>
                        <w:p w:rsidR="001A2A53" w:rsidRDefault="001A2A5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A2A53" w:rsidRDefault="001A2A53">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Dpgg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AqwaDp&#10;ggIAAA8FAAAOAAAAAAAAAAAAAAAAAC4CAABkcnMvZTJvRG9jLnhtbFBLAQItABQABgAIAAAAIQBg&#10;Wdm/3gAAAAoBAAAPAAAAAAAAAAAAAAAAANwEAABkcnMvZG93bnJldi54bWxQSwUGAAAAAAQABADz&#10;AAAA5wUAAAAA&#10;" o:allowincell="f" stroked="f">
              <v:textbox>
                <w:txbxContent>
                  <w:p w:rsidR="001A2A53" w:rsidRDefault="001A2A53">
                    <w:pPr>
                      <w:rPr>
                        <w:rFonts w:ascii="Arial" w:hAnsi="Arial"/>
                        <w:b/>
                      </w:rPr>
                    </w:pPr>
                    <w:r>
                      <w:rPr>
                        <w:rFonts w:ascii="Arial" w:hAnsi="Arial"/>
                        <w:b/>
                      </w:rPr>
                      <w:t>Federal Communications Commission</w:t>
                    </w:r>
                  </w:p>
                  <w:p w:rsidR="001A2A53" w:rsidRDefault="001A2A5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A2A53" w:rsidRDefault="001A2A53">
                    <w:pPr>
                      <w:rPr>
                        <w:rFonts w:ascii="Arial" w:hAnsi="Arial"/>
                        <w:sz w:val="24"/>
                      </w:rPr>
                    </w:pPr>
                    <w:r>
                      <w:rPr>
                        <w:rFonts w:ascii="Arial" w:hAnsi="Arial"/>
                        <w:b/>
                      </w:rPr>
                      <w:t>Washington, D.C. 20554</w:t>
                    </w:r>
                  </w:p>
                </w:txbxContent>
              </v:textbox>
            </v:shape>
          </w:pict>
        </mc:Fallback>
      </mc:AlternateContent>
    </w:r>
    <w:r>
      <w:rPr>
        <w:rFonts w:ascii="Arial" w:hAnsi="Arial"/>
        <w:b/>
        <w:kern w:val="28"/>
        <w:sz w:val="96"/>
        <w:szCs w:val="96"/>
      </w:rPr>
      <w:t>PUBLIC NOTICE</w:t>
    </w:r>
  </w:p>
  <w:p w:rsidR="001A2A53" w:rsidRDefault="001A2A53">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8240" behindDoc="0" locked="0" layoutInCell="1" allowOverlap="1" wp14:anchorId="7D6EBC9B" wp14:editId="1C468C22">
              <wp:simplePos x="0" y="0"/>
              <wp:positionH relativeFrom="column">
                <wp:posOffset>3366135</wp:posOffset>
              </wp:positionH>
              <wp:positionV relativeFrom="paragraph">
                <wp:posOffset>76200</wp:posOffset>
              </wp:positionV>
              <wp:extent cx="2640965" cy="548640"/>
              <wp:effectExtent l="0" t="0" r="698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A53" w:rsidRDefault="001A2A53">
                          <w:pPr>
                            <w:spacing w:before="40"/>
                            <w:jc w:val="right"/>
                            <w:rPr>
                              <w:rFonts w:ascii="Arial" w:hAnsi="Arial"/>
                              <w:b/>
                              <w:sz w:val="16"/>
                            </w:rPr>
                          </w:pPr>
                          <w:r>
                            <w:rPr>
                              <w:rFonts w:ascii="Arial" w:hAnsi="Arial"/>
                              <w:b/>
                              <w:sz w:val="16"/>
                            </w:rPr>
                            <w:t>News Media Information 202 / 418-0500</w:t>
                          </w:r>
                        </w:p>
                        <w:p w:rsidR="001A2A53" w:rsidRDefault="001A2A53">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1A2A53" w:rsidRDefault="001A2A53">
                          <w:pPr>
                            <w:jc w:val="right"/>
                            <w:rPr>
                              <w:rFonts w:ascii="Arial" w:hAnsi="Arial"/>
                              <w:b/>
                              <w:sz w:val="16"/>
                            </w:rPr>
                          </w:pPr>
                          <w:r>
                            <w:rPr>
                              <w:rFonts w:ascii="Arial" w:hAnsi="Arial"/>
                              <w:b/>
                              <w:sz w:val="16"/>
                            </w:rPr>
                            <w:t>TTY: 1-888-835-5322</w:t>
                          </w:r>
                        </w:p>
                        <w:p w:rsidR="001A2A53" w:rsidRDefault="001A2A5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DVUbRYgAIA&#10;AA4FAAAOAAAAAAAAAAAAAAAAAC4CAABkcnMvZTJvRG9jLnhtbFBLAQItABQABgAIAAAAIQCkT/nf&#10;3QAAAAkBAAAPAAAAAAAAAAAAAAAAANoEAABkcnMvZG93bnJldi54bWxQSwUGAAAAAAQABADzAAAA&#10;5AUAAAAA&#10;" stroked="f">
              <v:textbox inset=",0,,0">
                <w:txbxContent>
                  <w:p w:rsidR="001A2A53" w:rsidRDefault="001A2A53">
                    <w:pPr>
                      <w:spacing w:before="40"/>
                      <w:jc w:val="right"/>
                      <w:rPr>
                        <w:rFonts w:ascii="Arial" w:hAnsi="Arial"/>
                        <w:b/>
                        <w:sz w:val="16"/>
                      </w:rPr>
                    </w:pPr>
                    <w:r>
                      <w:rPr>
                        <w:rFonts w:ascii="Arial" w:hAnsi="Arial"/>
                        <w:b/>
                        <w:sz w:val="16"/>
                      </w:rPr>
                      <w:t>News Media Information 202 / 418-0500</w:t>
                    </w:r>
                  </w:p>
                  <w:p w:rsidR="001A2A53" w:rsidRDefault="001A2A5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1A2A53" w:rsidRDefault="001A2A53">
                    <w:pPr>
                      <w:jc w:val="right"/>
                      <w:rPr>
                        <w:rFonts w:ascii="Arial" w:hAnsi="Arial"/>
                        <w:b/>
                        <w:sz w:val="16"/>
                      </w:rPr>
                    </w:pPr>
                    <w:r>
                      <w:rPr>
                        <w:rFonts w:ascii="Arial" w:hAnsi="Arial"/>
                        <w:b/>
                        <w:sz w:val="16"/>
                      </w:rPr>
                      <w:t>TTY: 1-888-835-5322</w:t>
                    </w:r>
                  </w:p>
                  <w:p w:rsidR="001A2A53" w:rsidRDefault="001A2A53">
                    <w:pPr>
                      <w:jc w:val="right"/>
                    </w:pPr>
                  </w:p>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597AB7B6" wp14:editId="53E6A645">
              <wp:simplePos x="0" y="0"/>
              <wp:positionH relativeFrom="column">
                <wp:posOffset>0</wp:posOffset>
              </wp:positionH>
              <wp:positionV relativeFrom="paragraph">
                <wp:posOffset>697865</wp:posOffset>
              </wp:positionV>
              <wp:extent cx="5943600" cy="2540"/>
              <wp:effectExtent l="0" t="0" r="19050" b="355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53" w:rsidRDefault="001A2A53">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1312" behindDoc="0" locked="0" layoutInCell="0" allowOverlap="1" wp14:anchorId="7C872932" wp14:editId="684461CA">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0" allowOverlap="1" wp14:anchorId="2268818A" wp14:editId="1E3E47FA">
              <wp:simplePos x="0" y="0"/>
              <wp:positionH relativeFrom="column">
                <wp:posOffset>604520</wp:posOffset>
              </wp:positionH>
              <wp:positionV relativeFrom="paragraph">
                <wp:posOffset>731520</wp:posOffset>
              </wp:positionV>
              <wp:extent cx="310896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A53" w:rsidRDefault="001A2A53">
                          <w:pPr>
                            <w:rPr>
                              <w:rFonts w:ascii="Arial" w:hAnsi="Arial"/>
                              <w:b/>
                            </w:rPr>
                          </w:pPr>
                          <w:r>
                            <w:rPr>
                              <w:rFonts w:ascii="Arial" w:hAnsi="Arial"/>
                              <w:b/>
                            </w:rPr>
                            <w:t>Federal Communications Commission</w:t>
                          </w:r>
                        </w:p>
                        <w:p w:rsidR="001A2A53" w:rsidRDefault="001A2A5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A2A53" w:rsidRDefault="001A2A53">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47.6pt;margin-top:57.6pt;width:244.8pt;height:5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OhQIAABY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Cx&#10;Rn/OhQIAABYFAAAOAAAAAAAAAAAAAAAAAC4CAABkcnMvZTJvRG9jLnhtbFBLAQItABQABgAIAAAA&#10;IQBgWdm/3gAAAAoBAAAPAAAAAAAAAAAAAAAAAN8EAABkcnMvZG93bnJldi54bWxQSwUGAAAAAAQA&#10;BADzAAAA6gUAAAAA&#10;" o:allowincell="f" stroked="f">
              <v:textbox>
                <w:txbxContent>
                  <w:p w:rsidR="001A2A53" w:rsidRDefault="001A2A53">
                    <w:pPr>
                      <w:rPr>
                        <w:rFonts w:ascii="Arial" w:hAnsi="Arial"/>
                        <w:b/>
                      </w:rPr>
                    </w:pPr>
                    <w:r>
                      <w:rPr>
                        <w:rFonts w:ascii="Arial" w:hAnsi="Arial"/>
                        <w:b/>
                      </w:rPr>
                      <w:t>Federal Communications Commission</w:t>
                    </w:r>
                  </w:p>
                  <w:p w:rsidR="001A2A53" w:rsidRDefault="001A2A5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A2A53" w:rsidRDefault="001A2A53">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1A2A53" w:rsidRDefault="001A2A53">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anchorId="565C082D" wp14:editId="23B295B1">
              <wp:simplePos x="0" y="0"/>
              <wp:positionH relativeFrom="column">
                <wp:posOffset>0</wp:posOffset>
              </wp:positionH>
              <wp:positionV relativeFrom="paragraph">
                <wp:posOffset>697865</wp:posOffset>
              </wp:positionV>
              <wp:extent cx="6858000" cy="2540"/>
              <wp:effectExtent l="0" t="0" r="19050" b="355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659264" behindDoc="0" locked="0" layoutInCell="0" allowOverlap="1" wp14:anchorId="15257DFF" wp14:editId="5A5F592E">
              <wp:simplePos x="0" y="0"/>
              <wp:positionH relativeFrom="column">
                <wp:posOffset>4276090</wp:posOffset>
              </wp:positionH>
              <wp:positionV relativeFrom="paragraph">
                <wp:posOffset>130175</wp:posOffset>
              </wp:positionV>
              <wp:extent cx="2640965" cy="548640"/>
              <wp:effectExtent l="0" t="0" r="698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A53" w:rsidRDefault="001A2A53">
                          <w:pPr>
                            <w:spacing w:before="40"/>
                            <w:jc w:val="right"/>
                            <w:rPr>
                              <w:rFonts w:ascii="Arial" w:hAnsi="Arial"/>
                              <w:b/>
                              <w:sz w:val="16"/>
                            </w:rPr>
                          </w:pPr>
                          <w:r>
                            <w:rPr>
                              <w:rFonts w:ascii="Arial" w:hAnsi="Arial"/>
                              <w:b/>
                              <w:sz w:val="16"/>
                            </w:rPr>
                            <w:t>News Media Information 202 / 418-0500</w:t>
                          </w:r>
                        </w:p>
                        <w:p w:rsidR="001A2A53" w:rsidRDefault="001A2A53">
                          <w:pPr>
                            <w:jc w:val="right"/>
                            <w:rPr>
                              <w:rFonts w:ascii="Arial" w:hAnsi="Arial"/>
                              <w:b/>
                              <w:sz w:val="16"/>
                            </w:rPr>
                          </w:pPr>
                          <w:r>
                            <w:rPr>
                              <w:rFonts w:ascii="Arial" w:hAnsi="Arial"/>
                              <w:b/>
                              <w:sz w:val="16"/>
                            </w:rPr>
                            <w:tab/>
                            <w:t>Internet: http://www.fcc.gov</w:t>
                          </w:r>
                        </w:p>
                        <w:p w:rsidR="001A2A53" w:rsidRDefault="001A2A53">
                          <w:pPr>
                            <w:jc w:val="right"/>
                            <w:rPr>
                              <w:rFonts w:ascii="Arial" w:hAnsi="Arial"/>
                              <w:b/>
                              <w:sz w:val="16"/>
                            </w:rPr>
                          </w:pPr>
                          <w:r>
                            <w:rPr>
                              <w:rFonts w:ascii="Arial" w:hAnsi="Arial"/>
                              <w:b/>
                              <w:sz w:val="16"/>
                            </w:rPr>
                            <w:t>TTY: 1-888-835-5322</w:t>
                          </w:r>
                        </w:p>
                        <w:p w:rsidR="001A2A53" w:rsidRDefault="001A2A5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36.7pt;margin-top:10.25pt;width:207.9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6Pvp&#10;jIECAAAOBQAADgAAAAAAAAAAAAAAAAAuAgAAZHJzL2Uyb0RvYy54bWxQSwECLQAUAAYACAAAACEA&#10;08zhtOAAAAALAQAADwAAAAAAAAAAAAAAAADbBAAAZHJzL2Rvd25yZXYueG1sUEsFBgAAAAAEAAQA&#10;8wAAAOgFAAAAAA==&#10;" o:allowincell="f" stroked="f">
              <v:textbox inset=",0,,0">
                <w:txbxContent>
                  <w:p w:rsidR="001A2A53" w:rsidRDefault="001A2A53">
                    <w:pPr>
                      <w:spacing w:before="40"/>
                      <w:jc w:val="right"/>
                      <w:rPr>
                        <w:rFonts w:ascii="Arial" w:hAnsi="Arial"/>
                        <w:b/>
                        <w:sz w:val="16"/>
                      </w:rPr>
                    </w:pPr>
                    <w:r>
                      <w:rPr>
                        <w:rFonts w:ascii="Arial" w:hAnsi="Arial"/>
                        <w:b/>
                        <w:sz w:val="16"/>
                      </w:rPr>
                      <w:t>News Media Information 202 / 418-0500</w:t>
                    </w:r>
                  </w:p>
                  <w:p w:rsidR="001A2A53" w:rsidRDefault="001A2A53">
                    <w:pPr>
                      <w:jc w:val="right"/>
                      <w:rPr>
                        <w:rFonts w:ascii="Arial" w:hAnsi="Arial"/>
                        <w:b/>
                        <w:sz w:val="16"/>
                      </w:rPr>
                    </w:pPr>
                    <w:r>
                      <w:rPr>
                        <w:rFonts w:ascii="Arial" w:hAnsi="Arial"/>
                        <w:b/>
                        <w:sz w:val="16"/>
                      </w:rPr>
                      <w:tab/>
                      <w:t>Internet: http://www.fcc.gov</w:t>
                    </w:r>
                  </w:p>
                  <w:p w:rsidR="001A2A53" w:rsidRDefault="001A2A53">
                    <w:pPr>
                      <w:jc w:val="right"/>
                      <w:rPr>
                        <w:rFonts w:ascii="Arial" w:hAnsi="Arial"/>
                        <w:b/>
                        <w:sz w:val="16"/>
                      </w:rPr>
                    </w:pPr>
                    <w:r>
                      <w:rPr>
                        <w:rFonts w:ascii="Arial" w:hAnsi="Arial"/>
                        <w:b/>
                        <w:sz w:val="16"/>
                      </w:rPr>
                      <w:t>TTY: 1-888-835-5322</w:t>
                    </w:r>
                  </w:p>
                  <w:p w:rsidR="001A2A53" w:rsidRDefault="001A2A53">
                    <w:pPr>
                      <w:jc w:val="right"/>
                    </w:pPr>
                  </w:p>
                </w:txbxContent>
              </v:textbox>
            </v:shape>
          </w:pict>
        </mc:Fallback>
      </mc:AlternateContent>
    </w:r>
  </w:p>
  <w:p w:rsidR="001A2A53" w:rsidRDefault="001A2A5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4F32"/>
    <w:multiLevelType w:val="hybridMultilevel"/>
    <w:tmpl w:val="08B45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333CB5"/>
    <w:multiLevelType w:val="hybridMultilevel"/>
    <w:tmpl w:val="8E888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3F6F4664"/>
    <w:multiLevelType w:val="hybridMultilevel"/>
    <w:tmpl w:val="D28A7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6F3EEF"/>
    <w:multiLevelType w:val="hybridMultilevel"/>
    <w:tmpl w:val="24E0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28E3283"/>
    <w:multiLevelType w:val="hybridMultilevel"/>
    <w:tmpl w:val="2FFE7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6EA611E"/>
    <w:multiLevelType w:val="hybridMultilevel"/>
    <w:tmpl w:val="1DF25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F0406EE"/>
    <w:multiLevelType w:val="hybridMultilevel"/>
    <w:tmpl w:val="6CF682AE"/>
    <w:lvl w:ilvl="0" w:tplc="04090003">
      <w:start w:val="1"/>
      <w:numFmt w:val="bullet"/>
      <w:lvlText w:val="o"/>
      <w:lvlJc w:val="left"/>
      <w:pPr>
        <w:tabs>
          <w:tab w:val="num" w:pos="1440"/>
        </w:tabs>
        <w:ind w:left="1440" w:hanging="360"/>
      </w:pPr>
      <w:rPr>
        <w:rFonts w:ascii="Courier New" w:hAnsi="Courier New" w:cs="Courier New"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8"/>
  </w:num>
  <w:num w:numId="2">
    <w:abstractNumId w:val="1"/>
  </w:num>
  <w:num w:numId="3">
    <w:abstractNumId w:val="5"/>
  </w:num>
  <w:num w:numId="4">
    <w:abstractNumId w:val="3"/>
  </w:num>
  <w:num w:numId="5">
    <w:abstractNumId w:val="2"/>
  </w:num>
  <w:num w:numId="6">
    <w:abstractNumId w:val="0"/>
  </w:num>
  <w:num w:numId="7">
    <w:abstractNumId w:val="4"/>
  </w:num>
  <w:num w:numId="8">
    <w:abstractNumId w:val="7"/>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w15:presenceInfo w15:providerId="None" w15:userId="An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48"/>
    <w:rsid w:val="00015F8A"/>
    <w:rsid w:val="00017201"/>
    <w:rsid w:val="0002728F"/>
    <w:rsid w:val="0007529B"/>
    <w:rsid w:val="00080B46"/>
    <w:rsid w:val="00081398"/>
    <w:rsid w:val="000C1CD3"/>
    <w:rsid w:val="000D0853"/>
    <w:rsid w:val="00115358"/>
    <w:rsid w:val="00125452"/>
    <w:rsid w:val="00167C0B"/>
    <w:rsid w:val="00176841"/>
    <w:rsid w:val="00177339"/>
    <w:rsid w:val="001957E3"/>
    <w:rsid w:val="00196118"/>
    <w:rsid w:val="001A2A53"/>
    <w:rsid w:val="001A4C86"/>
    <w:rsid w:val="001A538E"/>
    <w:rsid w:val="001A6A5F"/>
    <w:rsid w:val="001C7827"/>
    <w:rsid w:val="001E1D1C"/>
    <w:rsid w:val="001E59BC"/>
    <w:rsid w:val="00224027"/>
    <w:rsid w:val="00232A93"/>
    <w:rsid w:val="00236FAE"/>
    <w:rsid w:val="00241592"/>
    <w:rsid w:val="00247BA8"/>
    <w:rsid w:val="00263006"/>
    <w:rsid w:val="0027119E"/>
    <w:rsid w:val="00284C77"/>
    <w:rsid w:val="002B1755"/>
    <w:rsid w:val="002B3C70"/>
    <w:rsid w:val="002D307E"/>
    <w:rsid w:val="002D5EB0"/>
    <w:rsid w:val="002D6F6C"/>
    <w:rsid w:val="002E1AF6"/>
    <w:rsid w:val="002E24CC"/>
    <w:rsid w:val="002E70E5"/>
    <w:rsid w:val="002F2EC6"/>
    <w:rsid w:val="00316A16"/>
    <w:rsid w:val="003265B7"/>
    <w:rsid w:val="00327DB6"/>
    <w:rsid w:val="00342E7F"/>
    <w:rsid w:val="00390614"/>
    <w:rsid w:val="00392CF4"/>
    <w:rsid w:val="00392E01"/>
    <w:rsid w:val="003A0A77"/>
    <w:rsid w:val="003A3574"/>
    <w:rsid w:val="003A3B90"/>
    <w:rsid w:val="003B1879"/>
    <w:rsid w:val="003B6CFD"/>
    <w:rsid w:val="003D6DDF"/>
    <w:rsid w:val="003E5896"/>
    <w:rsid w:val="003F6203"/>
    <w:rsid w:val="00410A24"/>
    <w:rsid w:val="00420DF1"/>
    <w:rsid w:val="004313E6"/>
    <w:rsid w:val="00435379"/>
    <w:rsid w:val="004367AA"/>
    <w:rsid w:val="00447FED"/>
    <w:rsid w:val="00452689"/>
    <w:rsid w:val="004A1BCF"/>
    <w:rsid w:val="004C666A"/>
    <w:rsid w:val="004E25DA"/>
    <w:rsid w:val="004F1AB8"/>
    <w:rsid w:val="0055691F"/>
    <w:rsid w:val="00572FA4"/>
    <w:rsid w:val="005818DD"/>
    <w:rsid w:val="005A178E"/>
    <w:rsid w:val="005A6B71"/>
    <w:rsid w:val="00610812"/>
    <w:rsid w:val="00626D1C"/>
    <w:rsid w:val="006407BC"/>
    <w:rsid w:val="00642159"/>
    <w:rsid w:val="0065426D"/>
    <w:rsid w:val="006610A0"/>
    <w:rsid w:val="006647CB"/>
    <w:rsid w:val="0066564E"/>
    <w:rsid w:val="006838A4"/>
    <w:rsid w:val="006C01CD"/>
    <w:rsid w:val="006C18F4"/>
    <w:rsid w:val="006C223E"/>
    <w:rsid w:val="006C622E"/>
    <w:rsid w:val="006E7D82"/>
    <w:rsid w:val="00703A44"/>
    <w:rsid w:val="00713BCB"/>
    <w:rsid w:val="00716091"/>
    <w:rsid w:val="007178B9"/>
    <w:rsid w:val="007311FD"/>
    <w:rsid w:val="00757289"/>
    <w:rsid w:val="00763057"/>
    <w:rsid w:val="00771945"/>
    <w:rsid w:val="00784E5C"/>
    <w:rsid w:val="0078786E"/>
    <w:rsid w:val="007933F7"/>
    <w:rsid w:val="007941CB"/>
    <w:rsid w:val="007B00D6"/>
    <w:rsid w:val="007D04C8"/>
    <w:rsid w:val="007E7557"/>
    <w:rsid w:val="00801D06"/>
    <w:rsid w:val="00802AF8"/>
    <w:rsid w:val="00816623"/>
    <w:rsid w:val="00825970"/>
    <w:rsid w:val="0084029F"/>
    <w:rsid w:val="00854473"/>
    <w:rsid w:val="008569C2"/>
    <w:rsid w:val="008A4E48"/>
    <w:rsid w:val="008C24E5"/>
    <w:rsid w:val="008C734E"/>
    <w:rsid w:val="008D0315"/>
    <w:rsid w:val="008D6517"/>
    <w:rsid w:val="008E2F2E"/>
    <w:rsid w:val="008E736A"/>
    <w:rsid w:val="008F5487"/>
    <w:rsid w:val="009124D2"/>
    <w:rsid w:val="00932AC8"/>
    <w:rsid w:val="009579CE"/>
    <w:rsid w:val="00966FF5"/>
    <w:rsid w:val="00984FF1"/>
    <w:rsid w:val="0099792F"/>
    <w:rsid w:val="009A4CF1"/>
    <w:rsid w:val="009E50C0"/>
    <w:rsid w:val="00A075B7"/>
    <w:rsid w:val="00A145B9"/>
    <w:rsid w:val="00A227FB"/>
    <w:rsid w:val="00A40BF0"/>
    <w:rsid w:val="00A4181A"/>
    <w:rsid w:val="00A455ED"/>
    <w:rsid w:val="00A828A9"/>
    <w:rsid w:val="00AA1A0D"/>
    <w:rsid w:val="00AA6B02"/>
    <w:rsid w:val="00AD313E"/>
    <w:rsid w:val="00AE2E85"/>
    <w:rsid w:val="00B038D2"/>
    <w:rsid w:val="00B1062C"/>
    <w:rsid w:val="00B1687E"/>
    <w:rsid w:val="00B34F05"/>
    <w:rsid w:val="00B41B46"/>
    <w:rsid w:val="00B42282"/>
    <w:rsid w:val="00B422DA"/>
    <w:rsid w:val="00B47BB8"/>
    <w:rsid w:val="00B533FE"/>
    <w:rsid w:val="00B76B6B"/>
    <w:rsid w:val="00BA40F5"/>
    <w:rsid w:val="00BC10E3"/>
    <w:rsid w:val="00BD6A07"/>
    <w:rsid w:val="00BD6ED6"/>
    <w:rsid w:val="00BE18F6"/>
    <w:rsid w:val="00BF2446"/>
    <w:rsid w:val="00C03357"/>
    <w:rsid w:val="00C17D93"/>
    <w:rsid w:val="00C61766"/>
    <w:rsid w:val="00CA731A"/>
    <w:rsid w:val="00CD6FB6"/>
    <w:rsid w:val="00D17E43"/>
    <w:rsid w:val="00D27730"/>
    <w:rsid w:val="00D35594"/>
    <w:rsid w:val="00D53630"/>
    <w:rsid w:val="00D53CDD"/>
    <w:rsid w:val="00D64064"/>
    <w:rsid w:val="00D67756"/>
    <w:rsid w:val="00D82CDE"/>
    <w:rsid w:val="00D93D08"/>
    <w:rsid w:val="00D94A3B"/>
    <w:rsid w:val="00DA18BC"/>
    <w:rsid w:val="00DA432A"/>
    <w:rsid w:val="00DD66FA"/>
    <w:rsid w:val="00DD704A"/>
    <w:rsid w:val="00DE2E4C"/>
    <w:rsid w:val="00E047D8"/>
    <w:rsid w:val="00E41258"/>
    <w:rsid w:val="00E50638"/>
    <w:rsid w:val="00E71BA1"/>
    <w:rsid w:val="00E76E91"/>
    <w:rsid w:val="00EC17E4"/>
    <w:rsid w:val="00EC3F6C"/>
    <w:rsid w:val="00F14A4E"/>
    <w:rsid w:val="00F16FD9"/>
    <w:rsid w:val="00F17786"/>
    <w:rsid w:val="00F22EA1"/>
    <w:rsid w:val="00F34F93"/>
    <w:rsid w:val="00F3745D"/>
    <w:rsid w:val="00F42CEB"/>
    <w:rsid w:val="00F53FCB"/>
    <w:rsid w:val="00F878B3"/>
    <w:rsid w:val="00F933A4"/>
    <w:rsid w:val="00FB1920"/>
    <w:rsid w:val="00FB3866"/>
    <w:rsid w:val="00FC65B0"/>
    <w:rsid w:val="00FE6267"/>
    <w:rsid w:val="00FF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48"/>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4E48"/>
    <w:pPr>
      <w:tabs>
        <w:tab w:val="center" w:pos="4320"/>
        <w:tab w:val="right" w:pos="8640"/>
      </w:tabs>
    </w:pPr>
  </w:style>
  <w:style w:type="character" w:customStyle="1" w:styleId="HeaderChar">
    <w:name w:val="Header Char"/>
    <w:basedOn w:val="DefaultParagraphFont"/>
    <w:link w:val="Header"/>
    <w:rsid w:val="008A4E48"/>
    <w:rPr>
      <w:rFonts w:ascii="Times New Roman" w:eastAsia="Times New Roman" w:hAnsi="Times New Roman" w:cs="Times New Roman"/>
      <w:szCs w:val="20"/>
    </w:rPr>
  </w:style>
  <w:style w:type="paragraph" w:styleId="Footer">
    <w:name w:val="footer"/>
    <w:basedOn w:val="Normal"/>
    <w:link w:val="FooterChar"/>
    <w:rsid w:val="008A4E48"/>
    <w:pPr>
      <w:tabs>
        <w:tab w:val="center" w:pos="4320"/>
        <w:tab w:val="right" w:pos="8640"/>
      </w:tabs>
    </w:pPr>
  </w:style>
  <w:style w:type="character" w:customStyle="1" w:styleId="FooterChar">
    <w:name w:val="Footer Char"/>
    <w:basedOn w:val="DefaultParagraphFont"/>
    <w:link w:val="Footer"/>
    <w:rsid w:val="008A4E48"/>
    <w:rPr>
      <w:rFonts w:ascii="Times New Roman" w:eastAsia="Times New Roman" w:hAnsi="Times New Roman" w:cs="Times New Roman"/>
      <w:szCs w:val="20"/>
    </w:rPr>
  </w:style>
  <w:style w:type="character" w:styleId="Hyperlink">
    <w:name w:val="Hyperlink"/>
    <w:rsid w:val="008A4E48"/>
    <w:rPr>
      <w:color w:val="auto"/>
      <w:u w:val="none"/>
    </w:rPr>
  </w:style>
  <w:style w:type="character" w:styleId="FootnoteReference">
    <w:name w:val="footnote reference"/>
    <w:aliases w:val="Style 12,(NECG) Footnote Reference,Style 13,Appel note de bas de p,Style 124,fr,o,Style 3,FR,Style 17,Footnote Reference/,Style 6,Style 7"/>
    <w:rsid w:val="008A4E48"/>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
    <w:basedOn w:val="Normal"/>
    <w:link w:val="FootnoteTextChar1"/>
    <w:rsid w:val="008A4E48"/>
    <w:pPr>
      <w:tabs>
        <w:tab w:val="left" w:pos="720"/>
      </w:tabs>
      <w:spacing w:after="120"/>
    </w:pPr>
    <w:rPr>
      <w:sz w:val="20"/>
    </w:rPr>
  </w:style>
  <w:style w:type="character" w:customStyle="1" w:styleId="FootnoteTextChar">
    <w:name w:val="Footnote Text Char"/>
    <w:basedOn w:val="DefaultParagraphFont"/>
    <w:semiHidden/>
    <w:rsid w:val="008A4E48"/>
    <w:rPr>
      <w:rFonts w:ascii="Times New Roman" w:eastAsia="Times New Roman" w:hAnsi="Times New Roman" w:cs="Times New Roman"/>
      <w:sz w:val="20"/>
      <w:szCs w:val="20"/>
    </w:rPr>
  </w:style>
  <w:style w:type="character" w:styleId="CommentReference">
    <w:name w:val="annotation reference"/>
    <w:rsid w:val="008A4E48"/>
    <w:rPr>
      <w:sz w:val="16"/>
      <w:szCs w:val="16"/>
    </w:rPr>
  </w:style>
  <w:style w:type="character" w:styleId="PageNumber">
    <w:name w:val="page number"/>
    <w:basedOn w:val="DefaultParagraphFont"/>
    <w:rsid w:val="008A4E48"/>
  </w:style>
  <w:style w:type="paragraph" w:styleId="CommentText">
    <w:name w:val="annotation text"/>
    <w:basedOn w:val="Normal"/>
    <w:link w:val="CommentTextChar"/>
    <w:rsid w:val="008A4E48"/>
    <w:rPr>
      <w:sz w:val="20"/>
    </w:rPr>
  </w:style>
  <w:style w:type="character" w:customStyle="1" w:styleId="CommentTextChar">
    <w:name w:val="Comment Text Char"/>
    <w:basedOn w:val="DefaultParagraphFont"/>
    <w:link w:val="CommentText"/>
    <w:rsid w:val="008A4E48"/>
    <w:rPr>
      <w:rFonts w:ascii="Times New Roman" w:eastAsia="Times New Roman" w:hAnsi="Times New Roman" w:cs="Times New Roman"/>
      <w:sz w:val="20"/>
      <w:szCs w:val="20"/>
    </w:rPr>
  </w:style>
  <w:style w:type="character" w:customStyle="1" w:styleId="FootnoteTextChar1">
    <w:name w:val="Footnote Text Char1"/>
    <w:aliases w:val="ALTS FOOTNOTE Char1,fn Char1,ALTS FOOTNOTE Char Char,fn Char Char,Footnote Text Char1 Char Char,Footnote Text Char Char Char Char,Footnote Text Char2 Char Char Char Char,Footnote Text Char1 Char1 Char Char Char Char,f Char,fn  Char"/>
    <w:link w:val="FootnoteText"/>
    <w:locked/>
    <w:rsid w:val="008A4E4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A4E48"/>
    <w:rPr>
      <w:rFonts w:ascii="Tahoma" w:hAnsi="Tahoma" w:cs="Tahoma"/>
      <w:sz w:val="16"/>
      <w:szCs w:val="16"/>
    </w:rPr>
  </w:style>
  <w:style w:type="character" w:customStyle="1" w:styleId="BalloonTextChar">
    <w:name w:val="Balloon Text Char"/>
    <w:basedOn w:val="DefaultParagraphFont"/>
    <w:link w:val="BalloonText"/>
    <w:uiPriority w:val="99"/>
    <w:semiHidden/>
    <w:rsid w:val="008A4E4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17E43"/>
    <w:rPr>
      <w:b/>
      <w:bCs/>
    </w:rPr>
  </w:style>
  <w:style w:type="character" w:customStyle="1" w:styleId="CommentSubjectChar">
    <w:name w:val="Comment Subject Char"/>
    <w:basedOn w:val="CommentTextChar"/>
    <w:link w:val="CommentSubject"/>
    <w:uiPriority w:val="99"/>
    <w:semiHidden/>
    <w:rsid w:val="00D17E43"/>
    <w:rPr>
      <w:rFonts w:ascii="Times New Roman" w:eastAsia="Times New Roman" w:hAnsi="Times New Roman" w:cs="Times New Roman"/>
      <w:b/>
      <w:bCs/>
      <w:sz w:val="20"/>
      <w:szCs w:val="20"/>
    </w:rPr>
  </w:style>
  <w:style w:type="paragraph" w:customStyle="1" w:styleId="ParaNum">
    <w:name w:val="ParaNum"/>
    <w:basedOn w:val="Normal"/>
    <w:link w:val="ParaNumChar"/>
    <w:rsid w:val="008F5487"/>
    <w:pPr>
      <w:widowControl w:val="0"/>
      <w:numPr>
        <w:numId w:val="3"/>
      </w:numPr>
      <w:tabs>
        <w:tab w:val="clear" w:pos="1080"/>
        <w:tab w:val="num" w:pos="1440"/>
      </w:tabs>
      <w:spacing w:after="120"/>
    </w:pPr>
    <w:rPr>
      <w:snapToGrid w:val="0"/>
      <w:kern w:val="28"/>
    </w:rPr>
  </w:style>
  <w:style w:type="character" w:customStyle="1" w:styleId="ParaNumChar">
    <w:name w:val="ParaNum Char"/>
    <w:link w:val="ParaNum"/>
    <w:locked/>
    <w:rsid w:val="008F5487"/>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167C0B"/>
    <w:pPr>
      <w:ind w:left="720"/>
      <w:contextualSpacing/>
    </w:pPr>
  </w:style>
  <w:style w:type="character" w:customStyle="1" w:styleId="apple-converted-space">
    <w:name w:val="apple-converted-space"/>
    <w:basedOn w:val="DefaultParagraphFont"/>
    <w:rsid w:val="00431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48"/>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4E48"/>
    <w:pPr>
      <w:tabs>
        <w:tab w:val="center" w:pos="4320"/>
        <w:tab w:val="right" w:pos="8640"/>
      </w:tabs>
    </w:pPr>
  </w:style>
  <w:style w:type="character" w:customStyle="1" w:styleId="HeaderChar">
    <w:name w:val="Header Char"/>
    <w:basedOn w:val="DefaultParagraphFont"/>
    <w:link w:val="Header"/>
    <w:rsid w:val="008A4E48"/>
    <w:rPr>
      <w:rFonts w:ascii="Times New Roman" w:eastAsia="Times New Roman" w:hAnsi="Times New Roman" w:cs="Times New Roman"/>
      <w:szCs w:val="20"/>
    </w:rPr>
  </w:style>
  <w:style w:type="paragraph" w:styleId="Footer">
    <w:name w:val="footer"/>
    <w:basedOn w:val="Normal"/>
    <w:link w:val="FooterChar"/>
    <w:rsid w:val="008A4E48"/>
    <w:pPr>
      <w:tabs>
        <w:tab w:val="center" w:pos="4320"/>
        <w:tab w:val="right" w:pos="8640"/>
      </w:tabs>
    </w:pPr>
  </w:style>
  <w:style w:type="character" w:customStyle="1" w:styleId="FooterChar">
    <w:name w:val="Footer Char"/>
    <w:basedOn w:val="DefaultParagraphFont"/>
    <w:link w:val="Footer"/>
    <w:rsid w:val="008A4E48"/>
    <w:rPr>
      <w:rFonts w:ascii="Times New Roman" w:eastAsia="Times New Roman" w:hAnsi="Times New Roman" w:cs="Times New Roman"/>
      <w:szCs w:val="20"/>
    </w:rPr>
  </w:style>
  <w:style w:type="character" w:styleId="Hyperlink">
    <w:name w:val="Hyperlink"/>
    <w:rsid w:val="008A4E48"/>
    <w:rPr>
      <w:color w:val="auto"/>
      <w:u w:val="none"/>
    </w:rPr>
  </w:style>
  <w:style w:type="character" w:styleId="FootnoteReference">
    <w:name w:val="footnote reference"/>
    <w:aliases w:val="Style 12,(NECG) Footnote Reference,Style 13,Appel note de bas de p,Style 124,fr,o,Style 3,FR,Style 17,Footnote Reference/,Style 6,Style 7"/>
    <w:rsid w:val="008A4E48"/>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
    <w:basedOn w:val="Normal"/>
    <w:link w:val="FootnoteTextChar1"/>
    <w:rsid w:val="008A4E48"/>
    <w:pPr>
      <w:tabs>
        <w:tab w:val="left" w:pos="720"/>
      </w:tabs>
      <w:spacing w:after="120"/>
    </w:pPr>
    <w:rPr>
      <w:sz w:val="20"/>
    </w:rPr>
  </w:style>
  <w:style w:type="character" w:customStyle="1" w:styleId="FootnoteTextChar">
    <w:name w:val="Footnote Text Char"/>
    <w:basedOn w:val="DefaultParagraphFont"/>
    <w:semiHidden/>
    <w:rsid w:val="008A4E48"/>
    <w:rPr>
      <w:rFonts w:ascii="Times New Roman" w:eastAsia="Times New Roman" w:hAnsi="Times New Roman" w:cs="Times New Roman"/>
      <w:sz w:val="20"/>
      <w:szCs w:val="20"/>
    </w:rPr>
  </w:style>
  <w:style w:type="character" w:styleId="CommentReference">
    <w:name w:val="annotation reference"/>
    <w:rsid w:val="008A4E48"/>
    <w:rPr>
      <w:sz w:val="16"/>
      <w:szCs w:val="16"/>
    </w:rPr>
  </w:style>
  <w:style w:type="character" w:styleId="PageNumber">
    <w:name w:val="page number"/>
    <w:basedOn w:val="DefaultParagraphFont"/>
    <w:rsid w:val="008A4E48"/>
  </w:style>
  <w:style w:type="paragraph" w:styleId="CommentText">
    <w:name w:val="annotation text"/>
    <w:basedOn w:val="Normal"/>
    <w:link w:val="CommentTextChar"/>
    <w:rsid w:val="008A4E48"/>
    <w:rPr>
      <w:sz w:val="20"/>
    </w:rPr>
  </w:style>
  <w:style w:type="character" w:customStyle="1" w:styleId="CommentTextChar">
    <w:name w:val="Comment Text Char"/>
    <w:basedOn w:val="DefaultParagraphFont"/>
    <w:link w:val="CommentText"/>
    <w:rsid w:val="008A4E48"/>
    <w:rPr>
      <w:rFonts w:ascii="Times New Roman" w:eastAsia="Times New Roman" w:hAnsi="Times New Roman" w:cs="Times New Roman"/>
      <w:sz w:val="20"/>
      <w:szCs w:val="20"/>
    </w:rPr>
  </w:style>
  <w:style w:type="character" w:customStyle="1" w:styleId="FootnoteTextChar1">
    <w:name w:val="Footnote Text Char1"/>
    <w:aliases w:val="ALTS FOOTNOTE Char1,fn Char1,ALTS FOOTNOTE Char Char,fn Char Char,Footnote Text Char1 Char Char,Footnote Text Char Char Char Char,Footnote Text Char2 Char Char Char Char,Footnote Text Char1 Char1 Char Char Char Char,f Char,fn  Char"/>
    <w:link w:val="FootnoteText"/>
    <w:locked/>
    <w:rsid w:val="008A4E4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A4E48"/>
    <w:rPr>
      <w:rFonts w:ascii="Tahoma" w:hAnsi="Tahoma" w:cs="Tahoma"/>
      <w:sz w:val="16"/>
      <w:szCs w:val="16"/>
    </w:rPr>
  </w:style>
  <w:style w:type="character" w:customStyle="1" w:styleId="BalloonTextChar">
    <w:name w:val="Balloon Text Char"/>
    <w:basedOn w:val="DefaultParagraphFont"/>
    <w:link w:val="BalloonText"/>
    <w:uiPriority w:val="99"/>
    <w:semiHidden/>
    <w:rsid w:val="008A4E4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17E43"/>
    <w:rPr>
      <w:b/>
      <w:bCs/>
    </w:rPr>
  </w:style>
  <w:style w:type="character" w:customStyle="1" w:styleId="CommentSubjectChar">
    <w:name w:val="Comment Subject Char"/>
    <w:basedOn w:val="CommentTextChar"/>
    <w:link w:val="CommentSubject"/>
    <w:uiPriority w:val="99"/>
    <w:semiHidden/>
    <w:rsid w:val="00D17E43"/>
    <w:rPr>
      <w:rFonts w:ascii="Times New Roman" w:eastAsia="Times New Roman" w:hAnsi="Times New Roman" w:cs="Times New Roman"/>
      <w:b/>
      <w:bCs/>
      <w:sz w:val="20"/>
      <w:szCs w:val="20"/>
    </w:rPr>
  </w:style>
  <w:style w:type="paragraph" w:customStyle="1" w:styleId="ParaNum">
    <w:name w:val="ParaNum"/>
    <w:basedOn w:val="Normal"/>
    <w:link w:val="ParaNumChar"/>
    <w:rsid w:val="008F5487"/>
    <w:pPr>
      <w:widowControl w:val="0"/>
      <w:numPr>
        <w:numId w:val="3"/>
      </w:numPr>
      <w:tabs>
        <w:tab w:val="clear" w:pos="1080"/>
        <w:tab w:val="num" w:pos="1440"/>
      </w:tabs>
      <w:spacing w:after="120"/>
    </w:pPr>
    <w:rPr>
      <w:snapToGrid w:val="0"/>
      <w:kern w:val="28"/>
    </w:rPr>
  </w:style>
  <w:style w:type="character" w:customStyle="1" w:styleId="ParaNumChar">
    <w:name w:val="ParaNum Char"/>
    <w:link w:val="ParaNum"/>
    <w:locked/>
    <w:rsid w:val="008F5487"/>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167C0B"/>
    <w:pPr>
      <w:ind w:left="720"/>
      <w:contextualSpacing/>
    </w:pPr>
  </w:style>
  <w:style w:type="character" w:customStyle="1" w:styleId="apple-converted-space">
    <w:name w:val="apple-converted-space"/>
    <w:basedOn w:val="DefaultParagraphFont"/>
    <w:rsid w:val="00431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3697</Characters>
  <Application>Microsoft Office Word</Application>
  <DocSecurity>0</DocSecurity>
  <Lines>80</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2014-08-13T14:07:00Z</cp:lastPrinted>
  <dcterms:created xsi:type="dcterms:W3CDTF">2014-08-25T20:27:00Z</dcterms:created>
  <dcterms:modified xsi:type="dcterms:W3CDTF">2014-08-25T20:27:00Z</dcterms:modified>
  <cp:category> </cp:category>
  <cp:contentStatus> </cp:contentStatus>
</cp:coreProperties>
</file>