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AF28EE">
      <w:pPr>
        <w:widowControl/>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AF28EE">
      <w:pPr>
        <w:widowControl/>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E35258" w:rsidRDefault="00050854" w:rsidP="00A904A5">
            <w:pPr>
              <w:widowControl/>
              <w:rPr>
                <w:sz w:val="22"/>
                <w:szCs w:val="22"/>
              </w:rPr>
            </w:pPr>
            <w:r w:rsidRPr="00E35258">
              <w:rPr>
                <w:spacing w:val="-2"/>
                <w:sz w:val="22"/>
                <w:szCs w:val="22"/>
              </w:rPr>
              <w:t>In the Matter of</w:t>
            </w:r>
            <w:r w:rsidRPr="00E35258">
              <w:rPr>
                <w:sz w:val="22"/>
                <w:szCs w:val="22"/>
              </w:rPr>
              <w:t xml:space="preserve"> </w:t>
            </w:r>
          </w:p>
          <w:p w:rsidR="00050854" w:rsidRPr="00E35258" w:rsidRDefault="00050854" w:rsidP="00A904A5">
            <w:pPr>
              <w:widowControl/>
              <w:rPr>
                <w:sz w:val="22"/>
                <w:szCs w:val="22"/>
              </w:rPr>
            </w:pPr>
          </w:p>
          <w:p w:rsidR="00050854" w:rsidRPr="00E35258" w:rsidRDefault="0015260C" w:rsidP="00A904A5">
            <w:pPr>
              <w:widowControl/>
              <w:rPr>
                <w:sz w:val="22"/>
                <w:szCs w:val="22"/>
                <w:lang w:val="es-ES"/>
              </w:rPr>
            </w:pPr>
            <w:r>
              <w:rPr>
                <w:spacing w:val="-2"/>
                <w:sz w:val="22"/>
                <w:szCs w:val="22"/>
                <w:lang w:val="es-ES"/>
              </w:rPr>
              <w:t>James Engle</w:t>
            </w:r>
          </w:p>
          <w:p w:rsidR="00A904A5" w:rsidRPr="00E35258" w:rsidRDefault="00A904A5" w:rsidP="00A904A5">
            <w:pPr>
              <w:widowControl/>
              <w:rPr>
                <w:sz w:val="22"/>
                <w:szCs w:val="22"/>
                <w:lang w:val="es-ES"/>
              </w:rPr>
            </w:pPr>
            <w:r>
              <w:rPr>
                <w:sz w:val="22"/>
                <w:szCs w:val="22"/>
                <w:lang w:val="es-ES"/>
              </w:rPr>
              <w:t>Lewiston, New York</w:t>
            </w:r>
          </w:p>
          <w:p w:rsidR="00050854" w:rsidRPr="00E35258" w:rsidRDefault="00050854" w:rsidP="00A904A5">
            <w:pPr>
              <w:widowControl/>
              <w:rPr>
                <w:spacing w:val="-2"/>
                <w:sz w:val="22"/>
                <w:szCs w:val="22"/>
                <w:lang w:val="es-ES"/>
              </w:rPr>
            </w:pPr>
          </w:p>
        </w:tc>
        <w:tc>
          <w:tcPr>
            <w:tcW w:w="270" w:type="dxa"/>
          </w:tcPr>
          <w:p w:rsidR="00050854" w:rsidRPr="00E35258" w:rsidRDefault="00050854" w:rsidP="00A904A5">
            <w:pPr>
              <w:widowControl/>
              <w:tabs>
                <w:tab w:val="center" w:pos="4680"/>
              </w:tabs>
              <w:suppressAutoHyphens/>
              <w:spacing w:line="240" w:lineRule="atLeast"/>
              <w:jc w:val="both"/>
              <w:outlineLvl w:val="0"/>
              <w:rPr>
                <w:sz w:val="22"/>
                <w:szCs w:val="22"/>
              </w:rPr>
            </w:pPr>
            <w:r w:rsidRPr="00E35258">
              <w:rPr>
                <w:sz w:val="22"/>
                <w:szCs w:val="22"/>
              </w:rPr>
              <w:t>)</w:t>
            </w:r>
          </w:p>
          <w:p w:rsidR="00050854" w:rsidRPr="00E35258" w:rsidRDefault="00050854" w:rsidP="00A904A5">
            <w:pPr>
              <w:widowControl/>
              <w:tabs>
                <w:tab w:val="center" w:pos="4680"/>
              </w:tabs>
              <w:suppressAutoHyphens/>
              <w:spacing w:line="240" w:lineRule="atLeast"/>
              <w:jc w:val="both"/>
              <w:outlineLvl w:val="0"/>
              <w:rPr>
                <w:sz w:val="22"/>
                <w:szCs w:val="22"/>
              </w:rPr>
            </w:pPr>
            <w:r w:rsidRPr="00E35258">
              <w:rPr>
                <w:sz w:val="22"/>
                <w:szCs w:val="22"/>
              </w:rPr>
              <w:t>)</w:t>
            </w:r>
          </w:p>
          <w:p w:rsidR="00050854" w:rsidRPr="00E35258" w:rsidRDefault="00050854" w:rsidP="00A904A5">
            <w:pPr>
              <w:widowControl/>
              <w:tabs>
                <w:tab w:val="center" w:pos="4680"/>
              </w:tabs>
              <w:suppressAutoHyphens/>
              <w:spacing w:line="240" w:lineRule="atLeast"/>
              <w:jc w:val="both"/>
              <w:outlineLvl w:val="0"/>
              <w:rPr>
                <w:sz w:val="22"/>
                <w:szCs w:val="22"/>
              </w:rPr>
            </w:pPr>
            <w:r w:rsidRPr="00E35258">
              <w:rPr>
                <w:sz w:val="22"/>
                <w:szCs w:val="22"/>
              </w:rPr>
              <w:t>)</w:t>
            </w:r>
          </w:p>
          <w:p w:rsidR="00050854" w:rsidRPr="00E35258" w:rsidRDefault="00050854" w:rsidP="00A904A5">
            <w:pPr>
              <w:widowControl/>
              <w:tabs>
                <w:tab w:val="center" w:pos="4680"/>
              </w:tabs>
              <w:suppressAutoHyphens/>
              <w:spacing w:line="240" w:lineRule="atLeast"/>
              <w:jc w:val="both"/>
              <w:outlineLvl w:val="0"/>
              <w:rPr>
                <w:sz w:val="22"/>
                <w:szCs w:val="22"/>
              </w:rPr>
            </w:pPr>
            <w:r w:rsidRPr="00E35258">
              <w:rPr>
                <w:sz w:val="22"/>
                <w:szCs w:val="22"/>
              </w:rPr>
              <w:t>)</w:t>
            </w:r>
          </w:p>
          <w:p w:rsidR="00050854" w:rsidRDefault="001B5470" w:rsidP="00A904A5">
            <w:pPr>
              <w:widowControl/>
              <w:tabs>
                <w:tab w:val="center" w:pos="4680"/>
              </w:tabs>
              <w:suppressAutoHyphens/>
              <w:spacing w:line="240" w:lineRule="atLeast"/>
              <w:jc w:val="both"/>
              <w:outlineLvl w:val="0"/>
              <w:rPr>
                <w:sz w:val="22"/>
                <w:szCs w:val="22"/>
              </w:rPr>
            </w:pPr>
            <w:r>
              <w:rPr>
                <w:sz w:val="22"/>
                <w:szCs w:val="22"/>
              </w:rPr>
              <w:t>)</w:t>
            </w:r>
          </w:p>
          <w:p w:rsidR="00A904A5" w:rsidRPr="00E35258" w:rsidRDefault="00A904A5" w:rsidP="00A904A5">
            <w:pPr>
              <w:widowControl/>
              <w:tabs>
                <w:tab w:val="center" w:pos="4680"/>
              </w:tabs>
              <w:suppressAutoHyphens/>
              <w:spacing w:line="240" w:lineRule="atLeast"/>
              <w:jc w:val="both"/>
              <w:outlineLvl w:val="0"/>
              <w:rPr>
                <w:sz w:val="22"/>
                <w:szCs w:val="22"/>
              </w:rPr>
            </w:pPr>
          </w:p>
        </w:tc>
        <w:tc>
          <w:tcPr>
            <w:tcW w:w="4680" w:type="dxa"/>
          </w:tcPr>
          <w:p w:rsidR="003E2AD5" w:rsidRPr="00E35258" w:rsidRDefault="003E2AD5" w:rsidP="00A904A5">
            <w:pPr>
              <w:widowControl/>
              <w:rPr>
                <w:spacing w:val="-2"/>
                <w:sz w:val="22"/>
                <w:szCs w:val="22"/>
              </w:rPr>
            </w:pPr>
          </w:p>
          <w:p w:rsidR="005F002F" w:rsidRPr="00E35258" w:rsidRDefault="005F002F" w:rsidP="00A904A5">
            <w:pPr>
              <w:widowControl/>
              <w:ind w:left="702"/>
              <w:rPr>
                <w:spacing w:val="-2"/>
                <w:sz w:val="22"/>
                <w:szCs w:val="22"/>
              </w:rPr>
            </w:pPr>
          </w:p>
          <w:p w:rsidR="00780C18" w:rsidRPr="00E35258" w:rsidRDefault="00050854" w:rsidP="00A904A5">
            <w:pPr>
              <w:widowControl/>
              <w:ind w:left="702"/>
              <w:rPr>
                <w:sz w:val="22"/>
                <w:szCs w:val="22"/>
              </w:rPr>
            </w:pPr>
            <w:r w:rsidRPr="00E35258">
              <w:rPr>
                <w:sz w:val="22"/>
                <w:szCs w:val="22"/>
              </w:rPr>
              <w:t>File N</w:t>
            </w:r>
            <w:r w:rsidR="00A16AF9" w:rsidRPr="00E35258">
              <w:rPr>
                <w:sz w:val="22"/>
                <w:szCs w:val="22"/>
              </w:rPr>
              <w:t>o.</w:t>
            </w:r>
            <w:r w:rsidR="003E2AD5" w:rsidRPr="00E35258">
              <w:rPr>
                <w:sz w:val="22"/>
                <w:szCs w:val="22"/>
              </w:rPr>
              <w:t xml:space="preserve">:  </w:t>
            </w:r>
            <w:r w:rsidR="0015260C">
              <w:rPr>
                <w:sz w:val="22"/>
                <w:szCs w:val="22"/>
              </w:rPr>
              <w:t>EB-FIELDNER-13-00011917</w:t>
            </w:r>
          </w:p>
          <w:p w:rsidR="00050854" w:rsidRDefault="00050854" w:rsidP="00A904A5">
            <w:pPr>
              <w:widowControl/>
              <w:ind w:left="702"/>
              <w:rPr>
                <w:sz w:val="22"/>
                <w:szCs w:val="22"/>
              </w:rPr>
            </w:pPr>
            <w:r w:rsidRPr="00E35258">
              <w:rPr>
                <w:sz w:val="22"/>
                <w:szCs w:val="22"/>
              </w:rPr>
              <w:t>NAL/Acct. No.</w:t>
            </w:r>
            <w:r w:rsidR="003E2AD5" w:rsidRPr="00E35258">
              <w:rPr>
                <w:sz w:val="22"/>
                <w:szCs w:val="22"/>
              </w:rPr>
              <w:t>:</w:t>
            </w:r>
            <w:r w:rsidR="00E847E3" w:rsidRPr="00E35258">
              <w:rPr>
                <w:sz w:val="22"/>
                <w:szCs w:val="22"/>
              </w:rPr>
              <w:t xml:space="preserve">  </w:t>
            </w:r>
            <w:r w:rsidR="0015260C">
              <w:rPr>
                <w:sz w:val="22"/>
                <w:szCs w:val="22"/>
              </w:rPr>
              <w:t>20143240</w:t>
            </w:r>
            <w:r w:rsidR="00955426">
              <w:rPr>
                <w:sz w:val="22"/>
                <w:szCs w:val="22"/>
              </w:rPr>
              <w:t>0011</w:t>
            </w:r>
          </w:p>
          <w:p w:rsidR="00050854" w:rsidRPr="00E35258" w:rsidRDefault="001B5470" w:rsidP="00AF28EE">
            <w:pPr>
              <w:widowControl/>
              <w:ind w:left="702"/>
              <w:rPr>
                <w:sz w:val="22"/>
                <w:szCs w:val="22"/>
              </w:rPr>
            </w:pPr>
            <w:r>
              <w:rPr>
                <w:sz w:val="22"/>
                <w:szCs w:val="22"/>
              </w:rPr>
              <w:t>FRN</w:t>
            </w:r>
            <w:r w:rsidRPr="00263A16">
              <w:rPr>
                <w:b/>
                <w:sz w:val="22"/>
                <w:szCs w:val="22"/>
              </w:rPr>
              <w:t>:</w:t>
            </w:r>
            <w:r w:rsidR="0015260C" w:rsidRPr="00263A16">
              <w:rPr>
                <w:b/>
                <w:sz w:val="22"/>
                <w:szCs w:val="22"/>
              </w:rPr>
              <w:t xml:space="preserve"> </w:t>
            </w:r>
            <w:r w:rsidR="0015260C" w:rsidRPr="007220F3">
              <w:rPr>
                <w:sz w:val="22"/>
                <w:szCs w:val="22"/>
              </w:rPr>
              <w:t xml:space="preserve"> </w:t>
            </w:r>
            <w:r w:rsidR="00263A16" w:rsidRPr="007220F3">
              <w:rPr>
                <w:bCs/>
                <w:sz w:val="22"/>
                <w:szCs w:val="22"/>
              </w:rPr>
              <w:t>0023900285</w:t>
            </w:r>
          </w:p>
        </w:tc>
      </w:tr>
    </w:tbl>
    <w:p w:rsidR="003E2AD5" w:rsidRPr="00E35258" w:rsidRDefault="00050854" w:rsidP="002B7ADC">
      <w:pPr>
        <w:pStyle w:val="Heading2"/>
        <w:widowControl/>
        <w:numPr>
          <w:ilvl w:val="0"/>
          <w:numId w:val="0"/>
        </w:numPr>
        <w:jc w:val="center"/>
      </w:pPr>
      <w:r w:rsidRPr="00331410">
        <w:rPr>
          <w:sz w:val="22"/>
          <w:szCs w:val="22"/>
        </w:rPr>
        <w:t>NOTICE OF APPARENT LIABILITY FOR FORFEITURE</w:t>
      </w:r>
    </w:p>
    <w:p w:rsidR="00050854" w:rsidRPr="00C15F2C" w:rsidRDefault="007E2E05" w:rsidP="00A904A5">
      <w:pPr>
        <w:widowControl/>
        <w:rPr>
          <w:b/>
          <w:spacing w:val="-2"/>
          <w:sz w:val="22"/>
          <w:szCs w:val="22"/>
        </w:rPr>
      </w:pPr>
      <w:r w:rsidRPr="00C15F2C">
        <w:rPr>
          <w:b/>
          <w:sz w:val="22"/>
          <w:szCs w:val="22"/>
        </w:rPr>
        <w:t>Adopted:</w:t>
      </w:r>
      <w:r w:rsidR="0015260C">
        <w:rPr>
          <w:b/>
          <w:sz w:val="22"/>
          <w:szCs w:val="22"/>
        </w:rPr>
        <w:t xml:space="preserve">  </w:t>
      </w:r>
      <w:r w:rsidR="001B61F0">
        <w:rPr>
          <w:b/>
          <w:sz w:val="22"/>
          <w:szCs w:val="22"/>
        </w:rPr>
        <w:t>August 28, 2014</w:t>
      </w:r>
      <w:r w:rsidRPr="00C15F2C">
        <w:rPr>
          <w:b/>
          <w:sz w:val="22"/>
          <w:szCs w:val="22"/>
        </w:rPr>
        <w:tab/>
      </w:r>
      <w:r w:rsidRPr="00C15F2C">
        <w:rPr>
          <w:b/>
          <w:sz w:val="22"/>
          <w:szCs w:val="22"/>
        </w:rPr>
        <w:tab/>
      </w:r>
      <w:r w:rsidRPr="00C15F2C">
        <w:rPr>
          <w:b/>
          <w:sz w:val="22"/>
          <w:szCs w:val="22"/>
        </w:rPr>
        <w:tab/>
      </w:r>
      <w:r w:rsidRPr="00C15F2C">
        <w:rPr>
          <w:b/>
          <w:sz w:val="22"/>
          <w:szCs w:val="22"/>
        </w:rPr>
        <w:tab/>
      </w:r>
      <w:r w:rsidRPr="00C15F2C">
        <w:rPr>
          <w:b/>
          <w:sz w:val="22"/>
          <w:szCs w:val="22"/>
        </w:rPr>
        <w:tab/>
      </w:r>
      <w:r w:rsidR="00A2371B">
        <w:rPr>
          <w:b/>
          <w:sz w:val="22"/>
          <w:szCs w:val="22"/>
        </w:rPr>
        <w:t xml:space="preserve"> </w:t>
      </w:r>
      <w:r w:rsidR="00590C26">
        <w:rPr>
          <w:b/>
          <w:sz w:val="22"/>
          <w:szCs w:val="22"/>
        </w:rPr>
        <w:tab/>
      </w:r>
      <w:r w:rsidR="00050854" w:rsidRPr="00C15F2C">
        <w:rPr>
          <w:b/>
          <w:sz w:val="22"/>
          <w:szCs w:val="22"/>
        </w:rPr>
        <w:t>Released:</w:t>
      </w:r>
      <w:r w:rsidR="00A2371B">
        <w:rPr>
          <w:b/>
          <w:sz w:val="22"/>
          <w:szCs w:val="22"/>
        </w:rPr>
        <w:t xml:space="preserve">  </w:t>
      </w:r>
      <w:r w:rsidR="001B61F0">
        <w:rPr>
          <w:b/>
          <w:sz w:val="22"/>
          <w:szCs w:val="22"/>
        </w:rPr>
        <w:t>August 28, 2014</w:t>
      </w:r>
    </w:p>
    <w:p w:rsidR="00A904A5" w:rsidRPr="00E35258" w:rsidRDefault="00A904A5" w:rsidP="00C15F2C">
      <w:pPr>
        <w:widowControl/>
        <w:tabs>
          <w:tab w:val="left" w:pos="0"/>
          <w:tab w:val="left" w:pos="3392"/>
        </w:tabs>
        <w:suppressAutoHyphens/>
        <w:spacing w:line="240" w:lineRule="atLeast"/>
        <w:jc w:val="both"/>
        <w:rPr>
          <w:spacing w:val="-2"/>
          <w:sz w:val="22"/>
          <w:szCs w:val="22"/>
        </w:rPr>
      </w:pPr>
    </w:p>
    <w:p w:rsidR="00050854" w:rsidRPr="00E35258" w:rsidRDefault="00050854" w:rsidP="00BF1922">
      <w:pPr>
        <w:widowControl/>
        <w:tabs>
          <w:tab w:val="left" w:pos="0"/>
          <w:tab w:val="left" w:pos="720"/>
          <w:tab w:val="left" w:pos="5760"/>
        </w:tabs>
        <w:suppressAutoHyphens/>
        <w:spacing w:line="240" w:lineRule="atLeast"/>
        <w:rPr>
          <w:spacing w:val="-2"/>
          <w:sz w:val="22"/>
          <w:szCs w:val="22"/>
        </w:rPr>
      </w:pPr>
      <w:r w:rsidRPr="00E35258">
        <w:rPr>
          <w:spacing w:val="-2"/>
          <w:sz w:val="22"/>
          <w:szCs w:val="22"/>
        </w:rPr>
        <w:t>By the District Director</w:t>
      </w:r>
      <w:r w:rsidR="0015260C">
        <w:rPr>
          <w:spacing w:val="-2"/>
          <w:sz w:val="22"/>
          <w:szCs w:val="22"/>
        </w:rPr>
        <w:t>, Philadelphia</w:t>
      </w:r>
      <w:r w:rsidRPr="00E35258">
        <w:rPr>
          <w:spacing w:val="-2"/>
          <w:sz w:val="22"/>
          <w:szCs w:val="22"/>
        </w:rPr>
        <w:t xml:space="preserve"> Office, </w:t>
      </w:r>
      <w:r w:rsidR="0015260C">
        <w:rPr>
          <w:spacing w:val="-2"/>
          <w:sz w:val="22"/>
          <w:szCs w:val="22"/>
        </w:rPr>
        <w:t>Northeast</w:t>
      </w:r>
      <w:r w:rsidR="00EB57F9" w:rsidRPr="00E35258">
        <w:rPr>
          <w:spacing w:val="-2"/>
          <w:sz w:val="22"/>
          <w:szCs w:val="22"/>
        </w:rPr>
        <w:t xml:space="preserve"> </w:t>
      </w:r>
      <w:r w:rsidR="00A546FC" w:rsidRPr="00E35258">
        <w:rPr>
          <w:spacing w:val="-2"/>
          <w:sz w:val="22"/>
          <w:szCs w:val="22"/>
        </w:rPr>
        <w:t>Region,</w:t>
      </w:r>
      <w:r w:rsidRPr="00E35258">
        <w:rPr>
          <w:spacing w:val="-2"/>
          <w:sz w:val="22"/>
          <w:szCs w:val="22"/>
        </w:rPr>
        <w:t xml:space="preserve"> Enforcement Bureau:</w:t>
      </w:r>
    </w:p>
    <w:p w:rsidR="00A904A5" w:rsidRPr="00E35258" w:rsidRDefault="00A904A5" w:rsidP="00BF1922">
      <w:pPr>
        <w:widowControl/>
        <w:tabs>
          <w:tab w:val="left" w:pos="0"/>
        </w:tabs>
        <w:suppressAutoHyphens/>
        <w:spacing w:line="240" w:lineRule="atLeast"/>
        <w:jc w:val="both"/>
        <w:rPr>
          <w:sz w:val="22"/>
          <w:szCs w:val="22"/>
        </w:rPr>
      </w:pPr>
    </w:p>
    <w:p w:rsidR="00990FB6" w:rsidRPr="00AC27AA" w:rsidRDefault="00990FB6" w:rsidP="00AF28EE">
      <w:pPr>
        <w:pStyle w:val="Heading1"/>
        <w:widowControl/>
        <w:spacing w:after="120"/>
        <w:rPr>
          <w:sz w:val="22"/>
          <w:szCs w:val="22"/>
        </w:rPr>
      </w:pPr>
      <w:r w:rsidRPr="00AC27AA">
        <w:rPr>
          <w:sz w:val="22"/>
          <w:szCs w:val="22"/>
        </w:rPr>
        <w:t>INTRODUCTION</w:t>
      </w:r>
    </w:p>
    <w:p w:rsidR="001C039E" w:rsidRPr="002A229F" w:rsidRDefault="00CF5CAD" w:rsidP="00AF28EE">
      <w:pPr>
        <w:widowControl/>
        <w:numPr>
          <w:ilvl w:val="0"/>
          <w:numId w:val="22"/>
        </w:numPr>
        <w:tabs>
          <w:tab w:val="clear" w:pos="1260"/>
          <w:tab w:val="left" w:pos="0"/>
          <w:tab w:val="num" w:pos="1440"/>
        </w:tabs>
        <w:suppressAutoHyphens/>
        <w:spacing w:after="120"/>
        <w:ind w:left="0"/>
        <w:rPr>
          <w:spacing w:val="-2"/>
          <w:sz w:val="22"/>
          <w:szCs w:val="22"/>
        </w:rPr>
      </w:pPr>
      <w:r w:rsidRPr="00CF5CAD">
        <w:rPr>
          <w:spacing w:val="-2"/>
          <w:sz w:val="22"/>
          <w:szCs w:val="22"/>
        </w:rPr>
        <w:t>We propose a penalty of $</w:t>
      </w:r>
      <w:r w:rsidR="00406E97">
        <w:rPr>
          <w:spacing w:val="-2"/>
          <w:sz w:val="22"/>
          <w:szCs w:val="22"/>
        </w:rPr>
        <w:t>2</w:t>
      </w:r>
      <w:r>
        <w:rPr>
          <w:spacing w:val="-2"/>
          <w:sz w:val="22"/>
          <w:szCs w:val="22"/>
        </w:rPr>
        <w:t>2</w:t>
      </w:r>
      <w:r w:rsidRPr="00CF5CAD">
        <w:rPr>
          <w:spacing w:val="-2"/>
          <w:sz w:val="22"/>
          <w:szCs w:val="22"/>
        </w:rPr>
        <w:t>,</w:t>
      </w:r>
      <w:r>
        <w:rPr>
          <w:spacing w:val="-2"/>
          <w:sz w:val="22"/>
          <w:szCs w:val="22"/>
        </w:rPr>
        <w:t>0</w:t>
      </w:r>
      <w:r w:rsidRPr="00CF5CAD">
        <w:rPr>
          <w:spacing w:val="-2"/>
          <w:sz w:val="22"/>
          <w:szCs w:val="22"/>
        </w:rPr>
        <w:t xml:space="preserve">00 against </w:t>
      </w:r>
      <w:r>
        <w:rPr>
          <w:spacing w:val="-2"/>
          <w:sz w:val="22"/>
          <w:szCs w:val="22"/>
        </w:rPr>
        <w:t xml:space="preserve">James Engle </w:t>
      </w:r>
      <w:r w:rsidRPr="00CF5CAD">
        <w:rPr>
          <w:spacing w:val="-2"/>
          <w:sz w:val="22"/>
          <w:szCs w:val="22"/>
        </w:rPr>
        <w:t xml:space="preserve">for </w:t>
      </w:r>
      <w:r w:rsidR="00A41215">
        <w:rPr>
          <w:spacing w:val="-2"/>
          <w:sz w:val="22"/>
          <w:szCs w:val="22"/>
        </w:rPr>
        <w:t xml:space="preserve">apparently </w:t>
      </w:r>
      <w:r>
        <w:rPr>
          <w:spacing w:val="-2"/>
          <w:sz w:val="22"/>
          <w:szCs w:val="22"/>
        </w:rPr>
        <w:t xml:space="preserve">operating </w:t>
      </w:r>
      <w:r w:rsidR="00171D39">
        <w:rPr>
          <w:spacing w:val="-2"/>
          <w:sz w:val="22"/>
          <w:szCs w:val="22"/>
        </w:rPr>
        <w:t xml:space="preserve">a radio transmitter </w:t>
      </w:r>
      <w:r>
        <w:rPr>
          <w:spacing w:val="-2"/>
          <w:sz w:val="22"/>
          <w:szCs w:val="22"/>
        </w:rPr>
        <w:t xml:space="preserve">without the requisite Commission authorization and </w:t>
      </w:r>
      <w:r w:rsidRPr="00CF5CAD">
        <w:rPr>
          <w:spacing w:val="-2"/>
          <w:sz w:val="22"/>
          <w:szCs w:val="22"/>
        </w:rPr>
        <w:t xml:space="preserve">intentionally causing interference to other </w:t>
      </w:r>
      <w:r w:rsidR="00CA5D57">
        <w:rPr>
          <w:spacing w:val="-2"/>
          <w:sz w:val="22"/>
          <w:szCs w:val="22"/>
        </w:rPr>
        <w:t>users of</w:t>
      </w:r>
      <w:r w:rsidR="00171D39">
        <w:rPr>
          <w:spacing w:val="-2"/>
          <w:sz w:val="22"/>
          <w:szCs w:val="22"/>
        </w:rPr>
        <w:t xml:space="preserve"> the Citizens Band (CB) radio service</w:t>
      </w:r>
      <w:r>
        <w:rPr>
          <w:spacing w:val="-2"/>
          <w:sz w:val="22"/>
          <w:szCs w:val="22"/>
        </w:rPr>
        <w:t>.</w:t>
      </w:r>
      <w:r w:rsidRPr="00CF5CAD">
        <w:rPr>
          <w:spacing w:val="-2"/>
          <w:sz w:val="22"/>
          <w:szCs w:val="22"/>
        </w:rPr>
        <w:t xml:space="preserve">  </w:t>
      </w:r>
      <w:r w:rsidR="002A229F">
        <w:rPr>
          <w:spacing w:val="-2"/>
          <w:sz w:val="22"/>
          <w:szCs w:val="22"/>
        </w:rPr>
        <w:t xml:space="preserve">The </w:t>
      </w:r>
      <w:r w:rsidR="00CA5D57">
        <w:rPr>
          <w:spacing w:val="-2"/>
          <w:sz w:val="22"/>
          <w:szCs w:val="22"/>
        </w:rPr>
        <w:t xml:space="preserve">CB radio rules are designed to foster cooperation among users in order to make the most efficient use </w:t>
      </w:r>
      <w:r w:rsidR="002A229F">
        <w:rPr>
          <w:spacing w:val="-2"/>
          <w:sz w:val="22"/>
          <w:szCs w:val="22"/>
        </w:rPr>
        <w:t>of the CB band and reduce the potential for interference.  CB station operators must not use radio frequency amplifiers to raise the power of their transmitters without authorization.  In addition, d</w:t>
      </w:r>
      <w:r w:rsidRPr="002A229F">
        <w:rPr>
          <w:spacing w:val="-2"/>
          <w:sz w:val="22"/>
          <w:szCs w:val="22"/>
        </w:rPr>
        <w:t xml:space="preserve">eliberate interference undermines the utility of the CB </w:t>
      </w:r>
      <w:r w:rsidR="002A229F">
        <w:rPr>
          <w:spacing w:val="-2"/>
          <w:sz w:val="22"/>
          <w:szCs w:val="22"/>
        </w:rPr>
        <w:t>radio s</w:t>
      </w:r>
      <w:r w:rsidRPr="002A229F">
        <w:rPr>
          <w:spacing w:val="-2"/>
          <w:sz w:val="22"/>
          <w:szCs w:val="22"/>
        </w:rPr>
        <w:t>ervice by preventin</w:t>
      </w:r>
      <w:r w:rsidR="002A229F">
        <w:rPr>
          <w:spacing w:val="-2"/>
          <w:sz w:val="22"/>
          <w:szCs w:val="22"/>
        </w:rPr>
        <w:t xml:space="preserve">g communications among </w:t>
      </w:r>
      <w:r w:rsidRPr="002A229F">
        <w:rPr>
          <w:spacing w:val="-2"/>
          <w:sz w:val="22"/>
          <w:szCs w:val="22"/>
        </w:rPr>
        <w:t>users th</w:t>
      </w:r>
      <w:r w:rsidR="002F2B15">
        <w:rPr>
          <w:spacing w:val="-2"/>
          <w:sz w:val="22"/>
          <w:szCs w:val="22"/>
        </w:rPr>
        <w:t xml:space="preserve">at comply with the CB radio </w:t>
      </w:r>
      <w:r w:rsidRPr="002A229F">
        <w:rPr>
          <w:spacing w:val="-2"/>
          <w:sz w:val="22"/>
          <w:szCs w:val="22"/>
        </w:rPr>
        <w:t>rules.  Mr. Engle</w:t>
      </w:r>
      <w:r w:rsidR="002A229F">
        <w:rPr>
          <w:spacing w:val="-2"/>
          <w:sz w:val="22"/>
          <w:szCs w:val="22"/>
        </w:rPr>
        <w:t xml:space="preserve"> was warned repeatedly</w:t>
      </w:r>
      <w:r w:rsidRPr="002A229F">
        <w:rPr>
          <w:spacing w:val="-2"/>
          <w:sz w:val="22"/>
          <w:szCs w:val="22"/>
        </w:rPr>
        <w:t xml:space="preserve"> in wr</w:t>
      </w:r>
      <w:r w:rsidR="002F2B15">
        <w:rPr>
          <w:spacing w:val="-2"/>
          <w:sz w:val="22"/>
          <w:szCs w:val="22"/>
        </w:rPr>
        <w:t xml:space="preserve">iting by the Enforcement Bureau </w:t>
      </w:r>
      <w:r w:rsidR="002A229F">
        <w:rPr>
          <w:spacing w:val="-2"/>
          <w:sz w:val="22"/>
          <w:szCs w:val="22"/>
        </w:rPr>
        <w:t xml:space="preserve">that his actions violated the </w:t>
      </w:r>
      <w:r w:rsidR="005A4003">
        <w:rPr>
          <w:spacing w:val="-2"/>
          <w:sz w:val="22"/>
          <w:szCs w:val="22"/>
        </w:rPr>
        <w:t>law</w:t>
      </w:r>
      <w:r w:rsidR="002F2B15">
        <w:rPr>
          <w:spacing w:val="-2"/>
          <w:sz w:val="22"/>
          <w:szCs w:val="22"/>
        </w:rPr>
        <w:t>,</w:t>
      </w:r>
      <w:r w:rsidR="005A4003">
        <w:rPr>
          <w:spacing w:val="-2"/>
          <w:sz w:val="22"/>
          <w:szCs w:val="22"/>
        </w:rPr>
        <w:t xml:space="preserve"> </w:t>
      </w:r>
      <w:r w:rsidR="00AA5226">
        <w:rPr>
          <w:spacing w:val="-2"/>
          <w:sz w:val="22"/>
          <w:szCs w:val="22"/>
        </w:rPr>
        <w:t xml:space="preserve">and his </w:t>
      </w:r>
      <w:r w:rsidR="002A229F">
        <w:rPr>
          <w:spacing w:val="-2"/>
          <w:sz w:val="22"/>
          <w:szCs w:val="22"/>
        </w:rPr>
        <w:t>apparent disregard for the Commission’</w:t>
      </w:r>
      <w:r w:rsidR="00AA5226">
        <w:rPr>
          <w:spacing w:val="-2"/>
          <w:sz w:val="22"/>
          <w:szCs w:val="22"/>
        </w:rPr>
        <w:t>s authority</w:t>
      </w:r>
      <w:r w:rsidR="002A229F">
        <w:rPr>
          <w:spacing w:val="-2"/>
          <w:sz w:val="22"/>
          <w:szCs w:val="22"/>
        </w:rPr>
        <w:t xml:space="preserve"> warrants an increased penalty.</w:t>
      </w:r>
    </w:p>
    <w:p w:rsidR="00050854" w:rsidRPr="001C039E" w:rsidRDefault="00057A91" w:rsidP="00AF28EE">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I</w:t>
      </w:r>
      <w:r w:rsidR="00050854" w:rsidRPr="001C039E">
        <w:rPr>
          <w:spacing w:val="-2"/>
          <w:sz w:val="22"/>
          <w:szCs w:val="22"/>
        </w:rPr>
        <w:t xml:space="preserve">n this Notice of Apparent Liability for Forfeiture (NAL), we find that </w:t>
      </w:r>
      <w:r w:rsidR="0015260C" w:rsidRPr="001C039E">
        <w:rPr>
          <w:spacing w:val="-2"/>
          <w:sz w:val="22"/>
          <w:szCs w:val="22"/>
        </w:rPr>
        <w:t>James Engle</w:t>
      </w:r>
      <w:r w:rsidR="00AA5226" w:rsidRPr="00AF28EE">
        <w:rPr>
          <w:spacing w:val="-2"/>
          <w:sz w:val="22"/>
        </w:rPr>
        <w:t xml:space="preserve"> </w:t>
      </w:r>
      <w:r w:rsidR="00050854" w:rsidRPr="001C039E">
        <w:rPr>
          <w:spacing w:val="-2"/>
          <w:sz w:val="22"/>
          <w:szCs w:val="22"/>
        </w:rPr>
        <w:t xml:space="preserve">apparently willfully violated </w:t>
      </w:r>
      <w:r w:rsidR="00337B75" w:rsidRPr="001C039E">
        <w:rPr>
          <w:spacing w:val="-2"/>
          <w:sz w:val="22"/>
          <w:szCs w:val="22"/>
        </w:rPr>
        <w:t>Section</w:t>
      </w:r>
      <w:r w:rsidR="00A90D71" w:rsidRPr="001C039E">
        <w:rPr>
          <w:spacing w:val="-2"/>
          <w:sz w:val="22"/>
          <w:szCs w:val="22"/>
        </w:rPr>
        <w:t>s</w:t>
      </w:r>
      <w:r w:rsidR="00337B75" w:rsidRPr="001C039E">
        <w:rPr>
          <w:spacing w:val="-2"/>
          <w:sz w:val="22"/>
          <w:szCs w:val="22"/>
        </w:rPr>
        <w:t xml:space="preserve"> </w:t>
      </w:r>
      <w:r w:rsidR="007B46BE" w:rsidRPr="001C039E">
        <w:rPr>
          <w:spacing w:val="-2"/>
          <w:sz w:val="22"/>
          <w:szCs w:val="22"/>
        </w:rPr>
        <w:t>301</w:t>
      </w:r>
      <w:r w:rsidR="00A90D71" w:rsidRPr="001C039E">
        <w:rPr>
          <w:spacing w:val="-2"/>
          <w:sz w:val="22"/>
          <w:szCs w:val="22"/>
        </w:rPr>
        <w:t xml:space="preserve"> and 333</w:t>
      </w:r>
      <w:r w:rsidR="007B46BE" w:rsidRPr="001C039E">
        <w:rPr>
          <w:spacing w:val="-2"/>
          <w:sz w:val="22"/>
          <w:szCs w:val="22"/>
        </w:rPr>
        <w:t xml:space="preserve"> </w:t>
      </w:r>
      <w:r w:rsidR="00337B75" w:rsidRPr="001C039E">
        <w:rPr>
          <w:spacing w:val="-2"/>
          <w:sz w:val="22"/>
          <w:szCs w:val="22"/>
        </w:rPr>
        <w:t>of the Communications Act</w:t>
      </w:r>
      <w:r w:rsidR="0015260C" w:rsidRPr="001C039E">
        <w:rPr>
          <w:spacing w:val="-2"/>
          <w:sz w:val="22"/>
          <w:szCs w:val="22"/>
        </w:rPr>
        <w:t xml:space="preserve"> of 1934, as amended (Act)</w:t>
      </w:r>
      <w:r w:rsidR="009711A7" w:rsidRPr="001C039E">
        <w:rPr>
          <w:spacing w:val="-2"/>
          <w:sz w:val="22"/>
          <w:szCs w:val="22"/>
        </w:rPr>
        <w:t>,</w:t>
      </w:r>
      <w:r w:rsidR="00BB4C09">
        <w:rPr>
          <w:spacing w:val="-2"/>
          <w:sz w:val="22"/>
          <w:szCs w:val="22"/>
        </w:rPr>
        <w:t xml:space="preserve"> and Sec</w:t>
      </w:r>
      <w:r w:rsidR="00DD6132">
        <w:rPr>
          <w:spacing w:val="-2"/>
          <w:sz w:val="22"/>
          <w:szCs w:val="22"/>
        </w:rPr>
        <w:t>tions 95.411(a) and 95.413(a)</w:t>
      </w:r>
      <w:r w:rsidR="005A4003">
        <w:rPr>
          <w:spacing w:val="-2"/>
          <w:sz w:val="22"/>
          <w:szCs w:val="22"/>
        </w:rPr>
        <w:t xml:space="preserve"> of the Commission’s rules (Rules)</w:t>
      </w:r>
      <w:r w:rsidR="00BB4C09">
        <w:rPr>
          <w:spacing w:val="-2"/>
          <w:sz w:val="22"/>
          <w:szCs w:val="22"/>
        </w:rPr>
        <w:t>,</w:t>
      </w:r>
      <w:r w:rsidR="00050854" w:rsidRPr="001C039E">
        <w:rPr>
          <w:spacing w:val="-2"/>
          <w:sz w:val="22"/>
          <w:szCs w:val="22"/>
        </w:rPr>
        <w:t xml:space="preserve"> by </w:t>
      </w:r>
      <w:r w:rsidR="00374C19" w:rsidRPr="001C039E">
        <w:rPr>
          <w:spacing w:val="-2"/>
          <w:sz w:val="22"/>
          <w:szCs w:val="22"/>
        </w:rPr>
        <w:t>operating a radio transmitter without authorization</w:t>
      </w:r>
      <w:r w:rsidR="0013582E" w:rsidRPr="001C039E">
        <w:rPr>
          <w:spacing w:val="-2"/>
          <w:sz w:val="22"/>
          <w:szCs w:val="22"/>
        </w:rPr>
        <w:t xml:space="preserve"> and</w:t>
      </w:r>
      <w:r w:rsidR="00AA5226">
        <w:rPr>
          <w:spacing w:val="-2"/>
          <w:sz w:val="22"/>
          <w:szCs w:val="22"/>
        </w:rPr>
        <w:t xml:space="preserve"> </w:t>
      </w:r>
      <w:r w:rsidR="0013582E" w:rsidRPr="001C039E">
        <w:rPr>
          <w:sz w:val="22"/>
        </w:rPr>
        <w:t>intentionally inte</w:t>
      </w:r>
      <w:r w:rsidR="00AA5226">
        <w:rPr>
          <w:sz w:val="22"/>
        </w:rPr>
        <w:t xml:space="preserve">rfering with CB </w:t>
      </w:r>
      <w:r w:rsidR="0013582E" w:rsidRPr="001C039E">
        <w:rPr>
          <w:sz w:val="22"/>
        </w:rPr>
        <w:t>communications</w:t>
      </w:r>
      <w:r w:rsidR="00050854" w:rsidRPr="001C039E">
        <w:rPr>
          <w:spacing w:val="-2"/>
          <w:sz w:val="22"/>
          <w:szCs w:val="22"/>
        </w:rPr>
        <w:t>.</w:t>
      </w:r>
      <w:r w:rsidR="00BB4C09">
        <w:rPr>
          <w:rStyle w:val="FootnoteReference"/>
          <w:spacing w:val="-2"/>
          <w:sz w:val="22"/>
          <w:szCs w:val="22"/>
        </w:rPr>
        <w:footnoteReference w:id="2"/>
      </w:r>
      <w:r w:rsidR="00050854" w:rsidRPr="001C039E">
        <w:rPr>
          <w:spacing w:val="-2"/>
          <w:sz w:val="22"/>
          <w:szCs w:val="22"/>
        </w:rPr>
        <w:t xml:space="preserve">  </w:t>
      </w:r>
    </w:p>
    <w:p w:rsidR="00374C19" w:rsidRPr="001D7C74" w:rsidRDefault="00050854" w:rsidP="00AF28EE">
      <w:pPr>
        <w:pStyle w:val="Heading1"/>
        <w:widowControl/>
        <w:spacing w:after="120"/>
        <w:rPr>
          <w:rStyle w:val="ptext-0"/>
          <w:b w:val="0"/>
          <w:caps w:val="0"/>
          <w:spacing w:val="-2"/>
          <w:sz w:val="22"/>
          <w:szCs w:val="22"/>
        </w:rPr>
      </w:pPr>
      <w:r w:rsidRPr="00E35258">
        <w:rPr>
          <w:sz w:val="22"/>
          <w:szCs w:val="22"/>
        </w:rPr>
        <w:t>BACKGROUND</w:t>
      </w:r>
    </w:p>
    <w:p w:rsidR="001C039E" w:rsidRDefault="00A307E0" w:rsidP="00AF28EE">
      <w:pPr>
        <w:numPr>
          <w:ilvl w:val="0"/>
          <w:numId w:val="22"/>
        </w:numPr>
        <w:tabs>
          <w:tab w:val="clear" w:pos="1260"/>
        </w:tabs>
        <w:spacing w:after="120"/>
        <w:ind w:left="0"/>
        <w:rPr>
          <w:rStyle w:val="ptext-0"/>
          <w:b/>
          <w:caps/>
          <w:sz w:val="22"/>
          <w:szCs w:val="22"/>
        </w:rPr>
      </w:pPr>
      <w:r>
        <w:rPr>
          <w:rStyle w:val="ptext-0"/>
          <w:sz w:val="22"/>
          <w:szCs w:val="22"/>
        </w:rPr>
        <w:t xml:space="preserve">On October 23, 2013, </w:t>
      </w:r>
      <w:r w:rsidR="008877D8">
        <w:rPr>
          <w:rStyle w:val="ptext-0"/>
          <w:sz w:val="22"/>
          <w:szCs w:val="22"/>
        </w:rPr>
        <w:t>in response to a complaint</w:t>
      </w:r>
      <w:r w:rsidR="00E72F82">
        <w:rPr>
          <w:rStyle w:val="ptext-0"/>
          <w:sz w:val="22"/>
          <w:szCs w:val="22"/>
        </w:rPr>
        <w:t xml:space="preserve"> of intentional interfe</w:t>
      </w:r>
      <w:r w:rsidR="002F2B15">
        <w:rPr>
          <w:rStyle w:val="ptext-0"/>
          <w:sz w:val="22"/>
          <w:szCs w:val="22"/>
        </w:rPr>
        <w:t xml:space="preserve">rence from a CB operator on </w:t>
      </w:r>
      <w:r w:rsidR="00E72F82">
        <w:rPr>
          <w:rStyle w:val="ptext-0"/>
          <w:sz w:val="22"/>
          <w:szCs w:val="22"/>
        </w:rPr>
        <w:t>frequency 27.325 MHz</w:t>
      </w:r>
      <w:r w:rsidR="008877D8">
        <w:rPr>
          <w:rStyle w:val="ptext-0"/>
          <w:sz w:val="22"/>
          <w:szCs w:val="22"/>
        </w:rPr>
        <w:t xml:space="preserve">, </w:t>
      </w:r>
      <w:r>
        <w:rPr>
          <w:rStyle w:val="ptext-0"/>
          <w:sz w:val="22"/>
          <w:szCs w:val="22"/>
        </w:rPr>
        <w:t xml:space="preserve">agents from the Enforcement Bureau’s Philadelphia Office (Philadelphia Office) used </w:t>
      </w:r>
      <w:r w:rsidR="00E72F82">
        <w:rPr>
          <w:rStyle w:val="ptext-0"/>
          <w:sz w:val="22"/>
          <w:szCs w:val="22"/>
        </w:rPr>
        <w:t xml:space="preserve">mobile </w:t>
      </w:r>
      <w:r>
        <w:rPr>
          <w:rStyle w:val="ptext-0"/>
          <w:sz w:val="22"/>
          <w:szCs w:val="22"/>
        </w:rPr>
        <w:t xml:space="preserve">direction finding techniques to </w:t>
      </w:r>
      <w:r w:rsidR="00057A91">
        <w:rPr>
          <w:rStyle w:val="ptext-0"/>
          <w:sz w:val="22"/>
          <w:szCs w:val="22"/>
        </w:rPr>
        <w:t xml:space="preserve">identify Mr. Engle’s residence as the </w:t>
      </w:r>
      <w:r w:rsidR="00E72F82">
        <w:rPr>
          <w:rStyle w:val="ptext-0"/>
          <w:sz w:val="22"/>
          <w:szCs w:val="22"/>
        </w:rPr>
        <w:t xml:space="preserve">source of </w:t>
      </w:r>
      <w:r w:rsidR="00AA5226">
        <w:rPr>
          <w:rStyle w:val="ptext-0"/>
          <w:sz w:val="22"/>
          <w:szCs w:val="22"/>
        </w:rPr>
        <w:t>the transmissions</w:t>
      </w:r>
      <w:r w:rsidR="00A904A5">
        <w:rPr>
          <w:rStyle w:val="ptext-0"/>
          <w:sz w:val="22"/>
          <w:szCs w:val="22"/>
        </w:rPr>
        <w:t>.  The agents monitored the transmissions</w:t>
      </w:r>
      <w:r w:rsidR="00CA1D49">
        <w:rPr>
          <w:rStyle w:val="ptext-0"/>
          <w:sz w:val="22"/>
          <w:szCs w:val="22"/>
        </w:rPr>
        <w:t xml:space="preserve"> emanating from Mr. Engle’s station</w:t>
      </w:r>
      <w:r w:rsidR="008877D8">
        <w:rPr>
          <w:rStyle w:val="ptext-0"/>
          <w:sz w:val="22"/>
          <w:szCs w:val="22"/>
        </w:rPr>
        <w:t xml:space="preserve"> for several hours </w:t>
      </w:r>
      <w:r w:rsidR="00CA1D49">
        <w:rPr>
          <w:rStyle w:val="ptext-0"/>
          <w:sz w:val="22"/>
          <w:szCs w:val="22"/>
        </w:rPr>
        <w:t>that night and heard him</w:t>
      </w:r>
      <w:r w:rsidR="00A904A5">
        <w:rPr>
          <w:rStyle w:val="ptext-0"/>
          <w:sz w:val="22"/>
          <w:szCs w:val="22"/>
        </w:rPr>
        <w:t xml:space="preserve"> </w:t>
      </w:r>
      <w:r w:rsidR="00057A91">
        <w:rPr>
          <w:rStyle w:val="ptext-0"/>
          <w:sz w:val="22"/>
          <w:szCs w:val="22"/>
        </w:rPr>
        <w:t>repeatedly interrupt ongoing transmissions of another CB operator by transmitting over the other signal while saying “oops slam.”</w:t>
      </w:r>
    </w:p>
    <w:p w:rsidR="00A307E0" w:rsidRDefault="0021238A" w:rsidP="00AF28EE">
      <w:pPr>
        <w:widowControl/>
        <w:numPr>
          <w:ilvl w:val="0"/>
          <w:numId w:val="22"/>
        </w:numPr>
        <w:tabs>
          <w:tab w:val="clear" w:pos="1260"/>
        </w:tabs>
        <w:spacing w:after="120"/>
        <w:ind w:left="0"/>
        <w:rPr>
          <w:rStyle w:val="ptext-0"/>
          <w:sz w:val="22"/>
          <w:szCs w:val="22"/>
        </w:rPr>
      </w:pPr>
      <w:r>
        <w:rPr>
          <w:rStyle w:val="ptext-0"/>
          <w:sz w:val="22"/>
          <w:szCs w:val="22"/>
        </w:rPr>
        <w:t xml:space="preserve">On October 24, 2013, agents from the Philadelphia Office inspected </w:t>
      </w:r>
      <w:r w:rsidR="00BB4C09">
        <w:rPr>
          <w:rStyle w:val="ptext-0"/>
          <w:sz w:val="22"/>
          <w:szCs w:val="22"/>
        </w:rPr>
        <w:t xml:space="preserve">Mr. Engle’s CB station and discovered </w:t>
      </w:r>
      <w:r>
        <w:rPr>
          <w:rStyle w:val="ptext-0"/>
          <w:sz w:val="22"/>
          <w:szCs w:val="22"/>
        </w:rPr>
        <w:t xml:space="preserve">two </w:t>
      </w:r>
      <w:r w:rsidR="00BB4C09">
        <w:rPr>
          <w:rStyle w:val="ptext-0"/>
          <w:sz w:val="22"/>
          <w:szCs w:val="22"/>
        </w:rPr>
        <w:t xml:space="preserve">radio frequency </w:t>
      </w:r>
      <w:r w:rsidR="00DD6132">
        <w:rPr>
          <w:rStyle w:val="ptext-0"/>
          <w:sz w:val="22"/>
          <w:szCs w:val="22"/>
        </w:rPr>
        <w:t xml:space="preserve">(RF) </w:t>
      </w:r>
      <w:r>
        <w:rPr>
          <w:rStyle w:val="ptext-0"/>
          <w:sz w:val="22"/>
          <w:szCs w:val="22"/>
        </w:rPr>
        <w:t xml:space="preserve">linear amplifiers.  </w:t>
      </w:r>
      <w:r w:rsidR="00BB4C09">
        <w:rPr>
          <w:rStyle w:val="ptext-0"/>
          <w:sz w:val="22"/>
          <w:szCs w:val="22"/>
        </w:rPr>
        <w:t xml:space="preserve">In response to questions from the agents, </w:t>
      </w:r>
      <w:r>
        <w:rPr>
          <w:rStyle w:val="ptext-0"/>
          <w:sz w:val="22"/>
          <w:szCs w:val="22"/>
        </w:rPr>
        <w:t xml:space="preserve">Mr. Engle admitted </w:t>
      </w:r>
      <w:r w:rsidR="002857D1">
        <w:rPr>
          <w:rStyle w:val="ptext-0"/>
          <w:sz w:val="22"/>
          <w:szCs w:val="22"/>
        </w:rPr>
        <w:t>that he used</w:t>
      </w:r>
      <w:r w:rsidR="00D43C35">
        <w:rPr>
          <w:rStyle w:val="ptext-0"/>
          <w:sz w:val="22"/>
          <w:szCs w:val="22"/>
        </w:rPr>
        <w:t xml:space="preserve"> </w:t>
      </w:r>
      <w:r w:rsidR="00BB4C09">
        <w:rPr>
          <w:rStyle w:val="ptext-0"/>
          <w:sz w:val="22"/>
          <w:szCs w:val="22"/>
        </w:rPr>
        <w:t xml:space="preserve">one of the power </w:t>
      </w:r>
      <w:r>
        <w:rPr>
          <w:rStyle w:val="ptext-0"/>
          <w:sz w:val="22"/>
          <w:szCs w:val="22"/>
        </w:rPr>
        <w:t>amplifier</w:t>
      </w:r>
      <w:r w:rsidR="00BB4C09">
        <w:rPr>
          <w:rStyle w:val="ptext-0"/>
          <w:sz w:val="22"/>
          <w:szCs w:val="22"/>
        </w:rPr>
        <w:t>s</w:t>
      </w:r>
      <w:r>
        <w:rPr>
          <w:rStyle w:val="ptext-0"/>
          <w:sz w:val="22"/>
          <w:szCs w:val="22"/>
        </w:rPr>
        <w:t xml:space="preserve"> </w:t>
      </w:r>
      <w:r w:rsidR="00CE364A">
        <w:rPr>
          <w:rStyle w:val="ptext-0"/>
          <w:sz w:val="22"/>
          <w:szCs w:val="22"/>
        </w:rPr>
        <w:t xml:space="preserve">on </w:t>
      </w:r>
      <w:r>
        <w:rPr>
          <w:rStyle w:val="ptext-0"/>
          <w:sz w:val="22"/>
          <w:szCs w:val="22"/>
        </w:rPr>
        <w:t xml:space="preserve">the night of October 23, 2013. </w:t>
      </w:r>
      <w:r w:rsidR="00CA1D49">
        <w:rPr>
          <w:rStyle w:val="ptext-0"/>
          <w:sz w:val="22"/>
          <w:szCs w:val="22"/>
        </w:rPr>
        <w:t xml:space="preserve"> </w:t>
      </w:r>
      <w:r w:rsidR="005F28A8">
        <w:rPr>
          <w:rStyle w:val="ptext-0"/>
          <w:sz w:val="22"/>
          <w:szCs w:val="22"/>
        </w:rPr>
        <w:t>During the inspection, t</w:t>
      </w:r>
      <w:r w:rsidR="00CE364A">
        <w:rPr>
          <w:rStyle w:val="ptext-0"/>
          <w:sz w:val="22"/>
          <w:szCs w:val="22"/>
        </w:rPr>
        <w:t>he ag</w:t>
      </w:r>
      <w:r w:rsidR="00BB4C09">
        <w:rPr>
          <w:rStyle w:val="ptext-0"/>
          <w:sz w:val="22"/>
          <w:szCs w:val="22"/>
        </w:rPr>
        <w:t xml:space="preserve">ents tested the </w:t>
      </w:r>
      <w:r w:rsidR="00CE364A">
        <w:rPr>
          <w:rStyle w:val="ptext-0"/>
          <w:sz w:val="22"/>
          <w:szCs w:val="22"/>
        </w:rPr>
        <w:t>amplifier on the highest power setting with Mr. Engle’s CB transmitter and measured 14</w:t>
      </w:r>
      <w:r w:rsidR="00B256B8">
        <w:rPr>
          <w:rStyle w:val="ptext-0"/>
          <w:sz w:val="22"/>
          <w:szCs w:val="22"/>
        </w:rPr>
        <w:t>8 W</w:t>
      </w:r>
      <w:r w:rsidR="00CE364A">
        <w:rPr>
          <w:rStyle w:val="ptext-0"/>
          <w:sz w:val="22"/>
          <w:szCs w:val="22"/>
        </w:rPr>
        <w:t>atts</w:t>
      </w:r>
      <w:r w:rsidR="009C2889">
        <w:rPr>
          <w:rStyle w:val="ptext-0"/>
          <w:sz w:val="22"/>
          <w:szCs w:val="22"/>
        </w:rPr>
        <w:t xml:space="preserve"> output power</w:t>
      </w:r>
      <w:r w:rsidR="00CE364A">
        <w:rPr>
          <w:rStyle w:val="ptext-0"/>
          <w:sz w:val="22"/>
          <w:szCs w:val="22"/>
        </w:rPr>
        <w:t>.</w:t>
      </w:r>
      <w:r w:rsidR="00E12F2A">
        <w:rPr>
          <w:rStyle w:val="ptext-0"/>
          <w:sz w:val="22"/>
          <w:szCs w:val="22"/>
        </w:rPr>
        <w:t xml:space="preserve">  Prior to the inspection, </w:t>
      </w:r>
      <w:r w:rsidR="00E12F2A" w:rsidRPr="000A42BD">
        <w:rPr>
          <w:color w:val="000000"/>
          <w:spacing w:val="-2"/>
          <w:sz w:val="22"/>
          <w:szCs w:val="22"/>
        </w:rPr>
        <w:t xml:space="preserve">Mr. Engle </w:t>
      </w:r>
      <w:r w:rsidR="00E12F2A">
        <w:rPr>
          <w:color w:val="000000"/>
          <w:spacing w:val="-2"/>
          <w:sz w:val="22"/>
          <w:szCs w:val="22"/>
        </w:rPr>
        <w:t xml:space="preserve">had </w:t>
      </w:r>
      <w:r w:rsidR="00E12F2A" w:rsidRPr="000A42BD">
        <w:rPr>
          <w:color w:val="000000"/>
          <w:spacing w:val="-2"/>
          <w:sz w:val="22"/>
          <w:szCs w:val="22"/>
        </w:rPr>
        <w:t xml:space="preserve">received two written warnings </w:t>
      </w:r>
      <w:r w:rsidR="002F2B15">
        <w:rPr>
          <w:color w:val="000000"/>
          <w:spacing w:val="-2"/>
          <w:sz w:val="22"/>
          <w:szCs w:val="22"/>
        </w:rPr>
        <w:t>from the Enforcement Bureau</w:t>
      </w:r>
      <w:r w:rsidR="00ED56D8">
        <w:rPr>
          <w:color w:val="000000"/>
          <w:spacing w:val="-2"/>
          <w:sz w:val="22"/>
          <w:szCs w:val="22"/>
        </w:rPr>
        <w:t xml:space="preserve"> </w:t>
      </w:r>
      <w:r w:rsidR="00E12F2A" w:rsidRPr="000A42BD">
        <w:rPr>
          <w:color w:val="000000"/>
          <w:spacing w:val="-2"/>
          <w:sz w:val="22"/>
          <w:szCs w:val="22"/>
        </w:rPr>
        <w:t xml:space="preserve">advising him that operating a linear amplifier with his CB </w:t>
      </w:r>
      <w:r w:rsidR="00E12F2A" w:rsidRPr="000A42BD">
        <w:rPr>
          <w:color w:val="000000"/>
          <w:spacing w:val="-2"/>
          <w:sz w:val="22"/>
          <w:szCs w:val="22"/>
        </w:rPr>
        <w:lastRenderedPageBreak/>
        <w:t>transmitter voided his authority to operat</w:t>
      </w:r>
      <w:r w:rsidR="00E12F2A">
        <w:rPr>
          <w:color w:val="000000"/>
          <w:spacing w:val="-2"/>
          <w:sz w:val="22"/>
          <w:szCs w:val="22"/>
        </w:rPr>
        <w:t xml:space="preserve">e his station and </w:t>
      </w:r>
      <w:r w:rsidR="005A4003">
        <w:rPr>
          <w:color w:val="000000"/>
          <w:spacing w:val="-2"/>
          <w:sz w:val="22"/>
          <w:szCs w:val="22"/>
        </w:rPr>
        <w:t xml:space="preserve">that </w:t>
      </w:r>
      <w:r w:rsidR="00E12F2A" w:rsidRPr="000A42BD">
        <w:rPr>
          <w:color w:val="000000"/>
          <w:spacing w:val="-2"/>
          <w:sz w:val="22"/>
          <w:szCs w:val="22"/>
        </w:rPr>
        <w:t xml:space="preserve">causing intentional interference to other CB communications violated the </w:t>
      </w:r>
      <w:r w:rsidR="00E12F2A">
        <w:rPr>
          <w:color w:val="000000"/>
          <w:spacing w:val="-2"/>
          <w:sz w:val="22"/>
          <w:szCs w:val="22"/>
        </w:rPr>
        <w:t xml:space="preserve">Act and </w:t>
      </w:r>
      <w:r w:rsidR="00E12F2A" w:rsidRPr="000A42BD">
        <w:rPr>
          <w:color w:val="000000"/>
          <w:spacing w:val="-2"/>
          <w:sz w:val="22"/>
          <w:szCs w:val="22"/>
        </w:rPr>
        <w:t>Rules.</w:t>
      </w:r>
      <w:r w:rsidR="00E12F2A" w:rsidRPr="008F1D80">
        <w:rPr>
          <w:color w:val="000000"/>
          <w:spacing w:val="-2"/>
          <w:vertAlign w:val="superscript"/>
        </w:rPr>
        <w:footnoteReference w:id="3"/>
      </w:r>
      <w:r w:rsidR="00E12F2A">
        <w:rPr>
          <w:rStyle w:val="ptext-0"/>
          <w:sz w:val="22"/>
          <w:szCs w:val="22"/>
        </w:rPr>
        <w:t xml:space="preserve"> </w:t>
      </w:r>
    </w:p>
    <w:p w:rsidR="00050854" w:rsidRPr="003F3CFD" w:rsidRDefault="00050854" w:rsidP="00AF28EE">
      <w:pPr>
        <w:pStyle w:val="Heading1"/>
        <w:widowControl/>
        <w:spacing w:after="120"/>
        <w:rPr>
          <w:sz w:val="22"/>
          <w:szCs w:val="22"/>
        </w:rPr>
      </w:pPr>
      <w:r w:rsidRPr="003F3CFD">
        <w:rPr>
          <w:sz w:val="22"/>
          <w:szCs w:val="22"/>
        </w:rPr>
        <w:t>DISCUSSION</w:t>
      </w:r>
    </w:p>
    <w:p w:rsidR="0094204C" w:rsidRPr="00B256B8" w:rsidRDefault="00CC10AD" w:rsidP="00AF28EE">
      <w:pPr>
        <w:widowControl/>
        <w:numPr>
          <w:ilvl w:val="0"/>
          <w:numId w:val="22"/>
        </w:numPr>
        <w:tabs>
          <w:tab w:val="clear" w:pos="1260"/>
        </w:tabs>
        <w:spacing w:after="120"/>
        <w:ind w:left="0"/>
        <w:rPr>
          <w:color w:val="000000"/>
          <w:spacing w:val="-3"/>
          <w:sz w:val="22"/>
          <w:szCs w:val="22"/>
        </w:rPr>
      </w:pPr>
      <w:r w:rsidRPr="00CC10AD">
        <w:rPr>
          <w:color w:val="000000"/>
          <w:spacing w:val="-3"/>
          <w:sz w:val="22"/>
          <w:szCs w:val="22"/>
        </w:rPr>
        <w:t xml:space="preserve">Section </w:t>
      </w:r>
      <w:r w:rsidRPr="00CC10AD">
        <w:rPr>
          <w:rStyle w:val="ptext-0"/>
          <w:sz w:val="22"/>
          <w:szCs w:val="22"/>
        </w:rPr>
        <w:t>503</w:t>
      </w:r>
      <w:r w:rsidRPr="00CC10AD">
        <w:rPr>
          <w:color w:val="000000"/>
          <w:spacing w:val="-3"/>
          <w:sz w:val="22"/>
          <w:szCs w:val="22"/>
        </w:rPr>
        <w:t>(b) of the Act provides that any person who willfully fails to comply substantially with the terms and conditions of any license, or willfully fails to comply with any of the provisions of the Act or of any rule, regulation, or order issued by the Commission thereunder, shall be liable for a forfeiture penalty.</w:t>
      </w:r>
      <w:r w:rsidRPr="00CC10AD">
        <w:rPr>
          <w:rStyle w:val="FootnoteReference"/>
          <w:color w:val="000000"/>
          <w:spacing w:val="-3"/>
          <w:sz w:val="22"/>
          <w:szCs w:val="22"/>
        </w:rPr>
        <w:footnoteReference w:id="4"/>
      </w:r>
      <w:r w:rsidRPr="00CC10AD">
        <w:rPr>
          <w:color w:val="000000"/>
          <w:spacing w:val="-3"/>
          <w:sz w:val="22"/>
          <w:szCs w:val="22"/>
        </w:rPr>
        <w:t xml:space="preserve">  Section 312(f)(1) of the Act defines “willful” as the “conscious and deliberate commission or omission of [any] act, irrespective of any intent to violate” the law.</w:t>
      </w:r>
      <w:r w:rsidRPr="00CC10AD">
        <w:rPr>
          <w:rStyle w:val="FootnoteReference"/>
          <w:color w:val="000000"/>
          <w:spacing w:val="-3"/>
          <w:sz w:val="22"/>
          <w:szCs w:val="22"/>
        </w:rPr>
        <w:footnoteReference w:id="5"/>
      </w:r>
      <w:r w:rsidRPr="00CC10AD">
        <w:rPr>
          <w:color w:val="000000"/>
          <w:spacing w:val="-3"/>
          <w:sz w:val="22"/>
          <w:szCs w:val="22"/>
        </w:rPr>
        <w:t xml:space="preserve">  The legislative history to Section 312(f)(1) of the Act clarifies that this definition of willful applies to both Sections 312 and 503(b) of the Act,</w:t>
      </w:r>
      <w:r w:rsidRPr="00CC10AD">
        <w:rPr>
          <w:rStyle w:val="FootnoteReference"/>
          <w:color w:val="000000"/>
          <w:spacing w:val="-3"/>
          <w:sz w:val="22"/>
          <w:szCs w:val="22"/>
        </w:rPr>
        <w:footnoteReference w:id="6"/>
      </w:r>
      <w:r w:rsidRPr="00CC10AD">
        <w:rPr>
          <w:color w:val="000000"/>
          <w:spacing w:val="-3"/>
          <w:sz w:val="22"/>
          <w:szCs w:val="22"/>
        </w:rPr>
        <w:t xml:space="preserve"> and the Commission has so interpreted the term in the Section 503(b) context.</w:t>
      </w:r>
      <w:r w:rsidRPr="00CC10AD">
        <w:rPr>
          <w:rStyle w:val="FootnoteReference"/>
          <w:color w:val="000000"/>
          <w:spacing w:val="-3"/>
          <w:sz w:val="22"/>
          <w:szCs w:val="22"/>
        </w:rPr>
        <w:footnoteReference w:id="7"/>
      </w:r>
      <w:r w:rsidRPr="00CC10AD">
        <w:rPr>
          <w:color w:val="000000"/>
          <w:spacing w:val="-3"/>
          <w:sz w:val="22"/>
          <w:szCs w:val="22"/>
        </w:rPr>
        <w:t xml:space="preserve">  </w:t>
      </w:r>
    </w:p>
    <w:p w:rsidR="00B256B8" w:rsidRPr="001E0602" w:rsidRDefault="00B256B8" w:rsidP="00AF28EE">
      <w:pPr>
        <w:widowControl/>
        <w:tabs>
          <w:tab w:val="left" w:pos="720"/>
          <w:tab w:val="num" w:pos="1440"/>
          <w:tab w:val="left" w:pos="4680"/>
          <w:tab w:val="left" w:pos="5760"/>
        </w:tabs>
        <w:spacing w:after="120"/>
        <w:rPr>
          <w:spacing w:val="-3"/>
          <w:sz w:val="22"/>
          <w:szCs w:val="22"/>
        </w:rPr>
      </w:pPr>
      <w:r w:rsidRPr="001E0602">
        <w:rPr>
          <w:spacing w:val="-3"/>
          <w:sz w:val="22"/>
          <w:szCs w:val="22"/>
        </w:rPr>
        <w:tab/>
      </w:r>
      <w:r w:rsidR="00E12F2A">
        <w:rPr>
          <w:b/>
          <w:spacing w:val="-3"/>
          <w:sz w:val="22"/>
          <w:szCs w:val="22"/>
        </w:rPr>
        <w:t>A</w:t>
      </w:r>
      <w:r w:rsidRPr="001E0602">
        <w:rPr>
          <w:b/>
          <w:spacing w:val="-3"/>
          <w:sz w:val="22"/>
          <w:szCs w:val="22"/>
        </w:rPr>
        <w:t>.</w:t>
      </w:r>
      <w:r w:rsidRPr="001E0602">
        <w:rPr>
          <w:b/>
          <w:spacing w:val="-3"/>
          <w:sz w:val="22"/>
          <w:szCs w:val="22"/>
        </w:rPr>
        <w:tab/>
        <w:t xml:space="preserve">Unlicensed </w:t>
      </w:r>
      <w:r>
        <w:rPr>
          <w:b/>
          <w:spacing w:val="-3"/>
          <w:sz w:val="22"/>
          <w:szCs w:val="22"/>
        </w:rPr>
        <w:t>CB</w:t>
      </w:r>
      <w:r w:rsidRPr="001E0602">
        <w:rPr>
          <w:b/>
          <w:spacing w:val="-3"/>
          <w:sz w:val="22"/>
          <w:szCs w:val="22"/>
        </w:rPr>
        <w:t xml:space="preserve"> Operation</w:t>
      </w:r>
      <w:r w:rsidR="002F2B15">
        <w:rPr>
          <w:b/>
          <w:spacing w:val="-3"/>
          <w:sz w:val="22"/>
          <w:szCs w:val="22"/>
        </w:rPr>
        <w:t>s</w:t>
      </w:r>
    </w:p>
    <w:p w:rsidR="00B256B8" w:rsidRPr="00AF28EE" w:rsidRDefault="00B256B8" w:rsidP="00AF28EE">
      <w:pPr>
        <w:widowControl/>
        <w:numPr>
          <w:ilvl w:val="0"/>
          <w:numId w:val="22"/>
        </w:numPr>
        <w:tabs>
          <w:tab w:val="clear" w:pos="1260"/>
        </w:tabs>
        <w:spacing w:after="120"/>
        <w:ind w:left="0"/>
        <w:rPr>
          <w:color w:val="000000"/>
          <w:sz w:val="22"/>
        </w:rPr>
      </w:pPr>
      <w:r>
        <w:rPr>
          <w:sz w:val="22"/>
          <w:szCs w:val="22"/>
        </w:rPr>
        <w:t>We find that the evidence in this case is sufficient to establish that Mr. Engle violated Section 301 of the Act and Section 95.411</w:t>
      </w:r>
      <w:r w:rsidR="005A4003">
        <w:rPr>
          <w:sz w:val="22"/>
          <w:szCs w:val="22"/>
        </w:rPr>
        <w:t>(a)</w:t>
      </w:r>
      <w:r>
        <w:rPr>
          <w:sz w:val="22"/>
          <w:szCs w:val="22"/>
        </w:rPr>
        <w:t xml:space="preserve"> of the Rules.  </w:t>
      </w:r>
      <w:r w:rsidRPr="00100138">
        <w:rPr>
          <w:sz w:val="22"/>
          <w:szCs w:val="22"/>
        </w:rPr>
        <w:t>Section 301 of the Act states that no person shall use or operate any apparatus for the transmission of energy or communications or signals by radio within the United States except under and in accordance with the Act and with a license.</w:t>
      </w:r>
      <w:r w:rsidRPr="00100138">
        <w:rPr>
          <w:rStyle w:val="FootnoteReference"/>
          <w:sz w:val="22"/>
          <w:szCs w:val="22"/>
        </w:rPr>
        <w:footnoteReference w:id="8"/>
      </w:r>
      <w:r w:rsidRPr="00100138">
        <w:rPr>
          <w:sz w:val="22"/>
          <w:szCs w:val="22"/>
        </w:rPr>
        <w:t xml:space="preserve">  Section 95.404 of the Rules states that CB operators are not requi</w:t>
      </w:r>
      <w:r>
        <w:rPr>
          <w:sz w:val="22"/>
          <w:szCs w:val="22"/>
        </w:rPr>
        <w:t xml:space="preserve">red to have individual licenses, provided </w:t>
      </w:r>
      <w:r w:rsidRPr="00100138">
        <w:rPr>
          <w:sz w:val="22"/>
          <w:szCs w:val="22"/>
        </w:rPr>
        <w:t>that they operate the</w:t>
      </w:r>
      <w:r>
        <w:rPr>
          <w:sz w:val="22"/>
          <w:szCs w:val="22"/>
        </w:rPr>
        <w:t>ir</w:t>
      </w:r>
      <w:r w:rsidRPr="00100138">
        <w:rPr>
          <w:sz w:val="22"/>
          <w:szCs w:val="22"/>
        </w:rPr>
        <w:t xml:space="preserve"> station</w:t>
      </w:r>
      <w:r>
        <w:rPr>
          <w:sz w:val="22"/>
          <w:szCs w:val="22"/>
        </w:rPr>
        <w:t>s</w:t>
      </w:r>
      <w:r w:rsidRPr="00100138">
        <w:rPr>
          <w:sz w:val="22"/>
          <w:szCs w:val="22"/>
        </w:rPr>
        <w:t xml:space="preserve"> in accordance with Subp</w:t>
      </w:r>
      <w:r>
        <w:rPr>
          <w:sz w:val="22"/>
          <w:szCs w:val="22"/>
        </w:rPr>
        <w:t>art D of Part 95 of the Rules (CB Rules)</w:t>
      </w:r>
      <w:r w:rsidRPr="0017164F">
        <w:rPr>
          <w:sz w:val="22"/>
          <w:szCs w:val="22"/>
        </w:rPr>
        <w:t>.</w:t>
      </w:r>
      <w:r w:rsidRPr="0017164F">
        <w:rPr>
          <w:sz w:val="22"/>
          <w:szCs w:val="22"/>
          <w:vertAlign w:val="superscript"/>
        </w:rPr>
        <w:footnoteReference w:id="9"/>
      </w:r>
      <w:r w:rsidRPr="0017164F">
        <w:rPr>
          <w:sz w:val="22"/>
          <w:szCs w:val="22"/>
        </w:rPr>
        <w:t xml:space="preserve">  Operation of CB stations in a manner that is inconsistent with the CB Rules requires a license pursuant to Section 301 of the Act.</w:t>
      </w:r>
      <w:r w:rsidRPr="0017164F">
        <w:rPr>
          <w:rStyle w:val="FootnoteReference"/>
          <w:sz w:val="22"/>
          <w:szCs w:val="22"/>
        </w:rPr>
        <w:footnoteReference w:id="10"/>
      </w:r>
      <w:r w:rsidRPr="0017164F">
        <w:rPr>
          <w:sz w:val="22"/>
          <w:szCs w:val="22"/>
        </w:rPr>
        <w:t xml:space="preserve">  Section 95.411(a) of the Rules states that CB operators may not atta</w:t>
      </w:r>
      <w:r>
        <w:rPr>
          <w:sz w:val="22"/>
          <w:szCs w:val="22"/>
        </w:rPr>
        <w:t>ch external RF</w:t>
      </w:r>
      <w:r w:rsidRPr="0017164F">
        <w:rPr>
          <w:sz w:val="22"/>
          <w:szCs w:val="22"/>
        </w:rPr>
        <w:t xml:space="preserve"> power amplifiers (sometimes called “linears” or “linear amplifiers”) to certificated CB transmitters in any way.</w:t>
      </w:r>
      <w:r w:rsidRPr="0017164F">
        <w:rPr>
          <w:sz w:val="22"/>
          <w:szCs w:val="22"/>
          <w:vertAlign w:val="superscript"/>
        </w:rPr>
        <w:footnoteReference w:id="11"/>
      </w:r>
      <w:r w:rsidRPr="0017164F">
        <w:rPr>
          <w:sz w:val="22"/>
          <w:szCs w:val="22"/>
        </w:rPr>
        <w:t xml:space="preserve">  Section 95.411(b) of the Rules states that there are no exceptions </w:t>
      </w:r>
      <w:r w:rsidRPr="0017164F">
        <w:rPr>
          <w:color w:val="000000"/>
          <w:sz w:val="22"/>
          <w:szCs w:val="22"/>
        </w:rPr>
        <w:t>to this rule and that use of a</w:t>
      </w:r>
      <w:r>
        <w:rPr>
          <w:color w:val="000000"/>
          <w:sz w:val="22"/>
          <w:szCs w:val="22"/>
        </w:rPr>
        <w:t xml:space="preserve"> RF</w:t>
      </w:r>
      <w:r w:rsidRPr="0017164F">
        <w:rPr>
          <w:color w:val="000000"/>
          <w:sz w:val="22"/>
          <w:szCs w:val="22"/>
        </w:rPr>
        <w:t xml:space="preserve"> power amplifier voids the authority to operate the station.</w:t>
      </w:r>
      <w:r w:rsidRPr="0017164F">
        <w:rPr>
          <w:rStyle w:val="FootnoteReference"/>
          <w:color w:val="000000"/>
          <w:sz w:val="22"/>
          <w:szCs w:val="22"/>
        </w:rPr>
        <w:footnoteReference w:id="12"/>
      </w:r>
      <w:r w:rsidRPr="0017164F">
        <w:rPr>
          <w:color w:val="000000"/>
          <w:sz w:val="22"/>
          <w:szCs w:val="22"/>
        </w:rPr>
        <w:t xml:space="preserve">  The Commission </w:t>
      </w:r>
      <w:r w:rsidRPr="002B7ADC">
        <w:rPr>
          <w:color w:val="010101"/>
          <w:sz w:val="22"/>
          <w:szCs w:val="22"/>
        </w:rPr>
        <w:t>will presume an individual has use</w:t>
      </w:r>
      <w:r>
        <w:rPr>
          <w:color w:val="010101"/>
          <w:sz w:val="22"/>
          <w:szCs w:val="22"/>
        </w:rPr>
        <w:t xml:space="preserve">d a linear or other external RF </w:t>
      </w:r>
      <w:r w:rsidRPr="002B7ADC">
        <w:rPr>
          <w:color w:val="010101"/>
          <w:sz w:val="22"/>
          <w:szCs w:val="22"/>
        </w:rPr>
        <w:t>power amplifier if the</w:t>
      </w:r>
      <w:r>
        <w:rPr>
          <w:color w:val="010101"/>
          <w:sz w:val="22"/>
          <w:szCs w:val="22"/>
        </w:rPr>
        <w:t xml:space="preserve"> </w:t>
      </w:r>
      <w:r w:rsidRPr="002B7ADC">
        <w:rPr>
          <w:color w:val="010101"/>
          <w:sz w:val="22"/>
          <w:szCs w:val="22"/>
        </w:rPr>
        <w:t>ampl</w:t>
      </w:r>
      <w:r>
        <w:rPr>
          <w:color w:val="010101"/>
          <w:sz w:val="22"/>
          <w:szCs w:val="22"/>
        </w:rPr>
        <w:t>ifier is located on</w:t>
      </w:r>
      <w:r w:rsidRPr="0017164F">
        <w:rPr>
          <w:color w:val="010101"/>
          <w:sz w:val="22"/>
          <w:szCs w:val="22"/>
        </w:rPr>
        <w:t xml:space="preserve"> the </w:t>
      </w:r>
      <w:r>
        <w:rPr>
          <w:color w:val="010101"/>
          <w:sz w:val="22"/>
          <w:szCs w:val="22"/>
        </w:rPr>
        <w:t>individual</w:t>
      </w:r>
      <w:r w:rsidRPr="002B7ADC">
        <w:rPr>
          <w:color w:val="010101"/>
          <w:sz w:val="22"/>
          <w:szCs w:val="22"/>
        </w:rPr>
        <w:t xml:space="preserve">’s premises and if there is other </w:t>
      </w:r>
      <w:r w:rsidRPr="00E05109">
        <w:rPr>
          <w:color w:val="010101"/>
          <w:sz w:val="22"/>
          <w:szCs w:val="22"/>
        </w:rPr>
        <w:t xml:space="preserve">evidence showing that </w:t>
      </w:r>
      <w:r>
        <w:rPr>
          <w:color w:val="010101"/>
          <w:sz w:val="22"/>
          <w:szCs w:val="22"/>
        </w:rPr>
        <w:t>a</w:t>
      </w:r>
      <w:r w:rsidRPr="002B7ADC">
        <w:rPr>
          <w:color w:val="010101"/>
          <w:sz w:val="22"/>
          <w:szCs w:val="22"/>
        </w:rPr>
        <w:t xml:space="preserve"> </w:t>
      </w:r>
      <w:r>
        <w:rPr>
          <w:color w:val="010101"/>
          <w:sz w:val="22"/>
          <w:szCs w:val="22"/>
        </w:rPr>
        <w:t xml:space="preserve">CB </w:t>
      </w:r>
      <w:r w:rsidRPr="002B7ADC">
        <w:rPr>
          <w:color w:val="010101"/>
          <w:sz w:val="22"/>
          <w:szCs w:val="22"/>
        </w:rPr>
        <w:t xml:space="preserve">station was operated </w:t>
      </w:r>
      <w:r w:rsidRPr="0017164F">
        <w:rPr>
          <w:color w:val="000000"/>
          <w:sz w:val="22"/>
          <w:szCs w:val="22"/>
        </w:rPr>
        <w:t>with more power than allowed by the Rules.</w:t>
      </w:r>
      <w:r w:rsidRPr="0017164F">
        <w:rPr>
          <w:rStyle w:val="FootnoteReference"/>
          <w:color w:val="000000"/>
          <w:sz w:val="22"/>
          <w:szCs w:val="22"/>
        </w:rPr>
        <w:footnoteReference w:id="13"/>
      </w:r>
    </w:p>
    <w:p w:rsidR="00B256B8" w:rsidRDefault="00B256B8" w:rsidP="00AF28EE">
      <w:pPr>
        <w:widowControl/>
        <w:numPr>
          <w:ilvl w:val="0"/>
          <w:numId w:val="22"/>
        </w:numPr>
        <w:tabs>
          <w:tab w:val="clear" w:pos="1260"/>
        </w:tabs>
        <w:spacing w:after="120"/>
        <w:ind w:left="0"/>
        <w:rPr>
          <w:spacing w:val="-2"/>
          <w:sz w:val="22"/>
          <w:szCs w:val="22"/>
        </w:rPr>
      </w:pPr>
      <w:r>
        <w:rPr>
          <w:color w:val="000000"/>
          <w:spacing w:val="-2"/>
          <w:sz w:val="22"/>
          <w:szCs w:val="22"/>
        </w:rPr>
        <w:lastRenderedPageBreak/>
        <w:t xml:space="preserve">On October 24, 2013, agents from the Philadelphia Office observed two linear amplifiers in Mr. Engle’s residence.  Mr. Engle admitted to using one of the power amplifiers while operating his CB </w:t>
      </w:r>
      <w:r w:rsidR="005A4003">
        <w:rPr>
          <w:color w:val="000000"/>
          <w:spacing w:val="-2"/>
          <w:sz w:val="22"/>
          <w:szCs w:val="22"/>
        </w:rPr>
        <w:t>station the previous night</w:t>
      </w:r>
      <w:r>
        <w:rPr>
          <w:color w:val="000000"/>
          <w:spacing w:val="-2"/>
          <w:sz w:val="22"/>
          <w:szCs w:val="22"/>
        </w:rPr>
        <w:t xml:space="preserve">.  Even without Mr. Engle’s admission, </w:t>
      </w:r>
      <w:r w:rsidR="005A4003">
        <w:rPr>
          <w:color w:val="000000"/>
          <w:spacing w:val="-2"/>
          <w:sz w:val="22"/>
          <w:szCs w:val="22"/>
        </w:rPr>
        <w:t xml:space="preserve">however, </w:t>
      </w:r>
      <w:r>
        <w:rPr>
          <w:color w:val="000000"/>
          <w:spacing w:val="-2"/>
          <w:sz w:val="22"/>
          <w:szCs w:val="22"/>
        </w:rPr>
        <w:t xml:space="preserve">we presume that Mr. Engle operated his CB station with the linear amplifier because </w:t>
      </w:r>
      <w:r w:rsidR="005A4003">
        <w:rPr>
          <w:color w:val="000000"/>
          <w:spacing w:val="-2"/>
          <w:sz w:val="22"/>
          <w:szCs w:val="22"/>
        </w:rPr>
        <w:t>the amplifier</w:t>
      </w:r>
      <w:r>
        <w:rPr>
          <w:color w:val="000000"/>
          <w:spacing w:val="-2"/>
          <w:sz w:val="22"/>
          <w:szCs w:val="22"/>
        </w:rPr>
        <w:t xml:space="preserve"> was located on his premises and capable of operating with more power than allowed by the Rules.</w:t>
      </w:r>
      <w:r>
        <w:rPr>
          <w:rStyle w:val="FootnoteReference"/>
          <w:color w:val="000000"/>
          <w:spacing w:val="-2"/>
          <w:sz w:val="22"/>
          <w:szCs w:val="22"/>
        </w:rPr>
        <w:footnoteReference w:id="14"/>
      </w:r>
      <w:r>
        <w:rPr>
          <w:color w:val="000000"/>
          <w:spacing w:val="-2"/>
          <w:sz w:val="22"/>
          <w:szCs w:val="22"/>
        </w:rPr>
        <w:t xml:space="preserve">  B</w:t>
      </w:r>
      <w:r>
        <w:rPr>
          <w:spacing w:val="-2"/>
          <w:sz w:val="22"/>
          <w:szCs w:val="22"/>
        </w:rPr>
        <w:t xml:space="preserve">ased on the evidence before us, we find that Mr. Engle apparently </w:t>
      </w:r>
      <w:r w:rsidRPr="002D7801">
        <w:rPr>
          <w:spacing w:val="-2"/>
          <w:sz w:val="22"/>
          <w:szCs w:val="22"/>
        </w:rPr>
        <w:t xml:space="preserve">voided his authority to operate in the CB band and </w:t>
      </w:r>
      <w:r>
        <w:rPr>
          <w:spacing w:val="-2"/>
          <w:sz w:val="22"/>
          <w:szCs w:val="22"/>
        </w:rPr>
        <w:t xml:space="preserve">willfully violated Section 301 of the Act </w:t>
      </w:r>
      <w:r w:rsidR="005A4003">
        <w:rPr>
          <w:spacing w:val="-2"/>
          <w:sz w:val="22"/>
          <w:szCs w:val="22"/>
        </w:rPr>
        <w:t>and Section 95.411(a) of the Rules</w:t>
      </w:r>
      <w:r>
        <w:rPr>
          <w:spacing w:val="-2"/>
          <w:sz w:val="22"/>
          <w:szCs w:val="22"/>
        </w:rPr>
        <w:t>.</w:t>
      </w:r>
    </w:p>
    <w:p w:rsidR="00B256B8" w:rsidRDefault="00E12F2A" w:rsidP="00AF28EE">
      <w:pPr>
        <w:widowControl/>
        <w:tabs>
          <w:tab w:val="left" w:pos="1440"/>
          <w:tab w:val="left" w:pos="1926"/>
          <w:tab w:val="left" w:pos="3978"/>
          <w:tab w:val="left" w:pos="4680"/>
          <w:tab w:val="left" w:pos="5760"/>
        </w:tabs>
        <w:spacing w:after="120"/>
        <w:ind w:firstLine="720"/>
        <w:rPr>
          <w:b/>
          <w:spacing w:val="-2"/>
          <w:sz w:val="22"/>
          <w:szCs w:val="22"/>
        </w:rPr>
      </w:pPr>
      <w:r>
        <w:rPr>
          <w:b/>
          <w:spacing w:val="-2"/>
          <w:sz w:val="22"/>
          <w:szCs w:val="22"/>
        </w:rPr>
        <w:t>B</w:t>
      </w:r>
      <w:r w:rsidR="00B256B8">
        <w:rPr>
          <w:b/>
          <w:spacing w:val="-2"/>
          <w:sz w:val="22"/>
          <w:szCs w:val="22"/>
        </w:rPr>
        <w:t>.</w:t>
      </w:r>
      <w:r w:rsidR="00B256B8">
        <w:rPr>
          <w:b/>
          <w:spacing w:val="-2"/>
          <w:sz w:val="22"/>
          <w:szCs w:val="22"/>
        </w:rPr>
        <w:tab/>
        <w:t xml:space="preserve">Intentional Interference to </w:t>
      </w:r>
      <w:r w:rsidR="00B256B8" w:rsidRPr="009D0AFA">
        <w:rPr>
          <w:b/>
          <w:spacing w:val="-2"/>
          <w:sz w:val="22"/>
          <w:szCs w:val="22"/>
        </w:rPr>
        <w:t>CB Communications</w:t>
      </w:r>
    </w:p>
    <w:p w:rsidR="009D0AFA" w:rsidRPr="00AF28EE" w:rsidRDefault="00B256B8" w:rsidP="00AF28EE">
      <w:pPr>
        <w:widowControl/>
        <w:numPr>
          <w:ilvl w:val="0"/>
          <w:numId w:val="22"/>
        </w:numPr>
        <w:tabs>
          <w:tab w:val="clear" w:pos="1260"/>
        </w:tabs>
        <w:spacing w:after="120"/>
        <w:ind w:left="0"/>
        <w:rPr>
          <w:color w:val="000000"/>
          <w:spacing w:val="-2"/>
          <w:sz w:val="22"/>
        </w:rPr>
      </w:pPr>
      <w:r>
        <w:rPr>
          <w:color w:val="000000"/>
          <w:spacing w:val="-2"/>
          <w:sz w:val="22"/>
          <w:szCs w:val="22"/>
        </w:rPr>
        <w:t xml:space="preserve">The evidence in this case is also sufficient to establish that Mr. Engle violated Section 333 of the Act and Section 95.413(a) of the Rules.  Section 333 of the Act prohibits any person from willfully or maliciously interfering with or causing interference to any radio communications of any licensed </w:t>
      </w:r>
      <w:r w:rsidR="00ED56D8">
        <w:rPr>
          <w:color w:val="000000"/>
          <w:spacing w:val="-2"/>
          <w:sz w:val="22"/>
          <w:szCs w:val="22"/>
        </w:rPr>
        <w:t xml:space="preserve">or authorized </w:t>
      </w:r>
      <w:r>
        <w:rPr>
          <w:color w:val="000000"/>
          <w:spacing w:val="-2"/>
          <w:sz w:val="22"/>
          <w:szCs w:val="22"/>
        </w:rPr>
        <w:t>station.</w:t>
      </w:r>
      <w:r>
        <w:rPr>
          <w:rStyle w:val="FootnoteReference"/>
          <w:color w:val="000000"/>
          <w:spacing w:val="-2"/>
          <w:sz w:val="22"/>
          <w:szCs w:val="22"/>
        </w:rPr>
        <w:footnoteReference w:id="15"/>
      </w:r>
      <w:r>
        <w:rPr>
          <w:color w:val="000000"/>
          <w:spacing w:val="-2"/>
          <w:sz w:val="22"/>
          <w:szCs w:val="22"/>
        </w:rPr>
        <w:t xml:space="preserve">  Similarly, Section 95.413(a) of the Rules states that CB radio operators shall not “in</w:t>
      </w:r>
      <w:r w:rsidR="00ED56D8">
        <w:rPr>
          <w:color w:val="000000"/>
          <w:spacing w:val="-2"/>
          <w:sz w:val="22"/>
          <w:szCs w:val="22"/>
        </w:rPr>
        <w:t>terfere intentionally with the c</w:t>
      </w:r>
      <w:r>
        <w:rPr>
          <w:color w:val="000000"/>
          <w:spacing w:val="-2"/>
          <w:sz w:val="22"/>
          <w:szCs w:val="22"/>
        </w:rPr>
        <w:t>ommunications of another CB station.”</w:t>
      </w:r>
      <w:r>
        <w:rPr>
          <w:rStyle w:val="FootnoteReference"/>
          <w:color w:val="000000"/>
          <w:spacing w:val="-2"/>
          <w:sz w:val="22"/>
          <w:szCs w:val="22"/>
        </w:rPr>
        <w:footnoteReference w:id="16"/>
      </w:r>
      <w:r w:rsidRPr="003C5D1C">
        <w:rPr>
          <w:color w:val="000000"/>
          <w:spacing w:val="-2"/>
          <w:sz w:val="22"/>
          <w:szCs w:val="22"/>
        </w:rPr>
        <w:t xml:space="preserve">  On October 23, 2013, agents from t</w:t>
      </w:r>
      <w:r w:rsidR="00E12F2A">
        <w:rPr>
          <w:color w:val="000000"/>
          <w:spacing w:val="-2"/>
          <w:sz w:val="22"/>
          <w:szCs w:val="22"/>
        </w:rPr>
        <w:t xml:space="preserve">he Philadelphia Office heard Mr. Engle repeatedly interrupt CB communications on 27.325 MHz and intentionally interfere with the </w:t>
      </w:r>
      <w:r w:rsidR="00E12F2A" w:rsidRPr="00AF28EE">
        <w:rPr>
          <w:rStyle w:val="ptext-0"/>
        </w:rPr>
        <w:t>ongoing transmissions of another CB operator</w:t>
      </w:r>
      <w:r w:rsidR="00E12F2A">
        <w:rPr>
          <w:color w:val="000000"/>
          <w:spacing w:val="-2"/>
          <w:sz w:val="22"/>
          <w:szCs w:val="22"/>
        </w:rPr>
        <w:t xml:space="preserve">.  </w:t>
      </w:r>
      <w:r w:rsidRPr="00E12F2A">
        <w:rPr>
          <w:color w:val="000000"/>
          <w:spacing w:val="-2"/>
          <w:sz w:val="22"/>
          <w:szCs w:val="22"/>
        </w:rPr>
        <w:t>Based on the evidence before us, we find that Mr. Engle appa</w:t>
      </w:r>
      <w:r w:rsidR="00ED56D8">
        <w:rPr>
          <w:color w:val="000000"/>
          <w:spacing w:val="-2"/>
          <w:sz w:val="22"/>
          <w:szCs w:val="22"/>
        </w:rPr>
        <w:t xml:space="preserve">rently willfully </w:t>
      </w:r>
      <w:r w:rsidRPr="00E12F2A">
        <w:rPr>
          <w:color w:val="000000"/>
          <w:spacing w:val="-2"/>
          <w:sz w:val="22"/>
          <w:szCs w:val="22"/>
        </w:rPr>
        <w:t>violated Section 333 of the Act</w:t>
      </w:r>
      <w:r w:rsidR="0027779D">
        <w:rPr>
          <w:color w:val="000000"/>
          <w:spacing w:val="-2"/>
          <w:sz w:val="22"/>
          <w:szCs w:val="22"/>
        </w:rPr>
        <w:t xml:space="preserve"> and Section 95.413(a) of the Rules</w:t>
      </w:r>
      <w:r w:rsidRPr="00E12F2A">
        <w:rPr>
          <w:color w:val="000000"/>
          <w:spacing w:val="-2"/>
          <w:sz w:val="22"/>
          <w:szCs w:val="22"/>
        </w:rPr>
        <w:t>.</w:t>
      </w:r>
    </w:p>
    <w:p w:rsidR="009D0AFA" w:rsidRPr="009D0AFA" w:rsidRDefault="009D0AFA" w:rsidP="00AF28EE">
      <w:pPr>
        <w:widowControl/>
        <w:tabs>
          <w:tab w:val="left" w:pos="1440"/>
          <w:tab w:val="left" w:pos="1926"/>
          <w:tab w:val="left" w:pos="3978"/>
          <w:tab w:val="left" w:pos="4680"/>
          <w:tab w:val="left" w:pos="5760"/>
        </w:tabs>
        <w:spacing w:after="120"/>
        <w:ind w:firstLine="720"/>
        <w:rPr>
          <w:b/>
          <w:spacing w:val="-2"/>
          <w:sz w:val="22"/>
          <w:szCs w:val="22"/>
        </w:rPr>
      </w:pPr>
      <w:r>
        <w:rPr>
          <w:b/>
          <w:spacing w:val="-2"/>
          <w:sz w:val="22"/>
          <w:szCs w:val="22"/>
        </w:rPr>
        <w:t>C</w:t>
      </w:r>
      <w:r w:rsidRPr="009D0AFA">
        <w:rPr>
          <w:b/>
          <w:spacing w:val="-2"/>
          <w:sz w:val="22"/>
          <w:szCs w:val="22"/>
        </w:rPr>
        <w:t>.</w:t>
      </w:r>
      <w:r w:rsidRPr="009D0AFA">
        <w:rPr>
          <w:b/>
          <w:spacing w:val="-2"/>
          <w:sz w:val="22"/>
          <w:szCs w:val="22"/>
        </w:rPr>
        <w:tab/>
      </w:r>
      <w:r>
        <w:rPr>
          <w:b/>
          <w:spacing w:val="-2"/>
          <w:sz w:val="22"/>
          <w:szCs w:val="22"/>
        </w:rPr>
        <w:t>Proposed Forfeiture</w:t>
      </w:r>
    </w:p>
    <w:p w:rsidR="00050854" w:rsidRPr="005F20BD" w:rsidRDefault="007E2E05" w:rsidP="00AF28EE">
      <w:pPr>
        <w:widowControl/>
        <w:numPr>
          <w:ilvl w:val="0"/>
          <w:numId w:val="22"/>
        </w:numPr>
        <w:tabs>
          <w:tab w:val="clear" w:pos="1260"/>
        </w:tabs>
        <w:spacing w:after="120"/>
        <w:ind w:left="0"/>
        <w:rPr>
          <w:spacing w:val="-2"/>
          <w:sz w:val="22"/>
          <w:szCs w:val="22"/>
        </w:rPr>
      </w:pPr>
      <w:r w:rsidRPr="000A42BD">
        <w:rPr>
          <w:color w:val="000000"/>
          <w:spacing w:val="-2"/>
          <w:sz w:val="22"/>
          <w:szCs w:val="22"/>
        </w:rPr>
        <w:t xml:space="preserve">Pursuant to the Commission’s </w:t>
      </w:r>
      <w:r w:rsidRPr="00AF28EE">
        <w:rPr>
          <w:i/>
          <w:color w:val="000000"/>
          <w:spacing w:val="-2"/>
          <w:sz w:val="22"/>
        </w:rPr>
        <w:t>Forfeiture Policy Statement</w:t>
      </w:r>
      <w:r w:rsidR="00D57AE2" w:rsidRPr="000A42BD">
        <w:rPr>
          <w:color w:val="000000"/>
          <w:spacing w:val="-2"/>
          <w:sz w:val="22"/>
          <w:szCs w:val="22"/>
        </w:rPr>
        <w:t xml:space="preserve"> and S</w:t>
      </w:r>
      <w:r w:rsidRPr="000A42BD">
        <w:rPr>
          <w:color w:val="000000"/>
          <w:spacing w:val="-2"/>
          <w:sz w:val="22"/>
          <w:szCs w:val="22"/>
        </w:rPr>
        <w:t>ection 1.80 of the Rules, the base forfeiture amount for</w:t>
      </w:r>
      <w:r w:rsidR="00050854" w:rsidRPr="000A42BD">
        <w:rPr>
          <w:color w:val="000000"/>
          <w:spacing w:val="-2"/>
          <w:sz w:val="22"/>
          <w:szCs w:val="22"/>
        </w:rPr>
        <w:t xml:space="preserve"> </w:t>
      </w:r>
      <w:r w:rsidR="00DF1EC3" w:rsidRPr="000A42BD">
        <w:rPr>
          <w:color w:val="000000"/>
          <w:spacing w:val="-2"/>
          <w:sz w:val="22"/>
          <w:szCs w:val="22"/>
        </w:rPr>
        <w:t>opera</w:t>
      </w:r>
      <w:r w:rsidR="00AD13CE" w:rsidRPr="000A42BD">
        <w:rPr>
          <w:color w:val="000000"/>
          <w:spacing w:val="-2"/>
          <w:sz w:val="22"/>
          <w:szCs w:val="22"/>
        </w:rPr>
        <w:t>tion</w:t>
      </w:r>
      <w:r w:rsidR="003E75DA" w:rsidRPr="000A42BD">
        <w:rPr>
          <w:color w:val="000000"/>
          <w:spacing w:val="-2"/>
          <w:sz w:val="22"/>
          <w:szCs w:val="22"/>
        </w:rPr>
        <w:t>s</w:t>
      </w:r>
      <w:r w:rsidR="00AD13CE" w:rsidRPr="000A42BD">
        <w:rPr>
          <w:color w:val="000000"/>
          <w:spacing w:val="-2"/>
          <w:sz w:val="22"/>
          <w:szCs w:val="22"/>
        </w:rPr>
        <w:t xml:space="preserve"> without an instrument of authorization for the service is $10,000</w:t>
      </w:r>
      <w:r w:rsidR="006414C7">
        <w:rPr>
          <w:color w:val="000000"/>
          <w:spacing w:val="-2"/>
          <w:sz w:val="22"/>
          <w:szCs w:val="22"/>
        </w:rPr>
        <w:t xml:space="preserve"> and the base forfeiture amount for interference to radio communications is $7,000</w:t>
      </w:r>
      <w:r w:rsidR="00050854" w:rsidRPr="000A42BD">
        <w:rPr>
          <w:color w:val="000000"/>
          <w:spacing w:val="-2"/>
          <w:sz w:val="22"/>
          <w:szCs w:val="22"/>
        </w:rPr>
        <w:t>.</w:t>
      </w:r>
      <w:r w:rsidR="00050854" w:rsidRPr="008F1D80">
        <w:rPr>
          <w:color w:val="000000"/>
          <w:vertAlign w:val="superscript"/>
        </w:rPr>
        <w:footnoteReference w:id="17"/>
      </w:r>
      <w:r w:rsidR="00050854" w:rsidRPr="000A42BD">
        <w:rPr>
          <w:color w:val="000000"/>
          <w:spacing w:val="-2"/>
          <w:sz w:val="22"/>
          <w:szCs w:val="22"/>
        </w:rPr>
        <w:t xml:space="preserve">  In assessing the monetary forfeiture amount, we must also take into account the statutory factors </w:t>
      </w:r>
      <w:r w:rsidR="00D57AE2" w:rsidRPr="000A42BD">
        <w:rPr>
          <w:color w:val="000000"/>
          <w:spacing w:val="-2"/>
          <w:sz w:val="22"/>
          <w:szCs w:val="22"/>
        </w:rPr>
        <w:t>set forth in S</w:t>
      </w:r>
      <w:r w:rsidR="00D15A5F" w:rsidRPr="000A42BD">
        <w:rPr>
          <w:color w:val="000000"/>
          <w:spacing w:val="-2"/>
          <w:sz w:val="22"/>
          <w:szCs w:val="22"/>
        </w:rPr>
        <w:t>ection 503(b)(2)(E</w:t>
      </w:r>
      <w:r w:rsidR="00050854" w:rsidRPr="000A42BD">
        <w:rPr>
          <w:color w:val="000000"/>
          <w:spacing w:val="-2"/>
          <w:sz w:val="22"/>
          <w:szCs w:val="22"/>
        </w:rPr>
        <w:t>) of the Act, which include the nature, circumstances, extent, and gravity of the violations, and with respect to the violator</w:t>
      </w:r>
      <w:r w:rsidR="003E2AD5" w:rsidRPr="000A42BD">
        <w:rPr>
          <w:color w:val="000000"/>
          <w:spacing w:val="-2"/>
          <w:sz w:val="22"/>
          <w:szCs w:val="22"/>
        </w:rPr>
        <w:t>, the degree of culpability, any</w:t>
      </w:r>
      <w:r w:rsidR="00050854" w:rsidRPr="000A42BD">
        <w:rPr>
          <w:color w:val="000000"/>
          <w:spacing w:val="-2"/>
          <w:sz w:val="22"/>
          <w:szCs w:val="22"/>
        </w:rPr>
        <w:t xml:space="preserve"> history of prior offenses, ability to pay, and other such matters as justice may require.</w:t>
      </w:r>
      <w:r w:rsidR="00050854" w:rsidRPr="008F1D80">
        <w:rPr>
          <w:color w:val="000000"/>
          <w:vertAlign w:val="superscript"/>
        </w:rPr>
        <w:footnoteReference w:id="18"/>
      </w:r>
      <w:r w:rsidR="00050854" w:rsidRPr="008F1D80">
        <w:rPr>
          <w:color w:val="000000"/>
          <w:spacing w:val="-2"/>
          <w:sz w:val="22"/>
          <w:szCs w:val="22"/>
          <w:vertAlign w:val="superscript"/>
        </w:rPr>
        <w:t xml:space="preserve"> </w:t>
      </w:r>
      <w:r w:rsidR="00050854" w:rsidRPr="000A42BD">
        <w:rPr>
          <w:color w:val="000000"/>
          <w:spacing w:val="-2"/>
          <w:sz w:val="22"/>
          <w:szCs w:val="22"/>
        </w:rPr>
        <w:t xml:space="preserve"> </w:t>
      </w:r>
      <w:r w:rsidR="00ED56D8">
        <w:rPr>
          <w:color w:val="000000"/>
          <w:spacing w:val="-2"/>
          <w:sz w:val="22"/>
          <w:szCs w:val="22"/>
        </w:rPr>
        <w:t>Prior to October 23</w:t>
      </w:r>
      <w:r w:rsidR="006A1451" w:rsidRPr="000A42BD">
        <w:rPr>
          <w:color w:val="000000"/>
          <w:spacing w:val="-2"/>
          <w:sz w:val="22"/>
          <w:szCs w:val="22"/>
        </w:rPr>
        <w:t xml:space="preserve">, 2013, </w:t>
      </w:r>
      <w:r w:rsidR="00ED56D8" w:rsidRPr="000A42BD">
        <w:rPr>
          <w:color w:val="000000"/>
          <w:spacing w:val="-2"/>
          <w:sz w:val="22"/>
          <w:szCs w:val="22"/>
        </w:rPr>
        <w:t xml:space="preserve">Mr. Engle </w:t>
      </w:r>
      <w:r w:rsidR="00ED56D8">
        <w:rPr>
          <w:color w:val="000000"/>
          <w:spacing w:val="-2"/>
          <w:sz w:val="22"/>
          <w:szCs w:val="22"/>
        </w:rPr>
        <w:t xml:space="preserve">had </w:t>
      </w:r>
      <w:r w:rsidR="00ED56D8" w:rsidRPr="000A42BD">
        <w:rPr>
          <w:color w:val="000000"/>
          <w:spacing w:val="-2"/>
          <w:sz w:val="22"/>
          <w:szCs w:val="22"/>
        </w:rPr>
        <w:t xml:space="preserve">received two written warnings </w:t>
      </w:r>
      <w:r w:rsidR="00EE1666">
        <w:rPr>
          <w:color w:val="000000"/>
          <w:spacing w:val="-2"/>
          <w:sz w:val="22"/>
          <w:szCs w:val="22"/>
        </w:rPr>
        <w:t>from the Enforcement Bureau</w:t>
      </w:r>
      <w:r w:rsidR="00ED56D8">
        <w:rPr>
          <w:color w:val="000000"/>
          <w:spacing w:val="-2"/>
          <w:sz w:val="22"/>
          <w:szCs w:val="22"/>
        </w:rPr>
        <w:t xml:space="preserve"> </w:t>
      </w:r>
      <w:r w:rsidR="00ED56D8" w:rsidRPr="000A42BD">
        <w:rPr>
          <w:color w:val="000000"/>
          <w:spacing w:val="-2"/>
          <w:sz w:val="22"/>
          <w:szCs w:val="22"/>
        </w:rPr>
        <w:t>advising him that operating a linear amplifier with his CB transmitter voided his authority to operat</w:t>
      </w:r>
      <w:r w:rsidR="00ED56D8">
        <w:rPr>
          <w:color w:val="000000"/>
          <w:spacing w:val="-2"/>
          <w:sz w:val="22"/>
          <w:szCs w:val="22"/>
        </w:rPr>
        <w:t xml:space="preserve">e his station and that </w:t>
      </w:r>
      <w:r w:rsidR="00ED56D8" w:rsidRPr="000A42BD">
        <w:rPr>
          <w:color w:val="000000"/>
          <w:spacing w:val="-2"/>
          <w:sz w:val="22"/>
          <w:szCs w:val="22"/>
        </w:rPr>
        <w:t>causing in</w:t>
      </w:r>
      <w:r w:rsidR="00EE1666">
        <w:rPr>
          <w:color w:val="000000"/>
          <w:spacing w:val="-2"/>
          <w:sz w:val="22"/>
          <w:szCs w:val="22"/>
        </w:rPr>
        <w:t xml:space="preserve">tentional interference to </w:t>
      </w:r>
      <w:r w:rsidR="00ED56D8" w:rsidRPr="000A42BD">
        <w:rPr>
          <w:color w:val="000000"/>
          <w:spacing w:val="-2"/>
          <w:sz w:val="22"/>
          <w:szCs w:val="22"/>
        </w:rPr>
        <w:t xml:space="preserve">CB communications violated the </w:t>
      </w:r>
      <w:r w:rsidR="00ED56D8">
        <w:rPr>
          <w:color w:val="000000"/>
          <w:spacing w:val="-2"/>
          <w:sz w:val="22"/>
          <w:szCs w:val="22"/>
        </w:rPr>
        <w:t xml:space="preserve">Act and </w:t>
      </w:r>
      <w:r w:rsidR="00ED56D8" w:rsidRPr="000A42BD">
        <w:rPr>
          <w:color w:val="000000"/>
          <w:spacing w:val="-2"/>
          <w:sz w:val="22"/>
          <w:szCs w:val="22"/>
        </w:rPr>
        <w:t>Rules</w:t>
      </w:r>
      <w:r w:rsidR="006A1451" w:rsidRPr="000A42BD">
        <w:rPr>
          <w:color w:val="000000"/>
          <w:spacing w:val="-2"/>
          <w:sz w:val="22"/>
          <w:szCs w:val="22"/>
        </w:rPr>
        <w:t>.</w:t>
      </w:r>
      <w:r w:rsidR="006A1451" w:rsidRPr="008F1D80">
        <w:rPr>
          <w:color w:val="000000"/>
          <w:spacing w:val="-2"/>
          <w:vertAlign w:val="superscript"/>
        </w:rPr>
        <w:footnoteReference w:id="19"/>
      </w:r>
      <w:r w:rsidR="00ED56D8" w:rsidRPr="00AF28EE">
        <w:rPr>
          <w:color w:val="000000"/>
          <w:spacing w:val="-2"/>
          <w:sz w:val="22"/>
        </w:rPr>
        <w:t xml:space="preserve"> </w:t>
      </w:r>
      <w:r w:rsidR="00ED56D8">
        <w:rPr>
          <w:color w:val="000000"/>
          <w:spacing w:val="-2"/>
          <w:sz w:val="22"/>
          <w:szCs w:val="22"/>
        </w:rPr>
        <w:t xml:space="preserve"> </w:t>
      </w:r>
      <w:r w:rsidR="006A1451" w:rsidRPr="000A42BD">
        <w:rPr>
          <w:color w:val="000000"/>
          <w:spacing w:val="-2"/>
          <w:sz w:val="22"/>
          <w:szCs w:val="22"/>
        </w:rPr>
        <w:t xml:space="preserve">The fact that Mr. </w:t>
      </w:r>
      <w:r w:rsidR="002A712F" w:rsidRPr="000A42BD">
        <w:rPr>
          <w:color w:val="000000"/>
          <w:spacing w:val="-2"/>
          <w:sz w:val="22"/>
          <w:szCs w:val="22"/>
        </w:rPr>
        <w:t>Engle</w:t>
      </w:r>
      <w:r w:rsidR="00ED56D8">
        <w:rPr>
          <w:color w:val="000000"/>
          <w:spacing w:val="-2"/>
          <w:sz w:val="22"/>
          <w:szCs w:val="22"/>
        </w:rPr>
        <w:t xml:space="preserve"> operated </w:t>
      </w:r>
      <w:r w:rsidR="006A1451" w:rsidRPr="000A42BD">
        <w:rPr>
          <w:color w:val="000000"/>
          <w:spacing w:val="-2"/>
          <w:sz w:val="22"/>
          <w:szCs w:val="22"/>
        </w:rPr>
        <w:t xml:space="preserve">with a linear amplifier </w:t>
      </w:r>
      <w:r w:rsidR="00ED56D8">
        <w:rPr>
          <w:color w:val="000000"/>
          <w:spacing w:val="-2"/>
          <w:sz w:val="22"/>
          <w:szCs w:val="22"/>
        </w:rPr>
        <w:t xml:space="preserve">to cause intentional interference to other CB operators </w:t>
      </w:r>
      <w:r w:rsidR="006A1451" w:rsidRPr="000A42BD">
        <w:rPr>
          <w:color w:val="000000"/>
          <w:spacing w:val="-2"/>
          <w:sz w:val="22"/>
          <w:szCs w:val="22"/>
        </w:rPr>
        <w:t>despite</w:t>
      </w:r>
      <w:r w:rsidR="002A712F" w:rsidRPr="000A42BD">
        <w:rPr>
          <w:color w:val="000000"/>
          <w:spacing w:val="-2"/>
          <w:sz w:val="22"/>
          <w:szCs w:val="22"/>
        </w:rPr>
        <w:t xml:space="preserve"> being </w:t>
      </w:r>
      <w:r w:rsidR="006A1451" w:rsidRPr="000A42BD">
        <w:rPr>
          <w:color w:val="000000"/>
          <w:spacing w:val="-2"/>
          <w:sz w:val="22"/>
          <w:szCs w:val="22"/>
        </w:rPr>
        <w:t xml:space="preserve">warned </w:t>
      </w:r>
      <w:r w:rsidR="002A712F" w:rsidRPr="000A42BD">
        <w:rPr>
          <w:color w:val="000000"/>
          <w:spacing w:val="-2"/>
          <w:sz w:val="22"/>
          <w:szCs w:val="22"/>
        </w:rPr>
        <w:t xml:space="preserve">twice </w:t>
      </w:r>
      <w:r w:rsidR="00EE1666">
        <w:rPr>
          <w:color w:val="000000"/>
          <w:spacing w:val="-2"/>
          <w:sz w:val="22"/>
          <w:szCs w:val="22"/>
        </w:rPr>
        <w:t xml:space="preserve">in writing </w:t>
      </w:r>
      <w:r w:rsidR="006A1451" w:rsidRPr="000A42BD">
        <w:rPr>
          <w:color w:val="000000"/>
          <w:spacing w:val="-2"/>
          <w:sz w:val="22"/>
          <w:szCs w:val="22"/>
        </w:rPr>
        <w:t>demonstrates a deliberate disregard for the Commission’s requirements</w:t>
      </w:r>
      <w:r w:rsidR="006D0F2E" w:rsidRPr="000A42BD">
        <w:rPr>
          <w:color w:val="000000"/>
          <w:spacing w:val="-2"/>
          <w:sz w:val="22"/>
          <w:szCs w:val="22"/>
        </w:rPr>
        <w:t xml:space="preserve"> and authority</w:t>
      </w:r>
      <w:r w:rsidR="006A1451" w:rsidRPr="000A42BD">
        <w:rPr>
          <w:color w:val="000000"/>
          <w:spacing w:val="-2"/>
          <w:sz w:val="22"/>
          <w:szCs w:val="22"/>
        </w:rPr>
        <w:t>.  Thus, we find that an upward adjustmen</w:t>
      </w:r>
      <w:r w:rsidR="002A712F" w:rsidRPr="000A42BD">
        <w:rPr>
          <w:color w:val="000000"/>
          <w:spacing w:val="-2"/>
          <w:sz w:val="22"/>
          <w:szCs w:val="22"/>
        </w:rPr>
        <w:t>t in the forfeiture amount of $</w:t>
      </w:r>
      <w:r w:rsidR="006414C7">
        <w:rPr>
          <w:color w:val="000000"/>
          <w:spacing w:val="-2"/>
          <w:sz w:val="22"/>
          <w:szCs w:val="22"/>
        </w:rPr>
        <w:t>5</w:t>
      </w:r>
      <w:r w:rsidR="006A1451" w:rsidRPr="000A42BD">
        <w:rPr>
          <w:color w:val="000000"/>
          <w:spacing w:val="-2"/>
          <w:sz w:val="22"/>
          <w:szCs w:val="22"/>
        </w:rPr>
        <w:t>,000 is warranted.</w:t>
      </w:r>
      <w:r w:rsidR="006A1451" w:rsidRPr="008F1D80">
        <w:rPr>
          <w:color w:val="000000"/>
          <w:vertAlign w:val="superscript"/>
        </w:rPr>
        <w:footnoteReference w:id="20"/>
      </w:r>
      <w:r w:rsidR="006A1451" w:rsidRPr="000A42BD">
        <w:rPr>
          <w:color w:val="000000"/>
          <w:spacing w:val="-2"/>
          <w:sz w:val="22"/>
          <w:szCs w:val="22"/>
        </w:rPr>
        <w:t xml:space="preserve">  </w:t>
      </w:r>
      <w:r w:rsidR="00050854" w:rsidRPr="000A42BD">
        <w:rPr>
          <w:color w:val="000000"/>
          <w:spacing w:val="-2"/>
          <w:sz w:val="22"/>
          <w:szCs w:val="22"/>
        </w:rPr>
        <w:t xml:space="preserve">Applying the </w:t>
      </w:r>
      <w:r w:rsidR="00050854" w:rsidRPr="00AF28EE">
        <w:rPr>
          <w:i/>
          <w:color w:val="000000"/>
          <w:spacing w:val="-2"/>
          <w:sz w:val="22"/>
        </w:rPr>
        <w:t>Forfeiture Policy Statement</w:t>
      </w:r>
      <w:r w:rsidR="00D57AE2" w:rsidRPr="000A42BD">
        <w:rPr>
          <w:color w:val="000000"/>
          <w:spacing w:val="-2"/>
          <w:sz w:val="22"/>
          <w:szCs w:val="22"/>
        </w:rPr>
        <w:t>, S</w:t>
      </w:r>
      <w:r w:rsidR="00260C08" w:rsidRPr="000A42BD">
        <w:rPr>
          <w:color w:val="000000"/>
          <w:spacing w:val="-2"/>
          <w:sz w:val="22"/>
          <w:szCs w:val="22"/>
        </w:rPr>
        <w:t>ection 1.80</w:t>
      </w:r>
      <w:r w:rsidR="000E2560" w:rsidRPr="000A42BD">
        <w:rPr>
          <w:color w:val="000000"/>
          <w:spacing w:val="-2"/>
          <w:sz w:val="22"/>
          <w:szCs w:val="22"/>
        </w:rPr>
        <w:t xml:space="preserve"> of the Rules</w:t>
      </w:r>
      <w:r w:rsidR="00260C08" w:rsidRPr="000A42BD">
        <w:rPr>
          <w:color w:val="000000"/>
          <w:spacing w:val="-2"/>
          <w:sz w:val="22"/>
          <w:szCs w:val="22"/>
        </w:rPr>
        <w:t xml:space="preserve">, and </w:t>
      </w:r>
      <w:r w:rsidR="00050854" w:rsidRPr="000A42BD">
        <w:rPr>
          <w:color w:val="000000"/>
          <w:spacing w:val="-2"/>
          <w:sz w:val="22"/>
          <w:szCs w:val="22"/>
        </w:rPr>
        <w:t>the statutory factors</w:t>
      </w:r>
      <w:r w:rsidR="00787C4B" w:rsidRPr="000A42BD">
        <w:rPr>
          <w:color w:val="000000"/>
          <w:spacing w:val="-2"/>
          <w:sz w:val="22"/>
          <w:szCs w:val="22"/>
        </w:rPr>
        <w:t xml:space="preserve"> to the instant case, we conclude that </w:t>
      </w:r>
      <w:r w:rsidR="00DF1EC3" w:rsidRPr="000A42BD">
        <w:rPr>
          <w:color w:val="000000"/>
          <w:spacing w:val="-2"/>
          <w:sz w:val="22"/>
          <w:szCs w:val="22"/>
        </w:rPr>
        <w:t>Mr</w:t>
      </w:r>
      <w:r w:rsidR="002A712F" w:rsidRPr="000A42BD">
        <w:rPr>
          <w:color w:val="000000"/>
          <w:spacing w:val="-2"/>
          <w:sz w:val="22"/>
          <w:szCs w:val="22"/>
        </w:rPr>
        <w:t>. Engle</w:t>
      </w:r>
      <w:r w:rsidR="00787C4B" w:rsidRPr="000A42BD">
        <w:rPr>
          <w:color w:val="000000"/>
          <w:spacing w:val="-2"/>
          <w:sz w:val="22"/>
          <w:szCs w:val="22"/>
        </w:rPr>
        <w:t xml:space="preserve"> is apparently liable for a </w:t>
      </w:r>
      <w:r w:rsidR="003E75DA" w:rsidRPr="000A42BD">
        <w:rPr>
          <w:color w:val="000000"/>
          <w:spacing w:val="-2"/>
          <w:sz w:val="22"/>
          <w:szCs w:val="22"/>
        </w:rPr>
        <w:t>total forfeiture</w:t>
      </w:r>
      <w:r w:rsidR="00E847E3" w:rsidRPr="000A42BD">
        <w:rPr>
          <w:color w:val="000000"/>
          <w:spacing w:val="-2"/>
          <w:sz w:val="22"/>
          <w:szCs w:val="22"/>
        </w:rPr>
        <w:t xml:space="preserve"> </w:t>
      </w:r>
      <w:r w:rsidR="00337B75" w:rsidRPr="000A42BD">
        <w:rPr>
          <w:color w:val="000000"/>
          <w:spacing w:val="-2"/>
          <w:sz w:val="22"/>
          <w:szCs w:val="22"/>
        </w:rPr>
        <w:t xml:space="preserve">in the amount </w:t>
      </w:r>
      <w:r w:rsidR="00E847E3" w:rsidRPr="000A42BD">
        <w:rPr>
          <w:color w:val="000000"/>
          <w:spacing w:val="-2"/>
          <w:sz w:val="22"/>
          <w:szCs w:val="22"/>
        </w:rPr>
        <w:t>of $</w:t>
      </w:r>
      <w:r w:rsidR="006414C7">
        <w:rPr>
          <w:color w:val="000000"/>
          <w:spacing w:val="-2"/>
          <w:sz w:val="22"/>
          <w:szCs w:val="22"/>
        </w:rPr>
        <w:t>22</w:t>
      </w:r>
      <w:r w:rsidR="00E847E3" w:rsidRPr="000A42BD">
        <w:rPr>
          <w:color w:val="000000"/>
          <w:spacing w:val="-2"/>
          <w:sz w:val="22"/>
          <w:szCs w:val="22"/>
        </w:rPr>
        <w:t>,000</w:t>
      </w:r>
      <w:r w:rsidR="00C97F89" w:rsidRPr="000A42BD">
        <w:rPr>
          <w:color w:val="000000"/>
          <w:spacing w:val="-2"/>
          <w:sz w:val="22"/>
          <w:szCs w:val="22"/>
        </w:rPr>
        <w:t xml:space="preserve"> </w:t>
      </w:r>
      <w:r w:rsidR="001379FB" w:rsidRPr="00AF28EE">
        <w:rPr>
          <w:spacing w:val="-2"/>
          <w:sz w:val="22"/>
        </w:rPr>
        <w:t xml:space="preserve">for operating </w:t>
      </w:r>
      <w:r w:rsidR="001379FB">
        <w:rPr>
          <w:spacing w:val="-2"/>
          <w:sz w:val="22"/>
          <w:szCs w:val="22"/>
        </w:rPr>
        <w:t xml:space="preserve">a radio transmitter </w:t>
      </w:r>
      <w:r w:rsidR="001379FB" w:rsidRPr="00AF28EE">
        <w:rPr>
          <w:spacing w:val="-2"/>
          <w:sz w:val="22"/>
        </w:rPr>
        <w:t xml:space="preserve">without </w:t>
      </w:r>
      <w:r w:rsidR="001379FB">
        <w:rPr>
          <w:spacing w:val="-2"/>
          <w:sz w:val="22"/>
          <w:szCs w:val="22"/>
        </w:rPr>
        <w:t>the requisite Commission authorization</w:t>
      </w:r>
      <w:r w:rsidR="001379FB" w:rsidRPr="00AF28EE">
        <w:rPr>
          <w:spacing w:val="-2"/>
          <w:sz w:val="22"/>
        </w:rPr>
        <w:t xml:space="preserve"> and intentionally </w:t>
      </w:r>
      <w:r w:rsidR="001379FB" w:rsidRPr="00CF5CAD">
        <w:rPr>
          <w:spacing w:val="-2"/>
          <w:sz w:val="22"/>
          <w:szCs w:val="22"/>
        </w:rPr>
        <w:t>causing interference to</w:t>
      </w:r>
      <w:r w:rsidR="001379FB" w:rsidRPr="00AF28EE">
        <w:rPr>
          <w:spacing w:val="-2"/>
          <w:sz w:val="22"/>
        </w:rPr>
        <w:t xml:space="preserve"> CB communications</w:t>
      </w:r>
      <w:r w:rsidR="001C363E" w:rsidRPr="000A42BD">
        <w:rPr>
          <w:color w:val="000000"/>
          <w:spacing w:val="-2"/>
          <w:sz w:val="22"/>
          <w:szCs w:val="22"/>
        </w:rPr>
        <w:t xml:space="preserve">. </w:t>
      </w:r>
    </w:p>
    <w:p w:rsidR="00050854" w:rsidRPr="005F20BD" w:rsidRDefault="00050854" w:rsidP="00AF28EE">
      <w:pPr>
        <w:pStyle w:val="Heading1"/>
        <w:widowControl/>
        <w:spacing w:after="120"/>
        <w:rPr>
          <w:sz w:val="22"/>
          <w:szCs w:val="22"/>
        </w:rPr>
      </w:pPr>
      <w:r w:rsidRPr="005F20BD">
        <w:rPr>
          <w:sz w:val="22"/>
          <w:szCs w:val="22"/>
        </w:rPr>
        <w:t>ORDERING CLAUSES</w:t>
      </w:r>
    </w:p>
    <w:p w:rsidR="001379FB" w:rsidRDefault="00050854" w:rsidP="00AF28EE">
      <w:pPr>
        <w:widowControl/>
        <w:numPr>
          <w:ilvl w:val="0"/>
          <w:numId w:val="22"/>
        </w:numPr>
        <w:tabs>
          <w:tab w:val="clear" w:pos="1260"/>
        </w:tabs>
        <w:suppressAutoHyphens/>
        <w:spacing w:after="120"/>
        <w:ind w:left="0"/>
        <w:rPr>
          <w:sz w:val="22"/>
          <w:szCs w:val="22"/>
        </w:rPr>
      </w:pPr>
      <w:r w:rsidRPr="005F20BD">
        <w:rPr>
          <w:spacing w:val="-2"/>
          <w:sz w:val="22"/>
          <w:szCs w:val="22"/>
        </w:rPr>
        <w:t>Accordingly,</w:t>
      </w:r>
      <w:r w:rsidRPr="005F20BD">
        <w:rPr>
          <w:b/>
          <w:spacing w:val="-2"/>
          <w:sz w:val="22"/>
          <w:szCs w:val="22"/>
        </w:rPr>
        <w:t xml:space="preserve"> IT IS ORDERED</w:t>
      </w:r>
      <w:r w:rsidR="003F3CFD" w:rsidRPr="005F20BD">
        <w:rPr>
          <w:spacing w:val="-2"/>
          <w:sz w:val="22"/>
          <w:szCs w:val="22"/>
        </w:rPr>
        <w:t xml:space="preserve"> that</w:t>
      </w:r>
      <w:r w:rsidR="00D57AE2" w:rsidRPr="005F20BD">
        <w:rPr>
          <w:spacing w:val="-2"/>
          <w:sz w:val="22"/>
          <w:szCs w:val="22"/>
        </w:rPr>
        <w:t>, pursuant to S</w:t>
      </w:r>
      <w:r w:rsidRPr="005F20BD">
        <w:rPr>
          <w:spacing w:val="-2"/>
          <w:sz w:val="22"/>
          <w:szCs w:val="22"/>
        </w:rPr>
        <w:t>ec</w:t>
      </w:r>
      <w:r w:rsidR="001379FB">
        <w:rPr>
          <w:spacing w:val="-2"/>
          <w:sz w:val="22"/>
          <w:szCs w:val="22"/>
        </w:rPr>
        <w:t>tion 503(b) of the Act</w:t>
      </w:r>
      <w:r w:rsidR="00D57AE2" w:rsidRPr="005F20BD">
        <w:rPr>
          <w:spacing w:val="-2"/>
          <w:sz w:val="22"/>
          <w:szCs w:val="22"/>
        </w:rPr>
        <w:t xml:space="preserve"> and S</w:t>
      </w:r>
      <w:r w:rsidRPr="005F20BD">
        <w:rPr>
          <w:spacing w:val="-2"/>
          <w:sz w:val="22"/>
          <w:szCs w:val="22"/>
        </w:rPr>
        <w:t xml:space="preserve">ections 0.111, </w:t>
      </w:r>
      <w:r w:rsidR="00856437" w:rsidRPr="005F20BD">
        <w:rPr>
          <w:spacing w:val="-2"/>
          <w:sz w:val="22"/>
          <w:szCs w:val="22"/>
        </w:rPr>
        <w:t xml:space="preserve">0.204, </w:t>
      </w:r>
      <w:r w:rsidRPr="005F20BD">
        <w:rPr>
          <w:spacing w:val="-2"/>
          <w:sz w:val="22"/>
          <w:szCs w:val="22"/>
        </w:rPr>
        <w:t>0.311</w:t>
      </w:r>
      <w:r w:rsidR="00716561" w:rsidRPr="005F20BD">
        <w:rPr>
          <w:spacing w:val="-2"/>
          <w:sz w:val="22"/>
          <w:szCs w:val="22"/>
        </w:rPr>
        <w:t>, 0.314</w:t>
      </w:r>
      <w:r w:rsidR="002C62DA" w:rsidRPr="005F20BD">
        <w:rPr>
          <w:spacing w:val="-2"/>
          <w:sz w:val="22"/>
          <w:szCs w:val="22"/>
        </w:rPr>
        <w:t>,</w:t>
      </w:r>
      <w:r w:rsidR="003E2AD5" w:rsidRPr="005F20BD">
        <w:rPr>
          <w:spacing w:val="-2"/>
          <w:sz w:val="22"/>
          <w:szCs w:val="22"/>
        </w:rPr>
        <w:t xml:space="preserve"> and 1.</w:t>
      </w:r>
      <w:r w:rsidR="001379FB">
        <w:rPr>
          <w:spacing w:val="-2"/>
          <w:sz w:val="22"/>
          <w:szCs w:val="22"/>
        </w:rPr>
        <w:t>80 of the Rules</w:t>
      </w:r>
      <w:r w:rsidRPr="005F20BD">
        <w:rPr>
          <w:spacing w:val="-2"/>
          <w:sz w:val="22"/>
          <w:szCs w:val="22"/>
        </w:rPr>
        <w:t>,</w:t>
      </w:r>
      <w:r w:rsidR="006C44A0" w:rsidRPr="005F20BD">
        <w:rPr>
          <w:b/>
          <w:spacing w:val="-2"/>
          <w:sz w:val="22"/>
          <w:szCs w:val="22"/>
        </w:rPr>
        <w:t xml:space="preserve"> </w:t>
      </w:r>
      <w:r w:rsidR="00440DC4">
        <w:rPr>
          <w:spacing w:val="-2"/>
          <w:sz w:val="22"/>
          <w:szCs w:val="22"/>
        </w:rPr>
        <w:t>James Engle</w:t>
      </w:r>
      <w:r w:rsidRPr="005F20BD">
        <w:rPr>
          <w:spacing w:val="-2"/>
          <w:sz w:val="22"/>
          <w:szCs w:val="22"/>
        </w:rPr>
        <w:t xml:space="preserve"> is hereby </w:t>
      </w:r>
      <w:r w:rsidRPr="005F20BD">
        <w:rPr>
          <w:b/>
          <w:spacing w:val="-2"/>
          <w:sz w:val="22"/>
          <w:szCs w:val="22"/>
        </w:rPr>
        <w:t xml:space="preserve">NOTIFIED </w:t>
      </w:r>
      <w:r w:rsidRPr="005F20BD">
        <w:rPr>
          <w:spacing w:val="-2"/>
          <w:sz w:val="22"/>
          <w:szCs w:val="22"/>
        </w:rPr>
        <w:t xml:space="preserve">of this </w:t>
      </w:r>
      <w:r w:rsidRPr="005F20BD">
        <w:rPr>
          <w:b/>
          <w:spacing w:val="-2"/>
          <w:sz w:val="22"/>
          <w:szCs w:val="22"/>
        </w:rPr>
        <w:t>APPARENT LIABILITY FOR A FORFEITURE</w:t>
      </w:r>
      <w:r w:rsidR="00484313" w:rsidRPr="005F20BD">
        <w:rPr>
          <w:b/>
          <w:spacing w:val="-2"/>
          <w:sz w:val="22"/>
          <w:szCs w:val="22"/>
        </w:rPr>
        <w:t xml:space="preserve"> </w:t>
      </w:r>
      <w:r w:rsidRPr="005F20BD">
        <w:rPr>
          <w:spacing w:val="-2"/>
          <w:sz w:val="22"/>
          <w:szCs w:val="22"/>
        </w:rPr>
        <w:t>in the amount of</w:t>
      </w:r>
      <w:r w:rsidRPr="005F20BD">
        <w:rPr>
          <w:sz w:val="22"/>
          <w:szCs w:val="22"/>
        </w:rPr>
        <w:t xml:space="preserve"> </w:t>
      </w:r>
      <w:r w:rsidR="006F3431">
        <w:rPr>
          <w:sz w:val="22"/>
          <w:szCs w:val="22"/>
        </w:rPr>
        <w:t>twenty two</w:t>
      </w:r>
      <w:r w:rsidRPr="005F20BD">
        <w:rPr>
          <w:b/>
          <w:sz w:val="22"/>
          <w:szCs w:val="22"/>
        </w:rPr>
        <w:t xml:space="preserve"> </w:t>
      </w:r>
      <w:r w:rsidRPr="005F20BD">
        <w:rPr>
          <w:sz w:val="22"/>
          <w:szCs w:val="22"/>
        </w:rPr>
        <w:t>thousand dollars ($</w:t>
      </w:r>
      <w:r w:rsidR="006F3431">
        <w:rPr>
          <w:sz w:val="22"/>
          <w:szCs w:val="22"/>
        </w:rPr>
        <w:t>22</w:t>
      </w:r>
      <w:r w:rsidRPr="005F20BD">
        <w:rPr>
          <w:sz w:val="22"/>
          <w:szCs w:val="22"/>
        </w:rPr>
        <w:t xml:space="preserve">,000) for violations of </w:t>
      </w:r>
      <w:r w:rsidR="00D57AE2" w:rsidRPr="005F20BD">
        <w:rPr>
          <w:sz w:val="22"/>
          <w:szCs w:val="22"/>
        </w:rPr>
        <w:t>S</w:t>
      </w:r>
      <w:r w:rsidRPr="005F20BD">
        <w:rPr>
          <w:sz w:val="22"/>
          <w:szCs w:val="22"/>
        </w:rPr>
        <w:t>ection</w:t>
      </w:r>
      <w:r w:rsidR="00A90D71">
        <w:rPr>
          <w:sz w:val="22"/>
          <w:szCs w:val="22"/>
        </w:rPr>
        <w:t>s</w:t>
      </w:r>
      <w:r w:rsidR="004E58CE">
        <w:rPr>
          <w:sz w:val="22"/>
          <w:szCs w:val="22"/>
        </w:rPr>
        <w:t xml:space="preserve"> 301</w:t>
      </w:r>
      <w:r w:rsidR="00A90D71">
        <w:rPr>
          <w:sz w:val="22"/>
          <w:szCs w:val="22"/>
        </w:rPr>
        <w:t xml:space="preserve"> and 333</w:t>
      </w:r>
      <w:r w:rsidR="004E58CE">
        <w:rPr>
          <w:sz w:val="22"/>
          <w:szCs w:val="22"/>
        </w:rPr>
        <w:t xml:space="preserve"> of the </w:t>
      </w:r>
      <w:r w:rsidR="001379FB">
        <w:rPr>
          <w:spacing w:val="-2"/>
          <w:sz w:val="22"/>
          <w:szCs w:val="22"/>
        </w:rPr>
        <w:t xml:space="preserve">Act </w:t>
      </w:r>
      <w:r w:rsidR="004E58CE">
        <w:rPr>
          <w:sz w:val="22"/>
          <w:szCs w:val="22"/>
        </w:rPr>
        <w:t>and Section</w:t>
      </w:r>
      <w:r w:rsidR="001379FB">
        <w:rPr>
          <w:sz w:val="22"/>
          <w:szCs w:val="22"/>
        </w:rPr>
        <w:t>s</w:t>
      </w:r>
      <w:r w:rsidRPr="005F20BD">
        <w:rPr>
          <w:sz w:val="22"/>
          <w:szCs w:val="22"/>
        </w:rPr>
        <w:t xml:space="preserve"> </w:t>
      </w:r>
      <w:r w:rsidR="006C44A0" w:rsidRPr="005F20BD">
        <w:rPr>
          <w:spacing w:val="-2"/>
          <w:sz w:val="22"/>
          <w:szCs w:val="22"/>
        </w:rPr>
        <w:t>95.411</w:t>
      </w:r>
      <w:r w:rsidR="005A4003">
        <w:rPr>
          <w:spacing w:val="-2"/>
          <w:sz w:val="22"/>
          <w:szCs w:val="22"/>
        </w:rPr>
        <w:t>(a)</w:t>
      </w:r>
      <w:r w:rsidR="00440DC4">
        <w:rPr>
          <w:sz w:val="22"/>
          <w:szCs w:val="22"/>
        </w:rPr>
        <w:t xml:space="preserve"> </w:t>
      </w:r>
      <w:r w:rsidR="001379FB">
        <w:rPr>
          <w:sz w:val="22"/>
          <w:szCs w:val="22"/>
        </w:rPr>
        <w:t xml:space="preserve">and 95.413(a) </w:t>
      </w:r>
      <w:r w:rsidRPr="005F20BD">
        <w:rPr>
          <w:spacing w:val="-2"/>
          <w:sz w:val="22"/>
          <w:szCs w:val="22"/>
        </w:rPr>
        <w:t>o</w:t>
      </w:r>
      <w:r w:rsidRPr="005F20BD">
        <w:rPr>
          <w:sz w:val="22"/>
          <w:szCs w:val="22"/>
        </w:rPr>
        <w:t xml:space="preserve">f the </w:t>
      </w:r>
      <w:r w:rsidR="001379FB">
        <w:rPr>
          <w:sz w:val="22"/>
          <w:szCs w:val="22"/>
        </w:rPr>
        <w:t>Rules</w:t>
      </w:r>
      <w:r w:rsidRPr="005F20BD">
        <w:rPr>
          <w:sz w:val="22"/>
          <w:szCs w:val="22"/>
        </w:rPr>
        <w:t>.</w:t>
      </w:r>
      <w:r w:rsidRPr="005F20BD">
        <w:rPr>
          <w:rStyle w:val="FootnoteReference"/>
          <w:sz w:val="22"/>
          <w:szCs w:val="22"/>
        </w:rPr>
        <w:footnoteReference w:id="21"/>
      </w:r>
    </w:p>
    <w:p w:rsidR="001379FB" w:rsidRPr="00AF28EE" w:rsidRDefault="00050854" w:rsidP="00AF28EE">
      <w:pPr>
        <w:widowControl/>
        <w:numPr>
          <w:ilvl w:val="0"/>
          <w:numId w:val="22"/>
        </w:numPr>
        <w:tabs>
          <w:tab w:val="clear" w:pos="1260"/>
        </w:tabs>
        <w:suppressAutoHyphens/>
        <w:spacing w:after="120"/>
        <w:ind w:left="0"/>
        <w:rPr>
          <w:sz w:val="22"/>
        </w:rPr>
      </w:pPr>
      <w:r w:rsidRPr="001379FB">
        <w:rPr>
          <w:b/>
          <w:spacing w:val="-2"/>
          <w:sz w:val="22"/>
          <w:szCs w:val="22"/>
        </w:rPr>
        <w:t>IT IS FURTHER ORDERED</w:t>
      </w:r>
      <w:r w:rsidRPr="001379FB">
        <w:rPr>
          <w:spacing w:val="-2"/>
          <w:sz w:val="22"/>
          <w:szCs w:val="22"/>
        </w:rPr>
        <w:t xml:space="preserve"> </w:t>
      </w:r>
      <w:r w:rsidR="003F3CFD" w:rsidRPr="001379FB">
        <w:rPr>
          <w:spacing w:val="-2"/>
          <w:sz w:val="22"/>
          <w:szCs w:val="22"/>
        </w:rPr>
        <w:t>that</w:t>
      </w:r>
      <w:r w:rsidR="00D57AE2" w:rsidRPr="001379FB">
        <w:rPr>
          <w:spacing w:val="-2"/>
          <w:sz w:val="22"/>
          <w:szCs w:val="22"/>
        </w:rPr>
        <w:t>, pursuant to S</w:t>
      </w:r>
      <w:r w:rsidR="003E2AD5" w:rsidRPr="001379FB">
        <w:rPr>
          <w:spacing w:val="-2"/>
          <w:sz w:val="22"/>
          <w:szCs w:val="22"/>
        </w:rPr>
        <w:t>e</w:t>
      </w:r>
      <w:r w:rsidR="001379FB" w:rsidRPr="001379FB">
        <w:rPr>
          <w:spacing w:val="-2"/>
          <w:sz w:val="22"/>
          <w:szCs w:val="22"/>
        </w:rPr>
        <w:t>ction 1.80 of the Rules</w:t>
      </w:r>
      <w:r w:rsidR="002C62DA" w:rsidRPr="001379FB">
        <w:rPr>
          <w:spacing w:val="-2"/>
          <w:sz w:val="22"/>
          <w:szCs w:val="22"/>
        </w:rPr>
        <w:t>,</w:t>
      </w:r>
      <w:r w:rsidRPr="001379FB">
        <w:rPr>
          <w:spacing w:val="-2"/>
          <w:sz w:val="22"/>
          <w:szCs w:val="22"/>
        </w:rPr>
        <w:t xml:space="preserve"> within thirty </w:t>
      </w:r>
      <w:r w:rsidR="003A7878" w:rsidRPr="001379FB">
        <w:rPr>
          <w:spacing w:val="-2"/>
          <w:sz w:val="22"/>
          <w:szCs w:val="22"/>
        </w:rPr>
        <w:t xml:space="preserve">(30) calendar </w:t>
      </w:r>
      <w:r w:rsidRPr="001379FB">
        <w:rPr>
          <w:spacing w:val="-2"/>
          <w:sz w:val="22"/>
          <w:szCs w:val="22"/>
        </w:rPr>
        <w:t xml:space="preserve">days of the release date of this Notice of Apparent Liability for Forfeiture, </w:t>
      </w:r>
      <w:r w:rsidR="00440DC4" w:rsidRPr="001379FB">
        <w:rPr>
          <w:spacing w:val="-2"/>
          <w:sz w:val="22"/>
          <w:szCs w:val="22"/>
        </w:rPr>
        <w:t>James Engle</w:t>
      </w:r>
      <w:r w:rsidRPr="001379FB">
        <w:rPr>
          <w:spacing w:val="-2"/>
          <w:sz w:val="22"/>
          <w:szCs w:val="22"/>
        </w:rPr>
        <w:t xml:space="preserve"> </w:t>
      </w:r>
      <w:r w:rsidR="00145224" w:rsidRPr="001379FB">
        <w:rPr>
          <w:b/>
          <w:spacing w:val="-2"/>
          <w:sz w:val="22"/>
          <w:szCs w:val="22"/>
        </w:rPr>
        <w:t>SHALL PAY</w:t>
      </w:r>
      <w:r w:rsidRPr="001379FB">
        <w:rPr>
          <w:spacing w:val="-2"/>
          <w:sz w:val="22"/>
          <w:szCs w:val="22"/>
        </w:rPr>
        <w:t xml:space="preserve"> the full amount of the proposed forfeiture or </w:t>
      </w:r>
      <w:r w:rsidR="00145224" w:rsidRPr="001379FB">
        <w:rPr>
          <w:b/>
          <w:spacing w:val="-2"/>
          <w:sz w:val="22"/>
          <w:szCs w:val="22"/>
        </w:rPr>
        <w:t>SHALL FILE</w:t>
      </w:r>
      <w:r w:rsidRPr="001379FB">
        <w:rPr>
          <w:spacing w:val="-2"/>
          <w:sz w:val="22"/>
          <w:szCs w:val="22"/>
        </w:rPr>
        <w:t xml:space="preserve"> a written statement seeking reduction or cancellation of the proposed forfeiture.</w:t>
      </w:r>
      <w:r w:rsidR="001379FB">
        <w:rPr>
          <w:rStyle w:val="FootnoteReference"/>
          <w:spacing w:val="-2"/>
          <w:sz w:val="22"/>
          <w:szCs w:val="22"/>
        </w:rPr>
        <w:footnoteReference w:id="22"/>
      </w:r>
    </w:p>
    <w:p w:rsidR="00A66F85" w:rsidRPr="001379FB" w:rsidRDefault="00A66F85" w:rsidP="00AF28EE">
      <w:pPr>
        <w:widowControl/>
        <w:numPr>
          <w:ilvl w:val="0"/>
          <w:numId w:val="22"/>
        </w:numPr>
        <w:tabs>
          <w:tab w:val="clear" w:pos="1260"/>
        </w:tabs>
        <w:suppressAutoHyphens/>
        <w:spacing w:after="120"/>
        <w:ind w:left="0"/>
        <w:rPr>
          <w:sz w:val="22"/>
          <w:szCs w:val="22"/>
        </w:rPr>
      </w:pPr>
      <w:r w:rsidRPr="001379FB">
        <w:rPr>
          <w:rFonts w:eastAsia="MS Mincho" w:cs="Arial"/>
          <w:sz w:val="22"/>
          <w:szCs w:val="22"/>
        </w:rPr>
        <w:t>Payment of the forfeiture must be made by check or similar instrument, wire transfer, or credit card, an</w:t>
      </w:r>
      <w:r w:rsidR="00A77264" w:rsidRPr="001379FB">
        <w:rPr>
          <w:rFonts w:eastAsia="MS Mincho" w:cs="Arial"/>
          <w:sz w:val="22"/>
          <w:szCs w:val="22"/>
        </w:rPr>
        <w:t>d must include the NAL/Account N</w:t>
      </w:r>
      <w:r w:rsidRPr="001379FB">
        <w:rPr>
          <w:rFonts w:eastAsia="MS Mincho" w:cs="Arial"/>
          <w:sz w:val="22"/>
          <w:szCs w:val="22"/>
        </w:rPr>
        <w:t xml:space="preserve">umber and FRN referenced above.  </w:t>
      </w:r>
      <w:r w:rsidR="001379FB" w:rsidRPr="001379FB">
        <w:rPr>
          <w:spacing w:val="-2"/>
          <w:sz w:val="22"/>
          <w:szCs w:val="22"/>
        </w:rPr>
        <w:t>James</w:t>
      </w:r>
      <w:r w:rsidR="001379FB" w:rsidRPr="00AF28EE">
        <w:rPr>
          <w:spacing w:val="-2"/>
          <w:sz w:val="22"/>
        </w:rPr>
        <w:t xml:space="preserve"> Engle </w:t>
      </w:r>
      <w:r w:rsidR="0095119D" w:rsidRPr="001379FB">
        <w:rPr>
          <w:sz w:val="22"/>
          <w:szCs w:val="22"/>
          <w:lang w:bidi="he-IL"/>
        </w:rPr>
        <w:t>shall also send electronic notification on the date said payment is made to</w:t>
      </w:r>
      <w:r w:rsidR="0095119D" w:rsidRPr="001379FB">
        <w:rPr>
          <w:sz w:val="22"/>
          <w:szCs w:val="22"/>
        </w:rPr>
        <w:t xml:space="preserve"> </w:t>
      </w:r>
      <w:r w:rsidR="001379FB" w:rsidRPr="001379FB">
        <w:rPr>
          <w:sz w:val="22"/>
          <w:szCs w:val="22"/>
        </w:rPr>
        <w:t>NER-Response@fcc.gov</w:t>
      </w:r>
      <w:r w:rsidR="001379FB">
        <w:rPr>
          <w:sz w:val="22"/>
          <w:szCs w:val="22"/>
        </w:rPr>
        <w:t xml:space="preserve">.  </w:t>
      </w:r>
      <w:r w:rsidRPr="001379FB">
        <w:rPr>
          <w:rFonts w:eastAsia="MS Mincho" w:cs="Arial"/>
          <w:sz w:val="22"/>
          <w:szCs w:val="22"/>
        </w:rPr>
        <w:t>Regardless of the form of payment, a completed FCC Form 159 (Remittance Advice) must be submitted.</w:t>
      </w:r>
      <w:r w:rsidRPr="005F20BD">
        <w:rPr>
          <w:rStyle w:val="FootnoteReference"/>
          <w:rFonts w:eastAsia="MS Mincho" w:cs="Arial"/>
          <w:sz w:val="22"/>
          <w:szCs w:val="22"/>
        </w:rPr>
        <w:footnoteReference w:id="23"/>
      </w:r>
      <w:r w:rsidRPr="001379FB">
        <w:rPr>
          <w:rFonts w:eastAsia="MS Mincho" w:cs="Arial"/>
          <w:sz w:val="22"/>
          <w:szCs w:val="22"/>
        </w:rPr>
        <w:t xml:space="preserve">  When completing the FCC Form 159, enter the Account Number in block number 23A (call sign/other ID) and enter the letters “FORF” in block n</w:t>
      </w:r>
      <w:r w:rsidR="001379FB">
        <w:rPr>
          <w:rFonts w:eastAsia="MS Mincho" w:cs="Arial"/>
          <w:sz w:val="22"/>
          <w:szCs w:val="22"/>
        </w:rPr>
        <w:t xml:space="preserve">umber 24A (payment type code).  </w:t>
      </w:r>
      <w:r w:rsidRPr="001379FB">
        <w:rPr>
          <w:sz w:val="22"/>
          <w:szCs w:val="22"/>
        </w:rPr>
        <w:t>Below are additional instructions you should follow based on the form of payment you select:</w:t>
      </w:r>
    </w:p>
    <w:p w:rsidR="00A66F85" w:rsidRPr="005F20BD" w:rsidRDefault="00A66F85" w:rsidP="00AF28EE">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5F20BD">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5F20BD">
            <w:rPr>
              <w:rFonts w:eastAsia="MS Mincho"/>
              <w:sz w:val="22"/>
              <w:szCs w:val="22"/>
            </w:rPr>
            <w:t>P.O. Box 979088</w:t>
          </w:r>
        </w:smartTag>
        <w:r w:rsidRPr="005F20BD">
          <w:rPr>
            <w:rFonts w:eastAsia="MS Mincho"/>
            <w:sz w:val="22"/>
            <w:szCs w:val="22"/>
          </w:rPr>
          <w:t xml:space="preserve">, </w:t>
        </w:r>
        <w:smartTag w:uri="urn:schemas-microsoft-com:office:smarttags" w:element="City">
          <w:r w:rsidRPr="005F20BD">
            <w:rPr>
              <w:rFonts w:eastAsia="MS Mincho"/>
              <w:sz w:val="22"/>
              <w:szCs w:val="22"/>
            </w:rPr>
            <w:t>St. Louis</w:t>
          </w:r>
        </w:smartTag>
        <w:r w:rsidRPr="005F20BD">
          <w:rPr>
            <w:rFonts w:eastAsia="MS Mincho"/>
            <w:sz w:val="22"/>
            <w:szCs w:val="22"/>
          </w:rPr>
          <w:t xml:space="preserve">, </w:t>
        </w:r>
        <w:smartTag w:uri="urn:schemas-microsoft-com:office:smarttags" w:element="State">
          <w:r w:rsidRPr="005F20BD">
            <w:rPr>
              <w:rFonts w:eastAsia="MS Mincho"/>
              <w:sz w:val="22"/>
              <w:szCs w:val="22"/>
            </w:rPr>
            <w:t>MO</w:t>
          </w:r>
        </w:smartTag>
        <w:r w:rsidRPr="005F20BD">
          <w:rPr>
            <w:rFonts w:eastAsia="MS Mincho"/>
            <w:sz w:val="22"/>
            <w:szCs w:val="22"/>
          </w:rPr>
          <w:t xml:space="preserve"> </w:t>
        </w:r>
        <w:smartTag w:uri="urn:schemas-microsoft-com:office:smarttags" w:element="PostalCode">
          <w:r w:rsidRPr="005F20BD">
            <w:rPr>
              <w:rFonts w:eastAsia="MS Mincho"/>
              <w:sz w:val="22"/>
              <w:szCs w:val="22"/>
            </w:rPr>
            <w:t>63197-9000</w:t>
          </w:r>
        </w:smartTag>
      </w:smartTag>
      <w:r w:rsidRPr="005F20BD">
        <w:rPr>
          <w:rFonts w:eastAsia="MS Mincho"/>
          <w:sz w:val="22"/>
          <w:szCs w:val="22"/>
        </w:rPr>
        <w:t xml:space="preserve">, or sent via overnight mail to U.S. Bank – Government Lockbox #979088, SL-MO-C2-GL, 1005 </w:t>
      </w:r>
      <w:smartTag w:uri="urn:schemas-microsoft-com:office:smarttags" w:element="PlaceName">
        <w:r w:rsidRPr="005F20BD">
          <w:rPr>
            <w:rFonts w:eastAsia="MS Mincho"/>
            <w:sz w:val="22"/>
            <w:szCs w:val="22"/>
          </w:rPr>
          <w:t>Convention</w:t>
        </w:r>
      </w:smartTag>
      <w:r w:rsidRPr="005F20BD">
        <w:rPr>
          <w:rFonts w:eastAsia="MS Mincho"/>
          <w:sz w:val="22"/>
          <w:szCs w:val="22"/>
        </w:rPr>
        <w:t xml:space="preserve"> </w:t>
      </w:r>
      <w:smartTag w:uri="urn:schemas-microsoft-com:office:smarttags" w:element="PlaceType">
        <w:r w:rsidRPr="005F20BD">
          <w:rPr>
            <w:rFonts w:eastAsia="MS Mincho"/>
            <w:sz w:val="22"/>
            <w:szCs w:val="22"/>
          </w:rPr>
          <w:t>Plaza</w:t>
        </w:r>
      </w:smartTag>
      <w:r w:rsidRPr="005F20BD">
        <w:rPr>
          <w:rFonts w:eastAsia="MS Mincho"/>
          <w:sz w:val="22"/>
          <w:szCs w:val="22"/>
        </w:rPr>
        <w:t xml:space="preserve">, </w:t>
      </w:r>
      <w:smartTag w:uri="urn:schemas-microsoft-com:office:smarttags" w:element="place">
        <w:smartTag w:uri="urn:schemas-microsoft-com:office:smarttags" w:element="City">
          <w:r w:rsidRPr="005F20BD">
            <w:rPr>
              <w:rFonts w:eastAsia="MS Mincho"/>
              <w:sz w:val="22"/>
              <w:szCs w:val="22"/>
            </w:rPr>
            <w:t>St. Louis</w:t>
          </w:r>
        </w:smartTag>
        <w:r w:rsidRPr="005F20BD">
          <w:rPr>
            <w:rFonts w:eastAsia="MS Mincho"/>
            <w:sz w:val="22"/>
            <w:szCs w:val="22"/>
          </w:rPr>
          <w:t xml:space="preserve">, </w:t>
        </w:r>
        <w:smartTag w:uri="urn:schemas-microsoft-com:office:smarttags" w:element="State">
          <w:r w:rsidRPr="005F20BD">
            <w:rPr>
              <w:rFonts w:eastAsia="MS Mincho"/>
              <w:sz w:val="22"/>
              <w:szCs w:val="22"/>
            </w:rPr>
            <w:t>MO</w:t>
          </w:r>
        </w:smartTag>
        <w:r w:rsidRPr="005F20BD">
          <w:rPr>
            <w:rFonts w:eastAsia="MS Mincho"/>
            <w:sz w:val="22"/>
            <w:szCs w:val="22"/>
          </w:rPr>
          <w:t xml:space="preserve"> </w:t>
        </w:r>
        <w:smartTag w:uri="urn:schemas-microsoft-com:office:smarttags" w:element="PostalCode">
          <w:r w:rsidRPr="005F20BD">
            <w:rPr>
              <w:rFonts w:eastAsia="MS Mincho"/>
              <w:sz w:val="22"/>
              <w:szCs w:val="22"/>
            </w:rPr>
            <w:t>63101</w:t>
          </w:r>
        </w:smartTag>
      </w:smartTag>
      <w:r w:rsidRPr="005F20BD">
        <w:rPr>
          <w:rFonts w:eastAsia="MS Mincho"/>
          <w:sz w:val="22"/>
          <w:szCs w:val="22"/>
        </w:rPr>
        <w:t xml:space="preserve">.  </w:t>
      </w:r>
    </w:p>
    <w:p w:rsidR="00A66F85" w:rsidRPr="005F20BD" w:rsidRDefault="00A66F85" w:rsidP="00AF28EE">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5F20BD">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1C039E" w:rsidRDefault="00A66F85" w:rsidP="00AF28EE">
      <w:pPr>
        <w:pStyle w:val="ParaNum"/>
        <w:numPr>
          <w:ilvl w:val="0"/>
          <w:numId w:val="27"/>
        </w:numPr>
        <w:tabs>
          <w:tab w:val="clear" w:pos="720"/>
          <w:tab w:val="clear" w:pos="1440"/>
        </w:tabs>
        <w:autoSpaceDE/>
        <w:autoSpaceDN/>
        <w:adjustRightInd/>
        <w:spacing w:after="120"/>
        <w:ind w:left="1080"/>
        <w:jc w:val="left"/>
        <w:rPr>
          <w:rFonts w:eastAsia="MS Mincho"/>
          <w:sz w:val="22"/>
          <w:szCs w:val="22"/>
        </w:rPr>
      </w:pPr>
      <w:r w:rsidRPr="005F20BD">
        <w:rPr>
          <w:rFonts w:eastAsia="MS Mincho"/>
          <w:sz w:val="22"/>
          <w:szCs w:val="22"/>
        </w:rPr>
        <w:t>Payment by credit card must be made by providing the required credit card information on FCC Form 159 and signing and dating the Form 159 to aut</w:t>
      </w:r>
      <w:r w:rsidR="001379FB">
        <w:rPr>
          <w:rFonts w:eastAsia="MS Mincho"/>
          <w:sz w:val="22"/>
          <w:szCs w:val="22"/>
        </w:rPr>
        <w:t xml:space="preserve">horize the credit card payment.  </w:t>
      </w:r>
      <w:r w:rsidRPr="005F20BD">
        <w:rPr>
          <w:rFonts w:eastAsia="MS Mincho"/>
          <w:sz w:val="22"/>
          <w:szCs w:val="22"/>
        </w:rPr>
        <w:t xml:space="preserve">The completed Form 159 must then be mailed to Federal Communications Commission, P.O. Box 979088, St. Louis, </w:t>
      </w:r>
      <w:smartTag w:uri="urn:schemas-microsoft-com:office:smarttags" w:element="State">
        <w:r w:rsidRPr="005F20BD">
          <w:rPr>
            <w:rFonts w:eastAsia="MS Mincho"/>
            <w:sz w:val="22"/>
            <w:szCs w:val="22"/>
          </w:rPr>
          <w:t>MO</w:t>
        </w:r>
      </w:smartTag>
      <w:r w:rsidRPr="005F20BD">
        <w:rPr>
          <w:rFonts w:eastAsia="MS Mincho"/>
          <w:sz w:val="22"/>
          <w:szCs w:val="22"/>
        </w:rPr>
        <w:t xml:space="preserve"> </w:t>
      </w:r>
      <w:smartTag w:uri="urn:schemas-microsoft-com:office:smarttags" w:element="PostalCode">
        <w:r w:rsidRPr="005F20BD">
          <w:rPr>
            <w:rFonts w:eastAsia="MS Mincho"/>
            <w:sz w:val="22"/>
            <w:szCs w:val="22"/>
          </w:rPr>
          <w:t>63197-9000</w:t>
        </w:r>
      </w:smartTag>
      <w:r w:rsidRPr="005F20BD">
        <w:rPr>
          <w:rFonts w:eastAsia="MS Mincho"/>
          <w:sz w:val="22"/>
          <w:szCs w:val="22"/>
        </w:rPr>
        <w:t xml:space="preserve">, or sent via overnight mail to U.S. Bank – Government Lockbox #979088, SL-MO-C2-GL, 1005 </w:t>
      </w:r>
      <w:smartTag w:uri="urn:schemas-microsoft-com:office:smarttags" w:element="PlaceName">
        <w:r w:rsidRPr="005F20BD">
          <w:rPr>
            <w:rFonts w:eastAsia="MS Mincho"/>
            <w:sz w:val="22"/>
            <w:szCs w:val="22"/>
          </w:rPr>
          <w:t>Convention</w:t>
        </w:r>
      </w:smartTag>
      <w:r w:rsidRPr="005F20BD">
        <w:rPr>
          <w:rFonts w:eastAsia="MS Mincho"/>
          <w:sz w:val="22"/>
          <w:szCs w:val="22"/>
        </w:rPr>
        <w:t xml:space="preserve"> </w:t>
      </w:r>
      <w:smartTag w:uri="urn:schemas-microsoft-com:office:smarttags" w:element="PlaceType">
        <w:r w:rsidRPr="005F20BD">
          <w:rPr>
            <w:rFonts w:eastAsia="MS Mincho"/>
            <w:sz w:val="22"/>
            <w:szCs w:val="22"/>
          </w:rPr>
          <w:t>Plaza</w:t>
        </w:r>
      </w:smartTag>
      <w:r w:rsidRPr="005F20BD">
        <w:rPr>
          <w:rFonts w:eastAsia="MS Mincho"/>
          <w:sz w:val="22"/>
          <w:szCs w:val="22"/>
        </w:rPr>
        <w:t>, St. Louis, MO 63101.</w:t>
      </w:r>
    </w:p>
    <w:p w:rsidR="00EE1666" w:rsidRDefault="00A66F85" w:rsidP="00AF28EE">
      <w:pPr>
        <w:widowControl/>
        <w:numPr>
          <w:ilvl w:val="0"/>
          <w:numId w:val="22"/>
        </w:numPr>
        <w:tabs>
          <w:tab w:val="clear" w:pos="1260"/>
        </w:tabs>
        <w:suppressAutoHyphens/>
        <w:spacing w:after="120"/>
        <w:ind w:left="0"/>
        <w:rPr>
          <w:spacing w:val="-2"/>
          <w:sz w:val="22"/>
          <w:szCs w:val="22"/>
        </w:rPr>
      </w:pPr>
      <w:r w:rsidRPr="005F20BD">
        <w:rPr>
          <w:rFonts w:eastAsia="MS Mincho"/>
          <w:sz w:val="22"/>
          <w:szCs w:val="22"/>
        </w:rPr>
        <w:t xml:space="preserve">Any request for </w:t>
      </w:r>
      <w:r w:rsidR="00D13FA6" w:rsidRPr="005F20BD">
        <w:rPr>
          <w:rFonts w:eastAsia="MS Mincho"/>
          <w:sz w:val="22"/>
          <w:szCs w:val="22"/>
        </w:rPr>
        <w:t xml:space="preserve">making </w:t>
      </w:r>
      <w:r w:rsidRPr="005F20BD">
        <w:rPr>
          <w:rFonts w:eastAsia="MS Mincho"/>
          <w:sz w:val="22"/>
          <w:szCs w:val="22"/>
        </w:rPr>
        <w:t xml:space="preserve">full payment </w:t>
      </w:r>
      <w:r w:rsidR="00D13FA6" w:rsidRPr="005F20BD">
        <w:rPr>
          <w:rFonts w:eastAsia="MS Mincho"/>
          <w:sz w:val="22"/>
          <w:szCs w:val="22"/>
        </w:rPr>
        <w:t xml:space="preserve">over time </w:t>
      </w:r>
      <w:r w:rsidRPr="005F20BD">
        <w:rPr>
          <w:rFonts w:eastAsia="MS Mincho" w:cs="Arial"/>
          <w:sz w:val="22"/>
          <w:szCs w:val="22"/>
        </w:rPr>
        <w:t>under</w:t>
      </w:r>
      <w:r w:rsidRPr="005F20BD">
        <w:rPr>
          <w:rFonts w:eastAsia="MS Mincho"/>
          <w:sz w:val="22"/>
          <w:szCs w:val="22"/>
        </w:rPr>
        <w:t xml:space="preserve"> an installment plan should be sent to:  Chief Financial Officer—Financial Operations, </w:t>
      </w:r>
      <w:r w:rsidRPr="005F20BD">
        <w:rPr>
          <w:rFonts w:eastAsia="MS Mincho" w:cs="Arial"/>
          <w:sz w:val="22"/>
          <w:szCs w:val="22"/>
        </w:rPr>
        <w:t>Federal</w:t>
      </w:r>
      <w:r w:rsidRPr="005F20BD">
        <w:rPr>
          <w:rFonts w:eastAsia="MS Mincho"/>
          <w:sz w:val="22"/>
          <w:szCs w:val="22"/>
        </w:rPr>
        <w:t xml:space="preserve"> Communications Commission, 445 12th Street, S.W., Room 1-A625, Washington, D.C.  20554.</w:t>
      </w:r>
      <w:r w:rsidRPr="005F20BD">
        <w:rPr>
          <w:rStyle w:val="FootnoteReference"/>
          <w:rFonts w:eastAsia="MS Mincho"/>
          <w:sz w:val="22"/>
          <w:szCs w:val="22"/>
        </w:rPr>
        <w:footnoteReference w:id="24"/>
      </w:r>
      <w:r w:rsidRPr="005F20BD">
        <w:rPr>
          <w:rFonts w:eastAsia="MS Mincho"/>
          <w:sz w:val="22"/>
          <w:szCs w:val="22"/>
        </w:rPr>
        <w:t>  If you have questions regarding payment procedures, please contact the Financial Operations Group Help Desk by phone, 1-877-480-3201, or by e</w:t>
      </w:r>
      <w:r w:rsidRPr="005F20BD">
        <w:rPr>
          <w:rFonts w:eastAsia="MS Mincho"/>
          <w:sz w:val="22"/>
          <w:szCs w:val="22"/>
        </w:rPr>
        <w:noBreakHyphen/>
        <w:t xml:space="preserve">mail, </w:t>
      </w:r>
      <w:r w:rsidRPr="005F20BD">
        <w:rPr>
          <w:rFonts w:eastAsia="MS Mincho" w:cs="Arial"/>
          <w:sz w:val="22"/>
          <w:szCs w:val="22"/>
        </w:rPr>
        <w:t>ARINQUIRIES@fcc.gov</w:t>
      </w:r>
      <w:r w:rsidRPr="005F20BD">
        <w:rPr>
          <w:rFonts w:eastAsia="MS Mincho"/>
          <w:sz w:val="22"/>
          <w:szCs w:val="22"/>
        </w:rPr>
        <w:t>.   </w:t>
      </w:r>
    </w:p>
    <w:p w:rsidR="009230F1" w:rsidRDefault="007E2E05" w:rsidP="00AF28EE">
      <w:pPr>
        <w:widowControl/>
        <w:numPr>
          <w:ilvl w:val="0"/>
          <w:numId w:val="22"/>
        </w:numPr>
        <w:tabs>
          <w:tab w:val="clear" w:pos="1260"/>
        </w:tabs>
        <w:suppressAutoHyphens/>
        <w:spacing w:after="120"/>
        <w:ind w:left="0"/>
        <w:rPr>
          <w:spacing w:val="-2"/>
          <w:sz w:val="22"/>
          <w:szCs w:val="22"/>
        </w:rPr>
      </w:pPr>
      <w:r w:rsidRPr="00EE1666">
        <w:rPr>
          <w:sz w:val="22"/>
          <w:szCs w:val="22"/>
        </w:rPr>
        <w:t>The written statement seeking reduction or cancellation of the proposed forfeiture, if any, must include a detailed factual statement supported by appropriate documentat</w:t>
      </w:r>
      <w:r w:rsidR="00D57AE2" w:rsidRPr="00EE1666">
        <w:rPr>
          <w:sz w:val="22"/>
          <w:szCs w:val="22"/>
        </w:rPr>
        <w:t>ion and affidavits pursuant to S</w:t>
      </w:r>
      <w:r w:rsidRPr="00EE1666">
        <w:rPr>
          <w:sz w:val="22"/>
          <w:szCs w:val="22"/>
        </w:rPr>
        <w:t xml:space="preserve">ections </w:t>
      </w:r>
      <w:r w:rsidR="00F30E61" w:rsidRPr="00EE1666">
        <w:rPr>
          <w:sz w:val="22"/>
          <w:szCs w:val="22"/>
        </w:rPr>
        <w:t xml:space="preserve">1.16 and </w:t>
      </w:r>
      <w:r w:rsidRPr="00EE1666">
        <w:rPr>
          <w:sz w:val="22"/>
          <w:szCs w:val="22"/>
        </w:rPr>
        <w:t>1.80(f)(3) of the Rules.</w:t>
      </w:r>
      <w:r w:rsidR="003E2AD5" w:rsidRPr="005F20BD">
        <w:rPr>
          <w:rStyle w:val="FootnoteReference"/>
          <w:sz w:val="22"/>
          <w:szCs w:val="22"/>
        </w:rPr>
        <w:footnoteReference w:id="25"/>
      </w:r>
      <w:r w:rsidRPr="00EE1666">
        <w:rPr>
          <w:sz w:val="22"/>
          <w:szCs w:val="22"/>
        </w:rPr>
        <w:t xml:space="preserve">  Mail the written statement to Federal Communications Commission, Enforcement Bureau,</w:t>
      </w:r>
      <w:r w:rsidR="00050854" w:rsidRPr="00EE1666">
        <w:rPr>
          <w:spacing w:val="-2"/>
          <w:sz w:val="22"/>
          <w:szCs w:val="22"/>
        </w:rPr>
        <w:t xml:space="preserve"> </w:t>
      </w:r>
      <w:r w:rsidR="00440DC4" w:rsidRPr="00EE1666">
        <w:rPr>
          <w:spacing w:val="-2"/>
          <w:sz w:val="22"/>
          <w:szCs w:val="22"/>
        </w:rPr>
        <w:t>Northeast Region, Philadelphia</w:t>
      </w:r>
      <w:r w:rsidR="008A607E" w:rsidRPr="00EE1666">
        <w:rPr>
          <w:spacing w:val="-2"/>
          <w:sz w:val="22"/>
          <w:szCs w:val="22"/>
        </w:rPr>
        <w:t xml:space="preserve"> Office, </w:t>
      </w:r>
      <w:r w:rsidR="00440DC4" w:rsidRPr="00EE1666">
        <w:rPr>
          <w:spacing w:val="-2"/>
          <w:sz w:val="22"/>
          <w:szCs w:val="22"/>
        </w:rPr>
        <w:t>One Oxford Valley Building Suite 404, 2300 East Lincoln Highway</w:t>
      </w:r>
      <w:r w:rsidR="008A607E" w:rsidRPr="00EE1666">
        <w:rPr>
          <w:spacing w:val="-2"/>
          <w:sz w:val="22"/>
          <w:szCs w:val="22"/>
        </w:rPr>
        <w:t xml:space="preserve">, </w:t>
      </w:r>
      <w:r w:rsidR="00440DC4" w:rsidRPr="00EE1666">
        <w:rPr>
          <w:spacing w:val="-2"/>
          <w:sz w:val="22"/>
          <w:szCs w:val="22"/>
        </w:rPr>
        <w:t>Langhorne, PA</w:t>
      </w:r>
      <w:r w:rsidR="008A607E" w:rsidRPr="00EE1666">
        <w:rPr>
          <w:spacing w:val="-2"/>
          <w:sz w:val="22"/>
          <w:szCs w:val="22"/>
        </w:rPr>
        <w:t xml:space="preserve"> </w:t>
      </w:r>
      <w:r w:rsidR="00440DC4" w:rsidRPr="00EE1666">
        <w:rPr>
          <w:spacing w:val="-2"/>
          <w:sz w:val="22"/>
          <w:szCs w:val="22"/>
        </w:rPr>
        <w:t>19047</w:t>
      </w:r>
      <w:r w:rsidR="00050854" w:rsidRPr="00EE1666">
        <w:rPr>
          <w:spacing w:val="-2"/>
          <w:sz w:val="22"/>
          <w:szCs w:val="22"/>
        </w:rPr>
        <w:t xml:space="preserve"> and include the NAL/Acct. No. referenced in the caption.</w:t>
      </w:r>
      <w:r w:rsidR="00683F6F" w:rsidRPr="00EE1666">
        <w:rPr>
          <w:spacing w:val="-2"/>
          <w:sz w:val="22"/>
          <w:szCs w:val="22"/>
        </w:rPr>
        <w:t xml:space="preserve">  </w:t>
      </w:r>
      <w:r w:rsidR="00440DC4" w:rsidRPr="00EE1666">
        <w:rPr>
          <w:spacing w:val="-2"/>
          <w:sz w:val="22"/>
          <w:szCs w:val="22"/>
        </w:rPr>
        <w:t>James Engle</w:t>
      </w:r>
      <w:r w:rsidR="00683F6F" w:rsidRPr="00EE1666">
        <w:rPr>
          <w:spacing w:val="-2"/>
          <w:sz w:val="22"/>
          <w:szCs w:val="22"/>
        </w:rPr>
        <w:t xml:space="preserve"> </w:t>
      </w:r>
      <w:r w:rsidR="005F67D7" w:rsidRPr="00EE1666">
        <w:rPr>
          <w:spacing w:val="-2"/>
          <w:sz w:val="22"/>
          <w:szCs w:val="22"/>
        </w:rPr>
        <w:t xml:space="preserve">also </w:t>
      </w:r>
      <w:r w:rsidR="00683F6F" w:rsidRPr="00EE1666">
        <w:rPr>
          <w:spacing w:val="-2"/>
          <w:sz w:val="22"/>
          <w:szCs w:val="22"/>
        </w:rPr>
        <w:t>shall e</w:t>
      </w:r>
      <w:r w:rsidR="00C009F7" w:rsidRPr="00EE1666">
        <w:rPr>
          <w:spacing w:val="-2"/>
          <w:sz w:val="22"/>
          <w:szCs w:val="22"/>
        </w:rPr>
        <w:t>-</w:t>
      </w:r>
      <w:r w:rsidR="00683F6F" w:rsidRPr="00EE1666">
        <w:rPr>
          <w:spacing w:val="-2"/>
          <w:sz w:val="22"/>
          <w:szCs w:val="22"/>
        </w:rPr>
        <w:t>mail the written response to</w:t>
      </w:r>
      <w:r w:rsidR="00683F6F" w:rsidRPr="00EE1666">
        <w:rPr>
          <w:sz w:val="22"/>
          <w:szCs w:val="22"/>
        </w:rPr>
        <w:t xml:space="preserve"> </w:t>
      </w:r>
      <w:r w:rsidR="009230F1" w:rsidRPr="009230F1">
        <w:rPr>
          <w:sz w:val="22"/>
          <w:szCs w:val="22"/>
        </w:rPr>
        <w:t>NER-Response@fcc.gov</w:t>
      </w:r>
      <w:r w:rsidR="00683F6F" w:rsidRPr="00EE1666">
        <w:rPr>
          <w:sz w:val="22"/>
          <w:szCs w:val="22"/>
        </w:rPr>
        <w:t>.</w:t>
      </w:r>
    </w:p>
    <w:p w:rsidR="009230F1" w:rsidRPr="00AF28EE" w:rsidRDefault="00050854" w:rsidP="00AF28EE">
      <w:pPr>
        <w:widowControl/>
        <w:numPr>
          <w:ilvl w:val="0"/>
          <w:numId w:val="22"/>
        </w:numPr>
        <w:tabs>
          <w:tab w:val="clear" w:pos="1260"/>
        </w:tabs>
        <w:suppressAutoHyphens/>
        <w:spacing w:after="120"/>
        <w:ind w:left="0"/>
        <w:rPr>
          <w:spacing w:val="-2"/>
          <w:sz w:val="22"/>
        </w:rPr>
      </w:pPr>
      <w:r w:rsidRPr="009230F1">
        <w:rPr>
          <w:spacing w:val="-2"/>
          <w:sz w:val="22"/>
          <w:szCs w:val="22"/>
        </w:rPr>
        <w:t xml:space="preserve">The Commission will not consider reducing or canceling a forfeiture in response to a claim of inability to pay unless the petitioner submits: </w:t>
      </w:r>
      <w:r w:rsidR="00F30E61" w:rsidRPr="009230F1">
        <w:rPr>
          <w:spacing w:val="-2"/>
          <w:sz w:val="22"/>
          <w:szCs w:val="22"/>
        </w:rPr>
        <w:t xml:space="preserve"> </w:t>
      </w:r>
      <w:r w:rsidRPr="009230F1">
        <w:rPr>
          <w:spacing w:val="-2"/>
          <w:sz w:val="22"/>
          <w:szCs w:val="22"/>
        </w:rPr>
        <w:t>(1) federal tax returns for the most recent three-year period; (2) financial statements prepared according to generally accepted accounting pr</w:t>
      </w:r>
      <w:r w:rsidR="00D13FA6" w:rsidRPr="009230F1">
        <w:rPr>
          <w:spacing w:val="-2"/>
          <w:sz w:val="22"/>
          <w:szCs w:val="22"/>
        </w:rPr>
        <w:t>inciples</w:t>
      </w:r>
      <w:r w:rsidRPr="009230F1">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9230F1" w:rsidRDefault="00050854" w:rsidP="00AF28EE">
      <w:pPr>
        <w:widowControl/>
        <w:numPr>
          <w:ilvl w:val="0"/>
          <w:numId w:val="22"/>
        </w:numPr>
        <w:tabs>
          <w:tab w:val="clear" w:pos="1260"/>
        </w:tabs>
        <w:suppressAutoHyphens/>
        <w:spacing w:after="120"/>
        <w:ind w:left="0"/>
        <w:rPr>
          <w:spacing w:val="-2"/>
          <w:sz w:val="22"/>
          <w:szCs w:val="22"/>
        </w:rPr>
      </w:pPr>
      <w:r w:rsidRPr="009230F1">
        <w:rPr>
          <w:b/>
          <w:spacing w:val="-2"/>
          <w:sz w:val="22"/>
          <w:szCs w:val="22"/>
        </w:rPr>
        <w:t>IT IS FURTHER ORDERED</w:t>
      </w:r>
      <w:r w:rsidRPr="009230F1">
        <w:rPr>
          <w:spacing w:val="-2"/>
          <w:sz w:val="22"/>
          <w:szCs w:val="22"/>
        </w:rPr>
        <w:t xml:space="preserve"> </w:t>
      </w:r>
      <w:r w:rsidR="003F3CFD" w:rsidRPr="009230F1">
        <w:rPr>
          <w:spacing w:val="-2"/>
          <w:sz w:val="22"/>
          <w:szCs w:val="22"/>
        </w:rPr>
        <w:t>that</w:t>
      </w:r>
      <w:r w:rsidRPr="009230F1">
        <w:rPr>
          <w:spacing w:val="-2"/>
          <w:sz w:val="22"/>
          <w:szCs w:val="22"/>
        </w:rPr>
        <w:t xml:space="preserve"> a copy of this Notice of Apparent Liability for Forfeiture shall be sent by </w:t>
      </w:r>
      <w:r w:rsidR="00683F6F" w:rsidRPr="009230F1">
        <w:rPr>
          <w:spacing w:val="-2"/>
          <w:sz w:val="22"/>
          <w:szCs w:val="22"/>
        </w:rPr>
        <w:t xml:space="preserve">both </w:t>
      </w:r>
      <w:r w:rsidRPr="009230F1">
        <w:rPr>
          <w:spacing w:val="-2"/>
          <w:sz w:val="22"/>
          <w:szCs w:val="22"/>
        </w:rPr>
        <w:t xml:space="preserve">Certified Mail, Return Receipt Requested, and </w:t>
      </w:r>
      <w:r w:rsidR="00B779DC" w:rsidRPr="009230F1">
        <w:rPr>
          <w:spacing w:val="-2"/>
          <w:sz w:val="22"/>
          <w:szCs w:val="22"/>
        </w:rPr>
        <w:t>First C</w:t>
      </w:r>
      <w:r w:rsidR="008C26F7" w:rsidRPr="009230F1">
        <w:rPr>
          <w:spacing w:val="-2"/>
          <w:sz w:val="22"/>
          <w:szCs w:val="22"/>
        </w:rPr>
        <w:t xml:space="preserve">lass </w:t>
      </w:r>
      <w:r w:rsidR="00B779DC" w:rsidRPr="009230F1">
        <w:rPr>
          <w:spacing w:val="-2"/>
          <w:sz w:val="22"/>
          <w:szCs w:val="22"/>
        </w:rPr>
        <w:t>M</w:t>
      </w:r>
      <w:r w:rsidRPr="009230F1">
        <w:rPr>
          <w:spacing w:val="-2"/>
          <w:sz w:val="22"/>
          <w:szCs w:val="22"/>
        </w:rPr>
        <w:t xml:space="preserve">ail to </w:t>
      </w:r>
      <w:r w:rsidR="00B879E3" w:rsidRPr="009230F1">
        <w:rPr>
          <w:spacing w:val="-2"/>
          <w:sz w:val="22"/>
          <w:szCs w:val="22"/>
        </w:rPr>
        <w:t>James Engle</w:t>
      </w:r>
      <w:r w:rsidR="000A0EEE" w:rsidRPr="009230F1">
        <w:rPr>
          <w:b/>
          <w:spacing w:val="-2"/>
          <w:sz w:val="22"/>
          <w:szCs w:val="22"/>
        </w:rPr>
        <w:t xml:space="preserve"> </w:t>
      </w:r>
      <w:r w:rsidR="000A0EEE" w:rsidRPr="009230F1">
        <w:rPr>
          <w:spacing w:val="-2"/>
          <w:sz w:val="22"/>
          <w:szCs w:val="22"/>
        </w:rPr>
        <w:t>at</w:t>
      </w:r>
      <w:r w:rsidR="008A607E" w:rsidRPr="009230F1">
        <w:rPr>
          <w:spacing w:val="-2"/>
          <w:sz w:val="22"/>
          <w:szCs w:val="22"/>
        </w:rPr>
        <w:t xml:space="preserve"> </w:t>
      </w:r>
      <w:r w:rsidR="00B779DC" w:rsidRPr="009230F1">
        <w:rPr>
          <w:spacing w:val="-2"/>
          <w:sz w:val="22"/>
          <w:szCs w:val="22"/>
        </w:rPr>
        <w:t>his address of record.</w:t>
      </w:r>
      <w:r w:rsidRPr="009230F1">
        <w:rPr>
          <w:b/>
          <w:spacing w:val="-2"/>
          <w:sz w:val="22"/>
          <w:szCs w:val="22"/>
        </w:rPr>
        <w:t xml:space="preserve"> </w:t>
      </w:r>
    </w:p>
    <w:p w:rsidR="00050854" w:rsidRPr="005F20BD" w:rsidRDefault="00050854" w:rsidP="00BF1922">
      <w:pPr>
        <w:widowControl/>
        <w:tabs>
          <w:tab w:val="left" w:pos="0"/>
          <w:tab w:val="num" w:pos="1440"/>
        </w:tabs>
        <w:suppressAutoHyphens/>
        <w:spacing w:line="240" w:lineRule="atLeast"/>
        <w:jc w:val="both"/>
        <w:rPr>
          <w:spacing w:val="-2"/>
          <w:sz w:val="22"/>
          <w:szCs w:val="22"/>
        </w:rPr>
      </w:pPr>
    </w:p>
    <w:p w:rsidR="00050854" w:rsidRPr="005F20BD" w:rsidRDefault="00331410" w:rsidP="00BF1922">
      <w:pPr>
        <w:widowControl/>
        <w:tabs>
          <w:tab w:val="left" w:pos="0"/>
          <w:tab w:val="num" w:pos="1440"/>
        </w:tabs>
        <w:suppressAutoHyphens/>
        <w:spacing w:line="240" w:lineRule="atLeast"/>
        <w:rPr>
          <w:spacing w:val="-2"/>
          <w:sz w:val="22"/>
          <w:szCs w:val="22"/>
        </w:rPr>
      </w:pPr>
      <w:r w:rsidRPr="005F20BD">
        <w:rPr>
          <w:spacing w:val="-2"/>
          <w:sz w:val="22"/>
          <w:szCs w:val="22"/>
        </w:rPr>
        <w:tab/>
      </w:r>
      <w:r w:rsidRPr="005F20BD">
        <w:rPr>
          <w:spacing w:val="-2"/>
          <w:sz w:val="22"/>
          <w:szCs w:val="22"/>
        </w:rPr>
        <w:tab/>
      </w:r>
      <w:r w:rsidRPr="005F20BD">
        <w:rPr>
          <w:spacing w:val="-2"/>
          <w:sz w:val="22"/>
          <w:szCs w:val="22"/>
        </w:rPr>
        <w:tab/>
      </w:r>
      <w:r w:rsidRPr="005F20BD">
        <w:rPr>
          <w:spacing w:val="-2"/>
          <w:sz w:val="22"/>
          <w:szCs w:val="22"/>
        </w:rPr>
        <w:tab/>
      </w:r>
      <w:r w:rsidRPr="005F20BD">
        <w:rPr>
          <w:spacing w:val="-2"/>
          <w:sz w:val="22"/>
          <w:szCs w:val="22"/>
        </w:rPr>
        <w:tab/>
      </w:r>
      <w:r w:rsidR="00050854" w:rsidRPr="005F20BD">
        <w:rPr>
          <w:spacing w:val="-2"/>
          <w:sz w:val="22"/>
          <w:szCs w:val="22"/>
        </w:rPr>
        <w:t>FEDERAL COMMUNICATIONS COMMISSION</w:t>
      </w:r>
    </w:p>
    <w:p w:rsidR="00050854" w:rsidRPr="005F20BD"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8A607E" w:rsidRPr="00B4187C" w:rsidRDefault="00331410" w:rsidP="008A607E">
      <w:pPr>
        <w:tabs>
          <w:tab w:val="left" w:pos="0"/>
          <w:tab w:val="num" w:pos="1440"/>
        </w:tabs>
        <w:suppressAutoHyphens/>
        <w:spacing w:line="240" w:lineRule="atLeast"/>
        <w:jc w:val="both"/>
        <w:rPr>
          <w:color w:val="000000"/>
          <w:spacing w:val="-2"/>
          <w:sz w:val="22"/>
          <w:szCs w:val="22"/>
        </w:rPr>
      </w:pPr>
      <w:r>
        <w:tab/>
      </w:r>
      <w:r>
        <w:tab/>
      </w:r>
      <w:r>
        <w:tab/>
      </w:r>
      <w:r>
        <w:tab/>
      </w:r>
      <w:r w:rsidR="00050854" w:rsidRPr="00E34AAE">
        <w:tab/>
      </w:r>
      <w:r w:rsidR="00B879E3">
        <w:rPr>
          <w:noProof/>
          <w:color w:val="000000"/>
          <w:spacing w:val="-2"/>
          <w:sz w:val="22"/>
          <w:szCs w:val="22"/>
        </w:rPr>
        <w:t>David C. Dombrowski</w:t>
      </w:r>
    </w:p>
    <w:p w:rsidR="008A607E" w:rsidRPr="00B4187C" w:rsidRDefault="008A607E" w:rsidP="008A607E">
      <w:pPr>
        <w:tabs>
          <w:tab w:val="left" w:pos="0"/>
          <w:tab w:val="num" w:pos="1440"/>
        </w:tabs>
        <w:suppressAutoHyphens/>
        <w:spacing w:line="240" w:lineRule="atLeast"/>
        <w:jc w:val="both"/>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sidRPr="00B4187C">
        <w:rPr>
          <w:noProof/>
          <w:color w:val="000000"/>
          <w:spacing w:val="-2"/>
          <w:sz w:val="22"/>
          <w:szCs w:val="22"/>
        </w:rPr>
        <w:t>District Director</w:t>
      </w:r>
    </w:p>
    <w:p w:rsidR="008A607E" w:rsidRPr="00B4187C" w:rsidRDefault="008A607E" w:rsidP="008A607E">
      <w:pPr>
        <w:tabs>
          <w:tab w:val="left" w:pos="0"/>
          <w:tab w:val="num" w:pos="1440"/>
        </w:tabs>
        <w:suppressAutoHyphens/>
        <w:spacing w:line="240" w:lineRule="atLeast"/>
        <w:jc w:val="both"/>
        <w:rPr>
          <w:color w:val="000000"/>
          <w:spacing w:val="-2"/>
          <w:sz w:val="22"/>
          <w:szCs w:val="22"/>
        </w:rPr>
      </w:pP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00B879E3">
        <w:rPr>
          <w:noProof/>
          <w:color w:val="000000"/>
          <w:spacing w:val="-2"/>
          <w:sz w:val="22"/>
          <w:szCs w:val="22"/>
        </w:rPr>
        <w:t>Philadelphia</w:t>
      </w:r>
      <w:r w:rsidRPr="00B4187C">
        <w:rPr>
          <w:noProof/>
          <w:color w:val="000000"/>
          <w:spacing w:val="-2"/>
          <w:sz w:val="22"/>
          <w:szCs w:val="22"/>
        </w:rPr>
        <w:t xml:space="preserve"> Office</w:t>
      </w:r>
    </w:p>
    <w:p w:rsidR="008A607E" w:rsidRPr="00B4187C" w:rsidRDefault="008A607E" w:rsidP="008A607E">
      <w:pPr>
        <w:tabs>
          <w:tab w:val="left" w:pos="0"/>
          <w:tab w:val="num" w:pos="1440"/>
        </w:tabs>
        <w:suppressAutoHyphens/>
        <w:spacing w:line="240" w:lineRule="atLeast"/>
        <w:jc w:val="both"/>
        <w:rPr>
          <w:color w:val="000000"/>
          <w:spacing w:val="-2"/>
          <w:sz w:val="22"/>
          <w:szCs w:val="22"/>
        </w:rPr>
      </w:pP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00B879E3">
        <w:rPr>
          <w:noProof/>
          <w:color w:val="000000"/>
          <w:spacing w:val="-2"/>
          <w:sz w:val="22"/>
          <w:szCs w:val="22"/>
        </w:rPr>
        <w:t>Northeast</w:t>
      </w:r>
      <w:r w:rsidRPr="00B4187C">
        <w:rPr>
          <w:noProof/>
          <w:color w:val="000000"/>
          <w:spacing w:val="-2"/>
          <w:sz w:val="22"/>
          <w:szCs w:val="22"/>
        </w:rPr>
        <w:t xml:space="preserve"> Region</w:t>
      </w:r>
    </w:p>
    <w:p w:rsidR="009F6C24" w:rsidRPr="00AF28EE" w:rsidRDefault="008A607E" w:rsidP="00AF28EE">
      <w:pPr>
        <w:tabs>
          <w:tab w:val="left" w:pos="0"/>
          <w:tab w:val="num" w:pos="1440"/>
        </w:tabs>
        <w:suppressAutoHyphens/>
        <w:spacing w:line="240" w:lineRule="atLeast"/>
        <w:jc w:val="both"/>
        <w:rPr>
          <w:color w:val="000000"/>
          <w:spacing w:val="-2"/>
          <w:sz w:val="22"/>
        </w:rPr>
      </w:pP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sidRPr="00B4187C">
        <w:rPr>
          <w:color w:val="000000"/>
          <w:spacing w:val="-2"/>
          <w:sz w:val="22"/>
          <w:szCs w:val="22"/>
        </w:rPr>
        <w:tab/>
      </w:r>
      <w:r>
        <w:rPr>
          <w:color w:val="000000"/>
          <w:spacing w:val="-2"/>
          <w:sz w:val="22"/>
          <w:szCs w:val="22"/>
        </w:rPr>
        <w:t>E</w:t>
      </w:r>
      <w:r w:rsidRPr="00B4187C">
        <w:rPr>
          <w:color w:val="000000"/>
          <w:spacing w:val="-2"/>
          <w:sz w:val="22"/>
          <w:szCs w:val="22"/>
        </w:rPr>
        <w:t>nforcement Bureau</w:t>
      </w:r>
    </w:p>
    <w:sectPr w:rsidR="009F6C24" w:rsidRPr="00AF28EE"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33" w:rsidRDefault="005B3233">
      <w:r>
        <w:separator/>
      </w:r>
    </w:p>
  </w:endnote>
  <w:endnote w:type="continuationSeparator" w:id="0">
    <w:p w:rsidR="005B3233" w:rsidRDefault="005B3233">
      <w:r>
        <w:continuationSeparator/>
      </w:r>
    </w:p>
  </w:endnote>
  <w:endnote w:type="continuationNotice" w:id="1">
    <w:p w:rsidR="005B3233" w:rsidRDefault="005B3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E8" w:rsidRDefault="00A54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4C" w:rsidRDefault="00A1394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77AA">
      <w:rPr>
        <w:rStyle w:val="PageNumber"/>
        <w:noProof/>
      </w:rPr>
      <w:t>2</w:t>
    </w:r>
    <w:r>
      <w:rPr>
        <w:rStyle w:val="PageNumber"/>
      </w:rPr>
      <w:fldChar w:fldCharType="end"/>
    </w:r>
  </w:p>
  <w:p w:rsidR="00A1394C" w:rsidRDefault="00A1394C"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E8" w:rsidRDefault="00A5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33" w:rsidRDefault="005B3233">
      <w:r>
        <w:separator/>
      </w:r>
    </w:p>
  </w:footnote>
  <w:footnote w:type="continuationSeparator" w:id="0">
    <w:p w:rsidR="005B3233" w:rsidRDefault="005B3233">
      <w:r>
        <w:separator/>
      </w:r>
    </w:p>
    <w:p w:rsidR="005B3233" w:rsidRDefault="005B3233">
      <w:r>
        <w:t>(...continued from previous page)</w:t>
      </w:r>
    </w:p>
  </w:footnote>
  <w:footnote w:type="continuationNotice" w:id="1">
    <w:p w:rsidR="005B3233" w:rsidRDefault="005B3233">
      <w:pPr>
        <w:jc w:val="right"/>
      </w:pPr>
      <w:r>
        <w:t>(continued....)</w:t>
      </w:r>
    </w:p>
  </w:footnote>
  <w:footnote w:id="2">
    <w:p w:rsidR="00BB4C09" w:rsidRDefault="00BB4C09" w:rsidP="001379FB">
      <w:pPr>
        <w:pStyle w:val="FootnoteText"/>
      </w:pPr>
      <w:r>
        <w:rPr>
          <w:rStyle w:val="FootnoteReference"/>
        </w:rPr>
        <w:footnoteRef/>
      </w:r>
      <w:r>
        <w:t xml:space="preserve"> 47 U.S.C. §§ 301, 333; 47 C.F.R. §§ 95.411</w:t>
      </w:r>
      <w:r w:rsidR="00DD6132">
        <w:t>(a), 95.413(a).</w:t>
      </w:r>
    </w:p>
  </w:footnote>
  <w:footnote w:id="3">
    <w:p w:rsidR="00E12F2A" w:rsidRPr="006D0F2E" w:rsidRDefault="00E12F2A" w:rsidP="001379FB">
      <w:pPr>
        <w:pStyle w:val="FootnoteText"/>
        <w:widowControl/>
        <w:jc w:val="left"/>
      </w:pPr>
      <w:r w:rsidRPr="006D0F2E">
        <w:rPr>
          <w:rStyle w:val="FootnoteReference"/>
        </w:rPr>
        <w:footnoteRef/>
      </w:r>
      <w:r w:rsidRPr="006D0F2E">
        <w:t xml:space="preserve"> </w:t>
      </w:r>
      <w:r w:rsidRPr="008F1D80">
        <w:t xml:space="preserve">Letter to James Engle from Laura Smith, </w:t>
      </w:r>
      <w:r>
        <w:t xml:space="preserve">Esq., </w:t>
      </w:r>
      <w:r w:rsidRPr="008F1D80">
        <w:t>Special Counsel, Enforcement Bureau (Feb. 15, 2013)</w:t>
      </w:r>
      <w:r>
        <w:t xml:space="preserve"> (on file in EB-FIELDNER-13-00011917); </w:t>
      </w:r>
      <w:r w:rsidRPr="008F1D80">
        <w:t>Letter to James Engle from David C. Dombrowski, District Director, Philadelphia Office, Northeast Region, Enforcement Bureau (Apr. 1, 2013)</w:t>
      </w:r>
      <w:r>
        <w:t xml:space="preserve"> (on file in EB-FIELDNER-13-00011917)</w:t>
      </w:r>
      <w:r w:rsidRPr="008F1D80">
        <w:t>.</w:t>
      </w:r>
      <w:r w:rsidRPr="00440DC4">
        <w:rPr>
          <w:highlight w:val="yellow"/>
        </w:rPr>
        <w:t xml:space="preserve"> </w:t>
      </w:r>
      <w:r>
        <w:rPr>
          <w:highlight w:val="yellow"/>
        </w:rPr>
        <w:t xml:space="preserve"> </w:t>
      </w:r>
    </w:p>
  </w:footnote>
  <w:footnote w:id="4">
    <w:p w:rsidR="00A1394C" w:rsidRPr="006D0F2E" w:rsidRDefault="00A1394C" w:rsidP="001379FB">
      <w:pPr>
        <w:pStyle w:val="FootnoteText"/>
        <w:rPr>
          <w:color w:val="000000"/>
        </w:rPr>
      </w:pPr>
      <w:r w:rsidRPr="006D0F2E">
        <w:rPr>
          <w:rStyle w:val="FootnoteReference"/>
          <w:color w:val="000000"/>
        </w:rPr>
        <w:footnoteRef/>
      </w:r>
      <w:r w:rsidRPr="006D0F2E">
        <w:rPr>
          <w:color w:val="000000"/>
        </w:rPr>
        <w:t xml:space="preserve"> 47 U.S.C. § 503(b).</w:t>
      </w:r>
    </w:p>
  </w:footnote>
  <w:footnote w:id="5">
    <w:p w:rsidR="00A1394C" w:rsidRPr="006D0F2E" w:rsidRDefault="00A1394C" w:rsidP="001379FB">
      <w:pPr>
        <w:pStyle w:val="FootnoteText"/>
        <w:widowControl/>
        <w:rPr>
          <w:color w:val="000000"/>
        </w:rPr>
      </w:pPr>
      <w:r w:rsidRPr="006D0F2E">
        <w:rPr>
          <w:rStyle w:val="FootnoteReference"/>
          <w:color w:val="000000"/>
        </w:rPr>
        <w:footnoteRef/>
      </w:r>
      <w:r w:rsidRPr="006D0F2E">
        <w:rPr>
          <w:color w:val="000000"/>
        </w:rPr>
        <w:t xml:space="preserve"> 47 U.S.C. § 312(f)(1).</w:t>
      </w:r>
    </w:p>
  </w:footnote>
  <w:footnote w:id="6">
    <w:p w:rsidR="00A1394C" w:rsidRPr="006D0F2E" w:rsidRDefault="00A1394C" w:rsidP="001379FB">
      <w:pPr>
        <w:pStyle w:val="FootnoteText"/>
        <w:jc w:val="left"/>
        <w:rPr>
          <w:color w:val="000000"/>
        </w:rPr>
      </w:pPr>
      <w:r w:rsidRPr="006D0F2E">
        <w:rPr>
          <w:rStyle w:val="FootnoteReference"/>
          <w:color w:val="000000"/>
        </w:rPr>
        <w:footnoteRef/>
      </w:r>
      <w:r w:rsidRPr="006D0F2E">
        <w:rPr>
          <w:color w:val="000000"/>
        </w:rPr>
        <w:t xml:space="preserve"> H.R. Rep. No. 97-765, 97</w:t>
      </w:r>
      <w:r w:rsidRPr="006D0F2E">
        <w:rPr>
          <w:color w:val="000000"/>
          <w:vertAlign w:val="superscript"/>
        </w:rPr>
        <w:t>th</w:t>
      </w:r>
      <w:r w:rsidRPr="006D0F2E">
        <w:rPr>
          <w:color w:val="000000"/>
        </w:rPr>
        <w:t xml:space="preserve"> Cong. 2d Sess. 51 (1982) (“</w:t>
      </w:r>
      <w:r w:rsidRPr="006D0F2E">
        <w:rPr>
          <w:rStyle w:val="documentbody"/>
          <w:color w:val="000000"/>
        </w:rPr>
        <w:t xml:space="preserve">This provision [inserted in Section 312] defines the terms ‘willful’ and ‘repeated’ for purposes of section </w:t>
      </w:r>
      <w:r w:rsidRPr="006D0F2E">
        <w:rPr>
          <w:rStyle w:val="searchterm"/>
          <w:color w:val="000000"/>
        </w:rPr>
        <w:t>312</w:t>
      </w:r>
      <w:r w:rsidRPr="006D0F2E">
        <w:rPr>
          <w:rStyle w:val="documentbody"/>
          <w:color w:val="000000"/>
        </w:rPr>
        <w:t>, and for any other relevant section of the act (e.g., Section 503)   . . . .  As defined[,] . . . ‘willful’ means that the licensee knew that he was doing the act in question, regardless of whether there was an intent to violate the law.”).</w:t>
      </w:r>
    </w:p>
  </w:footnote>
  <w:footnote w:id="7">
    <w:p w:rsidR="00A1394C" w:rsidRPr="006D0F2E" w:rsidRDefault="00A1394C" w:rsidP="001379FB">
      <w:pPr>
        <w:pStyle w:val="FootnoteText"/>
        <w:jc w:val="left"/>
        <w:rPr>
          <w:color w:val="000000"/>
        </w:rPr>
      </w:pPr>
      <w:r w:rsidRPr="006D0F2E">
        <w:rPr>
          <w:rStyle w:val="FootnoteReference"/>
          <w:color w:val="000000"/>
        </w:rPr>
        <w:footnoteRef/>
      </w:r>
      <w:r w:rsidRPr="006D0F2E">
        <w:rPr>
          <w:color w:val="000000"/>
        </w:rPr>
        <w:t xml:space="preserve"> </w:t>
      </w:r>
      <w:r w:rsidRPr="006D0F2E">
        <w:rPr>
          <w:i/>
          <w:color w:val="000000"/>
        </w:rPr>
        <w:t>See, e.g.</w:t>
      </w:r>
      <w:r w:rsidRPr="006D0F2E">
        <w:rPr>
          <w:color w:val="000000"/>
        </w:rPr>
        <w:t>,</w:t>
      </w:r>
      <w:r w:rsidRPr="006D0F2E">
        <w:rPr>
          <w:i/>
          <w:color w:val="000000"/>
        </w:rPr>
        <w:t xml:space="preserve"> Southern California Broadcasting Co.</w:t>
      </w:r>
      <w:r w:rsidRPr="006D0F2E">
        <w:rPr>
          <w:color w:val="000000"/>
        </w:rPr>
        <w:t xml:space="preserve">, Memorandum Opinion and Order, 6 FCC Rcd 4387, 4388, para. 5 (1991), </w:t>
      </w:r>
      <w:r w:rsidRPr="006D0F2E">
        <w:rPr>
          <w:i/>
          <w:color w:val="000000"/>
        </w:rPr>
        <w:t>recons. denied</w:t>
      </w:r>
      <w:r w:rsidRPr="006D0F2E">
        <w:rPr>
          <w:color w:val="000000"/>
        </w:rPr>
        <w:t>,</w:t>
      </w:r>
      <w:r w:rsidRPr="006D0F2E">
        <w:rPr>
          <w:i/>
          <w:color w:val="000000"/>
        </w:rPr>
        <w:t xml:space="preserve"> </w:t>
      </w:r>
      <w:r w:rsidRPr="006D0F2E">
        <w:rPr>
          <w:color w:val="000000"/>
        </w:rPr>
        <w:t>7 FCC Rcd 3454 (1992).</w:t>
      </w:r>
    </w:p>
  </w:footnote>
  <w:footnote w:id="8">
    <w:p w:rsidR="00B256B8" w:rsidRPr="006D0F2E" w:rsidRDefault="00B256B8" w:rsidP="001379FB">
      <w:pPr>
        <w:pStyle w:val="FootnoteText"/>
      </w:pPr>
      <w:r w:rsidRPr="006D0F2E">
        <w:rPr>
          <w:rStyle w:val="FootnoteReference"/>
        </w:rPr>
        <w:footnoteRef/>
      </w:r>
      <w:r w:rsidRPr="006D0F2E">
        <w:t xml:space="preserve"> 47 U.S.C. § 301.</w:t>
      </w:r>
    </w:p>
  </w:footnote>
  <w:footnote w:id="9">
    <w:p w:rsidR="00B256B8" w:rsidRPr="006D0F2E" w:rsidRDefault="00B256B8" w:rsidP="001379FB">
      <w:pPr>
        <w:pStyle w:val="FootnoteText"/>
      </w:pPr>
      <w:r w:rsidRPr="006D0F2E">
        <w:rPr>
          <w:rStyle w:val="FootnoteReference"/>
        </w:rPr>
        <w:footnoteRef/>
      </w:r>
      <w:r w:rsidRPr="006D0F2E">
        <w:t xml:space="preserve"> 47 C.F.R. § 95.404.</w:t>
      </w:r>
    </w:p>
  </w:footnote>
  <w:footnote w:id="10">
    <w:p w:rsidR="00B256B8" w:rsidRPr="006D0F2E" w:rsidRDefault="00B256B8" w:rsidP="001379FB">
      <w:pPr>
        <w:pStyle w:val="FootnoteText"/>
      </w:pPr>
      <w:r w:rsidRPr="006D0F2E">
        <w:rPr>
          <w:rStyle w:val="FootnoteReference"/>
        </w:rPr>
        <w:footnoteRef/>
      </w:r>
      <w:r w:rsidRPr="006D0F2E">
        <w:t xml:space="preserve"> 47 U.S.C. § 301.</w:t>
      </w:r>
    </w:p>
  </w:footnote>
  <w:footnote w:id="11">
    <w:p w:rsidR="00B256B8" w:rsidRPr="006D0F2E" w:rsidRDefault="00B256B8" w:rsidP="001379FB">
      <w:pPr>
        <w:pStyle w:val="FootnoteText"/>
      </w:pPr>
      <w:r w:rsidRPr="006D0F2E">
        <w:rPr>
          <w:rStyle w:val="FootnoteReference"/>
        </w:rPr>
        <w:footnoteRef/>
      </w:r>
      <w:r w:rsidRPr="006D0F2E">
        <w:t xml:space="preserve"> 47 C.F.R. § 95.411(a).</w:t>
      </w:r>
    </w:p>
  </w:footnote>
  <w:footnote w:id="12">
    <w:p w:rsidR="00B256B8" w:rsidRPr="006D0F2E" w:rsidRDefault="00B256B8" w:rsidP="001379FB">
      <w:pPr>
        <w:pStyle w:val="FootnoteText"/>
      </w:pPr>
      <w:r w:rsidRPr="006D0F2E">
        <w:rPr>
          <w:rStyle w:val="FootnoteReference"/>
        </w:rPr>
        <w:footnoteRef/>
      </w:r>
      <w:r w:rsidR="00434A70">
        <w:t xml:space="preserve"> 47 C.F.R. § 95.411(b).</w:t>
      </w:r>
    </w:p>
  </w:footnote>
  <w:footnote w:id="13">
    <w:p w:rsidR="00B256B8" w:rsidRPr="006D0F2E" w:rsidRDefault="00B256B8" w:rsidP="001379FB">
      <w:pPr>
        <w:pStyle w:val="FootnoteText"/>
      </w:pPr>
      <w:r w:rsidRPr="006D0F2E">
        <w:rPr>
          <w:rStyle w:val="FootnoteReference"/>
        </w:rPr>
        <w:footnoteRef/>
      </w:r>
      <w:r w:rsidRPr="006D0F2E">
        <w:t xml:space="preserve"> 47 C.F.R. § 95.411(c).</w:t>
      </w:r>
    </w:p>
  </w:footnote>
  <w:footnote w:id="14">
    <w:p w:rsidR="00B256B8" w:rsidRPr="00AF28EE" w:rsidRDefault="00B256B8" w:rsidP="00AF28EE">
      <w:pPr>
        <w:widowControl/>
        <w:spacing w:after="120"/>
        <w:rPr>
          <w:color w:val="010101"/>
          <w:sz w:val="22"/>
        </w:rPr>
      </w:pPr>
      <w:r w:rsidRPr="006D0F2E">
        <w:rPr>
          <w:rStyle w:val="FootnoteReference"/>
        </w:rPr>
        <w:footnoteRef/>
      </w:r>
      <w:r w:rsidRPr="006D0F2E">
        <w:t xml:space="preserve"> </w:t>
      </w:r>
      <w:r w:rsidRPr="006D0F2E">
        <w:rPr>
          <w:i/>
        </w:rPr>
        <w:t>Id</w:t>
      </w:r>
      <w:r w:rsidRPr="006D0F2E">
        <w:t>.</w:t>
      </w:r>
      <w:r>
        <w:t xml:space="preserve"> </w:t>
      </w:r>
      <w:r w:rsidR="005A4003">
        <w:t xml:space="preserve"> </w:t>
      </w:r>
      <w:r>
        <w:t>Section 95.410 of the Rules requires that a</w:t>
      </w:r>
      <w:r w:rsidRPr="00B23DDA">
        <w:t xml:space="preserve"> CB station’s transmitting power output must not</w:t>
      </w:r>
      <w:r w:rsidR="00D94CFD">
        <w:t xml:space="preserve"> exceed 4 W</w:t>
      </w:r>
      <w:r>
        <w:t xml:space="preserve">atts </w:t>
      </w:r>
      <w:r w:rsidRPr="00B23DDA">
        <w:t>in AM mode and</w:t>
      </w:r>
      <w:r>
        <w:t xml:space="preserve"> 12 </w:t>
      </w:r>
      <w:r w:rsidR="00D94CFD">
        <w:t>W</w:t>
      </w:r>
      <w:r>
        <w:t xml:space="preserve">atts </w:t>
      </w:r>
      <w:r w:rsidR="00434A70">
        <w:t xml:space="preserve">in </w:t>
      </w:r>
      <w:r>
        <w:t>Single SideBand mode</w:t>
      </w:r>
      <w:r w:rsidRPr="00B23DDA">
        <w:t xml:space="preserve">.  </w:t>
      </w:r>
      <w:r w:rsidRPr="007B06F6">
        <w:t>47</w:t>
      </w:r>
      <w:r>
        <w:t xml:space="preserve"> C.F.R. § 95.410.</w:t>
      </w:r>
      <w:r w:rsidR="005A4003">
        <w:t xml:space="preserve">  </w:t>
      </w:r>
      <w:r w:rsidR="005A4003" w:rsidRPr="005A4003">
        <w:t xml:space="preserve">As stated above, tests conducted on Mr. Engle’s amplifier </w:t>
      </w:r>
      <w:r w:rsidR="005A4003" w:rsidRPr="005A4003">
        <w:rPr>
          <w:rStyle w:val="ptext-0"/>
        </w:rPr>
        <w:t>measured 148 Watts output power.</w:t>
      </w:r>
      <w:r w:rsidR="005A4003">
        <w:rPr>
          <w:rStyle w:val="ptext-0"/>
        </w:rPr>
        <w:t xml:space="preserve">  </w:t>
      </w:r>
      <w:r w:rsidR="005A4003">
        <w:rPr>
          <w:rStyle w:val="ptext-0"/>
          <w:i/>
        </w:rPr>
        <w:t xml:space="preserve">See supra </w:t>
      </w:r>
      <w:r w:rsidR="005A4003">
        <w:rPr>
          <w:rStyle w:val="ptext-0"/>
        </w:rPr>
        <w:t>para. 4.</w:t>
      </w:r>
    </w:p>
  </w:footnote>
  <w:footnote w:id="15">
    <w:p w:rsidR="00B256B8" w:rsidRDefault="00B256B8" w:rsidP="001379FB">
      <w:pPr>
        <w:pStyle w:val="FootnoteText"/>
      </w:pPr>
      <w:r>
        <w:rPr>
          <w:rStyle w:val="FootnoteReference"/>
        </w:rPr>
        <w:footnoteRef/>
      </w:r>
      <w:r>
        <w:t xml:space="preserve"> 47 U.S.C. § 333.</w:t>
      </w:r>
    </w:p>
  </w:footnote>
  <w:footnote w:id="16">
    <w:p w:rsidR="00B256B8" w:rsidRDefault="00B256B8" w:rsidP="001379FB">
      <w:pPr>
        <w:pStyle w:val="FootnoteText"/>
      </w:pPr>
      <w:r>
        <w:rPr>
          <w:rStyle w:val="FootnoteReference"/>
        </w:rPr>
        <w:footnoteRef/>
      </w:r>
      <w:r>
        <w:t xml:space="preserve"> 47 C.F.R. § 95.413</w:t>
      </w:r>
      <w:r w:rsidR="00E12F2A">
        <w:t>(a)</w:t>
      </w:r>
      <w:r>
        <w:t>.</w:t>
      </w:r>
    </w:p>
  </w:footnote>
  <w:footnote w:id="17">
    <w:p w:rsidR="00A1394C" w:rsidRPr="006D0F2E" w:rsidRDefault="00A1394C" w:rsidP="001379FB">
      <w:pPr>
        <w:pStyle w:val="FootnoteText"/>
        <w:jc w:val="left"/>
      </w:pPr>
      <w:r w:rsidRPr="006D0F2E">
        <w:rPr>
          <w:rStyle w:val="FootnoteReference"/>
        </w:rPr>
        <w:footnoteRef/>
      </w:r>
      <w:r w:rsidRPr="006D0F2E">
        <w:t xml:space="preserve"> </w:t>
      </w:r>
      <w:r w:rsidRPr="006D0F2E">
        <w:rPr>
          <w:i/>
        </w:rPr>
        <w:t>The Commission’s Forfeiture Policy Statement and Amendment of Section 1.80 of the Rules to Incorporate the Forfeiture Guidelines</w:t>
      </w:r>
      <w:r w:rsidRPr="006D0F2E">
        <w:t>, Report and Order, 12 FCC Rcd 17087 (1997) (</w:t>
      </w:r>
      <w:r w:rsidRPr="006D0F2E">
        <w:rPr>
          <w:i/>
        </w:rPr>
        <w:t>Forfeiture Policy Statement</w:t>
      </w:r>
      <w:r w:rsidRPr="006D0F2E">
        <w:t xml:space="preserve">), </w:t>
      </w:r>
      <w:r w:rsidRPr="006D0F2E">
        <w:rPr>
          <w:i/>
        </w:rPr>
        <w:t>recons. denied</w:t>
      </w:r>
      <w:r w:rsidRPr="006D0F2E">
        <w:t>, 15 FCC Rcd 303 (1999); 47 C.F.R. § 1.80.</w:t>
      </w:r>
    </w:p>
  </w:footnote>
  <w:footnote w:id="18">
    <w:p w:rsidR="00A1394C" w:rsidRPr="006D0F2E" w:rsidRDefault="00A1394C" w:rsidP="001379FB">
      <w:pPr>
        <w:pStyle w:val="FootnoteText"/>
        <w:jc w:val="left"/>
      </w:pPr>
      <w:r w:rsidRPr="006D0F2E">
        <w:rPr>
          <w:rStyle w:val="FootnoteReference"/>
        </w:rPr>
        <w:footnoteRef/>
      </w:r>
      <w:r w:rsidRPr="006D0F2E">
        <w:t xml:space="preserve"> 47 U.S.C. § 503(b)(2)(E).</w:t>
      </w:r>
    </w:p>
  </w:footnote>
  <w:footnote w:id="19">
    <w:p w:rsidR="00A1394C" w:rsidRPr="006D0F2E" w:rsidRDefault="00A1394C" w:rsidP="001379FB">
      <w:pPr>
        <w:pStyle w:val="FootnoteText"/>
        <w:jc w:val="left"/>
      </w:pPr>
      <w:r w:rsidRPr="006D0F2E">
        <w:rPr>
          <w:rStyle w:val="FootnoteReference"/>
        </w:rPr>
        <w:footnoteRef/>
      </w:r>
      <w:r w:rsidR="0027779D">
        <w:t xml:space="preserve"> </w:t>
      </w:r>
      <w:r w:rsidR="0027779D">
        <w:rPr>
          <w:i/>
        </w:rPr>
        <w:t xml:space="preserve">See supra </w:t>
      </w:r>
      <w:r w:rsidR="0027779D">
        <w:t>note 2</w:t>
      </w:r>
      <w:r w:rsidRPr="008F1D80">
        <w:t>.</w:t>
      </w:r>
      <w:r w:rsidRPr="00440DC4">
        <w:rPr>
          <w:highlight w:val="yellow"/>
        </w:rPr>
        <w:t xml:space="preserve"> </w:t>
      </w:r>
      <w:r>
        <w:rPr>
          <w:highlight w:val="yellow"/>
        </w:rPr>
        <w:t xml:space="preserve"> </w:t>
      </w:r>
    </w:p>
  </w:footnote>
  <w:footnote w:id="20">
    <w:p w:rsidR="00A1394C" w:rsidRPr="002B7ADC" w:rsidRDefault="00A1394C" w:rsidP="001379FB">
      <w:pPr>
        <w:widowControl/>
        <w:spacing w:after="120"/>
        <w:rPr>
          <w:color w:val="010101"/>
        </w:rPr>
      </w:pPr>
      <w:r w:rsidRPr="006D0F2E">
        <w:rPr>
          <w:rStyle w:val="FootnoteReference"/>
        </w:rPr>
        <w:footnoteRef/>
      </w:r>
      <w:r w:rsidRPr="006D0F2E">
        <w:t xml:space="preserve"> </w:t>
      </w:r>
      <w:r w:rsidRPr="006D0F2E">
        <w:rPr>
          <w:i/>
        </w:rPr>
        <w:t>See</w:t>
      </w:r>
      <w:r w:rsidR="001379FB">
        <w:rPr>
          <w:i/>
        </w:rPr>
        <w:t xml:space="preserve">, </w:t>
      </w:r>
      <w:r w:rsidR="001379FB" w:rsidRPr="001379FB">
        <w:rPr>
          <w:i/>
        </w:rPr>
        <w:t>e.g.</w:t>
      </w:r>
      <w:r w:rsidR="001379FB">
        <w:t>,</w:t>
      </w:r>
      <w:r w:rsidRPr="006D0F2E">
        <w:rPr>
          <w:i/>
        </w:rPr>
        <w:t xml:space="preserve"> </w:t>
      </w:r>
      <w:r w:rsidR="00ED56D8">
        <w:rPr>
          <w:i/>
        </w:rPr>
        <w:t>Orloff Haines</w:t>
      </w:r>
      <w:r w:rsidR="00ED56D8">
        <w:t>, Notice of Apparent Liability for Forfeiture, 29 FCC Rcd 2903 (Enf. Bur. 2014) (upwardly adjusted proposed forfeiture by $5,000 because violator caused intentional interference to other CB radio operators after being warned twice in writing</w:t>
      </w:r>
      <w:r w:rsidR="00ED56D8">
        <w:rPr>
          <w:i/>
        </w:rPr>
        <w:t xml:space="preserve"> </w:t>
      </w:r>
      <w:r w:rsidR="00ED56D8" w:rsidRPr="006D0F2E">
        <w:rPr>
          <w:color w:val="000000"/>
        </w:rPr>
        <w:t>that such action violated the Act and Rules</w:t>
      </w:r>
      <w:r w:rsidR="00ED56D8">
        <w:rPr>
          <w:color w:val="000000"/>
        </w:rPr>
        <w:t xml:space="preserve">); </w:t>
      </w:r>
      <w:r w:rsidR="00ED56D8">
        <w:rPr>
          <w:i/>
          <w:color w:val="000000"/>
        </w:rPr>
        <w:t>Carlton Lewis</w:t>
      </w:r>
      <w:r w:rsidR="00ED56D8">
        <w:rPr>
          <w:color w:val="000000"/>
        </w:rPr>
        <w:t>, Notice of Apparent Liability for Forfeiture</w:t>
      </w:r>
      <w:r w:rsidR="001379FB">
        <w:rPr>
          <w:color w:val="000000"/>
        </w:rPr>
        <w:t xml:space="preserve">, 28 FCC Rcd 15975 (Enf. </w:t>
      </w:r>
      <w:r w:rsidR="001379FB" w:rsidRPr="00AF28EE">
        <w:rPr>
          <w:color w:val="000000"/>
        </w:rPr>
        <w:t xml:space="preserve">Bur. </w:t>
      </w:r>
      <w:r w:rsidR="001379FB">
        <w:rPr>
          <w:color w:val="000000"/>
        </w:rPr>
        <w:t>2014</w:t>
      </w:r>
      <w:r w:rsidR="001379FB" w:rsidRPr="00AF28EE">
        <w:rPr>
          <w:color w:val="000000"/>
        </w:rPr>
        <w:t>)</w:t>
      </w:r>
      <w:r w:rsidR="001379FB">
        <w:rPr>
          <w:color w:val="000000"/>
        </w:rPr>
        <w:t xml:space="preserve"> (</w:t>
      </w:r>
      <w:r w:rsidR="001379FB" w:rsidRPr="00AF28EE">
        <w:t xml:space="preserve">upwardly adjusted proposed forfeiture by $5,000 because violator operated CB station with a linear amplifier after being warned </w:t>
      </w:r>
      <w:r w:rsidR="001379FB">
        <w:t>twice in writing</w:t>
      </w:r>
      <w:r w:rsidR="001379FB">
        <w:rPr>
          <w:i/>
        </w:rPr>
        <w:t xml:space="preserve"> </w:t>
      </w:r>
      <w:r w:rsidR="001379FB" w:rsidRPr="006D0F2E">
        <w:rPr>
          <w:color w:val="000000"/>
        </w:rPr>
        <w:t>that such action violated the Act and Rules</w:t>
      </w:r>
      <w:r w:rsidR="001379FB">
        <w:rPr>
          <w:color w:val="000000"/>
        </w:rPr>
        <w:t>)</w:t>
      </w:r>
      <w:r w:rsidRPr="002B7ADC">
        <w:rPr>
          <w:color w:val="010101"/>
        </w:rPr>
        <w:t>.</w:t>
      </w:r>
    </w:p>
  </w:footnote>
  <w:footnote w:id="21">
    <w:p w:rsidR="00A1394C" w:rsidRPr="006D0F2E" w:rsidRDefault="00A1394C" w:rsidP="001379FB">
      <w:pPr>
        <w:pStyle w:val="FootnoteText"/>
        <w:jc w:val="left"/>
      </w:pPr>
      <w:r w:rsidRPr="006D0F2E">
        <w:rPr>
          <w:rStyle w:val="FootnoteReference"/>
        </w:rPr>
        <w:footnoteRef/>
      </w:r>
      <w:r w:rsidRPr="006D0F2E">
        <w:t xml:space="preserve"> 47 U.S.C. §§ 301, </w:t>
      </w:r>
      <w:r w:rsidR="00A90D71">
        <w:t xml:space="preserve">333, </w:t>
      </w:r>
      <w:r w:rsidRPr="006D0F2E">
        <w:t xml:space="preserve">503(b); 47 C.F.R. §§ 0.111, 0.204, 0.311, 0.314, 1.80, </w:t>
      </w:r>
      <w:r w:rsidRPr="006D0F2E">
        <w:rPr>
          <w:spacing w:val="-2"/>
        </w:rPr>
        <w:t>95.411</w:t>
      </w:r>
      <w:r w:rsidR="005A4003">
        <w:rPr>
          <w:spacing w:val="-2"/>
        </w:rPr>
        <w:t>(a)</w:t>
      </w:r>
      <w:r w:rsidR="001379FB">
        <w:rPr>
          <w:spacing w:val="-2"/>
        </w:rPr>
        <w:t>, 95.413(a)</w:t>
      </w:r>
      <w:r w:rsidRPr="006D0F2E">
        <w:rPr>
          <w:spacing w:val="-2"/>
        </w:rPr>
        <w:t>.</w:t>
      </w:r>
    </w:p>
  </w:footnote>
  <w:footnote w:id="22">
    <w:p w:rsidR="001379FB" w:rsidRDefault="001379FB" w:rsidP="001379FB">
      <w:pPr>
        <w:pStyle w:val="FootnoteText"/>
      </w:pPr>
      <w:r>
        <w:rPr>
          <w:rStyle w:val="FootnoteReference"/>
        </w:rPr>
        <w:footnoteRef/>
      </w:r>
      <w:r>
        <w:t xml:space="preserve"> 47 C.F.R. § 1.80.</w:t>
      </w:r>
    </w:p>
  </w:footnote>
  <w:footnote w:id="23">
    <w:p w:rsidR="00A1394C" w:rsidRPr="006D0F2E" w:rsidRDefault="00A1394C" w:rsidP="001379FB">
      <w:pPr>
        <w:pStyle w:val="FootnoteText"/>
        <w:jc w:val="left"/>
      </w:pPr>
      <w:r w:rsidRPr="006D0F2E">
        <w:rPr>
          <w:rStyle w:val="FootnoteReference"/>
        </w:rPr>
        <w:footnoteRef/>
      </w:r>
      <w:r w:rsidRPr="006D0F2E">
        <w:t xml:space="preserve"> </w:t>
      </w:r>
      <w:r w:rsidRPr="006D0F2E">
        <w:rPr>
          <w:rFonts w:eastAsia="MS Mincho"/>
        </w:rPr>
        <w:t>An FCC Form 159 and detailed instructions for completing the form may be obtained at http://www.fcc.gov/Forms/Form159/159.pdf.</w:t>
      </w:r>
    </w:p>
  </w:footnote>
  <w:footnote w:id="24">
    <w:p w:rsidR="00A1394C" w:rsidRPr="006D0F2E" w:rsidRDefault="00A1394C" w:rsidP="001379FB">
      <w:pPr>
        <w:pStyle w:val="FootnoteText"/>
      </w:pPr>
      <w:r w:rsidRPr="006D0F2E">
        <w:rPr>
          <w:rStyle w:val="FootnoteReference"/>
        </w:rPr>
        <w:footnoteRef/>
      </w:r>
      <w:r w:rsidRPr="006D0F2E">
        <w:t xml:space="preserve"> </w:t>
      </w:r>
      <w:r w:rsidRPr="006D0F2E">
        <w:rPr>
          <w:i/>
        </w:rPr>
        <w:t>See</w:t>
      </w:r>
      <w:r w:rsidRPr="006D0F2E">
        <w:t xml:space="preserve"> 47 C.F.R. § 1.1914.</w:t>
      </w:r>
    </w:p>
  </w:footnote>
  <w:footnote w:id="25">
    <w:p w:rsidR="00A1394C" w:rsidRPr="006D0F2E" w:rsidRDefault="00A1394C" w:rsidP="001379FB">
      <w:pPr>
        <w:pStyle w:val="FootnoteText"/>
      </w:pPr>
      <w:r w:rsidRPr="006D0F2E">
        <w:rPr>
          <w:rStyle w:val="FootnoteReference"/>
        </w:rPr>
        <w:footnoteRef/>
      </w:r>
      <w:r w:rsidRPr="006D0F2E">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E8" w:rsidRDefault="00A5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4C" w:rsidRPr="00331410" w:rsidRDefault="00A1394C">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1B61F0">
      <w:rPr>
        <w:b/>
        <w:sz w:val="22"/>
        <w:szCs w:val="22"/>
      </w:rPr>
      <w:t>DA 14-1235</w:t>
    </w:r>
  </w:p>
  <w:p w:rsidR="00A1394C" w:rsidRDefault="000477AA">
    <w:pPr>
      <w:pStyle w:val="Header"/>
      <w:tabs>
        <w:tab w:val="clear" w:pos="8640"/>
        <w:tab w:val="right" w:pos="9360"/>
      </w:tabs>
    </w:pPr>
    <w:r>
      <w:rPr>
        <w:noProof/>
      </w:rPr>
      <w:pict>
        <v:line id="_x0000_s2050" style="position:absolute;z-index:251658240" from="0,1.75pt" to="468pt,1.75pt" o:allowincell="f" strokeweight="1.5pt"/>
      </w:pict>
    </w:r>
  </w:p>
  <w:p w:rsidR="00A1394C" w:rsidRDefault="00A13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4C" w:rsidRPr="00331410" w:rsidRDefault="00A1394C">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w:t>
    </w:r>
    <w:r w:rsidR="001B61F0">
      <w:rPr>
        <w:b/>
        <w:sz w:val="22"/>
        <w:szCs w:val="22"/>
      </w:rPr>
      <w:t xml:space="preserve"> 14-1235</w:t>
    </w:r>
    <w:r>
      <w:rPr>
        <w:b/>
        <w:sz w:val="22"/>
        <w:szCs w:val="22"/>
      </w:rPr>
      <w:t xml:space="preserve"> </w:t>
    </w:r>
  </w:p>
  <w:p w:rsidR="00A1394C" w:rsidRDefault="000477AA">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17E0955"/>
    <w:multiLevelType w:val="hybridMultilevel"/>
    <w:tmpl w:val="7EEA4EEE"/>
    <w:lvl w:ilvl="0" w:tplc="940049EA">
      <w:start w:val="1"/>
      <w:numFmt w:val="decimal"/>
      <w:lvlText w:val="%1."/>
      <w:lvlJc w:val="left"/>
      <w:pPr>
        <w:tabs>
          <w:tab w:val="num" w:pos="1260"/>
        </w:tabs>
        <w:ind w:left="180" w:firstLine="72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D7B7D20"/>
    <w:multiLevelType w:val="hybridMultilevel"/>
    <w:tmpl w:val="DE9472AE"/>
    <w:lvl w:ilvl="0" w:tplc="7714B29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3E672F95"/>
    <w:multiLevelType w:val="singleLevel"/>
    <w:tmpl w:val="68420E0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432817C4"/>
    <w:multiLevelType w:val="singleLevel"/>
    <w:tmpl w:val="315E46AE"/>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5932446"/>
    <w:multiLevelType w:val="hybridMultilevel"/>
    <w:tmpl w:val="FF6A1E2E"/>
    <w:lvl w:ilvl="0" w:tplc="AE4AF2A0">
      <w:start w:val="2"/>
      <w:numFmt w:val="upperLetter"/>
      <w:lvlText w:val="%1."/>
      <w:lvlJc w:val="left"/>
      <w:pPr>
        <w:tabs>
          <w:tab w:val="num" w:pos="1440"/>
        </w:tabs>
        <w:ind w:left="1440" w:hanging="720"/>
      </w:pPr>
      <w:rPr>
        <w:rFonts w:hint="default"/>
      </w:rPr>
    </w:lvl>
    <w:lvl w:ilvl="1" w:tplc="265CEB18">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CC24685"/>
    <w:multiLevelType w:val="hybridMultilevel"/>
    <w:tmpl w:val="3F2AB418"/>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30">
    <w:nsid w:val="620E05B1"/>
    <w:multiLevelType w:val="hybridMultilevel"/>
    <w:tmpl w:val="0870265A"/>
    <w:lvl w:ilvl="0" w:tplc="5D4EF782">
      <w:start w:val="1"/>
      <w:numFmt w:val="decimal"/>
      <w:lvlText w:val="%1."/>
      <w:lvlJc w:val="left"/>
      <w:pPr>
        <w:tabs>
          <w:tab w:val="num" w:pos="1260"/>
        </w:tabs>
        <w:ind w:left="180" w:firstLine="72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2"/>
  </w:num>
  <w:num w:numId="2">
    <w:abstractNumId w:val="33"/>
  </w:num>
  <w:num w:numId="3">
    <w:abstractNumId w:val="4"/>
  </w:num>
  <w:num w:numId="4">
    <w:abstractNumId w:val="23"/>
  </w:num>
  <w:num w:numId="5">
    <w:abstractNumId w:val="6"/>
  </w:num>
  <w:num w:numId="6">
    <w:abstractNumId w:val="28"/>
  </w:num>
  <w:num w:numId="7">
    <w:abstractNumId w:val="20"/>
  </w:num>
  <w:num w:numId="8">
    <w:abstractNumId w:val="7"/>
  </w:num>
  <w:num w:numId="9">
    <w:abstractNumId w:val="26"/>
  </w:num>
  <w:num w:numId="10">
    <w:abstractNumId w:val="14"/>
  </w:num>
  <w:num w:numId="11">
    <w:abstractNumId w:val="12"/>
  </w:num>
  <w:num w:numId="12">
    <w:abstractNumId w:val="8"/>
  </w:num>
  <w:num w:numId="13">
    <w:abstractNumId w:val="16"/>
  </w:num>
  <w:num w:numId="14">
    <w:abstractNumId w:val="24"/>
  </w:num>
  <w:num w:numId="15">
    <w:abstractNumId w:val="2"/>
  </w:num>
  <w:num w:numId="16">
    <w:abstractNumId w:val="3"/>
  </w:num>
  <w:num w:numId="17">
    <w:abstractNumId w:val="10"/>
  </w:num>
  <w:num w:numId="18">
    <w:abstractNumId w:val="0"/>
  </w:num>
  <w:num w:numId="19">
    <w:abstractNumId w:val="11"/>
  </w:num>
  <w:num w:numId="20">
    <w:abstractNumId w:val="21"/>
  </w:num>
  <w:num w:numId="21">
    <w:abstractNumId w:val="22"/>
  </w:num>
  <w:num w:numId="22">
    <w:abstractNumId w:val="19"/>
  </w:num>
  <w:num w:numId="23">
    <w:abstractNumId w:val="13"/>
  </w:num>
  <w:num w:numId="24">
    <w:abstractNumId w:val="31"/>
  </w:num>
  <w:num w:numId="25">
    <w:abstractNumId w:val="15"/>
  </w:num>
  <w:num w:numId="26">
    <w:abstractNumId w:val="18"/>
  </w:num>
  <w:num w:numId="27">
    <w:abstractNumId w:val="1"/>
  </w:num>
  <w:num w:numId="28">
    <w:abstractNumId w:val="25"/>
  </w:num>
  <w:num w:numId="29">
    <w:abstractNumId w:val="27"/>
  </w:num>
  <w:num w:numId="30">
    <w:abstractNumId w:val="29"/>
  </w:num>
  <w:num w:numId="31">
    <w:abstractNumId w:val="9"/>
  </w:num>
  <w:num w:numId="32">
    <w:abstractNumId w:val="23"/>
    <w:lvlOverride w:ilvl="0">
      <w:startOverride w:val="100"/>
    </w:lvlOverride>
  </w:num>
  <w:num w:numId="33">
    <w:abstractNumId w:val="23"/>
    <w:lvlOverride w:ilvl="0">
      <w:startOverride w:val="100"/>
    </w:lvlOverride>
  </w:num>
  <w:num w:numId="34">
    <w:abstractNumId w:val="30"/>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1177D"/>
    <w:rsid w:val="00017CDA"/>
    <w:rsid w:val="00022679"/>
    <w:rsid w:val="000264A3"/>
    <w:rsid w:val="00037295"/>
    <w:rsid w:val="000477AA"/>
    <w:rsid w:val="00050854"/>
    <w:rsid w:val="00050F7A"/>
    <w:rsid w:val="00057A91"/>
    <w:rsid w:val="00071484"/>
    <w:rsid w:val="00077F92"/>
    <w:rsid w:val="00086A73"/>
    <w:rsid w:val="000875B1"/>
    <w:rsid w:val="00092C2B"/>
    <w:rsid w:val="000A0EEE"/>
    <w:rsid w:val="000A42BD"/>
    <w:rsid w:val="000A5F92"/>
    <w:rsid w:val="000A71AC"/>
    <w:rsid w:val="000B3C45"/>
    <w:rsid w:val="000C3FD5"/>
    <w:rsid w:val="000E0429"/>
    <w:rsid w:val="000E0451"/>
    <w:rsid w:val="000E2560"/>
    <w:rsid w:val="000F654A"/>
    <w:rsid w:val="00100138"/>
    <w:rsid w:val="00105973"/>
    <w:rsid w:val="0011114B"/>
    <w:rsid w:val="0011170C"/>
    <w:rsid w:val="001144EB"/>
    <w:rsid w:val="001160BE"/>
    <w:rsid w:val="00116BC2"/>
    <w:rsid w:val="00120233"/>
    <w:rsid w:val="001253C3"/>
    <w:rsid w:val="00125A4D"/>
    <w:rsid w:val="0013582E"/>
    <w:rsid w:val="001379FB"/>
    <w:rsid w:val="00145224"/>
    <w:rsid w:val="0015260C"/>
    <w:rsid w:val="001526A2"/>
    <w:rsid w:val="00154417"/>
    <w:rsid w:val="001665F5"/>
    <w:rsid w:val="0017164F"/>
    <w:rsid w:val="00171D39"/>
    <w:rsid w:val="00174A12"/>
    <w:rsid w:val="00175E71"/>
    <w:rsid w:val="001900F2"/>
    <w:rsid w:val="00190523"/>
    <w:rsid w:val="001B0C53"/>
    <w:rsid w:val="001B5470"/>
    <w:rsid w:val="001B61F0"/>
    <w:rsid w:val="001C039E"/>
    <w:rsid w:val="001C0B1F"/>
    <w:rsid w:val="001C23AD"/>
    <w:rsid w:val="001C363E"/>
    <w:rsid w:val="001D7603"/>
    <w:rsid w:val="001D7C74"/>
    <w:rsid w:val="001E0602"/>
    <w:rsid w:val="001E181E"/>
    <w:rsid w:val="001E2A65"/>
    <w:rsid w:val="001F566B"/>
    <w:rsid w:val="00201B89"/>
    <w:rsid w:val="00211D85"/>
    <w:rsid w:val="0021238A"/>
    <w:rsid w:val="0022771F"/>
    <w:rsid w:val="0023576A"/>
    <w:rsid w:val="00237F81"/>
    <w:rsid w:val="002511FB"/>
    <w:rsid w:val="00256422"/>
    <w:rsid w:val="00256613"/>
    <w:rsid w:val="00260C08"/>
    <w:rsid w:val="00263A16"/>
    <w:rsid w:val="0027779D"/>
    <w:rsid w:val="002857D1"/>
    <w:rsid w:val="00297552"/>
    <w:rsid w:val="002A229F"/>
    <w:rsid w:val="002A712F"/>
    <w:rsid w:val="002A732B"/>
    <w:rsid w:val="002A73AD"/>
    <w:rsid w:val="002B6FA1"/>
    <w:rsid w:val="002B7ADC"/>
    <w:rsid w:val="002C62DA"/>
    <w:rsid w:val="002D2A1E"/>
    <w:rsid w:val="002D7801"/>
    <w:rsid w:val="002F2B15"/>
    <w:rsid w:val="003003E1"/>
    <w:rsid w:val="00301AA7"/>
    <w:rsid w:val="0030312F"/>
    <w:rsid w:val="00304DD2"/>
    <w:rsid w:val="00321805"/>
    <w:rsid w:val="00323513"/>
    <w:rsid w:val="0033085D"/>
    <w:rsid w:val="00331410"/>
    <w:rsid w:val="0033797D"/>
    <w:rsid w:val="00337B75"/>
    <w:rsid w:val="003422DF"/>
    <w:rsid w:val="00347CA1"/>
    <w:rsid w:val="00353BF8"/>
    <w:rsid w:val="00354263"/>
    <w:rsid w:val="00365525"/>
    <w:rsid w:val="00371336"/>
    <w:rsid w:val="003740F2"/>
    <w:rsid w:val="00374C19"/>
    <w:rsid w:val="00375078"/>
    <w:rsid w:val="00376918"/>
    <w:rsid w:val="003868FE"/>
    <w:rsid w:val="00390F1B"/>
    <w:rsid w:val="003912F5"/>
    <w:rsid w:val="00392410"/>
    <w:rsid w:val="0039619B"/>
    <w:rsid w:val="003A2112"/>
    <w:rsid w:val="003A7878"/>
    <w:rsid w:val="003C5D1C"/>
    <w:rsid w:val="003D4C05"/>
    <w:rsid w:val="003E2AD5"/>
    <w:rsid w:val="003E75DA"/>
    <w:rsid w:val="003F3CFD"/>
    <w:rsid w:val="00406E97"/>
    <w:rsid w:val="004110FC"/>
    <w:rsid w:val="0041443C"/>
    <w:rsid w:val="00424CA1"/>
    <w:rsid w:val="00425706"/>
    <w:rsid w:val="00425C58"/>
    <w:rsid w:val="00434A70"/>
    <w:rsid w:val="004375F4"/>
    <w:rsid w:val="00440DC4"/>
    <w:rsid w:val="00447AAD"/>
    <w:rsid w:val="00471554"/>
    <w:rsid w:val="00473492"/>
    <w:rsid w:val="00483474"/>
    <w:rsid w:val="00484313"/>
    <w:rsid w:val="00492FA4"/>
    <w:rsid w:val="004930F5"/>
    <w:rsid w:val="004B084F"/>
    <w:rsid w:val="004B4908"/>
    <w:rsid w:val="004C3421"/>
    <w:rsid w:val="004C6D99"/>
    <w:rsid w:val="004D472D"/>
    <w:rsid w:val="004E00D3"/>
    <w:rsid w:val="004E58CE"/>
    <w:rsid w:val="00502239"/>
    <w:rsid w:val="00510919"/>
    <w:rsid w:val="00512D71"/>
    <w:rsid w:val="00537FDB"/>
    <w:rsid w:val="00555766"/>
    <w:rsid w:val="00562A69"/>
    <w:rsid w:val="005700E4"/>
    <w:rsid w:val="00571009"/>
    <w:rsid w:val="00571237"/>
    <w:rsid w:val="0057355A"/>
    <w:rsid w:val="00574A7A"/>
    <w:rsid w:val="00590C26"/>
    <w:rsid w:val="005A4003"/>
    <w:rsid w:val="005B3233"/>
    <w:rsid w:val="005B6B42"/>
    <w:rsid w:val="005C5889"/>
    <w:rsid w:val="005D19E6"/>
    <w:rsid w:val="005E587D"/>
    <w:rsid w:val="005F002F"/>
    <w:rsid w:val="005F20BD"/>
    <w:rsid w:val="005F28A8"/>
    <w:rsid w:val="005F483B"/>
    <w:rsid w:val="005F67D7"/>
    <w:rsid w:val="005F7722"/>
    <w:rsid w:val="00605023"/>
    <w:rsid w:val="00607D4F"/>
    <w:rsid w:val="00624E7D"/>
    <w:rsid w:val="0063640E"/>
    <w:rsid w:val="006414C7"/>
    <w:rsid w:val="00643FB7"/>
    <w:rsid w:val="00646DC6"/>
    <w:rsid w:val="006504DB"/>
    <w:rsid w:val="00651DE2"/>
    <w:rsid w:val="00683F6F"/>
    <w:rsid w:val="006868B5"/>
    <w:rsid w:val="00687984"/>
    <w:rsid w:val="006917D1"/>
    <w:rsid w:val="00691FE7"/>
    <w:rsid w:val="00696D50"/>
    <w:rsid w:val="006A1451"/>
    <w:rsid w:val="006A762F"/>
    <w:rsid w:val="006C44A0"/>
    <w:rsid w:val="006C72D8"/>
    <w:rsid w:val="006D0F2E"/>
    <w:rsid w:val="006F3431"/>
    <w:rsid w:val="0070236A"/>
    <w:rsid w:val="00716561"/>
    <w:rsid w:val="007220F3"/>
    <w:rsid w:val="007343CF"/>
    <w:rsid w:val="00735D4D"/>
    <w:rsid w:val="00744632"/>
    <w:rsid w:val="00751188"/>
    <w:rsid w:val="00776367"/>
    <w:rsid w:val="00777E77"/>
    <w:rsid w:val="00780C18"/>
    <w:rsid w:val="00787C4B"/>
    <w:rsid w:val="007907B0"/>
    <w:rsid w:val="00794C59"/>
    <w:rsid w:val="00795843"/>
    <w:rsid w:val="007A21BC"/>
    <w:rsid w:val="007A403A"/>
    <w:rsid w:val="007B06F6"/>
    <w:rsid w:val="007B46BE"/>
    <w:rsid w:val="007C59EE"/>
    <w:rsid w:val="007D3156"/>
    <w:rsid w:val="007E2E05"/>
    <w:rsid w:val="007E3155"/>
    <w:rsid w:val="007E32D0"/>
    <w:rsid w:val="007F66CA"/>
    <w:rsid w:val="008024F6"/>
    <w:rsid w:val="00825814"/>
    <w:rsid w:val="00832D6C"/>
    <w:rsid w:val="00840A6A"/>
    <w:rsid w:val="00852A75"/>
    <w:rsid w:val="00856437"/>
    <w:rsid w:val="00875DB2"/>
    <w:rsid w:val="0088496A"/>
    <w:rsid w:val="00887660"/>
    <w:rsid w:val="008877D8"/>
    <w:rsid w:val="00890911"/>
    <w:rsid w:val="008A1A11"/>
    <w:rsid w:val="008A1F5F"/>
    <w:rsid w:val="008A607E"/>
    <w:rsid w:val="008A726D"/>
    <w:rsid w:val="008B58B7"/>
    <w:rsid w:val="008C231E"/>
    <w:rsid w:val="008C26F7"/>
    <w:rsid w:val="008C4978"/>
    <w:rsid w:val="008D235A"/>
    <w:rsid w:val="008D7E7A"/>
    <w:rsid w:val="008F1D80"/>
    <w:rsid w:val="009027EB"/>
    <w:rsid w:val="0091686F"/>
    <w:rsid w:val="00920C19"/>
    <w:rsid w:val="009230F1"/>
    <w:rsid w:val="0094204C"/>
    <w:rsid w:val="009423ED"/>
    <w:rsid w:val="0095119D"/>
    <w:rsid w:val="00955426"/>
    <w:rsid w:val="009578B1"/>
    <w:rsid w:val="00962EF0"/>
    <w:rsid w:val="00967758"/>
    <w:rsid w:val="009711A7"/>
    <w:rsid w:val="009712F4"/>
    <w:rsid w:val="00971616"/>
    <w:rsid w:val="00972A27"/>
    <w:rsid w:val="00980DFC"/>
    <w:rsid w:val="00986009"/>
    <w:rsid w:val="00990FB6"/>
    <w:rsid w:val="009C2889"/>
    <w:rsid w:val="009D0AFA"/>
    <w:rsid w:val="009D1F23"/>
    <w:rsid w:val="009D7325"/>
    <w:rsid w:val="009E4540"/>
    <w:rsid w:val="009F6C24"/>
    <w:rsid w:val="00A03150"/>
    <w:rsid w:val="00A10DA6"/>
    <w:rsid w:val="00A12D37"/>
    <w:rsid w:val="00A1394C"/>
    <w:rsid w:val="00A1538A"/>
    <w:rsid w:val="00A16AF9"/>
    <w:rsid w:val="00A2371B"/>
    <w:rsid w:val="00A27DAD"/>
    <w:rsid w:val="00A307E0"/>
    <w:rsid w:val="00A37420"/>
    <w:rsid w:val="00A41215"/>
    <w:rsid w:val="00A430A6"/>
    <w:rsid w:val="00A546FC"/>
    <w:rsid w:val="00A54CE8"/>
    <w:rsid w:val="00A57C02"/>
    <w:rsid w:val="00A66F85"/>
    <w:rsid w:val="00A679EC"/>
    <w:rsid w:val="00A7021C"/>
    <w:rsid w:val="00A7112D"/>
    <w:rsid w:val="00A711C9"/>
    <w:rsid w:val="00A76BC5"/>
    <w:rsid w:val="00A77264"/>
    <w:rsid w:val="00A904A5"/>
    <w:rsid w:val="00A90D71"/>
    <w:rsid w:val="00AA5226"/>
    <w:rsid w:val="00AB3F15"/>
    <w:rsid w:val="00AC27AA"/>
    <w:rsid w:val="00AD13CE"/>
    <w:rsid w:val="00AD3BF0"/>
    <w:rsid w:val="00AE3A0F"/>
    <w:rsid w:val="00AF28EE"/>
    <w:rsid w:val="00B04DF4"/>
    <w:rsid w:val="00B06675"/>
    <w:rsid w:val="00B23DDA"/>
    <w:rsid w:val="00B256B8"/>
    <w:rsid w:val="00B40675"/>
    <w:rsid w:val="00B63E22"/>
    <w:rsid w:val="00B711FC"/>
    <w:rsid w:val="00B73E8A"/>
    <w:rsid w:val="00B779DC"/>
    <w:rsid w:val="00B879E3"/>
    <w:rsid w:val="00B915C5"/>
    <w:rsid w:val="00B943BA"/>
    <w:rsid w:val="00B95FEA"/>
    <w:rsid w:val="00BA6DFF"/>
    <w:rsid w:val="00BB34F3"/>
    <w:rsid w:val="00BB4C09"/>
    <w:rsid w:val="00BB4E8D"/>
    <w:rsid w:val="00BB5A17"/>
    <w:rsid w:val="00BC285D"/>
    <w:rsid w:val="00BD24E7"/>
    <w:rsid w:val="00BD4F5B"/>
    <w:rsid w:val="00BE3060"/>
    <w:rsid w:val="00BE6E2F"/>
    <w:rsid w:val="00BF1922"/>
    <w:rsid w:val="00BF256E"/>
    <w:rsid w:val="00BF4DA8"/>
    <w:rsid w:val="00C009F7"/>
    <w:rsid w:val="00C03CC4"/>
    <w:rsid w:val="00C07CCE"/>
    <w:rsid w:val="00C14F59"/>
    <w:rsid w:val="00C15056"/>
    <w:rsid w:val="00C15F2C"/>
    <w:rsid w:val="00C179F1"/>
    <w:rsid w:val="00C24320"/>
    <w:rsid w:val="00C24414"/>
    <w:rsid w:val="00C46A39"/>
    <w:rsid w:val="00C55AF9"/>
    <w:rsid w:val="00C5634A"/>
    <w:rsid w:val="00C600C5"/>
    <w:rsid w:val="00C642FD"/>
    <w:rsid w:val="00C74C01"/>
    <w:rsid w:val="00C7763B"/>
    <w:rsid w:val="00C8210C"/>
    <w:rsid w:val="00C91804"/>
    <w:rsid w:val="00C97F89"/>
    <w:rsid w:val="00CA1D49"/>
    <w:rsid w:val="00CA5D57"/>
    <w:rsid w:val="00CB7933"/>
    <w:rsid w:val="00CC10AD"/>
    <w:rsid w:val="00CC2A5F"/>
    <w:rsid w:val="00CD3B68"/>
    <w:rsid w:val="00CD5AA2"/>
    <w:rsid w:val="00CE1311"/>
    <w:rsid w:val="00CE364A"/>
    <w:rsid w:val="00CE3A6C"/>
    <w:rsid w:val="00CE6984"/>
    <w:rsid w:val="00CF4DE7"/>
    <w:rsid w:val="00CF5CAD"/>
    <w:rsid w:val="00D02F61"/>
    <w:rsid w:val="00D050BE"/>
    <w:rsid w:val="00D13FA6"/>
    <w:rsid w:val="00D15A5F"/>
    <w:rsid w:val="00D24820"/>
    <w:rsid w:val="00D2682D"/>
    <w:rsid w:val="00D43C35"/>
    <w:rsid w:val="00D52690"/>
    <w:rsid w:val="00D53633"/>
    <w:rsid w:val="00D57AE2"/>
    <w:rsid w:val="00D7437C"/>
    <w:rsid w:val="00D77FED"/>
    <w:rsid w:val="00D94CFD"/>
    <w:rsid w:val="00DA1068"/>
    <w:rsid w:val="00DA300F"/>
    <w:rsid w:val="00DC1A4B"/>
    <w:rsid w:val="00DC7D2B"/>
    <w:rsid w:val="00DD6132"/>
    <w:rsid w:val="00DF08E6"/>
    <w:rsid w:val="00DF1EC3"/>
    <w:rsid w:val="00DF64C1"/>
    <w:rsid w:val="00E0492F"/>
    <w:rsid w:val="00E05109"/>
    <w:rsid w:val="00E12F2A"/>
    <w:rsid w:val="00E138DD"/>
    <w:rsid w:val="00E14E3A"/>
    <w:rsid w:val="00E16103"/>
    <w:rsid w:val="00E17ACE"/>
    <w:rsid w:val="00E3105E"/>
    <w:rsid w:val="00E35258"/>
    <w:rsid w:val="00E458B2"/>
    <w:rsid w:val="00E52C78"/>
    <w:rsid w:val="00E71900"/>
    <w:rsid w:val="00E72F82"/>
    <w:rsid w:val="00E847E3"/>
    <w:rsid w:val="00E92EAB"/>
    <w:rsid w:val="00E95763"/>
    <w:rsid w:val="00EA4240"/>
    <w:rsid w:val="00EA49E1"/>
    <w:rsid w:val="00EB0000"/>
    <w:rsid w:val="00EB57F9"/>
    <w:rsid w:val="00EC0A33"/>
    <w:rsid w:val="00EC2329"/>
    <w:rsid w:val="00EC41D0"/>
    <w:rsid w:val="00ED56D8"/>
    <w:rsid w:val="00EE1666"/>
    <w:rsid w:val="00EE781C"/>
    <w:rsid w:val="00EE7962"/>
    <w:rsid w:val="00EF0E61"/>
    <w:rsid w:val="00EF6CDD"/>
    <w:rsid w:val="00F05FF3"/>
    <w:rsid w:val="00F15206"/>
    <w:rsid w:val="00F25F9A"/>
    <w:rsid w:val="00F30E61"/>
    <w:rsid w:val="00F4123C"/>
    <w:rsid w:val="00F46870"/>
    <w:rsid w:val="00F6189B"/>
    <w:rsid w:val="00F634DD"/>
    <w:rsid w:val="00F71B85"/>
    <w:rsid w:val="00F82954"/>
    <w:rsid w:val="00FA73EA"/>
    <w:rsid w:val="00FB06F4"/>
    <w:rsid w:val="00FB30D7"/>
    <w:rsid w:val="00FB4F88"/>
    <w:rsid w:val="00FC1487"/>
    <w:rsid w:val="00FC5B12"/>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ptext-0">
    <w:name w:val="ptext-0"/>
    <w:basedOn w:val="DefaultParagraphFont"/>
    <w:rsid w:val="00374C19"/>
  </w:style>
  <w:style w:type="paragraph" w:styleId="Revision">
    <w:name w:val="Revision"/>
    <w:hidden/>
    <w:uiPriority w:val="99"/>
    <w:semiHidden/>
    <w:rsid w:val="00C15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ptext-0">
    <w:name w:val="ptext-0"/>
    <w:basedOn w:val="DefaultParagraphFont"/>
    <w:rsid w:val="00374C19"/>
  </w:style>
  <w:style w:type="paragraph" w:styleId="Revision">
    <w:name w:val="Revision"/>
    <w:hidden/>
    <w:uiPriority w:val="99"/>
    <w:semiHidden/>
    <w:rsid w:val="00C1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1984</Words>
  <Characters>10759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2014-08-25T18:24:00Z</cp:lastPrinted>
  <dcterms:created xsi:type="dcterms:W3CDTF">2014-08-28T16:57:00Z</dcterms:created>
  <dcterms:modified xsi:type="dcterms:W3CDTF">2014-08-28T16:57:00Z</dcterms:modified>
  <cp:category> </cp:category>
  <cp:contentStatus> </cp:contentStatus>
</cp:coreProperties>
</file>