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854" w:rsidRPr="00331410" w:rsidRDefault="001C21E6" w:rsidP="00BF1922">
      <w:pPr>
        <w:widowControl/>
        <w:tabs>
          <w:tab w:val="center" w:pos="4770"/>
        </w:tabs>
        <w:suppressAutoHyphens/>
        <w:jc w:val="center"/>
        <w:outlineLvl w:val="0"/>
        <w:rPr>
          <w:b/>
          <w:spacing w:val="-2"/>
          <w:sz w:val="22"/>
          <w:szCs w:val="22"/>
        </w:rPr>
      </w:pPr>
      <w:bookmarkStart w:id="0" w:name="_GoBack"/>
      <w:bookmarkEnd w:id="0"/>
      <w:r>
        <w:rPr>
          <w:b/>
          <w:spacing w:val="-2"/>
          <w:sz w:val="22"/>
          <w:szCs w:val="22"/>
        </w:rPr>
        <w:t>B</w:t>
      </w:r>
      <w:r w:rsidR="00050854" w:rsidRPr="00331410">
        <w:rPr>
          <w:b/>
          <w:spacing w:val="-2"/>
          <w:sz w:val="22"/>
          <w:szCs w:val="22"/>
        </w:rPr>
        <w:t>efore the</w:t>
      </w:r>
    </w:p>
    <w:p w:rsidR="004C6D99" w:rsidRPr="00331410" w:rsidRDefault="004C6D99" w:rsidP="00BF1922">
      <w:pPr>
        <w:widowControl/>
        <w:tabs>
          <w:tab w:val="center" w:pos="4770"/>
        </w:tabs>
        <w:suppressAutoHyphens/>
        <w:jc w:val="center"/>
        <w:outlineLvl w:val="0"/>
        <w:rPr>
          <w:b/>
          <w:spacing w:val="-2"/>
          <w:sz w:val="22"/>
          <w:szCs w:val="22"/>
        </w:rPr>
      </w:pPr>
      <w:r w:rsidRPr="00331410">
        <w:rPr>
          <w:b/>
          <w:spacing w:val="-2"/>
          <w:sz w:val="22"/>
          <w:szCs w:val="22"/>
        </w:rPr>
        <w:t>Federal Communications Commission</w:t>
      </w:r>
    </w:p>
    <w:p w:rsidR="00050854" w:rsidRPr="00331410" w:rsidRDefault="004C6D99" w:rsidP="00BF1922">
      <w:pPr>
        <w:widowControl/>
        <w:tabs>
          <w:tab w:val="center" w:pos="4770"/>
        </w:tabs>
        <w:suppressAutoHyphens/>
        <w:jc w:val="center"/>
        <w:outlineLvl w:val="0"/>
        <w:rPr>
          <w:b/>
          <w:sz w:val="22"/>
          <w:szCs w:val="22"/>
        </w:rPr>
      </w:pPr>
      <w:smartTag w:uri="urn:schemas-microsoft-com:office:smarttags" w:element="place">
        <w:smartTag w:uri="urn:schemas-microsoft-com:office:smarttags" w:element="City">
          <w:r w:rsidRPr="00331410">
            <w:rPr>
              <w:b/>
              <w:sz w:val="22"/>
              <w:szCs w:val="22"/>
            </w:rPr>
            <w:t>Washington</w:t>
          </w:r>
        </w:smartTag>
        <w:r w:rsidRPr="00331410">
          <w:rPr>
            <w:b/>
            <w:sz w:val="22"/>
            <w:szCs w:val="22"/>
          </w:rPr>
          <w:t xml:space="preserve">, </w:t>
        </w:r>
        <w:smartTag w:uri="urn:schemas-microsoft-com:office:smarttags" w:element="State">
          <w:r w:rsidRPr="00331410">
            <w:rPr>
              <w:b/>
              <w:sz w:val="22"/>
              <w:szCs w:val="22"/>
            </w:rPr>
            <w:t>D.C.</w:t>
          </w:r>
        </w:smartTag>
        <w:r w:rsidRPr="00331410">
          <w:rPr>
            <w:b/>
            <w:sz w:val="22"/>
            <w:szCs w:val="22"/>
          </w:rPr>
          <w:t xml:space="preserve"> </w:t>
        </w:r>
        <w:smartTag w:uri="urn:schemas-microsoft-com:office:smarttags" w:element="PostalCode">
          <w:r w:rsidRPr="00331410">
            <w:rPr>
              <w:b/>
              <w:sz w:val="22"/>
              <w:szCs w:val="22"/>
            </w:rPr>
            <w:t>20554</w:t>
          </w:r>
        </w:smartTag>
      </w:smartTag>
    </w:p>
    <w:p w:rsidR="00050854" w:rsidRDefault="00050854" w:rsidP="00BF1922">
      <w:pPr>
        <w:widowControl/>
        <w:tabs>
          <w:tab w:val="center" w:pos="4680"/>
        </w:tabs>
        <w:suppressAutoHyphens/>
        <w:spacing w:line="240" w:lineRule="atLeast"/>
        <w:jc w:val="both"/>
        <w:outlineLvl w:val="0"/>
        <w:rPr>
          <w:b/>
          <w:spacing w:val="-2"/>
          <w:sz w:val="24"/>
        </w:rPr>
      </w:pPr>
    </w:p>
    <w:tbl>
      <w:tblPr>
        <w:tblW w:w="9720" w:type="dxa"/>
        <w:jc w:val="center"/>
        <w:tblInd w:w="108" w:type="dxa"/>
        <w:tblLayout w:type="fixed"/>
        <w:tblLook w:val="0000" w:firstRow="0" w:lastRow="0" w:firstColumn="0" w:lastColumn="0" w:noHBand="0" w:noVBand="0"/>
      </w:tblPr>
      <w:tblGrid>
        <w:gridCol w:w="4770"/>
        <w:gridCol w:w="270"/>
        <w:gridCol w:w="4680"/>
      </w:tblGrid>
      <w:tr w:rsidR="00050854" w:rsidRPr="00E34AAE" w:rsidTr="00571009">
        <w:trPr>
          <w:jc w:val="center"/>
        </w:trPr>
        <w:tc>
          <w:tcPr>
            <w:tcW w:w="4770" w:type="dxa"/>
          </w:tcPr>
          <w:p w:rsidR="00050854" w:rsidRPr="00E34AAE" w:rsidRDefault="00050854" w:rsidP="00BF1922">
            <w:pPr>
              <w:widowControl/>
              <w:rPr>
                <w:sz w:val="22"/>
                <w:szCs w:val="22"/>
              </w:rPr>
            </w:pPr>
            <w:r w:rsidRPr="00E34AAE">
              <w:rPr>
                <w:spacing w:val="-2"/>
                <w:sz w:val="22"/>
                <w:szCs w:val="22"/>
              </w:rPr>
              <w:t>In the Matter of</w:t>
            </w:r>
            <w:r w:rsidRPr="00E34AAE">
              <w:rPr>
                <w:sz w:val="22"/>
                <w:szCs w:val="22"/>
              </w:rPr>
              <w:t xml:space="preserve"> </w:t>
            </w:r>
          </w:p>
          <w:p w:rsidR="00050854" w:rsidRPr="00E34AAE" w:rsidRDefault="00050854" w:rsidP="00BF1922">
            <w:pPr>
              <w:widowControl/>
              <w:rPr>
                <w:sz w:val="22"/>
                <w:szCs w:val="22"/>
              </w:rPr>
            </w:pPr>
          </w:p>
          <w:p w:rsidR="00050854" w:rsidRPr="00DE4F4C" w:rsidRDefault="00DE4F4C" w:rsidP="00571009">
            <w:pPr>
              <w:widowControl/>
              <w:spacing w:after="120"/>
              <w:rPr>
                <w:sz w:val="22"/>
                <w:szCs w:val="22"/>
              </w:rPr>
            </w:pPr>
            <w:r w:rsidRPr="00DE4F4C">
              <w:rPr>
                <w:spacing w:val="-2"/>
                <w:sz w:val="22"/>
                <w:szCs w:val="22"/>
              </w:rPr>
              <w:t>M.J. Phillips Communications, Inc.</w:t>
            </w:r>
          </w:p>
          <w:p w:rsidR="00050854" w:rsidRPr="00E34AAE" w:rsidRDefault="00050854" w:rsidP="00BF1922">
            <w:pPr>
              <w:widowControl/>
              <w:rPr>
                <w:sz w:val="22"/>
                <w:szCs w:val="22"/>
              </w:rPr>
            </w:pPr>
          </w:p>
          <w:p w:rsidR="00050854" w:rsidRPr="00DE4F4C" w:rsidRDefault="00050854" w:rsidP="00BF1922">
            <w:pPr>
              <w:widowControl/>
              <w:rPr>
                <w:sz w:val="22"/>
                <w:szCs w:val="22"/>
              </w:rPr>
            </w:pPr>
            <w:r w:rsidRPr="00DE4F4C">
              <w:rPr>
                <w:sz w:val="22"/>
                <w:szCs w:val="22"/>
              </w:rPr>
              <w:t>Licensee of Station</w:t>
            </w:r>
            <w:r w:rsidR="00DE4F4C" w:rsidRPr="00DE4F4C">
              <w:rPr>
                <w:sz w:val="22"/>
                <w:szCs w:val="22"/>
              </w:rPr>
              <w:t xml:space="preserve"> WHB714</w:t>
            </w:r>
          </w:p>
          <w:p w:rsidR="00050854" w:rsidRPr="00DE4F4C" w:rsidRDefault="00DE4F4C" w:rsidP="00BF1922">
            <w:pPr>
              <w:widowControl/>
              <w:rPr>
                <w:sz w:val="22"/>
                <w:szCs w:val="22"/>
              </w:rPr>
            </w:pPr>
            <w:r w:rsidRPr="00DE4F4C">
              <w:rPr>
                <w:sz w:val="22"/>
                <w:szCs w:val="22"/>
              </w:rPr>
              <w:t>West Seneca</w:t>
            </w:r>
            <w:r w:rsidR="00050854" w:rsidRPr="00DE4F4C">
              <w:rPr>
                <w:sz w:val="22"/>
                <w:szCs w:val="22"/>
              </w:rPr>
              <w:t xml:space="preserve">, </w:t>
            </w:r>
            <w:r w:rsidRPr="00DE4F4C">
              <w:rPr>
                <w:sz w:val="22"/>
                <w:szCs w:val="22"/>
              </w:rPr>
              <w:t>New York</w:t>
            </w:r>
          </w:p>
          <w:p w:rsidR="00050854" w:rsidRPr="00E34AAE" w:rsidRDefault="00050854" w:rsidP="00BF1922">
            <w:pPr>
              <w:widowControl/>
              <w:rPr>
                <w:spacing w:val="-2"/>
                <w:sz w:val="22"/>
                <w:szCs w:val="22"/>
              </w:rPr>
            </w:pPr>
          </w:p>
        </w:tc>
        <w:tc>
          <w:tcPr>
            <w:tcW w:w="270" w:type="dxa"/>
          </w:tcPr>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p w:rsidR="00050854" w:rsidRPr="00E34AAE" w:rsidRDefault="00050854" w:rsidP="00BF1922">
            <w:pPr>
              <w:widowControl/>
              <w:tabs>
                <w:tab w:val="center" w:pos="4680"/>
              </w:tabs>
              <w:suppressAutoHyphens/>
              <w:spacing w:line="240" w:lineRule="atLeast"/>
              <w:jc w:val="both"/>
              <w:outlineLvl w:val="0"/>
              <w:rPr>
                <w:sz w:val="22"/>
                <w:szCs w:val="22"/>
              </w:rPr>
            </w:pPr>
            <w:r w:rsidRPr="00E34AAE">
              <w:rPr>
                <w:sz w:val="22"/>
                <w:szCs w:val="22"/>
              </w:rPr>
              <w:t>)</w:t>
            </w:r>
          </w:p>
        </w:tc>
        <w:tc>
          <w:tcPr>
            <w:tcW w:w="4680" w:type="dxa"/>
          </w:tcPr>
          <w:p w:rsidR="003E2AD5" w:rsidRDefault="003E2AD5" w:rsidP="00BF1922">
            <w:pPr>
              <w:widowControl/>
              <w:rPr>
                <w:spacing w:val="-2"/>
                <w:sz w:val="22"/>
                <w:szCs w:val="22"/>
              </w:rPr>
            </w:pPr>
          </w:p>
          <w:p w:rsidR="005F002F" w:rsidRDefault="005F002F" w:rsidP="00BF1922">
            <w:pPr>
              <w:widowControl/>
              <w:ind w:left="702"/>
              <w:rPr>
                <w:spacing w:val="-2"/>
                <w:sz w:val="22"/>
                <w:szCs w:val="22"/>
              </w:rPr>
            </w:pPr>
          </w:p>
          <w:p w:rsidR="00780C18" w:rsidRPr="007D4078" w:rsidRDefault="00050854" w:rsidP="00BF1922">
            <w:pPr>
              <w:widowControl/>
              <w:ind w:left="702"/>
              <w:rPr>
                <w:sz w:val="22"/>
                <w:szCs w:val="22"/>
              </w:rPr>
            </w:pPr>
            <w:r w:rsidRPr="007D4078">
              <w:rPr>
                <w:sz w:val="22"/>
                <w:szCs w:val="22"/>
              </w:rPr>
              <w:t>File N</w:t>
            </w:r>
            <w:r w:rsidR="00A16AF9" w:rsidRPr="007D4078">
              <w:rPr>
                <w:sz w:val="22"/>
                <w:szCs w:val="22"/>
              </w:rPr>
              <w:t>o.</w:t>
            </w:r>
            <w:r w:rsidR="003E2AD5" w:rsidRPr="007D4078">
              <w:rPr>
                <w:sz w:val="22"/>
                <w:szCs w:val="22"/>
              </w:rPr>
              <w:t xml:space="preserve">:  </w:t>
            </w:r>
            <w:r w:rsidR="007D4078" w:rsidRPr="007D4078">
              <w:rPr>
                <w:sz w:val="22"/>
                <w:szCs w:val="22"/>
              </w:rPr>
              <w:t>EB-FIELD</w:t>
            </w:r>
            <w:r w:rsidR="002745A2">
              <w:rPr>
                <w:sz w:val="22"/>
                <w:szCs w:val="22"/>
              </w:rPr>
              <w:t>NER</w:t>
            </w:r>
            <w:r w:rsidR="007D4078" w:rsidRPr="007D4078">
              <w:rPr>
                <w:sz w:val="22"/>
                <w:szCs w:val="22"/>
              </w:rPr>
              <w:t>-13</w:t>
            </w:r>
            <w:r w:rsidR="00780C18" w:rsidRPr="007D4078">
              <w:rPr>
                <w:sz w:val="22"/>
                <w:szCs w:val="22"/>
              </w:rPr>
              <w:t>-000</w:t>
            </w:r>
            <w:r w:rsidR="007D4078" w:rsidRPr="007D4078">
              <w:rPr>
                <w:sz w:val="22"/>
                <w:szCs w:val="22"/>
              </w:rPr>
              <w:t>11961</w:t>
            </w:r>
          </w:p>
          <w:p w:rsidR="00050854" w:rsidRPr="00042E27" w:rsidRDefault="00050854" w:rsidP="00BF1922">
            <w:pPr>
              <w:widowControl/>
              <w:ind w:left="702"/>
              <w:rPr>
                <w:sz w:val="22"/>
                <w:szCs w:val="22"/>
              </w:rPr>
            </w:pPr>
            <w:r w:rsidRPr="00042E27">
              <w:rPr>
                <w:sz w:val="22"/>
                <w:szCs w:val="22"/>
              </w:rPr>
              <w:t>NAL/Acct. No.</w:t>
            </w:r>
            <w:r w:rsidR="003E2AD5" w:rsidRPr="00042E27">
              <w:rPr>
                <w:sz w:val="22"/>
                <w:szCs w:val="22"/>
              </w:rPr>
              <w:t>:</w:t>
            </w:r>
            <w:r w:rsidR="00042E27" w:rsidRPr="00042E27">
              <w:rPr>
                <w:sz w:val="22"/>
                <w:szCs w:val="22"/>
              </w:rPr>
              <w:t xml:space="preserve"> </w:t>
            </w:r>
            <w:r w:rsidR="00042E27">
              <w:rPr>
                <w:sz w:val="22"/>
                <w:szCs w:val="22"/>
              </w:rPr>
              <w:t>201432400012</w:t>
            </w:r>
          </w:p>
          <w:p w:rsidR="00050854" w:rsidRPr="007D4078" w:rsidRDefault="00050854" w:rsidP="00BF1922">
            <w:pPr>
              <w:widowControl/>
              <w:ind w:left="702"/>
              <w:rPr>
                <w:sz w:val="22"/>
                <w:szCs w:val="22"/>
              </w:rPr>
            </w:pPr>
            <w:r w:rsidRPr="007D4078">
              <w:rPr>
                <w:sz w:val="22"/>
                <w:szCs w:val="22"/>
              </w:rPr>
              <w:t>FRN</w:t>
            </w:r>
            <w:r w:rsidR="003E2AD5" w:rsidRPr="007D4078">
              <w:rPr>
                <w:sz w:val="22"/>
                <w:szCs w:val="22"/>
              </w:rPr>
              <w:t>:</w:t>
            </w:r>
            <w:r w:rsidR="00DE4F4C" w:rsidRPr="007D4078">
              <w:rPr>
                <w:sz w:val="22"/>
                <w:szCs w:val="22"/>
              </w:rPr>
              <w:t xml:space="preserve">  0007293087</w:t>
            </w:r>
          </w:p>
          <w:p w:rsidR="008B58B7" w:rsidRPr="007D4078" w:rsidRDefault="008B58B7" w:rsidP="00BF1922">
            <w:pPr>
              <w:widowControl/>
              <w:ind w:left="702"/>
              <w:rPr>
                <w:sz w:val="22"/>
                <w:szCs w:val="22"/>
              </w:rPr>
            </w:pPr>
            <w:r w:rsidRPr="007D4078">
              <w:rPr>
                <w:sz w:val="22"/>
                <w:szCs w:val="22"/>
              </w:rPr>
              <w:t>Facility ID</w:t>
            </w:r>
            <w:r w:rsidR="00DE4F4C" w:rsidRPr="007D4078">
              <w:rPr>
                <w:sz w:val="22"/>
                <w:szCs w:val="22"/>
              </w:rPr>
              <w:t xml:space="preserve"> No.: </w:t>
            </w:r>
            <w:r w:rsidR="007D4078" w:rsidRPr="007D4078">
              <w:rPr>
                <w:sz w:val="22"/>
                <w:szCs w:val="22"/>
              </w:rPr>
              <w:t>39517</w:t>
            </w:r>
            <w:r w:rsidR="00DE4F4C" w:rsidRPr="007D4078">
              <w:rPr>
                <w:sz w:val="22"/>
                <w:szCs w:val="22"/>
              </w:rPr>
              <w:t xml:space="preserve"> </w:t>
            </w:r>
          </w:p>
          <w:p w:rsidR="00050854" w:rsidRPr="008B58B7" w:rsidRDefault="008B58B7" w:rsidP="00BF1922">
            <w:pPr>
              <w:widowControl/>
              <w:rPr>
                <w:color w:val="FF00FF"/>
                <w:sz w:val="22"/>
                <w:szCs w:val="22"/>
              </w:rPr>
            </w:pPr>
            <w:r>
              <w:rPr>
                <w:color w:val="FF00FF"/>
                <w:sz w:val="22"/>
                <w:szCs w:val="22"/>
              </w:rPr>
              <w:t xml:space="preserve">    </w:t>
            </w:r>
          </w:p>
        </w:tc>
      </w:tr>
    </w:tbl>
    <w:p w:rsidR="00050854" w:rsidRPr="00726483" w:rsidRDefault="00050854" w:rsidP="00BF1922">
      <w:pPr>
        <w:widowControl/>
        <w:tabs>
          <w:tab w:val="left" w:pos="0"/>
        </w:tabs>
        <w:suppressAutoHyphens/>
        <w:spacing w:line="240" w:lineRule="atLeast"/>
        <w:jc w:val="both"/>
        <w:rPr>
          <w:color w:val="FF00FF"/>
          <w:spacing w:val="-3"/>
          <w:sz w:val="24"/>
        </w:rPr>
      </w:pPr>
    </w:p>
    <w:p w:rsidR="00050854" w:rsidRPr="00331410" w:rsidRDefault="00050854" w:rsidP="00C07588">
      <w:pPr>
        <w:pStyle w:val="Heading2"/>
        <w:widowControl/>
        <w:numPr>
          <w:ilvl w:val="0"/>
          <w:numId w:val="0"/>
        </w:numPr>
        <w:jc w:val="center"/>
        <w:rPr>
          <w:sz w:val="22"/>
          <w:szCs w:val="22"/>
        </w:rPr>
      </w:pPr>
      <w:r w:rsidRPr="00331410">
        <w:rPr>
          <w:sz w:val="22"/>
          <w:szCs w:val="22"/>
        </w:rPr>
        <w:t>NOTICE OF APPARENT LIABILITY FOR FORFEITURE</w:t>
      </w:r>
      <w:r w:rsidR="00115696">
        <w:rPr>
          <w:sz w:val="22"/>
          <w:szCs w:val="22"/>
        </w:rPr>
        <w:t xml:space="preserve"> AND ORDER</w:t>
      </w:r>
      <w:r w:rsidR="00211D85">
        <w:rPr>
          <w:sz w:val="22"/>
          <w:szCs w:val="22"/>
        </w:rPr>
        <w:t xml:space="preserve"> </w:t>
      </w:r>
    </w:p>
    <w:p w:rsidR="00050854" w:rsidRPr="00E34AAE" w:rsidRDefault="007E2E05" w:rsidP="00BF1922">
      <w:pPr>
        <w:widowControl/>
        <w:rPr>
          <w:b/>
          <w:spacing w:val="-2"/>
          <w:sz w:val="22"/>
          <w:szCs w:val="22"/>
        </w:rPr>
      </w:pPr>
      <w:r w:rsidRPr="00042E27">
        <w:rPr>
          <w:b/>
          <w:sz w:val="22"/>
        </w:rPr>
        <w:t>Adopted:</w:t>
      </w:r>
      <w:r w:rsidR="003E2AD5" w:rsidRPr="00042E27">
        <w:rPr>
          <w:b/>
          <w:sz w:val="22"/>
          <w:szCs w:val="22"/>
        </w:rPr>
        <w:t xml:space="preserve">  </w:t>
      </w:r>
      <w:r w:rsidR="00042E27" w:rsidRPr="00042E27">
        <w:rPr>
          <w:b/>
          <w:sz w:val="22"/>
          <w:szCs w:val="22"/>
        </w:rPr>
        <w:t>August 28, 2014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50854" w:rsidRPr="00042E27">
        <w:rPr>
          <w:b/>
          <w:sz w:val="22"/>
        </w:rPr>
        <w:t>Released:</w:t>
      </w:r>
      <w:r w:rsidR="00050854" w:rsidRPr="00042E27">
        <w:rPr>
          <w:b/>
          <w:sz w:val="22"/>
          <w:szCs w:val="22"/>
        </w:rPr>
        <w:t xml:space="preserve"> </w:t>
      </w:r>
      <w:r w:rsidR="00042E27" w:rsidRPr="00042E27">
        <w:rPr>
          <w:b/>
          <w:sz w:val="22"/>
          <w:szCs w:val="22"/>
        </w:rPr>
        <w:t>August 28, 2014</w:t>
      </w:r>
    </w:p>
    <w:p w:rsidR="00050854" w:rsidRPr="00E34AAE" w:rsidRDefault="00050854" w:rsidP="00BF1922">
      <w:pPr>
        <w:widowControl/>
        <w:tabs>
          <w:tab w:val="left" w:pos="0"/>
          <w:tab w:val="left" w:pos="720"/>
          <w:tab w:val="left" w:pos="5760"/>
        </w:tabs>
        <w:suppressAutoHyphens/>
        <w:spacing w:line="240" w:lineRule="atLeast"/>
        <w:jc w:val="both"/>
        <w:rPr>
          <w:spacing w:val="-2"/>
          <w:sz w:val="22"/>
          <w:szCs w:val="22"/>
        </w:rPr>
      </w:pPr>
    </w:p>
    <w:p w:rsidR="00050854" w:rsidRPr="00E34AAE" w:rsidRDefault="00050854" w:rsidP="00BF1922">
      <w:pPr>
        <w:widowControl/>
        <w:tabs>
          <w:tab w:val="left" w:pos="0"/>
          <w:tab w:val="left" w:pos="720"/>
          <w:tab w:val="left" w:pos="5760"/>
        </w:tabs>
        <w:suppressAutoHyphens/>
        <w:spacing w:line="240" w:lineRule="atLeast"/>
        <w:rPr>
          <w:spacing w:val="-2"/>
          <w:sz w:val="22"/>
          <w:szCs w:val="22"/>
        </w:rPr>
      </w:pPr>
      <w:r w:rsidRPr="00E34AAE">
        <w:rPr>
          <w:spacing w:val="-2"/>
          <w:sz w:val="22"/>
          <w:szCs w:val="22"/>
        </w:rPr>
        <w:t xml:space="preserve">By </w:t>
      </w:r>
      <w:r w:rsidRPr="00DE4F4C">
        <w:rPr>
          <w:spacing w:val="-2"/>
          <w:sz w:val="22"/>
          <w:szCs w:val="22"/>
        </w:rPr>
        <w:t xml:space="preserve">the District Director, </w:t>
      </w:r>
      <w:r w:rsidR="00DE4F4C" w:rsidRPr="00DE4F4C">
        <w:rPr>
          <w:spacing w:val="-2"/>
          <w:sz w:val="22"/>
          <w:szCs w:val="22"/>
        </w:rPr>
        <w:t>Philadelphia</w:t>
      </w:r>
      <w:r w:rsidRPr="00DE4F4C">
        <w:rPr>
          <w:spacing w:val="-2"/>
          <w:sz w:val="22"/>
          <w:szCs w:val="22"/>
        </w:rPr>
        <w:t xml:space="preserve"> Office, </w:t>
      </w:r>
      <w:r w:rsidR="00DE4F4C" w:rsidRPr="00DE4F4C">
        <w:rPr>
          <w:spacing w:val="-2"/>
          <w:sz w:val="22"/>
          <w:szCs w:val="22"/>
        </w:rPr>
        <w:t>Northeast</w:t>
      </w:r>
      <w:r w:rsidR="00EB57F9">
        <w:rPr>
          <w:spacing w:val="-2"/>
          <w:sz w:val="22"/>
          <w:szCs w:val="22"/>
        </w:rPr>
        <w:t xml:space="preserve"> </w:t>
      </w:r>
      <w:r w:rsidR="00A546FC">
        <w:rPr>
          <w:spacing w:val="-2"/>
          <w:sz w:val="22"/>
          <w:szCs w:val="22"/>
        </w:rPr>
        <w:t>Region,</w:t>
      </w:r>
      <w:r>
        <w:rPr>
          <w:spacing w:val="-2"/>
          <w:sz w:val="22"/>
          <w:szCs w:val="22"/>
        </w:rPr>
        <w:t xml:space="preserve"> </w:t>
      </w:r>
      <w:r w:rsidRPr="00E34AAE">
        <w:rPr>
          <w:spacing w:val="-2"/>
          <w:sz w:val="22"/>
          <w:szCs w:val="22"/>
        </w:rPr>
        <w:t>Enforcement Bureau:</w:t>
      </w:r>
    </w:p>
    <w:p w:rsidR="00AE3A0F" w:rsidRPr="00E34AAE" w:rsidRDefault="00AE3A0F" w:rsidP="00BF1922">
      <w:pPr>
        <w:widowControl/>
        <w:tabs>
          <w:tab w:val="left" w:pos="0"/>
        </w:tabs>
        <w:suppressAutoHyphens/>
        <w:spacing w:line="240" w:lineRule="atLeast"/>
        <w:jc w:val="both"/>
        <w:rPr>
          <w:sz w:val="22"/>
          <w:szCs w:val="22"/>
        </w:rPr>
      </w:pPr>
    </w:p>
    <w:p w:rsidR="00990FB6" w:rsidRPr="003F3CFD" w:rsidRDefault="00990FB6" w:rsidP="00BF1922">
      <w:pPr>
        <w:pStyle w:val="Heading1"/>
        <w:widowControl/>
        <w:rPr>
          <w:sz w:val="22"/>
          <w:szCs w:val="22"/>
        </w:rPr>
      </w:pPr>
      <w:r w:rsidRPr="003F3CFD">
        <w:rPr>
          <w:sz w:val="22"/>
          <w:szCs w:val="22"/>
        </w:rPr>
        <w:t>INTRODUCTION</w:t>
      </w:r>
    </w:p>
    <w:p w:rsidR="00DA0A53" w:rsidRDefault="00DA0A53" w:rsidP="00FC66E3">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We propose a penalty of $</w:t>
      </w:r>
      <w:r w:rsidR="00B1040A">
        <w:rPr>
          <w:spacing w:val="-2"/>
          <w:sz w:val="22"/>
          <w:szCs w:val="22"/>
        </w:rPr>
        <w:t>6</w:t>
      </w:r>
      <w:r w:rsidR="0087621C">
        <w:rPr>
          <w:spacing w:val="-2"/>
          <w:sz w:val="22"/>
          <w:szCs w:val="22"/>
        </w:rPr>
        <w:t>,400</w:t>
      </w:r>
      <w:r>
        <w:rPr>
          <w:spacing w:val="-2"/>
          <w:sz w:val="22"/>
          <w:szCs w:val="22"/>
        </w:rPr>
        <w:t xml:space="preserve"> again</w:t>
      </w:r>
      <w:r w:rsidR="001C21E6">
        <w:rPr>
          <w:spacing w:val="-2"/>
          <w:sz w:val="22"/>
          <w:szCs w:val="22"/>
        </w:rPr>
        <w:t>st</w:t>
      </w:r>
      <w:r>
        <w:rPr>
          <w:spacing w:val="-2"/>
          <w:sz w:val="22"/>
          <w:szCs w:val="22"/>
        </w:rPr>
        <w:t xml:space="preserve"> M.J. Phillips Communications, Inc. (Phillips) for apparently operating </w:t>
      </w:r>
      <w:r w:rsidR="00B1040A">
        <w:rPr>
          <w:spacing w:val="-2"/>
          <w:sz w:val="22"/>
          <w:szCs w:val="22"/>
        </w:rPr>
        <w:t xml:space="preserve">its studio-transmitter link (STL) </w:t>
      </w:r>
      <w:r>
        <w:rPr>
          <w:spacing w:val="-2"/>
          <w:sz w:val="22"/>
          <w:szCs w:val="22"/>
        </w:rPr>
        <w:t>from an unauthorized location</w:t>
      </w:r>
      <w:r w:rsidR="00DF5000">
        <w:rPr>
          <w:spacing w:val="-2"/>
          <w:sz w:val="22"/>
          <w:szCs w:val="22"/>
        </w:rPr>
        <w:t xml:space="preserve"> in West Seneca, New York</w:t>
      </w:r>
      <w:r>
        <w:rPr>
          <w:spacing w:val="-2"/>
          <w:sz w:val="22"/>
          <w:szCs w:val="22"/>
        </w:rPr>
        <w:t>.  Unauthorized operations undermine the Commission’s radio licensing system and potentiall</w:t>
      </w:r>
      <w:r w:rsidR="00B1040A">
        <w:rPr>
          <w:spacing w:val="-2"/>
          <w:sz w:val="22"/>
          <w:szCs w:val="22"/>
        </w:rPr>
        <w:t>y c</w:t>
      </w:r>
      <w:r w:rsidR="00115696">
        <w:rPr>
          <w:spacing w:val="-2"/>
          <w:sz w:val="22"/>
          <w:szCs w:val="22"/>
        </w:rPr>
        <w:t xml:space="preserve">ause interference to licensed </w:t>
      </w:r>
      <w:r>
        <w:rPr>
          <w:spacing w:val="-2"/>
          <w:sz w:val="22"/>
          <w:szCs w:val="22"/>
        </w:rPr>
        <w:t xml:space="preserve">communications.  </w:t>
      </w:r>
      <w:r w:rsidR="00B1040A">
        <w:rPr>
          <w:spacing w:val="-2"/>
          <w:sz w:val="22"/>
          <w:szCs w:val="22"/>
        </w:rPr>
        <w:t xml:space="preserve">Although </w:t>
      </w:r>
      <w:r>
        <w:rPr>
          <w:spacing w:val="-2"/>
          <w:sz w:val="22"/>
          <w:szCs w:val="22"/>
        </w:rPr>
        <w:t xml:space="preserve">Phillips acknowledged </w:t>
      </w:r>
      <w:r w:rsidR="003E3564">
        <w:rPr>
          <w:spacing w:val="-2"/>
          <w:sz w:val="22"/>
          <w:szCs w:val="22"/>
        </w:rPr>
        <w:t xml:space="preserve">that </w:t>
      </w:r>
      <w:r w:rsidR="00ED6E57">
        <w:rPr>
          <w:spacing w:val="-2"/>
          <w:sz w:val="22"/>
          <w:szCs w:val="22"/>
        </w:rPr>
        <w:t xml:space="preserve">it operated the </w:t>
      </w:r>
      <w:r w:rsidR="00B1040A">
        <w:rPr>
          <w:spacing w:val="-2"/>
          <w:sz w:val="22"/>
          <w:szCs w:val="22"/>
        </w:rPr>
        <w:t xml:space="preserve">STL </w:t>
      </w:r>
      <w:r w:rsidR="00ED6E57">
        <w:rPr>
          <w:spacing w:val="-2"/>
          <w:sz w:val="22"/>
          <w:szCs w:val="22"/>
        </w:rPr>
        <w:t>station from a</w:t>
      </w:r>
      <w:r w:rsidR="00B1040A">
        <w:rPr>
          <w:spacing w:val="-2"/>
          <w:sz w:val="22"/>
          <w:szCs w:val="22"/>
        </w:rPr>
        <w:t xml:space="preserve">n unauthorized location, </w:t>
      </w:r>
      <w:r w:rsidR="003E3564">
        <w:rPr>
          <w:spacing w:val="-2"/>
          <w:sz w:val="22"/>
          <w:szCs w:val="22"/>
        </w:rPr>
        <w:t>it continued to operate t</w:t>
      </w:r>
      <w:r w:rsidR="0065506E">
        <w:rPr>
          <w:spacing w:val="-2"/>
          <w:sz w:val="22"/>
          <w:szCs w:val="22"/>
        </w:rPr>
        <w:t>he</w:t>
      </w:r>
      <w:r w:rsidR="00B1040A">
        <w:rPr>
          <w:spacing w:val="-2"/>
          <w:sz w:val="22"/>
          <w:szCs w:val="22"/>
        </w:rPr>
        <w:t xml:space="preserve"> </w:t>
      </w:r>
      <w:r w:rsidR="00BA3EC6">
        <w:rPr>
          <w:spacing w:val="-2"/>
          <w:sz w:val="22"/>
          <w:szCs w:val="22"/>
        </w:rPr>
        <w:t xml:space="preserve">station </w:t>
      </w:r>
      <w:r w:rsidR="00B1040A">
        <w:rPr>
          <w:spacing w:val="-2"/>
          <w:sz w:val="22"/>
          <w:szCs w:val="22"/>
        </w:rPr>
        <w:t xml:space="preserve">at variance from its license </w:t>
      </w:r>
      <w:r w:rsidR="003E3564">
        <w:rPr>
          <w:spacing w:val="-2"/>
          <w:sz w:val="22"/>
          <w:szCs w:val="22"/>
        </w:rPr>
        <w:t>even after</w:t>
      </w:r>
      <w:r w:rsidR="006B1DE3">
        <w:rPr>
          <w:spacing w:val="-2"/>
          <w:sz w:val="22"/>
          <w:szCs w:val="22"/>
        </w:rPr>
        <w:t xml:space="preserve"> being warned by the Commission in writing that such action violated the law</w:t>
      </w:r>
      <w:r>
        <w:rPr>
          <w:spacing w:val="-2"/>
          <w:sz w:val="22"/>
          <w:szCs w:val="22"/>
        </w:rPr>
        <w:t>.</w:t>
      </w:r>
      <w:r w:rsidR="00B1040A">
        <w:rPr>
          <w:spacing w:val="-2"/>
          <w:sz w:val="22"/>
          <w:szCs w:val="22"/>
        </w:rPr>
        <w:t xml:space="preserve">  </w:t>
      </w:r>
      <w:r w:rsidR="00257CC8">
        <w:rPr>
          <w:spacing w:val="-2"/>
          <w:sz w:val="22"/>
          <w:szCs w:val="22"/>
        </w:rPr>
        <w:t>This</w:t>
      </w:r>
      <w:r w:rsidR="00115696">
        <w:rPr>
          <w:spacing w:val="-2"/>
          <w:sz w:val="22"/>
          <w:szCs w:val="22"/>
        </w:rPr>
        <w:t xml:space="preserve"> failure to come into compliance demonstrates an apparent disregard for the Commission’s authority warranting an increased penalty.  In addition, we direct Phillips to submit, no later than 30 calendar days from the </w:t>
      </w:r>
      <w:r w:rsidR="002C51C3">
        <w:rPr>
          <w:spacing w:val="-2"/>
          <w:sz w:val="22"/>
          <w:szCs w:val="22"/>
        </w:rPr>
        <w:t xml:space="preserve">release </w:t>
      </w:r>
      <w:r w:rsidR="00115696">
        <w:rPr>
          <w:spacing w:val="-2"/>
          <w:sz w:val="22"/>
          <w:szCs w:val="22"/>
        </w:rPr>
        <w:t xml:space="preserve">date of this Notice of Apparent Liability for Forfeiture and Order (NAL), a statement, signed under penalty of perjury, stating that its STL station is now operated in compliance with the Commission’s rules and </w:t>
      </w:r>
      <w:r w:rsidR="00257CC8">
        <w:rPr>
          <w:spacing w:val="-2"/>
          <w:sz w:val="22"/>
          <w:szCs w:val="22"/>
        </w:rPr>
        <w:t xml:space="preserve">consistent with </w:t>
      </w:r>
      <w:r w:rsidR="00115696">
        <w:rPr>
          <w:spacing w:val="-2"/>
          <w:sz w:val="22"/>
          <w:szCs w:val="22"/>
        </w:rPr>
        <w:t xml:space="preserve">its license. </w:t>
      </w:r>
    </w:p>
    <w:p w:rsidR="00050854" w:rsidRPr="006C72D8" w:rsidRDefault="00115696" w:rsidP="00FC66E3">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In this NAL</w:t>
      </w:r>
      <w:r w:rsidR="00050854" w:rsidRPr="00DE4F4C">
        <w:rPr>
          <w:spacing w:val="-2"/>
          <w:sz w:val="22"/>
          <w:szCs w:val="22"/>
        </w:rPr>
        <w:t xml:space="preserve">, we find that </w:t>
      </w:r>
      <w:r w:rsidR="00DE4F4C" w:rsidRPr="00DE4F4C">
        <w:rPr>
          <w:spacing w:val="-2"/>
          <w:sz w:val="22"/>
          <w:szCs w:val="22"/>
        </w:rPr>
        <w:t>Phillips</w:t>
      </w:r>
      <w:r w:rsidR="008B58B7" w:rsidRPr="00DE4F4C">
        <w:rPr>
          <w:spacing w:val="-2"/>
          <w:sz w:val="22"/>
          <w:szCs w:val="22"/>
        </w:rPr>
        <w:t xml:space="preserve">, licensee of </w:t>
      </w:r>
      <w:r>
        <w:rPr>
          <w:spacing w:val="-2"/>
          <w:sz w:val="22"/>
          <w:szCs w:val="22"/>
        </w:rPr>
        <w:t>STL</w:t>
      </w:r>
      <w:r w:rsidR="00DE4F4C" w:rsidRPr="00DE4F4C">
        <w:rPr>
          <w:spacing w:val="-2"/>
          <w:sz w:val="22"/>
          <w:szCs w:val="22"/>
        </w:rPr>
        <w:t xml:space="preserve"> </w:t>
      </w:r>
      <w:r w:rsidR="008B58B7" w:rsidRPr="00DE4F4C">
        <w:rPr>
          <w:spacing w:val="-2"/>
          <w:sz w:val="22"/>
          <w:szCs w:val="22"/>
        </w:rPr>
        <w:t>S</w:t>
      </w:r>
      <w:r w:rsidR="00050854" w:rsidRPr="00DE4F4C">
        <w:rPr>
          <w:spacing w:val="-2"/>
          <w:sz w:val="22"/>
          <w:szCs w:val="22"/>
        </w:rPr>
        <w:t xml:space="preserve">tation </w:t>
      </w:r>
      <w:r w:rsidR="00DE4F4C" w:rsidRPr="00DE4F4C">
        <w:rPr>
          <w:spacing w:val="-2"/>
          <w:sz w:val="22"/>
          <w:szCs w:val="22"/>
        </w:rPr>
        <w:t>WHB714</w:t>
      </w:r>
      <w:r w:rsidR="002745A2">
        <w:rPr>
          <w:spacing w:val="-2"/>
          <w:sz w:val="22"/>
          <w:szCs w:val="22"/>
        </w:rPr>
        <w:t xml:space="preserve"> </w:t>
      </w:r>
      <w:r w:rsidR="00050854" w:rsidRPr="00DE4F4C">
        <w:rPr>
          <w:spacing w:val="-2"/>
          <w:sz w:val="22"/>
          <w:szCs w:val="22"/>
        </w:rPr>
        <w:t xml:space="preserve">in </w:t>
      </w:r>
      <w:r w:rsidR="00DE4F4C" w:rsidRPr="00DE4F4C">
        <w:rPr>
          <w:spacing w:val="-2"/>
          <w:sz w:val="22"/>
          <w:szCs w:val="22"/>
        </w:rPr>
        <w:t>West Seneca</w:t>
      </w:r>
      <w:r w:rsidR="00050854" w:rsidRPr="00DE4F4C">
        <w:rPr>
          <w:spacing w:val="-2"/>
          <w:sz w:val="22"/>
          <w:szCs w:val="22"/>
        </w:rPr>
        <w:t xml:space="preserve">, </w:t>
      </w:r>
      <w:r w:rsidR="00DE4F4C" w:rsidRPr="00DE4F4C">
        <w:rPr>
          <w:spacing w:val="-2"/>
          <w:sz w:val="22"/>
          <w:szCs w:val="22"/>
        </w:rPr>
        <w:t>New York</w:t>
      </w:r>
      <w:r w:rsidR="00050854" w:rsidRPr="00DE4F4C">
        <w:rPr>
          <w:spacing w:val="-2"/>
          <w:sz w:val="22"/>
          <w:szCs w:val="22"/>
        </w:rPr>
        <w:t xml:space="preserve">, apparently willfully and repeatedly violated </w:t>
      </w:r>
      <w:r w:rsidR="00DE4F4C" w:rsidRPr="00DE4F4C">
        <w:rPr>
          <w:spacing w:val="-2"/>
          <w:sz w:val="22"/>
          <w:szCs w:val="22"/>
        </w:rPr>
        <w:t xml:space="preserve">Section </w:t>
      </w:r>
      <w:r w:rsidR="00C02779">
        <w:rPr>
          <w:spacing w:val="-2"/>
          <w:sz w:val="22"/>
          <w:szCs w:val="22"/>
        </w:rPr>
        <w:t>301 of the Communications Act of 1934, as amended (Act),</w:t>
      </w:r>
      <w:r w:rsidR="00C02779">
        <w:rPr>
          <w:rStyle w:val="FootnoteReference"/>
          <w:spacing w:val="-2"/>
          <w:sz w:val="22"/>
          <w:szCs w:val="22"/>
        </w:rPr>
        <w:footnoteReference w:id="2"/>
      </w:r>
      <w:r w:rsidR="00C02779">
        <w:rPr>
          <w:spacing w:val="-2"/>
          <w:sz w:val="22"/>
          <w:szCs w:val="22"/>
        </w:rPr>
        <w:t xml:space="preserve"> and Section </w:t>
      </w:r>
      <w:r w:rsidR="00DE4F4C" w:rsidRPr="00DE4F4C">
        <w:rPr>
          <w:spacing w:val="-2"/>
          <w:sz w:val="22"/>
          <w:szCs w:val="22"/>
        </w:rPr>
        <w:t>1.903(a)</w:t>
      </w:r>
      <w:r w:rsidR="00337B75" w:rsidRPr="00DE4F4C">
        <w:rPr>
          <w:spacing w:val="-2"/>
          <w:sz w:val="22"/>
          <w:szCs w:val="22"/>
        </w:rPr>
        <w:t xml:space="preserve"> of the </w:t>
      </w:r>
      <w:r w:rsidR="00875DB2" w:rsidRPr="00DE4F4C">
        <w:rPr>
          <w:spacing w:val="-2"/>
          <w:sz w:val="22"/>
          <w:szCs w:val="22"/>
        </w:rPr>
        <w:t>Commission</w:t>
      </w:r>
      <w:r w:rsidR="007E2E05" w:rsidRPr="00DE4F4C">
        <w:rPr>
          <w:spacing w:val="-2"/>
          <w:sz w:val="22"/>
          <w:szCs w:val="22"/>
        </w:rPr>
        <w:t>’</w:t>
      </w:r>
      <w:r w:rsidR="00E847E3" w:rsidRPr="00DE4F4C">
        <w:rPr>
          <w:spacing w:val="-2"/>
          <w:sz w:val="22"/>
          <w:szCs w:val="22"/>
        </w:rPr>
        <w:t>s r</w:t>
      </w:r>
      <w:r w:rsidR="00F46870" w:rsidRPr="00DE4F4C">
        <w:rPr>
          <w:spacing w:val="-2"/>
          <w:sz w:val="22"/>
          <w:szCs w:val="22"/>
        </w:rPr>
        <w:t>ules (Rules</w:t>
      </w:r>
      <w:r w:rsidR="00050854" w:rsidRPr="00DE4F4C">
        <w:rPr>
          <w:spacing w:val="-2"/>
          <w:sz w:val="22"/>
          <w:szCs w:val="22"/>
        </w:rPr>
        <w:t>)</w:t>
      </w:r>
      <w:r w:rsidR="00050854" w:rsidRPr="00FC66E3">
        <w:rPr>
          <w:rStyle w:val="FootnoteReference"/>
          <w:spacing w:val="-2"/>
        </w:rPr>
        <w:footnoteReference w:id="3"/>
      </w:r>
      <w:r w:rsidR="00050854" w:rsidRPr="00DE4F4C">
        <w:rPr>
          <w:spacing w:val="-2"/>
          <w:sz w:val="22"/>
          <w:szCs w:val="22"/>
        </w:rPr>
        <w:t xml:space="preserve"> by </w:t>
      </w:r>
      <w:r w:rsidR="00DE4F4C" w:rsidRPr="00DE4F4C">
        <w:rPr>
          <w:spacing w:val="-2"/>
          <w:sz w:val="22"/>
          <w:szCs w:val="22"/>
        </w:rPr>
        <w:t xml:space="preserve">operating </w:t>
      </w:r>
      <w:r w:rsidR="00BA3EC6" w:rsidRPr="00DE4F4C">
        <w:rPr>
          <w:spacing w:val="-2"/>
          <w:sz w:val="22"/>
          <w:szCs w:val="22"/>
        </w:rPr>
        <w:t>Station WHB714</w:t>
      </w:r>
      <w:r w:rsidR="00BA3EC6">
        <w:rPr>
          <w:spacing w:val="-2"/>
          <w:sz w:val="22"/>
          <w:szCs w:val="22"/>
        </w:rPr>
        <w:t xml:space="preserve"> </w:t>
      </w:r>
      <w:r w:rsidR="00DE4F4C" w:rsidRPr="00DE4F4C">
        <w:rPr>
          <w:spacing w:val="-2"/>
          <w:sz w:val="22"/>
          <w:szCs w:val="22"/>
        </w:rPr>
        <w:t>from a</w:t>
      </w:r>
      <w:r w:rsidR="000736B3">
        <w:rPr>
          <w:spacing w:val="-2"/>
          <w:sz w:val="22"/>
          <w:szCs w:val="22"/>
        </w:rPr>
        <w:t xml:space="preserve"> </w:t>
      </w:r>
      <w:r w:rsidR="00DF5000">
        <w:rPr>
          <w:spacing w:val="-2"/>
          <w:sz w:val="22"/>
          <w:szCs w:val="22"/>
        </w:rPr>
        <w:t>location</w:t>
      </w:r>
      <w:r w:rsidR="00DE4F4C" w:rsidRPr="00DE4F4C">
        <w:rPr>
          <w:spacing w:val="-2"/>
          <w:sz w:val="22"/>
          <w:szCs w:val="22"/>
        </w:rPr>
        <w:t xml:space="preserve"> </w:t>
      </w:r>
      <w:r w:rsidR="00DF5000">
        <w:rPr>
          <w:spacing w:val="-2"/>
          <w:sz w:val="22"/>
          <w:szCs w:val="22"/>
        </w:rPr>
        <w:t>other than its licensed location without prior Commission authorization</w:t>
      </w:r>
      <w:r w:rsidR="00050854" w:rsidRPr="00DE4F4C">
        <w:rPr>
          <w:spacing w:val="-2"/>
          <w:sz w:val="22"/>
          <w:szCs w:val="22"/>
        </w:rPr>
        <w:t xml:space="preserve">.  </w:t>
      </w:r>
    </w:p>
    <w:p w:rsidR="00050854" w:rsidRPr="004930F5" w:rsidRDefault="00050854" w:rsidP="00FC66E3">
      <w:pPr>
        <w:pStyle w:val="Heading1"/>
        <w:widowControl/>
        <w:spacing w:after="120"/>
        <w:rPr>
          <w:spacing w:val="-2"/>
          <w:sz w:val="22"/>
          <w:szCs w:val="22"/>
        </w:rPr>
      </w:pPr>
      <w:r w:rsidRPr="004930F5">
        <w:rPr>
          <w:sz w:val="22"/>
          <w:szCs w:val="22"/>
        </w:rPr>
        <w:t>BACKGROUND</w:t>
      </w:r>
    </w:p>
    <w:p w:rsidR="00096E76" w:rsidRPr="006B1DE3" w:rsidRDefault="00C87EC9" w:rsidP="00FC66E3">
      <w:pPr>
        <w:widowControl/>
        <w:numPr>
          <w:ilvl w:val="0"/>
          <w:numId w:val="22"/>
        </w:numPr>
        <w:tabs>
          <w:tab w:val="clear" w:pos="1260"/>
          <w:tab w:val="left" w:pos="0"/>
          <w:tab w:val="num" w:pos="1440"/>
        </w:tabs>
        <w:suppressAutoHyphens/>
        <w:spacing w:after="120"/>
        <w:ind w:left="0"/>
        <w:rPr>
          <w:spacing w:val="-2"/>
          <w:sz w:val="22"/>
          <w:szCs w:val="22"/>
        </w:rPr>
      </w:pPr>
      <w:r>
        <w:rPr>
          <w:spacing w:val="-2"/>
          <w:sz w:val="22"/>
          <w:szCs w:val="22"/>
        </w:rPr>
        <w:t xml:space="preserve">On March 6 and March 7, 2013, </w:t>
      </w:r>
      <w:r w:rsidR="00ED63A7">
        <w:rPr>
          <w:spacing w:val="-2"/>
          <w:sz w:val="22"/>
          <w:szCs w:val="22"/>
        </w:rPr>
        <w:t>agents from the Enforcement Bureau’s Philadelph</w:t>
      </w:r>
      <w:r w:rsidR="00302F30">
        <w:rPr>
          <w:spacing w:val="-2"/>
          <w:sz w:val="22"/>
          <w:szCs w:val="22"/>
        </w:rPr>
        <w:t>ia Office (Philadelphia Office)</w:t>
      </w:r>
      <w:r w:rsidR="005137F8">
        <w:rPr>
          <w:spacing w:val="-2"/>
          <w:sz w:val="22"/>
          <w:szCs w:val="22"/>
        </w:rPr>
        <w:t xml:space="preserve"> </w:t>
      </w:r>
      <w:r>
        <w:rPr>
          <w:spacing w:val="-2"/>
          <w:sz w:val="22"/>
          <w:szCs w:val="22"/>
        </w:rPr>
        <w:t xml:space="preserve">conducted an inspection of </w:t>
      </w:r>
      <w:r w:rsidR="005137F8">
        <w:rPr>
          <w:spacing w:val="-2"/>
          <w:sz w:val="22"/>
          <w:szCs w:val="22"/>
        </w:rPr>
        <w:t xml:space="preserve">Station </w:t>
      </w:r>
      <w:r w:rsidR="00DF5000">
        <w:rPr>
          <w:spacing w:val="-2"/>
          <w:sz w:val="22"/>
          <w:szCs w:val="22"/>
        </w:rPr>
        <w:t xml:space="preserve">WHB714 </w:t>
      </w:r>
      <w:r>
        <w:rPr>
          <w:spacing w:val="-2"/>
          <w:sz w:val="22"/>
          <w:szCs w:val="22"/>
        </w:rPr>
        <w:t>in response to a complaint</w:t>
      </w:r>
      <w:r w:rsidR="00BA3EC6">
        <w:rPr>
          <w:spacing w:val="-2"/>
          <w:sz w:val="22"/>
          <w:szCs w:val="22"/>
        </w:rPr>
        <w:t xml:space="preserve"> of unauthorized operation</w:t>
      </w:r>
      <w:r w:rsidR="005137F8">
        <w:rPr>
          <w:spacing w:val="-2"/>
          <w:sz w:val="22"/>
          <w:szCs w:val="22"/>
        </w:rPr>
        <w:t xml:space="preserve">.   Agents </w:t>
      </w:r>
      <w:r w:rsidR="00CA1CA0">
        <w:rPr>
          <w:spacing w:val="-2"/>
          <w:sz w:val="22"/>
          <w:szCs w:val="22"/>
        </w:rPr>
        <w:t xml:space="preserve">used mobile direction finding techniques and </w:t>
      </w:r>
      <w:r w:rsidR="005137F8">
        <w:rPr>
          <w:spacing w:val="-2"/>
          <w:sz w:val="22"/>
          <w:szCs w:val="22"/>
        </w:rPr>
        <w:t xml:space="preserve">determined </w:t>
      </w:r>
      <w:r w:rsidR="008D16E9">
        <w:rPr>
          <w:sz w:val="22"/>
          <w:szCs w:val="22"/>
        </w:rPr>
        <w:t xml:space="preserve">that Station WHB714 was </w:t>
      </w:r>
      <w:r w:rsidR="008D16E9">
        <w:rPr>
          <w:spacing w:val="-2"/>
          <w:sz w:val="22"/>
          <w:szCs w:val="22"/>
        </w:rPr>
        <w:t xml:space="preserve">operating from </w:t>
      </w:r>
      <w:r w:rsidR="00760DBF">
        <w:rPr>
          <w:spacing w:val="-2"/>
          <w:sz w:val="22"/>
          <w:szCs w:val="22"/>
        </w:rPr>
        <w:t xml:space="preserve">976-B Union Road, </w:t>
      </w:r>
      <w:r w:rsidR="008D16E9">
        <w:rPr>
          <w:spacing w:val="-2"/>
          <w:sz w:val="22"/>
          <w:szCs w:val="22"/>
        </w:rPr>
        <w:t>West Seneca, New York</w:t>
      </w:r>
      <w:r>
        <w:rPr>
          <w:spacing w:val="-2"/>
          <w:sz w:val="22"/>
          <w:szCs w:val="22"/>
        </w:rPr>
        <w:t xml:space="preserve"> (Union Road Site)</w:t>
      </w:r>
      <w:r w:rsidR="008D16E9">
        <w:rPr>
          <w:spacing w:val="-2"/>
          <w:sz w:val="22"/>
          <w:szCs w:val="22"/>
        </w:rPr>
        <w:t>.</w:t>
      </w:r>
      <w:r w:rsidR="00CA1CA0" w:rsidRPr="00FC66E3">
        <w:rPr>
          <w:rStyle w:val="FootnoteReference"/>
          <w:spacing w:val="-2"/>
        </w:rPr>
        <w:footnoteReference w:id="4"/>
      </w:r>
      <w:r w:rsidR="00BA3EC6">
        <w:rPr>
          <w:spacing w:val="-2"/>
          <w:sz w:val="22"/>
          <w:szCs w:val="22"/>
        </w:rPr>
        <w:t xml:space="preserve">  A</w:t>
      </w:r>
      <w:r>
        <w:rPr>
          <w:spacing w:val="-2"/>
          <w:sz w:val="22"/>
          <w:szCs w:val="22"/>
        </w:rPr>
        <w:t>ccording</w:t>
      </w:r>
      <w:r w:rsidR="005137F8">
        <w:rPr>
          <w:spacing w:val="-2"/>
          <w:sz w:val="22"/>
          <w:szCs w:val="22"/>
        </w:rPr>
        <w:t xml:space="preserve"> </w:t>
      </w:r>
      <w:r w:rsidR="002C51C3">
        <w:rPr>
          <w:spacing w:val="-2"/>
          <w:sz w:val="22"/>
          <w:szCs w:val="22"/>
        </w:rPr>
        <w:t>to its</w:t>
      </w:r>
      <w:r w:rsidR="005137F8">
        <w:rPr>
          <w:spacing w:val="-2"/>
          <w:sz w:val="22"/>
          <w:szCs w:val="22"/>
        </w:rPr>
        <w:t xml:space="preserve"> authorization, </w:t>
      </w:r>
      <w:r w:rsidR="00BA3EC6">
        <w:rPr>
          <w:spacing w:val="-2"/>
          <w:sz w:val="22"/>
          <w:szCs w:val="22"/>
        </w:rPr>
        <w:t xml:space="preserve">however, </w:t>
      </w:r>
      <w:r w:rsidR="005137F8">
        <w:rPr>
          <w:spacing w:val="-2"/>
          <w:sz w:val="22"/>
          <w:szCs w:val="22"/>
        </w:rPr>
        <w:t xml:space="preserve">the licensed location for Station WHB714 is </w:t>
      </w:r>
      <w:r w:rsidR="005137F8" w:rsidRPr="00D5058F">
        <w:rPr>
          <w:spacing w:val="-2"/>
          <w:sz w:val="22"/>
          <w:szCs w:val="22"/>
        </w:rPr>
        <w:t xml:space="preserve">1224 Main Street, Niagara Falls, </w:t>
      </w:r>
      <w:r w:rsidR="005137F8" w:rsidRPr="00D5058F">
        <w:rPr>
          <w:spacing w:val="-2"/>
          <w:sz w:val="22"/>
          <w:szCs w:val="22"/>
        </w:rPr>
        <w:lastRenderedPageBreak/>
        <w:t>New York</w:t>
      </w:r>
      <w:r>
        <w:rPr>
          <w:spacing w:val="-2"/>
          <w:sz w:val="22"/>
          <w:szCs w:val="22"/>
        </w:rPr>
        <w:t xml:space="preserve"> (Main Street Site)</w:t>
      </w:r>
      <w:r w:rsidR="005137F8">
        <w:rPr>
          <w:spacing w:val="-2"/>
          <w:sz w:val="22"/>
          <w:szCs w:val="22"/>
        </w:rPr>
        <w:t xml:space="preserve">, a distance of 24.3 miles from the </w:t>
      </w:r>
      <w:r>
        <w:rPr>
          <w:spacing w:val="-2"/>
          <w:sz w:val="22"/>
          <w:szCs w:val="22"/>
        </w:rPr>
        <w:t>Union Road Site</w:t>
      </w:r>
      <w:r w:rsidR="005137F8">
        <w:rPr>
          <w:spacing w:val="-2"/>
          <w:sz w:val="22"/>
          <w:szCs w:val="22"/>
        </w:rPr>
        <w:t>.</w:t>
      </w:r>
      <w:r w:rsidR="005137F8" w:rsidRPr="00BE4744">
        <w:rPr>
          <w:rStyle w:val="FootnoteReference"/>
          <w:spacing w:val="-2"/>
        </w:rPr>
        <w:footnoteReference w:id="5"/>
      </w:r>
      <w:r w:rsidR="002C51C3">
        <w:rPr>
          <w:spacing w:val="-2"/>
          <w:sz w:val="22"/>
          <w:szCs w:val="22"/>
        </w:rPr>
        <w:t xml:space="preserve">  A</w:t>
      </w:r>
      <w:r>
        <w:rPr>
          <w:spacing w:val="-2"/>
          <w:sz w:val="22"/>
          <w:szCs w:val="22"/>
        </w:rPr>
        <w:t xml:space="preserve">gents </w:t>
      </w:r>
      <w:r w:rsidR="002C51C3">
        <w:rPr>
          <w:spacing w:val="-2"/>
          <w:sz w:val="22"/>
          <w:szCs w:val="22"/>
        </w:rPr>
        <w:t xml:space="preserve">also </w:t>
      </w:r>
      <w:r>
        <w:rPr>
          <w:spacing w:val="-2"/>
          <w:sz w:val="22"/>
          <w:szCs w:val="22"/>
        </w:rPr>
        <w:t xml:space="preserve">discovered </w:t>
      </w:r>
      <w:r w:rsidR="00BA3EC6">
        <w:rPr>
          <w:spacing w:val="-2"/>
          <w:sz w:val="22"/>
          <w:szCs w:val="22"/>
        </w:rPr>
        <w:t xml:space="preserve">that </w:t>
      </w:r>
      <w:r>
        <w:rPr>
          <w:spacing w:val="-2"/>
          <w:sz w:val="22"/>
          <w:szCs w:val="22"/>
        </w:rPr>
        <w:t xml:space="preserve">Station WHB714 was operating on frequency 947.0 MHz, instead of its authorized frequency </w:t>
      </w:r>
      <w:r w:rsidR="00BA3EC6">
        <w:rPr>
          <w:spacing w:val="-2"/>
          <w:sz w:val="22"/>
          <w:szCs w:val="22"/>
        </w:rPr>
        <w:t xml:space="preserve">of </w:t>
      </w:r>
      <w:r>
        <w:rPr>
          <w:spacing w:val="-2"/>
          <w:sz w:val="22"/>
          <w:szCs w:val="22"/>
        </w:rPr>
        <w:t>947.5 MHz.</w:t>
      </w:r>
      <w:r w:rsidR="006B1DE3">
        <w:rPr>
          <w:spacing w:val="-2"/>
          <w:sz w:val="22"/>
          <w:szCs w:val="22"/>
        </w:rPr>
        <w:t xml:space="preserve">  </w:t>
      </w:r>
      <w:r w:rsidR="00B67328" w:rsidRPr="006B1DE3">
        <w:rPr>
          <w:spacing w:val="-2"/>
          <w:sz w:val="22"/>
          <w:szCs w:val="22"/>
        </w:rPr>
        <w:t xml:space="preserve">On March 25, 2013, the Philadelphia Office issued a Notice of Violation </w:t>
      </w:r>
      <w:r w:rsidR="007E0B9D" w:rsidRPr="006B1DE3">
        <w:rPr>
          <w:spacing w:val="-2"/>
          <w:sz w:val="22"/>
          <w:szCs w:val="22"/>
        </w:rPr>
        <w:t>(</w:t>
      </w:r>
      <w:r w:rsidRPr="006B1DE3">
        <w:rPr>
          <w:spacing w:val="-2"/>
          <w:sz w:val="22"/>
          <w:szCs w:val="22"/>
        </w:rPr>
        <w:t xml:space="preserve">First </w:t>
      </w:r>
      <w:r w:rsidR="007E0B9D" w:rsidRPr="006B1DE3">
        <w:rPr>
          <w:spacing w:val="-2"/>
          <w:sz w:val="22"/>
          <w:szCs w:val="22"/>
        </w:rPr>
        <w:t xml:space="preserve">NOV) </w:t>
      </w:r>
      <w:r w:rsidR="00B67328" w:rsidRPr="006B1DE3">
        <w:rPr>
          <w:spacing w:val="-2"/>
          <w:sz w:val="22"/>
          <w:szCs w:val="22"/>
        </w:rPr>
        <w:t xml:space="preserve">to Phillips for </w:t>
      </w:r>
      <w:r w:rsidR="00096E76" w:rsidRPr="006B1DE3">
        <w:rPr>
          <w:spacing w:val="-2"/>
          <w:sz w:val="22"/>
          <w:szCs w:val="22"/>
        </w:rPr>
        <w:t xml:space="preserve">operating </w:t>
      </w:r>
      <w:r w:rsidR="006B1DE3" w:rsidRPr="006B1DE3">
        <w:rPr>
          <w:sz w:val="22"/>
          <w:szCs w:val="22"/>
        </w:rPr>
        <w:t>Station WHB714</w:t>
      </w:r>
      <w:r w:rsidR="006B1DE3" w:rsidRPr="00FC66E3">
        <w:rPr>
          <w:sz w:val="22"/>
        </w:rPr>
        <w:t xml:space="preserve"> </w:t>
      </w:r>
      <w:r w:rsidR="00096E76" w:rsidRPr="006B1DE3">
        <w:rPr>
          <w:spacing w:val="-2"/>
          <w:sz w:val="22"/>
          <w:szCs w:val="22"/>
        </w:rPr>
        <w:t>at an unauthorized location</w:t>
      </w:r>
      <w:r w:rsidR="002C51C3">
        <w:rPr>
          <w:spacing w:val="-2"/>
          <w:sz w:val="22"/>
          <w:szCs w:val="22"/>
        </w:rPr>
        <w:t xml:space="preserve"> </w:t>
      </w:r>
      <w:r w:rsidRPr="006B1DE3">
        <w:rPr>
          <w:spacing w:val="-2"/>
          <w:sz w:val="22"/>
          <w:szCs w:val="22"/>
        </w:rPr>
        <w:t>on an unauthorized frequency</w:t>
      </w:r>
      <w:r w:rsidR="00096E76" w:rsidRPr="006B1DE3">
        <w:rPr>
          <w:spacing w:val="-2"/>
          <w:sz w:val="22"/>
          <w:szCs w:val="22"/>
        </w:rPr>
        <w:t>.</w:t>
      </w:r>
      <w:r w:rsidR="00A112B0" w:rsidRPr="00D26815">
        <w:rPr>
          <w:rStyle w:val="FootnoteReference"/>
          <w:spacing w:val="-2"/>
        </w:rPr>
        <w:footnoteReference w:id="6"/>
      </w:r>
      <w:r w:rsidR="00096E76" w:rsidRPr="006B1DE3">
        <w:rPr>
          <w:spacing w:val="-2"/>
          <w:sz w:val="22"/>
          <w:szCs w:val="22"/>
        </w:rPr>
        <w:t xml:space="preserve"> </w:t>
      </w:r>
      <w:r w:rsidR="00D5058F" w:rsidRPr="006B1DE3">
        <w:rPr>
          <w:spacing w:val="-2"/>
          <w:sz w:val="22"/>
          <w:szCs w:val="22"/>
        </w:rPr>
        <w:t xml:space="preserve">  In its response to the </w:t>
      </w:r>
      <w:r w:rsidR="0067128E" w:rsidRPr="006B1DE3">
        <w:rPr>
          <w:spacing w:val="-2"/>
          <w:sz w:val="22"/>
          <w:szCs w:val="22"/>
        </w:rPr>
        <w:t xml:space="preserve">First </w:t>
      </w:r>
      <w:r w:rsidR="007E0B9D" w:rsidRPr="006B1DE3">
        <w:rPr>
          <w:spacing w:val="-2"/>
          <w:sz w:val="22"/>
          <w:szCs w:val="22"/>
        </w:rPr>
        <w:t>NOV</w:t>
      </w:r>
      <w:r w:rsidR="00D5058F" w:rsidRPr="006B1DE3">
        <w:rPr>
          <w:spacing w:val="-2"/>
          <w:sz w:val="22"/>
          <w:szCs w:val="22"/>
        </w:rPr>
        <w:t xml:space="preserve">, </w:t>
      </w:r>
      <w:r w:rsidR="00096E76" w:rsidRPr="006B1DE3">
        <w:rPr>
          <w:sz w:val="22"/>
          <w:szCs w:val="22"/>
        </w:rPr>
        <w:t xml:space="preserve">Phillips </w:t>
      </w:r>
      <w:r w:rsidR="002745A2" w:rsidRPr="006B1DE3">
        <w:rPr>
          <w:sz w:val="22"/>
          <w:szCs w:val="22"/>
        </w:rPr>
        <w:t>acknowledge</w:t>
      </w:r>
      <w:r w:rsidR="00BA3EC6" w:rsidRPr="006B1DE3">
        <w:rPr>
          <w:sz w:val="22"/>
          <w:szCs w:val="22"/>
        </w:rPr>
        <w:t>d that it was operating Station WHB714</w:t>
      </w:r>
      <w:r w:rsidR="007E0B9D" w:rsidRPr="006B1DE3">
        <w:rPr>
          <w:sz w:val="22"/>
          <w:szCs w:val="22"/>
        </w:rPr>
        <w:t xml:space="preserve"> </w:t>
      </w:r>
      <w:r w:rsidR="0067128E" w:rsidRPr="006B1DE3">
        <w:rPr>
          <w:sz w:val="22"/>
          <w:szCs w:val="22"/>
        </w:rPr>
        <w:t>from an</w:t>
      </w:r>
      <w:r w:rsidR="002745A2" w:rsidRPr="006B1DE3">
        <w:rPr>
          <w:sz w:val="22"/>
          <w:szCs w:val="22"/>
        </w:rPr>
        <w:t xml:space="preserve"> unauthorized location</w:t>
      </w:r>
      <w:r w:rsidR="0067128E" w:rsidRPr="006B1DE3">
        <w:rPr>
          <w:sz w:val="22"/>
          <w:szCs w:val="22"/>
        </w:rPr>
        <w:t xml:space="preserve"> and frequency.</w:t>
      </w:r>
      <w:r w:rsidR="0067128E">
        <w:rPr>
          <w:rStyle w:val="FootnoteReference"/>
          <w:sz w:val="22"/>
          <w:szCs w:val="22"/>
        </w:rPr>
        <w:footnoteReference w:id="7"/>
      </w:r>
      <w:r w:rsidR="0067128E" w:rsidRPr="006B1DE3">
        <w:rPr>
          <w:sz w:val="22"/>
          <w:szCs w:val="22"/>
        </w:rPr>
        <w:t xml:space="preserve">  Phillips stated that it had retuned Station WHB714 to operate on its authorized frequency and </w:t>
      </w:r>
      <w:r w:rsidR="00A112B0" w:rsidRPr="006B1DE3">
        <w:rPr>
          <w:sz w:val="22"/>
          <w:szCs w:val="22"/>
        </w:rPr>
        <w:t>was</w:t>
      </w:r>
      <w:r w:rsidR="00096E76" w:rsidRPr="006B1DE3">
        <w:rPr>
          <w:sz w:val="22"/>
          <w:szCs w:val="22"/>
        </w:rPr>
        <w:t xml:space="preserve"> in the process of applying for authority to operate Station </w:t>
      </w:r>
      <w:r w:rsidR="0067128E" w:rsidRPr="006B1DE3">
        <w:rPr>
          <w:sz w:val="22"/>
          <w:szCs w:val="22"/>
        </w:rPr>
        <w:t xml:space="preserve">WHB714 from the </w:t>
      </w:r>
      <w:r w:rsidR="0067128E" w:rsidRPr="006B1DE3">
        <w:rPr>
          <w:spacing w:val="-2"/>
          <w:sz w:val="22"/>
          <w:szCs w:val="22"/>
        </w:rPr>
        <w:t>Union Road Site</w:t>
      </w:r>
      <w:r w:rsidR="00096E76" w:rsidRPr="006B1DE3">
        <w:rPr>
          <w:sz w:val="22"/>
          <w:szCs w:val="22"/>
        </w:rPr>
        <w:t>.</w:t>
      </w:r>
      <w:r w:rsidR="00A112B0" w:rsidRPr="00D26815">
        <w:rPr>
          <w:rStyle w:val="FootnoteReference"/>
        </w:rPr>
        <w:footnoteReference w:id="8"/>
      </w:r>
    </w:p>
    <w:p w:rsidR="008D16E9" w:rsidRPr="00D5058F" w:rsidRDefault="008D16E9" w:rsidP="00FC66E3">
      <w:pPr>
        <w:widowControl/>
        <w:numPr>
          <w:ilvl w:val="0"/>
          <w:numId w:val="22"/>
        </w:numPr>
        <w:tabs>
          <w:tab w:val="clear" w:pos="1260"/>
          <w:tab w:val="left" w:pos="0"/>
          <w:tab w:val="num" w:pos="1440"/>
        </w:tabs>
        <w:suppressAutoHyphens/>
        <w:spacing w:after="120"/>
        <w:ind w:left="0"/>
        <w:rPr>
          <w:spacing w:val="-2"/>
          <w:sz w:val="22"/>
          <w:szCs w:val="22"/>
        </w:rPr>
      </w:pPr>
      <w:r w:rsidRPr="00D5058F">
        <w:rPr>
          <w:spacing w:val="-2"/>
          <w:sz w:val="22"/>
          <w:szCs w:val="22"/>
        </w:rPr>
        <w:t xml:space="preserve">On October 24, 2013, agents </w:t>
      </w:r>
      <w:r w:rsidR="00A112B0">
        <w:rPr>
          <w:spacing w:val="-2"/>
          <w:sz w:val="22"/>
          <w:szCs w:val="22"/>
        </w:rPr>
        <w:t>from the</w:t>
      </w:r>
      <w:r w:rsidR="00BA3EC6">
        <w:rPr>
          <w:sz w:val="22"/>
          <w:szCs w:val="22"/>
        </w:rPr>
        <w:t xml:space="preserve"> Philadelphia Office re-</w:t>
      </w:r>
      <w:r w:rsidRPr="00D5058F">
        <w:rPr>
          <w:sz w:val="22"/>
          <w:szCs w:val="22"/>
        </w:rPr>
        <w:t xml:space="preserve">inspected Station WHB714 and </w:t>
      </w:r>
      <w:r w:rsidR="007E0B9D">
        <w:rPr>
          <w:sz w:val="22"/>
          <w:szCs w:val="22"/>
        </w:rPr>
        <w:t xml:space="preserve">found </w:t>
      </w:r>
      <w:r w:rsidRPr="00D5058F">
        <w:rPr>
          <w:sz w:val="22"/>
          <w:szCs w:val="22"/>
        </w:rPr>
        <w:t xml:space="preserve">that </w:t>
      </w:r>
      <w:r w:rsidR="00A112B0">
        <w:rPr>
          <w:sz w:val="22"/>
          <w:szCs w:val="22"/>
        </w:rPr>
        <w:t xml:space="preserve">it </w:t>
      </w:r>
      <w:r w:rsidRPr="00D5058F">
        <w:rPr>
          <w:sz w:val="22"/>
          <w:szCs w:val="22"/>
        </w:rPr>
        <w:t xml:space="preserve">was still </w:t>
      </w:r>
      <w:r w:rsidRPr="00D5058F">
        <w:rPr>
          <w:spacing w:val="-2"/>
          <w:sz w:val="22"/>
          <w:szCs w:val="22"/>
        </w:rPr>
        <w:t xml:space="preserve">operating from the </w:t>
      </w:r>
      <w:r w:rsidR="00BA3EC6">
        <w:rPr>
          <w:spacing w:val="-2"/>
          <w:sz w:val="22"/>
          <w:szCs w:val="22"/>
        </w:rPr>
        <w:t>unauthorized Union Road Site</w:t>
      </w:r>
      <w:r w:rsidRPr="00D5058F">
        <w:rPr>
          <w:spacing w:val="-2"/>
          <w:sz w:val="22"/>
          <w:szCs w:val="22"/>
        </w:rPr>
        <w:t>.</w:t>
      </w:r>
      <w:r w:rsidR="00BA3EC6">
        <w:rPr>
          <w:rStyle w:val="FootnoteReference"/>
          <w:spacing w:val="-2"/>
          <w:sz w:val="22"/>
          <w:szCs w:val="22"/>
        </w:rPr>
        <w:footnoteReference w:id="9"/>
      </w:r>
      <w:r w:rsidR="00D5058F" w:rsidRPr="00D5058F">
        <w:rPr>
          <w:spacing w:val="-2"/>
          <w:sz w:val="22"/>
          <w:szCs w:val="22"/>
        </w:rPr>
        <w:t xml:space="preserve"> </w:t>
      </w:r>
      <w:r w:rsidR="00D5058F">
        <w:rPr>
          <w:spacing w:val="-2"/>
          <w:sz w:val="22"/>
          <w:szCs w:val="22"/>
        </w:rPr>
        <w:t xml:space="preserve"> </w:t>
      </w:r>
      <w:r w:rsidR="006B1DE3">
        <w:rPr>
          <w:spacing w:val="-2"/>
          <w:sz w:val="22"/>
          <w:szCs w:val="22"/>
        </w:rPr>
        <w:t xml:space="preserve">During the inspection, </w:t>
      </w:r>
      <w:r w:rsidR="002745A2">
        <w:rPr>
          <w:spacing w:val="-2"/>
          <w:sz w:val="22"/>
          <w:szCs w:val="22"/>
        </w:rPr>
        <w:t>Phillips was unable to provide the agent</w:t>
      </w:r>
      <w:r w:rsidR="006B1DE3">
        <w:rPr>
          <w:spacing w:val="-2"/>
          <w:sz w:val="22"/>
          <w:szCs w:val="22"/>
        </w:rPr>
        <w:t>s</w:t>
      </w:r>
      <w:r w:rsidR="002745A2">
        <w:rPr>
          <w:spacing w:val="-2"/>
          <w:sz w:val="22"/>
          <w:szCs w:val="22"/>
        </w:rPr>
        <w:t xml:space="preserve"> with any evidence that it </w:t>
      </w:r>
      <w:r w:rsidR="00997C3D">
        <w:rPr>
          <w:spacing w:val="-2"/>
          <w:sz w:val="22"/>
          <w:szCs w:val="22"/>
        </w:rPr>
        <w:t xml:space="preserve">had </w:t>
      </w:r>
      <w:r w:rsidR="002745A2">
        <w:rPr>
          <w:spacing w:val="-2"/>
          <w:sz w:val="22"/>
          <w:szCs w:val="22"/>
        </w:rPr>
        <w:t xml:space="preserve">sought authorization from the Commission to operate </w:t>
      </w:r>
      <w:r w:rsidR="006B1DE3" w:rsidRPr="00FC66E3">
        <w:rPr>
          <w:sz w:val="22"/>
        </w:rPr>
        <w:t xml:space="preserve">Station </w:t>
      </w:r>
      <w:r w:rsidR="006B1DE3" w:rsidRPr="00D5058F">
        <w:rPr>
          <w:sz w:val="22"/>
          <w:szCs w:val="22"/>
        </w:rPr>
        <w:t xml:space="preserve">WHB714 </w:t>
      </w:r>
      <w:r w:rsidR="006B1DE3">
        <w:rPr>
          <w:spacing w:val="-2"/>
          <w:sz w:val="22"/>
          <w:szCs w:val="22"/>
        </w:rPr>
        <w:t>from the Union Road Site.  On November 27, 2013, t</w:t>
      </w:r>
      <w:r w:rsidR="009E6F0C">
        <w:rPr>
          <w:spacing w:val="-2"/>
          <w:sz w:val="22"/>
          <w:szCs w:val="22"/>
        </w:rPr>
        <w:t>he P</w:t>
      </w:r>
      <w:r w:rsidR="006B1DE3">
        <w:rPr>
          <w:spacing w:val="-2"/>
          <w:sz w:val="22"/>
          <w:szCs w:val="22"/>
        </w:rPr>
        <w:t xml:space="preserve">hiladelphia Office </w:t>
      </w:r>
      <w:r w:rsidR="009E6F0C">
        <w:rPr>
          <w:spacing w:val="-2"/>
          <w:sz w:val="22"/>
          <w:szCs w:val="22"/>
        </w:rPr>
        <w:t xml:space="preserve">issued a second </w:t>
      </w:r>
      <w:r w:rsidR="006B1DE3" w:rsidRPr="006B1DE3">
        <w:rPr>
          <w:spacing w:val="-2"/>
          <w:sz w:val="22"/>
          <w:szCs w:val="22"/>
        </w:rPr>
        <w:t>Notice of Violation</w:t>
      </w:r>
      <w:r w:rsidR="009E6F0C">
        <w:rPr>
          <w:spacing w:val="-2"/>
          <w:sz w:val="22"/>
          <w:szCs w:val="22"/>
        </w:rPr>
        <w:t xml:space="preserve"> </w:t>
      </w:r>
      <w:r w:rsidR="006B1DE3">
        <w:rPr>
          <w:spacing w:val="-2"/>
          <w:sz w:val="22"/>
          <w:szCs w:val="22"/>
        </w:rPr>
        <w:t xml:space="preserve">(Second NOV) </w:t>
      </w:r>
      <w:r w:rsidR="009E6F0C">
        <w:rPr>
          <w:spacing w:val="-2"/>
          <w:sz w:val="22"/>
          <w:szCs w:val="22"/>
        </w:rPr>
        <w:t>to Phillips</w:t>
      </w:r>
      <w:r w:rsidR="006B1DE3">
        <w:rPr>
          <w:spacing w:val="-2"/>
          <w:sz w:val="22"/>
          <w:szCs w:val="22"/>
        </w:rPr>
        <w:t xml:space="preserve"> </w:t>
      </w:r>
      <w:r w:rsidR="006B1DE3" w:rsidRPr="006B1DE3">
        <w:rPr>
          <w:spacing w:val="-2"/>
          <w:sz w:val="22"/>
          <w:szCs w:val="22"/>
        </w:rPr>
        <w:t xml:space="preserve">for operating </w:t>
      </w:r>
      <w:r w:rsidR="006B1DE3" w:rsidRPr="006B1DE3">
        <w:rPr>
          <w:sz w:val="22"/>
          <w:szCs w:val="22"/>
        </w:rPr>
        <w:t xml:space="preserve">Station WHB714 </w:t>
      </w:r>
      <w:r w:rsidR="006B1DE3" w:rsidRPr="006B1DE3">
        <w:rPr>
          <w:spacing w:val="-2"/>
          <w:sz w:val="22"/>
          <w:szCs w:val="22"/>
        </w:rPr>
        <w:t>at an unauthorized location</w:t>
      </w:r>
      <w:r w:rsidR="006B1DE3">
        <w:rPr>
          <w:spacing w:val="-2"/>
          <w:sz w:val="22"/>
          <w:szCs w:val="22"/>
        </w:rPr>
        <w:t>.</w:t>
      </w:r>
      <w:r w:rsidR="006B1DE3">
        <w:rPr>
          <w:rStyle w:val="FootnoteReference"/>
          <w:spacing w:val="-2"/>
          <w:sz w:val="22"/>
          <w:szCs w:val="22"/>
        </w:rPr>
        <w:footnoteReference w:id="10"/>
      </w:r>
      <w:r w:rsidR="006B1DE3">
        <w:rPr>
          <w:spacing w:val="-2"/>
          <w:sz w:val="22"/>
          <w:szCs w:val="22"/>
        </w:rPr>
        <w:t xml:space="preserve">  In its response to the Second NOV, Phillips acknowledged that it continued to operate </w:t>
      </w:r>
      <w:r w:rsidR="006B1DE3" w:rsidRPr="006B1DE3">
        <w:rPr>
          <w:sz w:val="22"/>
          <w:szCs w:val="22"/>
        </w:rPr>
        <w:t xml:space="preserve">Station WHB714 </w:t>
      </w:r>
      <w:r w:rsidR="006B1DE3" w:rsidRPr="006B1DE3">
        <w:rPr>
          <w:spacing w:val="-2"/>
          <w:sz w:val="22"/>
          <w:szCs w:val="22"/>
        </w:rPr>
        <w:t>at an unauthorized location</w:t>
      </w:r>
      <w:r w:rsidR="006B1DE3">
        <w:rPr>
          <w:spacing w:val="-2"/>
          <w:sz w:val="22"/>
          <w:szCs w:val="22"/>
        </w:rPr>
        <w:t xml:space="preserve">, stating that </w:t>
      </w:r>
      <w:r w:rsidR="002C51C3">
        <w:rPr>
          <w:spacing w:val="-2"/>
          <w:sz w:val="22"/>
          <w:szCs w:val="22"/>
        </w:rPr>
        <w:t xml:space="preserve">its </w:t>
      </w:r>
      <w:r w:rsidR="006B1DE3">
        <w:rPr>
          <w:spacing w:val="-2"/>
          <w:sz w:val="22"/>
          <w:szCs w:val="22"/>
        </w:rPr>
        <w:t xml:space="preserve">counsel failed to file </w:t>
      </w:r>
      <w:r w:rsidR="002C51C3">
        <w:rPr>
          <w:spacing w:val="-2"/>
          <w:sz w:val="22"/>
          <w:szCs w:val="22"/>
        </w:rPr>
        <w:t xml:space="preserve">the </w:t>
      </w:r>
      <w:r w:rsidR="006B1DE3">
        <w:rPr>
          <w:spacing w:val="-2"/>
          <w:sz w:val="22"/>
          <w:szCs w:val="22"/>
        </w:rPr>
        <w:t xml:space="preserve">necessary application for </w:t>
      </w:r>
      <w:r w:rsidR="006B1DE3" w:rsidRPr="006B1DE3">
        <w:rPr>
          <w:sz w:val="22"/>
          <w:szCs w:val="22"/>
        </w:rPr>
        <w:t>auth</w:t>
      </w:r>
      <w:r w:rsidR="002C51C3">
        <w:rPr>
          <w:sz w:val="22"/>
          <w:szCs w:val="22"/>
        </w:rPr>
        <w:t xml:space="preserve">ority to operate </w:t>
      </w:r>
      <w:r w:rsidR="006B1DE3" w:rsidRPr="006B1DE3">
        <w:rPr>
          <w:sz w:val="22"/>
          <w:szCs w:val="22"/>
        </w:rPr>
        <w:t xml:space="preserve">from the </w:t>
      </w:r>
      <w:r w:rsidR="006B1DE3" w:rsidRPr="006B1DE3">
        <w:rPr>
          <w:spacing w:val="-2"/>
          <w:sz w:val="22"/>
          <w:szCs w:val="22"/>
        </w:rPr>
        <w:t>Union Road Site</w:t>
      </w:r>
      <w:r w:rsidR="006B1DE3">
        <w:rPr>
          <w:spacing w:val="-2"/>
          <w:sz w:val="22"/>
          <w:szCs w:val="22"/>
        </w:rPr>
        <w:t>.</w:t>
      </w:r>
      <w:r w:rsidR="006B1DE3">
        <w:rPr>
          <w:rStyle w:val="FootnoteReference"/>
          <w:spacing w:val="-2"/>
          <w:sz w:val="22"/>
          <w:szCs w:val="22"/>
        </w:rPr>
        <w:footnoteReference w:id="11"/>
      </w:r>
    </w:p>
    <w:p w:rsidR="00050854" w:rsidRPr="003F3CFD" w:rsidRDefault="00050854" w:rsidP="00FC66E3">
      <w:pPr>
        <w:pStyle w:val="Heading1"/>
        <w:widowControl/>
        <w:spacing w:after="120"/>
        <w:rPr>
          <w:sz w:val="22"/>
          <w:szCs w:val="22"/>
        </w:rPr>
      </w:pPr>
      <w:r w:rsidRPr="003F3CFD">
        <w:rPr>
          <w:sz w:val="22"/>
          <w:szCs w:val="22"/>
        </w:rPr>
        <w:t>DISCUSSION</w:t>
      </w:r>
    </w:p>
    <w:p w:rsidR="00050854" w:rsidRPr="00A12D37" w:rsidRDefault="00050854" w:rsidP="00FC66E3">
      <w:pPr>
        <w:widowControl/>
        <w:numPr>
          <w:ilvl w:val="0"/>
          <w:numId w:val="22"/>
        </w:numPr>
        <w:tabs>
          <w:tab w:val="clear" w:pos="1260"/>
          <w:tab w:val="num" w:pos="1440"/>
          <w:tab w:val="left" w:pos="4680"/>
          <w:tab w:val="left" w:pos="5760"/>
        </w:tabs>
        <w:spacing w:after="120"/>
        <w:ind w:left="0"/>
        <w:rPr>
          <w:color w:val="000000"/>
          <w:sz w:val="22"/>
          <w:szCs w:val="22"/>
        </w:rPr>
      </w:pPr>
      <w:r w:rsidRPr="00E34AAE">
        <w:rPr>
          <w:spacing w:val="-3"/>
          <w:sz w:val="22"/>
          <w:szCs w:val="22"/>
        </w:rPr>
        <w:t xml:space="preserve">Section 503(b) of the </w:t>
      </w:r>
      <w:r w:rsidR="00DC7D2B">
        <w:rPr>
          <w:spacing w:val="-3"/>
          <w:sz w:val="22"/>
          <w:szCs w:val="22"/>
        </w:rPr>
        <w:t>Act</w:t>
      </w:r>
      <w:r w:rsidR="007E2E05">
        <w:rPr>
          <w:spacing w:val="-3"/>
          <w:sz w:val="22"/>
          <w:szCs w:val="22"/>
        </w:rPr>
        <w:t xml:space="preserve"> </w:t>
      </w:r>
      <w:r w:rsidRPr="00E34AAE">
        <w:rPr>
          <w:spacing w:val="-3"/>
          <w:sz w:val="22"/>
          <w:szCs w:val="22"/>
        </w:rPr>
        <w:t xml:space="preserve">provides that any person who willfully </w:t>
      </w:r>
      <w:r w:rsidR="0011170C">
        <w:rPr>
          <w:spacing w:val="-3"/>
          <w:sz w:val="22"/>
          <w:szCs w:val="22"/>
        </w:rPr>
        <w:t xml:space="preserve">or repeatedly </w:t>
      </w:r>
      <w:r w:rsidRPr="00E34AAE">
        <w:rPr>
          <w:spacing w:val="-3"/>
          <w:sz w:val="22"/>
          <w:szCs w:val="22"/>
        </w:rPr>
        <w:t xml:space="preserve">fails to comply substantially with the terms and conditions of any license, or willfully </w:t>
      </w:r>
      <w:r w:rsidR="0011170C">
        <w:rPr>
          <w:spacing w:val="-3"/>
          <w:sz w:val="22"/>
          <w:szCs w:val="22"/>
        </w:rPr>
        <w:t xml:space="preserve">or repeatedly </w:t>
      </w:r>
      <w:r w:rsidRPr="00E34AAE">
        <w:rPr>
          <w:spacing w:val="-3"/>
          <w:sz w:val="22"/>
          <w:szCs w:val="22"/>
        </w:rPr>
        <w:t>fails to comply with any of the provisions of the Act or of any rule, regulation</w:t>
      </w:r>
      <w:r w:rsidR="009711A7">
        <w:rPr>
          <w:spacing w:val="-3"/>
          <w:sz w:val="22"/>
          <w:szCs w:val="22"/>
        </w:rPr>
        <w:t>,</w:t>
      </w:r>
      <w:r w:rsidRPr="00E34AAE">
        <w:rPr>
          <w:spacing w:val="-3"/>
          <w:sz w:val="22"/>
          <w:szCs w:val="22"/>
        </w:rPr>
        <w:t xml:space="preserve"> or order issued by the Commission thereunder, shall be liable for a forfeiture penalty.</w:t>
      </w:r>
      <w:r w:rsidR="009711A7" w:rsidRPr="00FC66E3">
        <w:rPr>
          <w:rStyle w:val="FootnoteReference"/>
          <w:spacing w:val="-3"/>
        </w:rPr>
        <w:footnoteReference w:id="12"/>
      </w:r>
      <w:r w:rsidRPr="00E34AAE">
        <w:rPr>
          <w:spacing w:val="-3"/>
          <w:sz w:val="22"/>
          <w:szCs w:val="22"/>
        </w:rPr>
        <w:t xml:space="preserve">  </w:t>
      </w:r>
      <w:r w:rsidR="001665F5" w:rsidRPr="00A12D37">
        <w:rPr>
          <w:color w:val="000000"/>
          <w:spacing w:val="-3"/>
          <w:sz w:val="22"/>
          <w:szCs w:val="22"/>
        </w:rPr>
        <w:t xml:space="preserve">Section 312(f)(1) of the Act defines </w:t>
      </w:r>
      <w:r w:rsidR="009711A7">
        <w:rPr>
          <w:color w:val="000000"/>
          <w:spacing w:val="-3"/>
          <w:sz w:val="22"/>
          <w:szCs w:val="22"/>
        </w:rPr>
        <w:t>“</w:t>
      </w:r>
      <w:r w:rsidR="001665F5" w:rsidRPr="00A12D37">
        <w:rPr>
          <w:color w:val="000000"/>
          <w:spacing w:val="-3"/>
          <w:sz w:val="22"/>
          <w:szCs w:val="22"/>
        </w:rPr>
        <w:t>willful</w:t>
      </w:r>
      <w:r w:rsidR="009711A7">
        <w:rPr>
          <w:color w:val="000000"/>
          <w:spacing w:val="-3"/>
          <w:sz w:val="22"/>
          <w:szCs w:val="22"/>
        </w:rPr>
        <w:t>”</w:t>
      </w:r>
      <w:r w:rsidR="001665F5" w:rsidRPr="00A12D37">
        <w:rPr>
          <w:color w:val="000000"/>
          <w:spacing w:val="-3"/>
          <w:sz w:val="22"/>
          <w:szCs w:val="22"/>
        </w:rPr>
        <w:t xml:space="preserve"> as the “conscious and deliberate commission or omission of [any] act, irrespective of any intent to violate” the law.</w:t>
      </w:r>
      <w:r w:rsidR="001665F5" w:rsidRPr="00FC66E3">
        <w:rPr>
          <w:rStyle w:val="FootnoteReference"/>
          <w:color w:val="000000"/>
          <w:spacing w:val="-3"/>
        </w:rPr>
        <w:footnoteReference w:id="13"/>
      </w:r>
      <w:r w:rsidR="001665F5" w:rsidRPr="00A12D37">
        <w:rPr>
          <w:color w:val="000000"/>
          <w:spacing w:val="-3"/>
          <w:sz w:val="22"/>
          <w:szCs w:val="22"/>
        </w:rPr>
        <w:t xml:space="preserve">  The legislative history to </w:t>
      </w:r>
      <w:r w:rsidR="009711A7">
        <w:rPr>
          <w:color w:val="000000"/>
          <w:spacing w:val="-3"/>
          <w:sz w:val="22"/>
          <w:szCs w:val="22"/>
        </w:rPr>
        <w:t>S</w:t>
      </w:r>
      <w:r w:rsidR="001665F5" w:rsidRPr="00A12D37">
        <w:rPr>
          <w:color w:val="000000"/>
          <w:spacing w:val="-3"/>
          <w:sz w:val="22"/>
          <w:szCs w:val="22"/>
        </w:rPr>
        <w:t xml:space="preserve">ection 312(f)(1) of the Act clarifies that this definition of willful applies to both </w:t>
      </w:r>
      <w:r w:rsidR="00174A12">
        <w:rPr>
          <w:color w:val="000000"/>
          <w:spacing w:val="-3"/>
          <w:sz w:val="22"/>
          <w:szCs w:val="22"/>
        </w:rPr>
        <w:t>S</w:t>
      </w:r>
      <w:r w:rsidR="001665F5" w:rsidRPr="00A12D37">
        <w:rPr>
          <w:color w:val="000000"/>
          <w:spacing w:val="-3"/>
          <w:sz w:val="22"/>
          <w:szCs w:val="22"/>
        </w:rPr>
        <w:t>ection</w:t>
      </w:r>
      <w:r w:rsidR="00174A12">
        <w:rPr>
          <w:color w:val="000000"/>
          <w:spacing w:val="-3"/>
          <w:sz w:val="22"/>
          <w:szCs w:val="22"/>
        </w:rPr>
        <w:t>s</w:t>
      </w:r>
      <w:r w:rsidR="001665F5" w:rsidRPr="00A12D37">
        <w:rPr>
          <w:color w:val="000000"/>
          <w:spacing w:val="-3"/>
          <w:sz w:val="22"/>
          <w:szCs w:val="22"/>
        </w:rPr>
        <w:t xml:space="preserve"> 312 and 503(b) of the Act</w:t>
      </w:r>
      <w:r w:rsidR="00174A12">
        <w:rPr>
          <w:color w:val="000000"/>
          <w:spacing w:val="-3"/>
          <w:sz w:val="22"/>
          <w:szCs w:val="22"/>
        </w:rPr>
        <w:t>,</w:t>
      </w:r>
      <w:r w:rsidR="001665F5" w:rsidRPr="00FC66E3">
        <w:rPr>
          <w:rStyle w:val="FootnoteReference"/>
          <w:color w:val="000000"/>
          <w:spacing w:val="-3"/>
        </w:rPr>
        <w:footnoteReference w:id="14"/>
      </w:r>
      <w:r w:rsidR="001665F5" w:rsidRPr="00A12D37">
        <w:rPr>
          <w:color w:val="000000"/>
          <w:spacing w:val="-3"/>
          <w:sz w:val="22"/>
          <w:szCs w:val="22"/>
        </w:rPr>
        <w:t xml:space="preserve"> and the Commission has so interpreted the term in the </w:t>
      </w:r>
      <w:r w:rsidR="00174A12">
        <w:rPr>
          <w:color w:val="000000"/>
          <w:spacing w:val="-3"/>
          <w:sz w:val="22"/>
          <w:szCs w:val="22"/>
        </w:rPr>
        <w:t>S</w:t>
      </w:r>
      <w:r w:rsidR="001665F5" w:rsidRPr="00A12D37">
        <w:rPr>
          <w:color w:val="000000"/>
          <w:spacing w:val="-3"/>
          <w:sz w:val="22"/>
          <w:szCs w:val="22"/>
        </w:rPr>
        <w:t xml:space="preserve">ection </w:t>
      </w:r>
      <w:r w:rsidR="001665F5" w:rsidRPr="00A12D37">
        <w:rPr>
          <w:color w:val="000000"/>
          <w:spacing w:val="-3"/>
          <w:sz w:val="22"/>
          <w:szCs w:val="22"/>
        </w:rPr>
        <w:lastRenderedPageBreak/>
        <w:t>503(b) context.</w:t>
      </w:r>
      <w:r w:rsidR="001665F5" w:rsidRPr="00FC66E3">
        <w:rPr>
          <w:rStyle w:val="FootnoteReference"/>
          <w:color w:val="000000"/>
          <w:spacing w:val="-3"/>
        </w:rPr>
        <w:footnoteReference w:id="15"/>
      </w:r>
      <w:r w:rsidR="001665F5" w:rsidRPr="00E920CC">
        <w:rPr>
          <w:color w:val="000000"/>
          <w:spacing w:val="-3"/>
          <w:sz w:val="22"/>
          <w:szCs w:val="22"/>
        </w:rPr>
        <w:t xml:space="preserve"> </w:t>
      </w:r>
      <w:r w:rsidR="001665F5" w:rsidRPr="00A12D37">
        <w:rPr>
          <w:color w:val="000000"/>
          <w:spacing w:val="-3"/>
          <w:sz w:val="22"/>
          <w:szCs w:val="22"/>
        </w:rPr>
        <w:t xml:space="preserve"> </w:t>
      </w:r>
      <w:r w:rsidR="001665F5" w:rsidRPr="00A12D37">
        <w:rPr>
          <w:color w:val="000000"/>
          <w:sz w:val="22"/>
          <w:szCs w:val="22"/>
        </w:rPr>
        <w:t>The Commission may also assess a forfeiture for violations that are merely repeated, and not willful.</w:t>
      </w:r>
      <w:r w:rsidR="001665F5" w:rsidRPr="00FC66E3">
        <w:rPr>
          <w:rStyle w:val="FootnoteReference"/>
          <w:color w:val="000000"/>
        </w:rPr>
        <w:footnoteReference w:id="16"/>
      </w:r>
      <w:r w:rsidR="001665F5" w:rsidRPr="00A12D37">
        <w:rPr>
          <w:color w:val="000000"/>
        </w:rPr>
        <w:t xml:space="preserve">  </w:t>
      </w:r>
      <w:r w:rsidRPr="00A12D37">
        <w:rPr>
          <w:color w:val="000000"/>
          <w:spacing w:val="-3"/>
          <w:sz w:val="22"/>
          <w:szCs w:val="22"/>
        </w:rPr>
        <w:t>The term “repeated” means the commission or omission of such act more than on</w:t>
      </w:r>
      <w:r w:rsidR="00FB30D7" w:rsidRPr="00A12D37">
        <w:rPr>
          <w:color w:val="000000"/>
          <w:spacing w:val="-3"/>
          <w:sz w:val="22"/>
          <w:szCs w:val="22"/>
        </w:rPr>
        <w:t>c</w:t>
      </w:r>
      <w:r w:rsidRPr="00A12D37">
        <w:rPr>
          <w:color w:val="000000"/>
          <w:spacing w:val="-3"/>
          <w:sz w:val="22"/>
          <w:szCs w:val="22"/>
        </w:rPr>
        <w:t>e or for more than one day.</w:t>
      </w:r>
      <w:r w:rsidRPr="00FC66E3">
        <w:rPr>
          <w:rStyle w:val="FootnoteReference"/>
          <w:color w:val="000000"/>
          <w:spacing w:val="-3"/>
        </w:rPr>
        <w:footnoteReference w:id="17"/>
      </w:r>
      <w:r w:rsidRPr="00FC66E3">
        <w:rPr>
          <w:color w:val="000000"/>
          <w:spacing w:val="-3"/>
        </w:rPr>
        <w:t xml:space="preserve"> </w:t>
      </w:r>
    </w:p>
    <w:p w:rsidR="00F46870" w:rsidRPr="00F41BC5" w:rsidRDefault="00F46870" w:rsidP="00FC66E3">
      <w:pPr>
        <w:widowControl/>
        <w:tabs>
          <w:tab w:val="left" w:pos="720"/>
          <w:tab w:val="num" w:pos="1440"/>
          <w:tab w:val="left" w:pos="4680"/>
          <w:tab w:val="left" w:pos="5760"/>
        </w:tabs>
        <w:spacing w:after="120"/>
        <w:rPr>
          <w:spacing w:val="-3"/>
          <w:sz w:val="22"/>
          <w:szCs w:val="22"/>
        </w:rPr>
      </w:pPr>
      <w:r>
        <w:rPr>
          <w:spacing w:val="-3"/>
          <w:sz w:val="22"/>
          <w:szCs w:val="22"/>
        </w:rPr>
        <w:tab/>
      </w:r>
      <w:r w:rsidRPr="00F41BC5">
        <w:rPr>
          <w:b/>
          <w:spacing w:val="-3"/>
          <w:sz w:val="22"/>
          <w:szCs w:val="22"/>
        </w:rPr>
        <w:t>A.</w:t>
      </w:r>
      <w:r w:rsidRPr="00F41BC5">
        <w:rPr>
          <w:b/>
          <w:spacing w:val="-3"/>
          <w:sz w:val="22"/>
          <w:szCs w:val="22"/>
        </w:rPr>
        <w:tab/>
      </w:r>
      <w:r w:rsidR="00B67328" w:rsidRPr="00F41BC5">
        <w:rPr>
          <w:b/>
          <w:spacing w:val="-3"/>
          <w:sz w:val="22"/>
          <w:szCs w:val="22"/>
        </w:rPr>
        <w:t>Op</w:t>
      </w:r>
      <w:r w:rsidR="00F41BC5">
        <w:rPr>
          <w:b/>
          <w:spacing w:val="-3"/>
          <w:sz w:val="22"/>
          <w:szCs w:val="22"/>
        </w:rPr>
        <w:t>eration</w:t>
      </w:r>
      <w:r w:rsidR="00B67328" w:rsidRPr="00F41BC5">
        <w:rPr>
          <w:b/>
          <w:spacing w:val="-3"/>
          <w:sz w:val="22"/>
          <w:szCs w:val="22"/>
        </w:rPr>
        <w:t xml:space="preserve"> from an Unauthorized Location</w:t>
      </w:r>
    </w:p>
    <w:p w:rsidR="00A112B0" w:rsidRPr="005D5845" w:rsidRDefault="00A112B0" w:rsidP="00115696">
      <w:pPr>
        <w:widowControl/>
        <w:numPr>
          <w:ilvl w:val="0"/>
          <w:numId w:val="22"/>
        </w:numPr>
        <w:tabs>
          <w:tab w:val="clear" w:pos="1260"/>
          <w:tab w:val="num" w:pos="1440"/>
          <w:tab w:val="left" w:pos="1926"/>
          <w:tab w:val="left" w:pos="3978"/>
          <w:tab w:val="left" w:pos="4680"/>
          <w:tab w:val="left" w:pos="5760"/>
        </w:tabs>
        <w:spacing w:after="120"/>
        <w:ind w:left="0"/>
        <w:rPr>
          <w:b/>
          <w:color w:val="FF00FF"/>
          <w:spacing w:val="-2"/>
          <w:sz w:val="22"/>
          <w:szCs w:val="22"/>
        </w:rPr>
      </w:pPr>
      <w:r>
        <w:rPr>
          <w:spacing w:val="-2"/>
          <w:sz w:val="22"/>
          <w:szCs w:val="22"/>
        </w:rPr>
        <w:t xml:space="preserve">The evidence in this case </w:t>
      </w:r>
      <w:r w:rsidR="001E696E">
        <w:rPr>
          <w:spacing w:val="-2"/>
          <w:sz w:val="22"/>
          <w:szCs w:val="22"/>
        </w:rPr>
        <w:t>is sufficient to establish</w:t>
      </w:r>
      <w:r>
        <w:rPr>
          <w:spacing w:val="-2"/>
          <w:sz w:val="22"/>
          <w:szCs w:val="22"/>
        </w:rPr>
        <w:t xml:space="preserve"> that Phillips violated Section 301 of the Act and </w:t>
      </w:r>
      <w:r w:rsidR="00510919" w:rsidRPr="00096E76">
        <w:rPr>
          <w:spacing w:val="-2"/>
          <w:sz w:val="22"/>
          <w:szCs w:val="22"/>
        </w:rPr>
        <w:t xml:space="preserve">Section </w:t>
      </w:r>
      <w:r w:rsidR="00B67328" w:rsidRPr="00096E76">
        <w:rPr>
          <w:spacing w:val="-2"/>
          <w:sz w:val="22"/>
          <w:szCs w:val="22"/>
        </w:rPr>
        <w:t>1.903</w:t>
      </w:r>
      <w:r w:rsidR="00510919" w:rsidRPr="00096E76">
        <w:rPr>
          <w:spacing w:val="-2"/>
          <w:sz w:val="22"/>
          <w:szCs w:val="22"/>
        </w:rPr>
        <w:t>(a) of the Rules</w:t>
      </w:r>
      <w:r>
        <w:rPr>
          <w:spacing w:val="-2"/>
          <w:sz w:val="22"/>
          <w:szCs w:val="22"/>
        </w:rPr>
        <w:t>.  Section 301 of</w:t>
      </w:r>
      <w:r w:rsidR="007E0B9D">
        <w:rPr>
          <w:spacing w:val="-2"/>
          <w:sz w:val="22"/>
          <w:szCs w:val="22"/>
        </w:rPr>
        <w:t xml:space="preserve"> the Act prohibits the use or operation of</w:t>
      </w:r>
      <w:r>
        <w:rPr>
          <w:spacing w:val="-2"/>
          <w:sz w:val="22"/>
          <w:szCs w:val="22"/>
        </w:rPr>
        <w:t xml:space="preserve"> any apparatus for the transmission of energy or communications or signals by radio within the United States, except under and in accordance with the Act and with a license granted under the provisions of the Act.</w:t>
      </w:r>
      <w:r w:rsidRPr="00D26815">
        <w:rPr>
          <w:rStyle w:val="FootnoteReference"/>
          <w:spacing w:val="-2"/>
        </w:rPr>
        <w:footnoteReference w:id="18"/>
      </w:r>
      <w:r>
        <w:rPr>
          <w:spacing w:val="-2"/>
          <w:sz w:val="22"/>
          <w:szCs w:val="22"/>
        </w:rPr>
        <w:t xml:space="preserve">  In addition,</w:t>
      </w:r>
      <w:r w:rsidR="00510919" w:rsidRPr="00096E76">
        <w:rPr>
          <w:spacing w:val="-2"/>
          <w:sz w:val="22"/>
          <w:szCs w:val="22"/>
        </w:rPr>
        <w:t xml:space="preserve"> </w:t>
      </w:r>
      <w:r w:rsidRPr="00096E76">
        <w:rPr>
          <w:spacing w:val="-2"/>
          <w:sz w:val="22"/>
          <w:szCs w:val="22"/>
        </w:rPr>
        <w:t xml:space="preserve">Section 1.903(a) of the Rules </w:t>
      </w:r>
      <w:r w:rsidR="007E0B9D">
        <w:rPr>
          <w:spacing w:val="-2"/>
          <w:sz w:val="22"/>
          <w:szCs w:val="22"/>
        </w:rPr>
        <w:t>requires</w:t>
      </w:r>
      <w:r w:rsidR="007E0B9D" w:rsidRPr="00096E76">
        <w:rPr>
          <w:spacing w:val="-2"/>
          <w:sz w:val="22"/>
          <w:szCs w:val="22"/>
        </w:rPr>
        <w:t xml:space="preserve"> </w:t>
      </w:r>
      <w:r w:rsidR="00510919" w:rsidRPr="00096E76">
        <w:rPr>
          <w:spacing w:val="-2"/>
          <w:sz w:val="22"/>
          <w:szCs w:val="22"/>
        </w:rPr>
        <w:t xml:space="preserve">that </w:t>
      </w:r>
      <w:r w:rsidR="007E0B9D">
        <w:rPr>
          <w:sz w:val="22"/>
          <w:szCs w:val="22"/>
        </w:rPr>
        <w:t>s</w:t>
      </w:r>
      <w:r w:rsidR="00B67328" w:rsidRPr="00096E76">
        <w:rPr>
          <w:sz w:val="22"/>
          <w:szCs w:val="22"/>
        </w:rPr>
        <w:t>tations</w:t>
      </w:r>
      <w:r w:rsidR="00B67328" w:rsidRPr="00B67328">
        <w:rPr>
          <w:sz w:val="22"/>
          <w:szCs w:val="22"/>
        </w:rPr>
        <w:t xml:space="preserve"> in the Wireless Radio Services</w:t>
      </w:r>
      <w:r w:rsidR="001E696E">
        <w:rPr>
          <w:sz w:val="22"/>
          <w:szCs w:val="22"/>
        </w:rPr>
        <w:t xml:space="preserve">, such as Station </w:t>
      </w:r>
      <w:r w:rsidR="001E696E" w:rsidRPr="005D5845">
        <w:rPr>
          <w:sz w:val="22"/>
          <w:szCs w:val="22"/>
        </w:rPr>
        <w:t>WHB714,</w:t>
      </w:r>
      <w:r w:rsidR="00B67328" w:rsidRPr="005D5845">
        <w:rPr>
          <w:sz w:val="22"/>
          <w:szCs w:val="22"/>
        </w:rPr>
        <w:t xml:space="preserve"> must be used and operated only in accordance with the rules applicable to their particular service</w:t>
      </w:r>
      <w:r w:rsidR="007E0B9D" w:rsidRPr="005D5845">
        <w:rPr>
          <w:sz w:val="22"/>
          <w:szCs w:val="22"/>
        </w:rPr>
        <w:t xml:space="preserve">, </w:t>
      </w:r>
      <w:r w:rsidR="00B67328" w:rsidRPr="005D5845">
        <w:rPr>
          <w:sz w:val="22"/>
          <w:szCs w:val="22"/>
        </w:rPr>
        <w:t>and with a valid authorization granted by the Commission</w:t>
      </w:r>
      <w:r w:rsidR="007E0B9D" w:rsidRPr="005D5845">
        <w:rPr>
          <w:sz w:val="22"/>
          <w:szCs w:val="22"/>
        </w:rPr>
        <w:t>.</w:t>
      </w:r>
      <w:r w:rsidRPr="005D5845">
        <w:rPr>
          <w:rStyle w:val="FootnoteReference"/>
          <w:sz w:val="22"/>
          <w:szCs w:val="22"/>
        </w:rPr>
        <w:footnoteReference w:id="19"/>
      </w:r>
      <w:r w:rsidR="00510919" w:rsidRPr="005D5845">
        <w:rPr>
          <w:b/>
          <w:color w:val="FF00FF"/>
          <w:spacing w:val="-2"/>
          <w:sz w:val="22"/>
          <w:szCs w:val="22"/>
        </w:rPr>
        <w:t xml:space="preserve"> </w:t>
      </w:r>
    </w:p>
    <w:p w:rsidR="00B67328" w:rsidRPr="005D5845" w:rsidRDefault="001E696E" w:rsidP="00FC66E3">
      <w:pPr>
        <w:widowControl/>
        <w:numPr>
          <w:ilvl w:val="0"/>
          <w:numId w:val="22"/>
        </w:numPr>
        <w:tabs>
          <w:tab w:val="clear" w:pos="1260"/>
          <w:tab w:val="num" w:pos="1440"/>
          <w:tab w:val="left" w:pos="1926"/>
          <w:tab w:val="left" w:pos="3978"/>
          <w:tab w:val="left" w:pos="4680"/>
          <w:tab w:val="left" w:pos="5760"/>
        </w:tabs>
        <w:spacing w:after="120"/>
        <w:ind w:left="0"/>
        <w:rPr>
          <w:b/>
          <w:color w:val="FF00FF"/>
          <w:spacing w:val="-2"/>
          <w:sz w:val="22"/>
          <w:szCs w:val="22"/>
        </w:rPr>
      </w:pPr>
      <w:r w:rsidRPr="005D5845">
        <w:rPr>
          <w:spacing w:val="-2"/>
          <w:sz w:val="22"/>
          <w:szCs w:val="22"/>
        </w:rPr>
        <w:t>On March 6 and March 7, 2013</w:t>
      </w:r>
      <w:r w:rsidRPr="00FC66E3">
        <w:rPr>
          <w:spacing w:val="-2"/>
          <w:sz w:val="22"/>
        </w:rPr>
        <w:t>,</w:t>
      </w:r>
      <w:r w:rsidR="00B67328" w:rsidRPr="005D5845">
        <w:rPr>
          <w:b/>
          <w:color w:val="FF00FF"/>
          <w:spacing w:val="-2"/>
          <w:sz w:val="22"/>
          <w:szCs w:val="22"/>
        </w:rPr>
        <w:t xml:space="preserve"> </w:t>
      </w:r>
      <w:r w:rsidR="00B67328" w:rsidRPr="005D5845">
        <w:rPr>
          <w:sz w:val="22"/>
          <w:szCs w:val="22"/>
        </w:rPr>
        <w:t xml:space="preserve">Philadelphia Office </w:t>
      </w:r>
      <w:r w:rsidR="0068674B" w:rsidRPr="005D5845">
        <w:rPr>
          <w:sz w:val="22"/>
          <w:szCs w:val="22"/>
        </w:rPr>
        <w:t xml:space="preserve">agents </w:t>
      </w:r>
      <w:r w:rsidR="00B67328" w:rsidRPr="005D5845">
        <w:rPr>
          <w:sz w:val="22"/>
          <w:szCs w:val="22"/>
        </w:rPr>
        <w:t>found that</w:t>
      </w:r>
      <w:r w:rsidRPr="005D5845">
        <w:rPr>
          <w:sz w:val="22"/>
          <w:szCs w:val="22"/>
        </w:rPr>
        <w:t xml:space="preserve"> Phillips was operating</w:t>
      </w:r>
      <w:r w:rsidR="0065506E" w:rsidRPr="005D5845">
        <w:rPr>
          <w:sz w:val="22"/>
          <w:szCs w:val="22"/>
        </w:rPr>
        <w:t xml:space="preserve"> </w:t>
      </w:r>
      <w:r w:rsidR="00B67328" w:rsidRPr="005D5845">
        <w:rPr>
          <w:sz w:val="22"/>
          <w:szCs w:val="22"/>
        </w:rPr>
        <w:t>Station WHB714 from a</w:t>
      </w:r>
      <w:r w:rsidR="007E0B9D" w:rsidRPr="005D5845">
        <w:rPr>
          <w:sz w:val="22"/>
          <w:szCs w:val="22"/>
        </w:rPr>
        <w:t xml:space="preserve"> </w:t>
      </w:r>
      <w:r w:rsidR="0065506E" w:rsidRPr="005D5845">
        <w:rPr>
          <w:sz w:val="22"/>
          <w:szCs w:val="22"/>
        </w:rPr>
        <w:t xml:space="preserve">site located </w:t>
      </w:r>
      <w:r w:rsidR="007E0B9D" w:rsidRPr="005D5845">
        <w:rPr>
          <w:sz w:val="22"/>
          <w:szCs w:val="22"/>
        </w:rPr>
        <w:t>approximately 24.3 miles from its authorized location</w:t>
      </w:r>
      <w:r w:rsidR="00B67328" w:rsidRPr="005D5845">
        <w:rPr>
          <w:sz w:val="22"/>
          <w:szCs w:val="22"/>
        </w:rPr>
        <w:t xml:space="preserve">.  </w:t>
      </w:r>
      <w:r w:rsidR="0065506E" w:rsidRPr="005D5845">
        <w:rPr>
          <w:sz w:val="22"/>
          <w:szCs w:val="22"/>
        </w:rPr>
        <w:t xml:space="preserve">During a re-inspection on </w:t>
      </w:r>
      <w:r w:rsidR="0065506E" w:rsidRPr="00FC66E3">
        <w:rPr>
          <w:spacing w:val="-2"/>
          <w:sz w:val="22"/>
        </w:rPr>
        <w:t>October 24, 2013</w:t>
      </w:r>
      <w:r w:rsidR="0065506E" w:rsidRPr="005D5845">
        <w:rPr>
          <w:sz w:val="22"/>
          <w:szCs w:val="22"/>
        </w:rPr>
        <w:t xml:space="preserve">, </w:t>
      </w:r>
      <w:r w:rsidR="0068674B" w:rsidRPr="005D5845">
        <w:rPr>
          <w:sz w:val="22"/>
          <w:szCs w:val="22"/>
        </w:rPr>
        <w:t>agents</w:t>
      </w:r>
      <w:r w:rsidR="00096E76" w:rsidRPr="005D5845">
        <w:rPr>
          <w:sz w:val="22"/>
          <w:szCs w:val="22"/>
        </w:rPr>
        <w:t xml:space="preserve"> found th</w:t>
      </w:r>
      <w:r w:rsidR="0065506E" w:rsidRPr="005D5845">
        <w:rPr>
          <w:sz w:val="22"/>
          <w:szCs w:val="22"/>
        </w:rPr>
        <w:t>at</w:t>
      </w:r>
      <w:r w:rsidR="00CC221F" w:rsidRPr="005D5845">
        <w:rPr>
          <w:sz w:val="22"/>
          <w:szCs w:val="22"/>
        </w:rPr>
        <w:t xml:space="preserve"> </w:t>
      </w:r>
      <w:r w:rsidR="00CC221F" w:rsidRPr="00FC66E3">
        <w:rPr>
          <w:sz w:val="22"/>
        </w:rPr>
        <w:t xml:space="preserve">Phillips continued to operate </w:t>
      </w:r>
      <w:r w:rsidR="002C51C3" w:rsidRPr="00FC66E3">
        <w:rPr>
          <w:sz w:val="22"/>
        </w:rPr>
        <w:t>Station WHB714</w:t>
      </w:r>
      <w:r w:rsidR="0065506E" w:rsidRPr="00FC66E3">
        <w:rPr>
          <w:sz w:val="22"/>
        </w:rPr>
        <w:t xml:space="preserve"> from </w:t>
      </w:r>
      <w:r w:rsidR="0065506E" w:rsidRPr="005D5845">
        <w:rPr>
          <w:sz w:val="22"/>
          <w:szCs w:val="22"/>
        </w:rPr>
        <w:t xml:space="preserve">the </w:t>
      </w:r>
      <w:r w:rsidR="0065506E" w:rsidRPr="005D5845">
        <w:rPr>
          <w:spacing w:val="-2"/>
          <w:sz w:val="22"/>
          <w:szCs w:val="22"/>
        </w:rPr>
        <w:t>unauthorized Union Road Site</w:t>
      </w:r>
      <w:r w:rsidR="00096E76" w:rsidRPr="005D5845">
        <w:rPr>
          <w:sz w:val="22"/>
          <w:szCs w:val="22"/>
        </w:rPr>
        <w:t>.</w:t>
      </w:r>
      <w:r w:rsidR="00510919" w:rsidRPr="00FC66E3">
        <w:rPr>
          <w:color w:val="FF00FF"/>
          <w:spacing w:val="-2"/>
          <w:sz w:val="22"/>
        </w:rPr>
        <w:t xml:space="preserve"> </w:t>
      </w:r>
      <w:r w:rsidR="00A56DA8" w:rsidRPr="00FC66E3">
        <w:rPr>
          <w:color w:val="FF00FF"/>
          <w:spacing w:val="-2"/>
          <w:sz w:val="22"/>
        </w:rPr>
        <w:t xml:space="preserve"> </w:t>
      </w:r>
      <w:r w:rsidR="00510919" w:rsidRPr="005D5845">
        <w:rPr>
          <w:spacing w:val="-2"/>
          <w:sz w:val="22"/>
          <w:szCs w:val="22"/>
        </w:rPr>
        <w:t xml:space="preserve">Based on the evidence before us, we find that </w:t>
      </w:r>
      <w:r w:rsidR="00B67328" w:rsidRPr="005D5845">
        <w:rPr>
          <w:spacing w:val="-2"/>
          <w:sz w:val="22"/>
          <w:szCs w:val="22"/>
        </w:rPr>
        <w:t>Phillips</w:t>
      </w:r>
      <w:r w:rsidR="00B67328" w:rsidRPr="005D5845">
        <w:rPr>
          <w:b/>
          <w:color w:val="FF00FF"/>
          <w:spacing w:val="-2"/>
          <w:sz w:val="22"/>
          <w:szCs w:val="22"/>
        </w:rPr>
        <w:t xml:space="preserve"> </w:t>
      </w:r>
      <w:r w:rsidR="00510919" w:rsidRPr="005D5845">
        <w:rPr>
          <w:spacing w:val="-2"/>
          <w:sz w:val="22"/>
          <w:szCs w:val="22"/>
        </w:rPr>
        <w:t xml:space="preserve">apparently willfully and repeatedly violated </w:t>
      </w:r>
      <w:r w:rsidR="0084167C" w:rsidRPr="005D5845">
        <w:rPr>
          <w:spacing w:val="-2"/>
          <w:sz w:val="22"/>
          <w:szCs w:val="22"/>
        </w:rPr>
        <w:t>Section 301 of the Act and S</w:t>
      </w:r>
      <w:r w:rsidR="00510919" w:rsidRPr="005D5845">
        <w:rPr>
          <w:spacing w:val="-2"/>
          <w:sz w:val="22"/>
          <w:szCs w:val="22"/>
        </w:rPr>
        <w:t xml:space="preserve">ection </w:t>
      </w:r>
      <w:r w:rsidR="00B67328" w:rsidRPr="005D5845">
        <w:rPr>
          <w:spacing w:val="-2"/>
          <w:sz w:val="22"/>
          <w:szCs w:val="22"/>
        </w:rPr>
        <w:t>1.903(a)</w:t>
      </w:r>
      <w:r w:rsidR="0065506E" w:rsidRPr="005D5845">
        <w:rPr>
          <w:spacing w:val="-2"/>
          <w:sz w:val="22"/>
          <w:szCs w:val="22"/>
        </w:rPr>
        <w:t xml:space="preserve"> of the Rules by operating Station WHB714 from a location other than its licensed location without prior Commission authorization.</w:t>
      </w:r>
    </w:p>
    <w:p w:rsidR="00F46870" w:rsidRPr="005D5845" w:rsidRDefault="00F46870" w:rsidP="00FC66E3">
      <w:pPr>
        <w:widowControl/>
        <w:numPr>
          <w:ilvl w:val="0"/>
          <w:numId w:val="25"/>
        </w:numPr>
        <w:tabs>
          <w:tab w:val="left" w:pos="0"/>
          <w:tab w:val="left" w:pos="720"/>
        </w:tabs>
        <w:suppressAutoHyphens/>
        <w:spacing w:after="120"/>
        <w:rPr>
          <w:b/>
          <w:spacing w:val="-2"/>
          <w:sz w:val="22"/>
          <w:szCs w:val="22"/>
        </w:rPr>
      </w:pPr>
      <w:r w:rsidRPr="005D5845">
        <w:rPr>
          <w:b/>
          <w:spacing w:val="-2"/>
          <w:sz w:val="22"/>
          <w:szCs w:val="22"/>
        </w:rPr>
        <w:t xml:space="preserve">Proposed Forfeiture </w:t>
      </w:r>
      <w:r w:rsidR="0087621C">
        <w:rPr>
          <w:b/>
          <w:spacing w:val="-2"/>
          <w:sz w:val="22"/>
          <w:szCs w:val="22"/>
        </w:rPr>
        <w:t>and Reporting Requirement</w:t>
      </w:r>
    </w:p>
    <w:p w:rsidR="0087621C" w:rsidRDefault="007E2E05" w:rsidP="00FC66E3">
      <w:pPr>
        <w:widowControl/>
        <w:numPr>
          <w:ilvl w:val="0"/>
          <w:numId w:val="22"/>
        </w:numPr>
        <w:tabs>
          <w:tab w:val="clear" w:pos="1260"/>
          <w:tab w:val="left" w:pos="0"/>
          <w:tab w:val="num" w:pos="1440"/>
        </w:tabs>
        <w:suppressAutoHyphens/>
        <w:spacing w:after="120"/>
        <w:ind w:left="0"/>
        <w:rPr>
          <w:spacing w:val="-2"/>
          <w:sz w:val="22"/>
          <w:szCs w:val="22"/>
        </w:rPr>
      </w:pPr>
      <w:r w:rsidRPr="005D5845">
        <w:rPr>
          <w:spacing w:val="-2"/>
          <w:sz w:val="22"/>
          <w:szCs w:val="22"/>
        </w:rPr>
        <w:t>Pursuant to the Commission’s</w:t>
      </w:r>
      <w:r w:rsidRPr="005D5845">
        <w:rPr>
          <w:i/>
          <w:spacing w:val="-2"/>
          <w:sz w:val="22"/>
          <w:szCs w:val="22"/>
        </w:rPr>
        <w:t xml:space="preserve"> Forfeiture Policy Statement</w:t>
      </w:r>
      <w:r w:rsidR="00D57AE2" w:rsidRPr="005D5845">
        <w:rPr>
          <w:spacing w:val="-2"/>
          <w:sz w:val="22"/>
          <w:szCs w:val="22"/>
        </w:rPr>
        <w:t xml:space="preserve"> and S</w:t>
      </w:r>
      <w:r w:rsidRPr="005D5845">
        <w:rPr>
          <w:spacing w:val="-2"/>
          <w:sz w:val="22"/>
          <w:szCs w:val="22"/>
        </w:rPr>
        <w:t>ection 1.80 of the Rules, the base forfeiture amount for</w:t>
      </w:r>
      <w:r w:rsidR="00050854" w:rsidRPr="005D5845">
        <w:rPr>
          <w:spacing w:val="-2"/>
          <w:sz w:val="22"/>
          <w:szCs w:val="22"/>
        </w:rPr>
        <w:t xml:space="preserve"> </w:t>
      </w:r>
      <w:r w:rsidR="00397098" w:rsidRPr="005D5845">
        <w:rPr>
          <w:spacing w:val="-2"/>
          <w:sz w:val="22"/>
          <w:szCs w:val="22"/>
        </w:rPr>
        <w:t xml:space="preserve">operating </w:t>
      </w:r>
      <w:r w:rsidR="00CC221F" w:rsidRPr="005D5845">
        <w:rPr>
          <w:spacing w:val="-2"/>
          <w:sz w:val="22"/>
          <w:szCs w:val="22"/>
        </w:rPr>
        <w:t xml:space="preserve">at </w:t>
      </w:r>
      <w:r w:rsidR="00397098" w:rsidRPr="005D5845">
        <w:rPr>
          <w:spacing w:val="-2"/>
          <w:sz w:val="22"/>
          <w:szCs w:val="22"/>
        </w:rPr>
        <w:t>an unauthorized location</w:t>
      </w:r>
      <w:r w:rsidR="00050854" w:rsidRPr="005D5845">
        <w:rPr>
          <w:spacing w:val="-2"/>
          <w:sz w:val="22"/>
          <w:szCs w:val="22"/>
        </w:rPr>
        <w:t xml:space="preserve"> is $</w:t>
      </w:r>
      <w:r w:rsidR="00E933FF" w:rsidRPr="005D5845">
        <w:rPr>
          <w:spacing w:val="-2"/>
          <w:sz w:val="22"/>
          <w:szCs w:val="22"/>
        </w:rPr>
        <w:t>4</w:t>
      </w:r>
      <w:r w:rsidR="00050854" w:rsidRPr="005D5845">
        <w:rPr>
          <w:spacing w:val="-2"/>
          <w:sz w:val="22"/>
          <w:szCs w:val="22"/>
        </w:rPr>
        <w:t>,000.</w:t>
      </w:r>
      <w:r w:rsidR="00050854" w:rsidRPr="005D5845">
        <w:rPr>
          <w:rStyle w:val="FootnoteReference"/>
          <w:spacing w:val="-2"/>
          <w:sz w:val="22"/>
          <w:szCs w:val="22"/>
        </w:rPr>
        <w:footnoteReference w:id="20"/>
      </w:r>
      <w:r w:rsidR="00050854" w:rsidRPr="005D5845">
        <w:rPr>
          <w:spacing w:val="-2"/>
          <w:sz w:val="22"/>
          <w:szCs w:val="22"/>
        </w:rPr>
        <w:t xml:space="preserve">  In assessing the monetary forfeiture amount, we must also take into account the statutory factors </w:t>
      </w:r>
      <w:r w:rsidR="00D57AE2" w:rsidRPr="005D5845">
        <w:rPr>
          <w:spacing w:val="-2"/>
          <w:sz w:val="22"/>
          <w:szCs w:val="22"/>
        </w:rPr>
        <w:t>set forth in S</w:t>
      </w:r>
      <w:r w:rsidR="00D15A5F" w:rsidRPr="005D5845">
        <w:rPr>
          <w:spacing w:val="-2"/>
          <w:sz w:val="22"/>
          <w:szCs w:val="22"/>
        </w:rPr>
        <w:t>ection 503(b)(2)(E</w:t>
      </w:r>
      <w:r w:rsidR="00050854" w:rsidRPr="005D5845">
        <w:rPr>
          <w:spacing w:val="-2"/>
          <w:sz w:val="22"/>
          <w:szCs w:val="22"/>
        </w:rPr>
        <w:t>) of the Act, which include the nature, circumstances, extent, and gravity of the violations, and with respect to the violator</w:t>
      </w:r>
      <w:r w:rsidR="003E2AD5" w:rsidRPr="005D5845">
        <w:rPr>
          <w:spacing w:val="-2"/>
          <w:sz w:val="22"/>
          <w:szCs w:val="22"/>
        </w:rPr>
        <w:t>, the degree of culpability, any</w:t>
      </w:r>
      <w:r w:rsidR="00050854" w:rsidRPr="005D5845">
        <w:rPr>
          <w:spacing w:val="-2"/>
          <w:sz w:val="22"/>
          <w:szCs w:val="22"/>
        </w:rPr>
        <w:t xml:space="preserve"> history of prior offenses, ability to pay, and other such matters as justice may require.</w:t>
      </w:r>
      <w:r w:rsidR="00050854" w:rsidRPr="005D5845">
        <w:rPr>
          <w:rStyle w:val="FootnoteReference"/>
          <w:spacing w:val="-2"/>
          <w:sz w:val="22"/>
          <w:szCs w:val="22"/>
        </w:rPr>
        <w:footnoteReference w:id="21"/>
      </w:r>
      <w:r w:rsidR="0065506E" w:rsidRPr="005D5845">
        <w:rPr>
          <w:spacing w:val="-2"/>
          <w:sz w:val="22"/>
          <w:szCs w:val="22"/>
        </w:rPr>
        <w:t xml:space="preserve">  As noted above, Phillips continued to operate its STL station at variance from its license even after being warned by the Commission in writing that such action violated the law.</w:t>
      </w:r>
      <w:r w:rsidR="0065506E" w:rsidRPr="005D5845">
        <w:rPr>
          <w:rStyle w:val="FootnoteReference"/>
          <w:spacing w:val="-2"/>
          <w:sz w:val="22"/>
          <w:szCs w:val="22"/>
        </w:rPr>
        <w:footnoteReference w:id="22"/>
      </w:r>
      <w:r w:rsidR="0065506E" w:rsidRPr="005D5845">
        <w:rPr>
          <w:spacing w:val="-2"/>
          <w:sz w:val="22"/>
          <w:szCs w:val="22"/>
        </w:rPr>
        <w:t xml:space="preserve">  Although Phillips stated that it failed to apply for authority to operate Station WHB714 from a new location due to its counsel’s oversight, we note that inadvertent </w:t>
      </w:r>
      <w:r w:rsidR="0065506E" w:rsidRPr="005D5845">
        <w:rPr>
          <w:sz w:val="22"/>
          <w:szCs w:val="22"/>
        </w:rPr>
        <w:t>mistakes</w:t>
      </w:r>
      <w:r w:rsidR="00371652" w:rsidRPr="005D5845">
        <w:rPr>
          <w:sz w:val="22"/>
          <w:szCs w:val="22"/>
        </w:rPr>
        <w:t xml:space="preserve"> </w:t>
      </w:r>
      <w:r w:rsidR="0065506E" w:rsidRPr="005D5845">
        <w:rPr>
          <w:sz w:val="22"/>
          <w:szCs w:val="22"/>
        </w:rPr>
        <w:t>are not mitigating circumstances that can serve to justify a forfeiture reduction.</w:t>
      </w:r>
      <w:r w:rsidR="0065506E" w:rsidRPr="005D5845">
        <w:rPr>
          <w:rStyle w:val="FootnoteReference"/>
          <w:sz w:val="22"/>
          <w:szCs w:val="22"/>
        </w:rPr>
        <w:footnoteReference w:id="23"/>
      </w:r>
      <w:r w:rsidR="00371652" w:rsidRPr="005D5845">
        <w:rPr>
          <w:sz w:val="22"/>
          <w:szCs w:val="22"/>
        </w:rPr>
        <w:t xml:space="preserve">  Even if Phillips did file for authorization </w:t>
      </w:r>
      <w:r w:rsidR="00371652" w:rsidRPr="005D5845">
        <w:rPr>
          <w:spacing w:val="-2"/>
          <w:sz w:val="22"/>
          <w:szCs w:val="22"/>
        </w:rPr>
        <w:t xml:space="preserve">to operate Station WHB714 from a new location following the inspections, corrective action taken to come into compliance with the </w:t>
      </w:r>
      <w:r w:rsidR="005D5845" w:rsidRPr="005D5845">
        <w:rPr>
          <w:spacing w:val="-2"/>
          <w:sz w:val="22"/>
          <w:szCs w:val="22"/>
        </w:rPr>
        <w:t xml:space="preserve">Act and </w:t>
      </w:r>
      <w:r w:rsidR="00371652" w:rsidRPr="005D5845">
        <w:rPr>
          <w:spacing w:val="-2"/>
          <w:sz w:val="22"/>
          <w:szCs w:val="22"/>
        </w:rPr>
        <w:t>Rules is expected, and such corrective action does not nullify or mitigate prior violations or associated forfeiture liability.</w:t>
      </w:r>
      <w:r w:rsidR="00371652" w:rsidRPr="005D5845">
        <w:rPr>
          <w:rStyle w:val="FootnoteReference"/>
          <w:spacing w:val="-2"/>
          <w:sz w:val="22"/>
          <w:szCs w:val="22"/>
        </w:rPr>
        <w:footnoteReference w:id="24"/>
      </w:r>
      <w:r w:rsidR="005D5845">
        <w:rPr>
          <w:spacing w:val="-2"/>
          <w:sz w:val="22"/>
          <w:szCs w:val="22"/>
        </w:rPr>
        <w:t xml:space="preserve">  A search of Commission records i</w:t>
      </w:r>
      <w:r w:rsidR="002C51C3">
        <w:rPr>
          <w:spacing w:val="-2"/>
          <w:sz w:val="22"/>
          <w:szCs w:val="22"/>
        </w:rPr>
        <w:t>ndicates that Phillips is still</w:t>
      </w:r>
      <w:r w:rsidR="0087621C">
        <w:rPr>
          <w:spacing w:val="-2"/>
          <w:sz w:val="22"/>
          <w:szCs w:val="22"/>
        </w:rPr>
        <w:t xml:space="preserve"> </w:t>
      </w:r>
      <w:r w:rsidR="005D5845">
        <w:rPr>
          <w:spacing w:val="-2"/>
          <w:sz w:val="22"/>
          <w:szCs w:val="22"/>
        </w:rPr>
        <w:t xml:space="preserve">licensed to operate Station </w:t>
      </w:r>
      <w:r w:rsidR="005D5845" w:rsidRPr="005D5845">
        <w:rPr>
          <w:spacing w:val="-2"/>
          <w:sz w:val="22"/>
          <w:szCs w:val="22"/>
        </w:rPr>
        <w:t>WHB714</w:t>
      </w:r>
      <w:r w:rsidR="005D5845">
        <w:rPr>
          <w:spacing w:val="-2"/>
          <w:sz w:val="22"/>
          <w:szCs w:val="22"/>
        </w:rPr>
        <w:t xml:space="preserve"> from the Main Street Site and has not received authorization to operate from the Union Road Site or any other location.  Phillips apparent failure to come into c</w:t>
      </w:r>
      <w:r w:rsidR="005D5845" w:rsidRPr="005D5845">
        <w:rPr>
          <w:spacing w:val="-2"/>
          <w:sz w:val="22"/>
          <w:szCs w:val="22"/>
        </w:rPr>
        <w:t xml:space="preserve">ompliance </w:t>
      </w:r>
      <w:r w:rsidR="005D5845">
        <w:rPr>
          <w:spacing w:val="-2"/>
          <w:sz w:val="22"/>
          <w:szCs w:val="22"/>
        </w:rPr>
        <w:t xml:space="preserve">despite being warned in writing by the Commission </w:t>
      </w:r>
      <w:r w:rsidR="005D5845" w:rsidRPr="005D5845">
        <w:rPr>
          <w:spacing w:val="-2"/>
          <w:sz w:val="22"/>
          <w:szCs w:val="22"/>
        </w:rPr>
        <w:t>demonstrates an apparent disregard for the C</w:t>
      </w:r>
      <w:r w:rsidR="00197106">
        <w:rPr>
          <w:spacing w:val="-2"/>
          <w:sz w:val="22"/>
          <w:szCs w:val="22"/>
        </w:rPr>
        <w:t>ommission’s authority</w:t>
      </w:r>
      <w:r w:rsidR="005D5845">
        <w:rPr>
          <w:spacing w:val="-2"/>
          <w:sz w:val="22"/>
          <w:szCs w:val="22"/>
        </w:rPr>
        <w:t>.</w:t>
      </w:r>
      <w:r w:rsidR="00197106">
        <w:rPr>
          <w:spacing w:val="-2"/>
          <w:sz w:val="22"/>
          <w:szCs w:val="22"/>
        </w:rPr>
        <w:t xml:space="preserve">  Thus, we find that </w:t>
      </w:r>
      <w:r w:rsidR="0087621C">
        <w:rPr>
          <w:spacing w:val="-2"/>
          <w:sz w:val="22"/>
          <w:szCs w:val="22"/>
        </w:rPr>
        <w:t>a $2,400</w:t>
      </w:r>
      <w:r w:rsidR="00197106">
        <w:rPr>
          <w:spacing w:val="-2"/>
          <w:sz w:val="22"/>
          <w:szCs w:val="22"/>
        </w:rPr>
        <w:t xml:space="preserve"> upward adjustment to the forfeiture is warranted.</w:t>
      </w:r>
      <w:r w:rsidR="00197106">
        <w:rPr>
          <w:rStyle w:val="FootnoteReference"/>
          <w:spacing w:val="-2"/>
          <w:sz w:val="22"/>
          <w:szCs w:val="22"/>
        </w:rPr>
        <w:footnoteReference w:id="25"/>
      </w:r>
      <w:r w:rsidR="005D5845">
        <w:rPr>
          <w:spacing w:val="-2"/>
          <w:sz w:val="22"/>
          <w:szCs w:val="22"/>
        </w:rPr>
        <w:t xml:space="preserve">  </w:t>
      </w:r>
      <w:r w:rsidR="00050854" w:rsidRPr="00197106">
        <w:rPr>
          <w:spacing w:val="-2"/>
          <w:sz w:val="22"/>
          <w:szCs w:val="22"/>
        </w:rPr>
        <w:t xml:space="preserve">Applying the </w:t>
      </w:r>
      <w:r w:rsidR="00050854" w:rsidRPr="00197106">
        <w:rPr>
          <w:i/>
          <w:spacing w:val="-2"/>
          <w:sz w:val="22"/>
          <w:szCs w:val="22"/>
        </w:rPr>
        <w:t>Forfeiture Policy Statement</w:t>
      </w:r>
      <w:r w:rsidR="00D57AE2" w:rsidRPr="00197106">
        <w:rPr>
          <w:spacing w:val="-2"/>
          <w:sz w:val="22"/>
          <w:szCs w:val="22"/>
        </w:rPr>
        <w:t>, S</w:t>
      </w:r>
      <w:r w:rsidR="00260C08" w:rsidRPr="00197106">
        <w:rPr>
          <w:spacing w:val="-2"/>
          <w:sz w:val="22"/>
          <w:szCs w:val="22"/>
        </w:rPr>
        <w:t>ection 1.80</w:t>
      </w:r>
      <w:r w:rsidR="000E2560" w:rsidRPr="00197106">
        <w:rPr>
          <w:spacing w:val="-2"/>
          <w:sz w:val="22"/>
          <w:szCs w:val="22"/>
        </w:rPr>
        <w:t xml:space="preserve"> of the Rules</w:t>
      </w:r>
      <w:r w:rsidR="00260C08" w:rsidRPr="00197106">
        <w:rPr>
          <w:spacing w:val="-2"/>
          <w:sz w:val="22"/>
          <w:szCs w:val="22"/>
        </w:rPr>
        <w:t xml:space="preserve">, and </w:t>
      </w:r>
      <w:r w:rsidR="00050854" w:rsidRPr="00197106">
        <w:rPr>
          <w:spacing w:val="-2"/>
          <w:sz w:val="22"/>
          <w:szCs w:val="22"/>
        </w:rPr>
        <w:t>the statutory factors</w:t>
      </w:r>
      <w:r w:rsidR="00787C4B" w:rsidRPr="00197106">
        <w:rPr>
          <w:spacing w:val="-2"/>
          <w:sz w:val="22"/>
          <w:szCs w:val="22"/>
        </w:rPr>
        <w:t xml:space="preserve"> to the instant case, we conclude that</w:t>
      </w:r>
      <w:r w:rsidR="005D5845" w:rsidRPr="00197106">
        <w:rPr>
          <w:spacing w:val="-2"/>
          <w:sz w:val="22"/>
          <w:szCs w:val="22"/>
        </w:rPr>
        <w:t xml:space="preserve"> </w:t>
      </w:r>
      <w:r w:rsidR="00397098" w:rsidRPr="00197106">
        <w:rPr>
          <w:spacing w:val="-2"/>
          <w:sz w:val="22"/>
          <w:szCs w:val="22"/>
        </w:rPr>
        <w:t>Phillips</w:t>
      </w:r>
      <w:r w:rsidR="00787C4B" w:rsidRPr="00197106">
        <w:rPr>
          <w:color w:val="FF00FF"/>
          <w:spacing w:val="-2"/>
          <w:sz w:val="22"/>
          <w:szCs w:val="22"/>
        </w:rPr>
        <w:t xml:space="preserve"> </w:t>
      </w:r>
      <w:r w:rsidR="00787C4B" w:rsidRPr="00197106">
        <w:rPr>
          <w:spacing w:val="-2"/>
          <w:sz w:val="22"/>
          <w:szCs w:val="22"/>
        </w:rPr>
        <w:t xml:space="preserve">is apparently liable for </w:t>
      </w:r>
      <w:r w:rsidR="00E933FF" w:rsidRPr="00197106">
        <w:rPr>
          <w:spacing w:val="-2"/>
          <w:sz w:val="22"/>
          <w:szCs w:val="22"/>
        </w:rPr>
        <w:t xml:space="preserve">a </w:t>
      </w:r>
      <w:r w:rsidR="00050854" w:rsidRPr="00197106">
        <w:rPr>
          <w:spacing w:val="-2"/>
          <w:sz w:val="22"/>
          <w:szCs w:val="22"/>
        </w:rPr>
        <w:t>forfeiture</w:t>
      </w:r>
      <w:r w:rsidR="00E847E3" w:rsidRPr="00197106">
        <w:rPr>
          <w:spacing w:val="-2"/>
          <w:sz w:val="22"/>
          <w:szCs w:val="22"/>
        </w:rPr>
        <w:t xml:space="preserve"> </w:t>
      </w:r>
      <w:r w:rsidR="00337B75" w:rsidRPr="00197106">
        <w:rPr>
          <w:spacing w:val="-2"/>
          <w:sz w:val="22"/>
          <w:szCs w:val="22"/>
        </w:rPr>
        <w:t xml:space="preserve">in the amount </w:t>
      </w:r>
      <w:r w:rsidR="00E847E3" w:rsidRPr="00197106">
        <w:rPr>
          <w:spacing w:val="-2"/>
          <w:sz w:val="22"/>
          <w:szCs w:val="22"/>
        </w:rPr>
        <w:t>of $</w:t>
      </w:r>
      <w:r w:rsidR="005D5845" w:rsidRPr="00197106">
        <w:rPr>
          <w:spacing w:val="-2"/>
          <w:sz w:val="22"/>
          <w:szCs w:val="22"/>
        </w:rPr>
        <w:t>6</w:t>
      </w:r>
      <w:r w:rsidR="00E847E3" w:rsidRPr="00197106">
        <w:rPr>
          <w:spacing w:val="-2"/>
          <w:sz w:val="22"/>
          <w:szCs w:val="22"/>
        </w:rPr>
        <w:t>,</w:t>
      </w:r>
      <w:r w:rsidR="0087621C">
        <w:rPr>
          <w:spacing w:val="-2"/>
          <w:sz w:val="22"/>
          <w:szCs w:val="22"/>
        </w:rPr>
        <w:t>400.</w:t>
      </w:r>
    </w:p>
    <w:p w:rsidR="00050854" w:rsidRPr="00197106" w:rsidRDefault="00050854" w:rsidP="00197106">
      <w:pPr>
        <w:widowControl/>
        <w:numPr>
          <w:ilvl w:val="0"/>
          <w:numId w:val="22"/>
        </w:numPr>
        <w:tabs>
          <w:tab w:val="clear" w:pos="1260"/>
          <w:tab w:val="left" w:pos="0"/>
          <w:tab w:val="num" w:pos="1440"/>
        </w:tabs>
        <w:suppressAutoHyphens/>
        <w:spacing w:after="120"/>
        <w:ind w:left="0"/>
        <w:rPr>
          <w:spacing w:val="-2"/>
          <w:sz w:val="22"/>
          <w:szCs w:val="22"/>
        </w:rPr>
      </w:pPr>
      <w:r w:rsidRPr="00197106">
        <w:rPr>
          <w:spacing w:val="-2"/>
          <w:sz w:val="22"/>
          <w:szCs w:val="22"/>
        </w:rPr>
        <w:t xml:space="preserve">  </w:t>
      </w:r>
      <w:r w:rsidR="0087621C">
        <w:rPr>
          <w:spacing w:val="-2"/>
          <w:sz w:val="22"/>
          <w:szCs w:val="22"/>
        </w:rPr>
        <w:t>We further order Phillips to submit a written statement, pursuant to Section 1.16 of the Rules,</w:t>
      </w:r>
      <w:r w:rsidR="0087621C">
        <w:rPr>
          <w:rStyle w:val="FootnoteReference"/>
          <w:spacing w:val="-2"/>
          <w:sz w:val="22"/>
          <w:szCs w:val="22"/>
        </w:rPr>
        <w:footnoteReference w:id="26"/>
      </w:r>
      <w:r w:rsidR="0087621C">
        <w:rPr>
          <w:spacing w:val="-2"/>
          <w:sz w:val="22"/>
          <w:szCs w:val="22"/>
        </w:rPr>
        <w:t xml:space="preserve"> signed under penalty of perjury by an officer or director of Phillips, stating that </w:t>
      </w:r>
      <w:r w:rsidR="0087621C" w:rsidRPr="005D5845">
        <w:rPr>
          <w:spacing w:val="-2"/>
          <w:sz w:val="22"/>
          <w:szCs w:val="22"/>
        </w:rPr>
        <w:t>Station WHB714</w:t>
      </w:r>
      <w:r w:rsidR="0087621C">
        <w:rPr>
          <w:spacing w:val="-2"/>
          <w:sz w:val="22"/>
          <w:szCs w:val="22"/>
        </w:rPr>
        <w:t xml:space="preserve"> is operating in compliance with Section 301 of the Act, Section 1.903(a), and its license, and detailing the specific actions taken by Phillips to come into compliance.  The statement must be provided to the Philadelphia Office</w:t>
      </w:r>
      <w:r w:rsidR="00AD246B">
        <w:rPr>
          <w:spacing w:val="-2"/>
          <w:sz w:val="22"/>
          <w:szCs w:val="22"/>
        </w:rPr>
        <w:t xml:space="preserve"> at the address listed in paragraph 12, below, within 30 calendar days of the release date of this NAL.</w:t>
      </w:r>
      <w:r w:rsidR="0087621C">
        <w:rPr>
          <w:spacing w:val="-2"/>
          <w:sz w:val="22"/>
          <w:szCs w:val="22"/>
        </w:rPr>
        <w:t xml:space="preserve">  </w:t>
      </w:r>
    </w:p>
    <w:p w:rsidR="00050854" w:rsidRPr="003F3CFD" w:rsidRDefault="00050854" w:rsidP="00FC66E3">
      <w:pPr>
        <w:pStyle w:val="Heading1"/>
        <w:widowControl/>
        <w:spacing w:after="120"/>
        <w:rPr>
          <w:sz w:val="22"/>
          <w:szCs w:val="22"/>
        </w:rPr>
      </w:pPr>
      <w:r w:rsidRPr="003F3CFD">
        <w:rPr>
          <w:sz w:val="22"/>
          <w:szCs w:val="22"/>
        </w:rPr>
        <w:t>ORDERING CLAUSES</w:t>
      </w:r>
    </w:p>
    <w:p w:rsidR="00050854" w:rsidRPr="00E34AAE" w:rsidRDefault="00050854" w:rsidP="00FC66E3">
      <w:pPr>
        <w:widowControl/>
        <w:numPr>
          <w:ilvl w:val="0"/>
          <w:numId w:val="22"/>
        </w:numPr>
        <w:tabs>
          <w:tab w:val="clear" w:pos="1260"/>
          <w:tab w:val="left" w:pos="0"/>
          <w:tab w:val="num" w:pos="1440"/>
        </w:tabs>
        <w:suppressAutoHyphens/>
        <w:spacing w:after="120"/>
        <w:ind w:left="0"/>
        <w:rPr>
          <w:spacing w:val="-2"/>
          <w:sz w:val="22"/>
          <w:szCs w:val="22"/>
        </w:rPr>
      </w:pPr>
      <w:r w:rsidRPr="00E34AAE">
        <w:rPr>
          <w:spacing w:val="-2"/>
          <w:sz w:val="22"/>
          <w:szCs w:val="22"/>
        </w:rPr>
        <w:t>Accordingly</w:t>
      </w:r>
      <w:r w:rsidRPr="006C72D8">
        <w:rPr>
          <w:spacing w:val="-2"/>
          <w:sz w:val="22"/>
          <w:szCs w:val="22"/>
        </w:rPr>
        <w:t>,</w:t>
      </w:r>
      <w:r w:rsidRPr="00145224">
        <w:rPr>
          <w:b/>
          <w:spacing w:val="-2"/>
          <w:sz w:val="22"/>
          <w:szCs w:val="22"/>
        </w:rPr>
        <w:t xml:space="preserve"> IT IS ORDERED</w:t>
      </w:r>
      <w:r w:rsidR="003F3CFD">
        <w:rPr>
          <w:spacing w:val="-2"/>
          <w:sz w:val="22"/>
          <w:szCs w:val="22"/>
        </w:rPr>
        <w:t xml:space="preserve"> that</w:t>
      </w:r>
      <w:r w:rsidR="00D57AE2">
        <w:rPr>
          <w:spacing w:val="-2"/>
          <w:sz w:val="22"/>
          <w:szCs w:val="22"/>
        </w:rPr>
        <w:t>, pursuant to S</w:t>
      </w:r>
      <w:r w:rsidRPr="00E34AAE">
        <w:rPr>
          <w:spacing w:val="-2"/>
          <w:sz w:val="22"/>
          <w:szCs w:val="22"/>
        </w:rPr>
        <w:t xml:space="preserve">ection 503(b) of the </w:t>
      </w:r>
      <w:r w:rsidR="00AD246B">
        <w:rPr>
          <w:spacing w:val="-2"/>
          <w:sz w:val="22"/>
          <w:szCs w:val="22"/>
        </w:rPr>
        <w:t xml:space="preserve">Act </w:t>
      </w:r>
      <w:r w:rsidR="00D57AE2">
        <w:rPr>
          <w:spacing w:val="-2"/>
          <w:sz w:val="22"/>
          <w:szCs w:val="22"/>
        </w:rPr>
        <w:t>and S</w:t>
      </w:r>
      <w:r w:rsidRPr="00E34AAE">
        <w:rPr>
          <w:spacing w:val="-2"/>
          <w:sz w:val="22"/>
          <w:szCs w:val="22"/>
        </w:rPr>
        <w:t xml:space="preserve">ections 0.111, </w:t>
      </w:r>
      <w:r w:rsidR="00856437">
        <w:rPr>
          <w:spacing w:val="-2"/>
          <w:sz w:val="22"/>
          <w:szCs w:val="22"/>
        </w:rPr>
        <w:t xml:space="preserve">0.204, </w:t>
      </w:r>
      <w:r w:rsidRPr="00E34AAE">
        <w:rPr>
          <w:spacing w:val="-2"/>
          <w:sz w:val="22"/>
          <w:szCs w:val="22"/>
        </w:rPr>
        <w:t>0.311</w:t>
      </w:r>
      <w:r w:rsidR="00716561">
        <w:rPr>
          <w:spacing w:val="-2"/>
          <w:sz w:val="22"/>
          <w:szCs w:val="22"/>
        </w:rPr>
        <w:t>, 0.314</w:t>
      </w:r>
      <w:r w:rsidR="002C62DA">
        <w:rPr>
          <w:spacing w:val="-2"/>
          <w:sz w:val="22"/>
          <w:szCs w:val="22"/>
        </w:rPr>
        <w:t>,</w:t>
      </w:r>
      <w:r w:rsidR="00AD246B">
        <w:rPr>
          <w:spacing w:val="-2"/>
          <w:sz w:val="22"/>
          <w:szCs w:val="22"/>
        </w:rPr>
        <w:t xml:space="preserve"> and 1.80 of the Rules</w:t>
      </w:r>
      <w:r w:rsidRPr="00680DCA">
        <w:rPr>
          <w:spacing w:val="-2"/>
          <w:sz w:val="22"/>
          <w:szCs w:val="22"/>
        </w:rPr>
        <w:t xml:space="preserve">, </w:t>
      </w:r>
      <w:r w:rsidR="00397098" w:rsidRPr="00680DCA">
        <w:rPr>
          <w:spacing w:val="-2"/>
          <w:sz w:val="22"/>
          <w:szCs w:val="22"/>
        </w:rPr>
        <w:t>M.J. Phillips Communications, Inc.</w:t>
      </w:r>
      <w:r w:rsidRPr="00680DCA">
        <w:rPr>
          <w:spacing w:val="-2"/>
          <w:sz w:val="22"/>
          <w:szCs w:val="22"/>
        </w:rPr>
        <w:t xml:space="preserve"> is hereby </w:t>
      </w:r>
      <w:r w:rsidRPr="00680DCA">
        <w:rPr>
          <w:b/>
          <w:spacing w:val="-2"/>
          <w:sz w:val="22"/>
          <w:szCs w:val="22"/>
        </w:rPr>
        <w:t xml:space="preserve">NOTIFIED </w:t>
      </w:r>
      <w:r w:rsidRPr="00680DCA">
        <w:rPr>
          <w:spacing w:val="-2"/>
          <w:sz w:val="22"/>
          <w:szCs w:val="22"/>
        </w:rPr>
        <w:t xml:space="preserve">of this </w:t>
      </w:r>
      <w:r w:rsidRPr="00680DCA">
        <w:rPr>
          <w:b/>
          <w:spacing w:val="-2"/>
          <w:sz w:val="22"/>
          <w:szCs w:val="22"/>
        </w:rPr>
        <w:t>APPARENT LIABILITY FOR A</w:t>
      </w:r>
      <w:r w:rsidRPr="00145224">
        <w:rPr>
          <w:b/>
          <w:spacing w:val="-2"/>
          <w:sz w:val="22"/>
          <w:szCs w:val="22"/>
        </w:rPr>
        <w:t xml:space="preserve"> FORFEITURE</w:t>
      </w:r>
      <w:r w:rsidR="00484313">
        <w:rPr>
          <w:b/>
          <w:spacing w:val="-2"/>
          <w:sz w:val="22"/>
          <w:szCs w:val="22"/>
        </w:rPr>
        <w:t xml:space="preserve"> </w:t>
      </w:r>
      <w:r w:rsidRPr="00E34AAE">
        <w:rPr>
          <w:spacing w:val="-2"/>
          <w:sz w:val="22"/>
          <w:szCs w:val="22"/>
        </w:rPr>
        <w:t>in the amount of</w:t>
      </w:r>
      <w:r w:rsidRPr="00E34AAE">
        <w:rPr>
          <w:sz w:val="22"/>
          <w:szCs w:val="22"/>
        </w:rPr>
        <w:t xml:space="preserve"> </w:t>
      </w:r>
      <w:r w:rsidR="00AD246B">
        <w:rPr>
          <w:sz w:val="22"/>
          <w:szCs w:val="22"/>
        </w:rPr>
        <w:t xml:space="preserve">six thousand four hundred </w:t>
      </w:r>
      <w:r w:rsidRPr="00E34AAE">
        <w:rPr>
          <w:sz w:val="22"/>
          <w:szCs w:val="22"/>
        </w:rPr>
        <w:t>dollars ($</w:t>
      </w:r>
      <w:r w:rsidR="0087621C">
        <w:rPr>
          <w:sz w:val="22"/>
          <w:szCs w:val="22"/>
        </w:rPr>
        <w:t>6,400</w:t>
      </w:r>
      <w:r w:rsidR="00397098">
        <w:rPr>
          <w:sz w:val="22"/>
          <w:szCs w:val="22"/>
        </w:rPr>
        <w:t>) for violation</w:t>
      </w:r>
      <w:r w:rsidR="00AD246B">
        <w:rPr>
          <w:sz w:val="22"/>
          <w:szCs w:val="22"/>
        </w:rPr>
        <w:t>s</w:t>
      </w:r>
      <w:r w:rsidRPr="00E34AAE">
        <w:rPr>
          <w:sz w:val="22"/>
          <w:szCs w:val="22"/>
        </w:rPr>
        <w:t xml:space="preserve"> of </w:t>
      </w:r>
      <w:r w:rsidR="00D57AE2">
        <w:rPr>
          <w:sz w:val="22"/>
          <w:szCs w:val="22"/>
        </w:rPr>
        <w:t>S</w:t>
      </w:r>
      <w:r w:rsidRPr="00E34AAE">
        <w:rPr>
          <w:sz w:val="22"/>
          <w:szCs w:val="22"/>
        </w:rPr>
        <w:t xml:space="preserve">ection </w:t>
      </w:r>
      <w:r w:rsidR="00AD246B">
        <w:rPr>
          <w:sz w:val="22"/>
          <w:szCs w:val="22"/>
        </w:rPr>
        <w:t xml:space="preserve">301 of the Act and Section </w:t>
      </w:r>
      <w:r w:rsidR="00397098">
        <w:rPr>
          <w:sz w:val="22"/>
          <w:szCs w:val="22"/>
        </w:rPr>
        <w:t>1.903(a)</w:t>
      </w:r>
      <w:r w:rsidRPr="00E34AAE">
        <w:rPr>
          <w:sz w:val="22"/>
          <w:szCs w:val="22"/>
        </w:rPr>
        <w:t xml:space="preserve"> </w:t>
      </w:r>
      <w:r w:rsidRPr="00E34AAE">
        <w:rPr>
          <w:spacing w:val="-2"/>
          <w:sz w:val="22"/>
          <w:szCs w:val="22"/>
        </w:rPr>
        <w:t>o</w:t>
      </w:r>
      <w:r w:rsidRPr="00E34AAE">
        <w:rPr>
          <w:sz w:val="22"/>
          <w:szCs w:val="22"/>
        </w:rPr>
        <w:t xml:space="preserve">f the </w:t>
      </w:r>
      <w:r w:rsidR="00484313">
        <w:rPr>
          <w:sz w:val="22"/>
          <w:szCs w:val="22"/>
        </w:rPr>
        <w:t>R</w:t>
      </w:r>
      <w:r w:rsidRPr="00E34AAE">
        <w:rPr>
          <w:sz w:val="22"/>
          <w:szCs w:val="22"/>
        </w:rPr>
        <w:t>ules.</w:t>
      </w:r>
      <w:r w:rsidRPr="00FC66E3">
        <w:rPr>
          <w:rStyle w:val="FootnoteReference"/>
        </w:rPr>
        <w:footnoteReference w:id="27"/>
      </w:r>
    </w:p>
    <w:p w:rsidR="00A12D37" w:rsidRPr="00AD246B" w:rsidRDefault="00050854" w:rsidP="00FC66E3">
      <w:pPr>
        <w:widowControl/>
        <w:numPr>
          <w:ilvl w:val="0"/>
          <w:numId w:val="22"/>
        </w:numPr>
        <w:tabs>
          <w:tab w:val="clear" w:pos="1260"/>
          <w:tab w:val="left" w:pos="0"/>
          <w:tab w:val="num" w:pos="1440"/>
        </w:tabs>
        <w:suppressAutoHyphens/>
        <w:spacing w:after="120"/>
        <w:ind w:left="0"/>
        <w:rPr>
          <w:color w:val="000000"/>
          <w:spacing w:val="-2"/>
          <w:sz w:val="22"/>
          <w:szCs w:val="22"/>
        </w:rPr>
      </w:pPr>
      <w:r w:rsidRPr="00145224">
        <w:rPr>
          <w:b/>
          <w:spacing w:val="-2"/>
          <w:sz w:val="22"/>
          <w:szCs w:val="22"/>
        </w:rPr>
        <w:t>IT IS FURTHER ORDERED</w:t>
      </w:r>
      <w:r w:rsidRPr="00E34AAE">
        <w:rPr>
          <w:spacing w:val="-2"/>
          <w:sz w:val="22"/>
          <w:szCs w:val="22"/>
        </w:rPr>
        <w:t xml:space="preserve"> </w:t>
      </w:r>
      <w:r w:rsidR="003F3CFD">
        <w:rPr>
          <w:spacing w:val="-2"/>
          <w:sz w:val="22"/>
          <w:szCs w:val="22"/>
        </w:rPr>
        <w:t>that</w:t>
      </w:r>
      <w:r w:rsidR="00D57AE2">
        <w:rPr>
          <w:spacing w:val="-2"/>
          <w:sz w:val="22"/>
          <w:szCs w:val="22"/>
        </w:rPr>
        <w:t>, pursuant to S</w:t>
      </w:r>
      <w:r w:rsidR="003E2AD5">
        <w:rPr>
          <w:spacing w:val="-2"/>
          <w:sz w:val="22"/>
          <w:szCs w:val="22"/>
        </w:rPr>
        <w:t>e</w:t>
      </w:r>
      <w:r w:rsidR="00AD246B">
        <w:rPr>
          <w:spacing w:val="-2"/>
          <w:sz w:val="22"/>
          <w:szCs w:val="22"/>
        </w:rPr>
        <w:t>ction 1.80 of the Rules</w:t>
      </w:r>
      <w:r w:rsidR="002C62DA">
        <w:rPr>
          <w:spacing w:val="-2"/>
          <w:sz w:val="22"/>
          <w:szCs w:val="22"/>
        </w:rPr>
        <w:t>,</w:t>
      </w:r>
      <w:r w:rsidRPr="00E34AAE">
        <w:rPr>
          <w:spacing w:val="-2"/>
          <w:sz w:val="22"/>
          <w:szCs w:val="22"/>
        </w:rPr>
        <w:t xml:space="preserve"> within thirty </w:t>
      </w:r>
      <w:r w:rsidR="003A7878">
        <w:rPr>
          <w:spacing w:val="-2"/>
          <w:sz w:val="22"/>
          <w:szCs w:val="22"/>
        </w:rPr>
        <w:t xml:space="preserve">(30) calendar </w:t>
      </w:r>
      <w:r w:rsidRPr="00E34AAE">
        <w:rPr>
          <w:spacing w:val="-2"/>
          <w:sz w:val="22"/>
          <w:szCs w:val="22"/>
        </w:rPr>
        <w:t>days of the release date of this Notice of Apparent Liability for Forfeiture</w:t>
      </w:r>
      <w:r w:rsidR="00AD246B">
        <w:rPr>
          <w:spacing w:val="-2"/>
          <w:sz w:val="22"/>
          <w:szCs w:val="22"/>
        </w:rPr>
        <w:t xml:space="preserve"> and Order</w:t>
      </w:r>
      <w:r w:rsidRPr="00E34AAE">
        <w:rPr>
          <w:spacing w:val="-2"/>
          <w:sz w:val="22"/>
          <w:szCs w:val="22"/>
        </w:rPr>
        <w:t xml:space="preserve">, </w:t>
      </w:r>
      <w:r w:rsidR="00397098">
        <w:rPr>
          <w:spacing w:val="-2"/>
          <w:sz w:val="22"/>
          <w:szCs w:val="22"/>
        </w:rPr>
        <w:t xml:space="preserve">M.J. Phillips Communications, Inc. </w:t>
      </w:r>
      <w:r w:rsidR="00145224">
        <w:rPr>
          <w:b/>
          <w:spacing w:val="-2"/>
          <w:sz w:val="22"/>
          <w:szCs w:val="22"/>
        </w:rPr>
        <w:t>SHALL PAY</w:t>
      </w:r>
      <w:r w:rsidRPr="00E34AAE">
        <w:rPr>
          <w:spacing w:val="-2"/>
          <w:sz w:val="22"/>
          <w:szCs w:val="22"/>
        </w:rPr>
        <w:t xml:space="preserve"> the full amount of the proposed forfeiture or </w:t>
      </w:r>
      <w:r w:rsidR="00145224">
        <w:rPr>
          <w:b/>
          <w:spacing w:val="-2"/>
          <w:sz w:val="22"/>
          <w:szCs w:val="22"/>
        </w:rPr>
        <w:t>SHALL FILE</w:t>
      </w:r>
      <w:r w:rsidRPr="00E34AAE">
        <w:rPr>
          <w:spacing w:val="-2"/>
          <w:sz w:val="22"/>
          <w:szCs w:val="22"/>
        </w:rPr>
        <w:t xml:space="preserve"> a written statement seeking reduction or cancellation of the proposed forfeiture.</w:t>
      </w:r>
    </w:p>
    <w:p w:rsidR="00AD246B" w:rsidRPr="00A12D37" w:rsidRDefault="00AD246B" w:rsidP="00115696">
      <w:pPr>
        <w:widowControl/>
        <w:numPr>
          <w:ilvl w:val="0"/>
          <w:numId w:val="22"/>
        </w:numPr>
        <w:tabs>
          <w:tab w:val="clear" w:pos="1260"/>
          <w:tab w:val="left" w:pos="0"/>
          <w:tab w:val="num" w:pos="1440"/>
        </w:tabs>
        <w:suppressAutoHyphens/>
        <w:spacing w:after="120"/>
        <w:ind w:left="0"/>
        <w:rPr>
          <w:color w:val="000000"/>
          <w:spacing w:val="-2"/>
          <w:sz w:val="22"/>
          <w:szCs w:val="22"/>
        </w:rPr>
      </w:pPr>
      <w:r>
        <w:rPr>
          <w:b/>
          <w:spacing w:val="-2"/>
          <w:sz w:val="22"/>
          <w:szCs w:val="22"/>
        </w:rPr>
        <w:t xml:space="preserve">IT IS FURTHER ORDERED </w:t>
      </w:r>
      <w:r>
        <w:rPr>
          <w:spacing w:val="-2"/>
          <w:sz w:val="22"/>
          <w:szCs w:val="22"/>
        </w:rPr>
        <w:t xml:space="preserve">that </w:t>
      </w:r>
      <w:r w:rsidRPr="00680DCA">
        <w:rPr>
          <w:spacing w:val="-2"/>
          <w:sz w:val="22"/>
          <w:szCs w:val="22"/>
        </w:rPr>
        <w:t>M.J. Phillips Communications, Inc.</w:t>
      </w:r>
      <w:r>
        <w:rPr>
          <w:b/>
          <w:spacing w:val="-2"/>
          <w:sz w:val="22"/>
          <w:szCs w:val="22"/>
        </w:rPr>
        <w:t xml:space="preserve"> SHALL SUBMIT </w:t>
      </w:r>
      <w:r>
        <w:rPr>
          <w:spacing w:val="-2"/>
          <w:sz w:val="22"/>
          <w:szCs w:val="22"/>
        </w:rPr>
        <w:t xml:space="preserve">a written statement, as described in paragraph 9, above, within thirty (30) calendar days of the release date of this </w:t>
      </w:r>
      <w:r w:rsidRPr="00E34AAE">
        <w:rPr>
          <w:spacing w:val="-2"/>
          <w:sz w:val="22"/>
          <w:szCs w:val="22"/>
        </w:rPr>
        <w:t>Notice of Apparent Liability for Forfeiture</w:t>
      </w:r>
      <w:r>
        <w:rPr>
          <w:spacing w:val="-2"/>
          <w:sz w:val="22"/>
          <w:szCs w:val="22"/>
        </w:rPr>
        <w:t xml:space="preserve"> and Order.  The statement must be mailed to </w:t>
      </w:r>
      <w:r w:rsidRPr="00EE1666">
        <w:rPr>
          <w:sz w:val="22"/>
          <w:szCs w:val="22"/>
        </w:rPr>
        <w:t>Federal Communications Commission, Enforcement Bureau,</w:t>
      </w:r>
      <w:r w:rsidRPr="00EE1666">
        <w:rPr>
          <w:spacing w:val="-2"/>
          <w:sz w:val="22"/>
          <w:szCs w:val="22"/>
        </w:rPr>
        <w:t xml:space="preserve"> Northeast Region, Philadelphia Office, One Oxford Valley Building Suite 404, 2300 East Lincoln Highway, Langhorne, PA 19047</w:t>
      </w:r>
      <w:r>
        <w:rPr>
          <w:spacing w:val="-2"/>
          <w:sz w:val="22"/>
          <w:szCs w:val="22"/>
        </w:rPr>
        <w:t xml:space="preserve">.  </w:t>
      </w:r>
      <w:r w:rsidRPr="00680DCA">
        <w:rPr>
          <w:spacing w:val="-2"/>
          <w:sz w:val="22"/>
          <w:szCs w:val="22"/>
        </w:rPr>
        <w:t xml:space="preserve">M.J. Phillips Communications, Inc. </w:t>
      </w:r>
      <w:r>
        <w:rPr>
          <w:spacing w:val="-2"/>
          <w:sz w:val="22"/>
          <w:szCs w:val="22"/>
        </w:rPr>
        <w:t xml:space="preserve">shall also e-mail the written statement to </w:t>
      </w:r>
      <w:r w:rsidRPr="00AD246B">
        <w:rPr>
          <w:sz w:val="22"/>
          <w:szCs w:val="22"/>
        </w:rPr>
        <w:t>NER-Response@fcc.gov</w:t>
      </w:r>
      <w:r>
        <w:rPr>
          <w:sz w:val="22"/>
          <w:szCs w:val="22"/>
        </w:rPr>
        <w:t>.</w:t>
      </w:r>
    </w:p>
    <w:p w:rsidR="00A66F85" w:rsidRPr="00A66F85" w:rsidRDefault="00A66F85" w:rsidP="00FC66E3">
      <w:pPr>
        <w:widowControl/>
        <w:numPr>
          <w:ilvl w:val="0"/>
          <w:numId w:val="22"/>
        </w:numPr>
        <w:tabs>
          <w:tab w:val="clear" w:pos="1260"/>
          <w:tab w:val="left" w:pos="0"/>
          <w:tab w:val="num" w:pos="1440"/>
        </w:tabs>
        <w:suppressAutoHyphens/>
        <w:spacing w:after="120"/>
        <w:ind w:left="0"/>
        <w:rPr>
          <w:rFonts w:eastAsia="MS Mincho" w:cs="Arial"/>
          <w:sz w:val="22"/>
          <w:szCs w:val="22"/>
        </w:rPr>
      </w:pPr>
      <w:r w:rsidRPr="00A66F85">
        <w:rPr>
          <w:rFonts w:eastAsia="MS Mincho" w:cs="Arial"/>
          <w:sz w:val="22"/>
          <w:szCs w:val="22"/>
        </w:rPr>
        <w:t>Payment of the forfeiture must be made by check or similar instrument, wire transfer, or credit card, an</w:t>
      </w:r>
      <w:r w:rsidR="00AD246B">
        <w:rPr>
          <w:rFonts w:eastAsia="MS Mincho" w:cs="Arial"/>
          <w:sz w:val="22"/>
          <w:szCs w:val="22"/>
        </w:rPr>
        <w:t>d must include the NAL/Account N</w:t>
      </w:r>
      <w:r w:rsidRPr="00A66F85">
        <w:rPr>
          <w:rFonts w:eastAsia="MS Mincho" w:cs="Arial"/>
          <w:sz w:val="22"/>
          <w:szCs w:val="22"/>
        </w:rPr>
        <w:t xml:space="preserve">umber and FRN referenced above.  </w:t>
      </w:r>
      <w:r w:rsidR="00AD246B" w:rsidRPr="00680DCA">
        <w:rPr>
          <w:spacing w:val="-2"/>
          <w:sz w:val="22"/>
          <w:szCs w:val="22"/>
        </w:rPr>
        <w:t xml:space="preserve">M.J. </w:t>
      </w:r>
      <w:r w:rsidR="00AD246B" w:rsidRPr="00FC66E3">
        <w:rPr>
          <w:spacing w:val="-2"/>
          <w:sz w:val="22"/>
        </w:rPr>
        <w:t xml:space="preserve">Phillips </w:t>
      </w:r>
      <w:r w:rsidR="00AD246B" w:rsidRPr="00680DCA">
        <w:rPr>
          <w:spacing w:val="-2"/>
          <w:sz w:val="22"/>
          <w:szCs w:val="22"/>
        </w:rPr>
        <w:t xml:space="preserve">Communications, Inc. </w:t>
      </w:r>
      <w:r w:rsidR="0095119D" w:rsidRPr="00392410">
        <w:rPr>
          <w:color w:val="000000"/>
          <w:sz w:val="22"/>
          <w:szCs w:val="22"/>
          <w:lang w:bidi="he-IL"/>
        </w:rPr>
        <w:t>shall also send electronic notification on the date said payment i</w:t>
      </w:r>
      <w:r w:rsidR="0095119D" w:rsidRPr="00397098">
        <w:rPr>
          <w:sz w:val="22"/>
          <w:szCs w:val="22"/>
          <w:lang w:bidi="he-IL"/>
        </w:rPr>
        <w:t xml:space="preserve">s made to </w:t>
      </w:r>
      <w:r w:rsidR="0095119D" w:rsidRPr="00AD246B">
        <w:rPr>
          <w:sz w:val="22"/>
          <w:szCs w:val="22"/>
        </w:rPr>
        <w:t>NER-Response@fcc.gov</w:t>
      </w:r>
      <w:r w:rsidR="0095119D" w:rsidRPr="00397098">
        <w:rPr>
          <w:sz w:val="22"/>
          <w:szCs w:val="22"/>
        </w:rPr>
        <w:t>.</w:t>
      </w:r>
      <w:r w:rsidR="0095119D">
        <w:rPr>
          <w:color w:val="FF00FF"/>
          <w:sz w:val="22"/>
          <w:szCs w:val="22"/>
        </w:rPr>
        <w:t xml:space="preserve">  </w:t>
      </w:r>
      <w:r w:rsidRPr="00A66F85">
        <w:rPr>
          <w:rFonts w:eastAsia="MS Mincho" w:cs="Arial"/>
          <w:sz w:val="22"/>
          <w:szCs w:val="22"/>
        </w:rPr>
        <w:t>Regardless of the form of payment, a completed FCC Form 159 (Remittance Advice) must be submitted.</w:t>
      </w:r>
      <w:r w:rsidRPr="00FC66E3">
        <w:rPr>
          <w:rStyle w:val="FootnoteReference"/>
          <w:rFonts w:eastAsia="MS Mincho"/>
        </w:rPr>
        <w:footnoteReference w:id="28"/>
      </w:r>
      <w:r w:rsidRPr="00A66F85">
        <w:rPr>
          <w:rFonts w:eastAsia="MS Mincho" w:cs="Arial"/>
          <w:sz w:val="22"/>
          <w:szCs w:val="22"/>
        </w:rPr>
        <w:t xml:space="preserve">  When completing the FCC Form 159, enter the Account Number in block number 23A (call sign/other ID) and enter the letters “FORF” in block number 24A (payment type code).  </w:t>
      </w:r>
      <w:r w:rsidRPr="00A66F85">
        <w:rPr>
          <w:color w:val="000000"/>
          <w:sz w:val="22"/>
          <w:szCs w:val="22"/>
        </w:rPr>
        <w:t>Below are additional instructions you should follow based on the form of payment you select:</w:t>
      </w:r>
    </w:p>
    <w:p w:rsidR="00A66F85" w:rsidRPr="00A66F85" w:rsidRDefault="00A66F85" w:rsidP="00115696">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check or money order must be made payable to the order of the Federal Communications Commission.  Such payments (along with the completed Form 159) must be mailed to Federal Communications Commission, </w:t>
      </w:r>
      <w:smartTag w:uri="urn:schemas-microsoft-com:office:smarttags" w:element="address">
        <w:smartTag w:uri="urn:schemas-microsoft-com:office:smarttags" w:element="Street">
          <w:r w:rsidRPr="00A66F85">
            <w:rPr>
              <w:rFonts w:eastAsia="MS Mincho"/>
              <w:sz w:val="22"/>
              <w:szCs w:val="22"/>
            </w:rPr>
            <w:t>P.O. Box 979088</w:t>
          </w:r>
        </w:smartTag>
        <w:r w:rsidRPr="00A66F85">
          <w:rPr>
            <w:rFonts w:eastAsia="MS Mincho"/>
            <w:sz w:val="22"/>
            <w:szCs w:val="22"/>
          </w:rPr>
          <w:t xml:space="preserve">, </w:t>
        </w:r>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A66F85" w:rsidRDefault="00A66F85" w:rsidP="00115696">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A66F85" w:rsidRPr="00A66F85" w:rsidRDefault="00A66F85" w:rsidP="00115696">
      <w:pPr>
        <w:pStyle w:val="ParaNum"/>
        <w:numPr>
          <w:ilvl w:val="0"/>
          <w:numId w:val="27"/>
        </w:numPr>
        <w:tabs>
          <w:tab w:val="clear" w:pos="1440"/>
        </w:tabs>
        <w:autoSpaceDE/>
        <w:autoSpaceDN/>
        <w:adjustRightInd/>
        <w:spacing w:after="120"/>
        <w:jc w:val="left"/>
        <w:rPr>
          <w:rFonts w:eastAsia="MS Mincho"/>
          <w:sz w:val="22"/>
          <w:szCs w:val="22"/>
        </w:rPr>
      </w:pPr>
      <w:r w:rsidRPr="00A66F85">
        <w:rPr>
          <w:rFonts w:eastAsia="MS Mincho"/>
          <w:sz w:val="22"/>
          <w:szCs w:val="22"/>
        </w:rPr>
        <w:t>Payment by credit card must be made by providing the required credit card information on FCC Form 159 and signing and dating the Form 159 to aut</w:t>
      </w:r>
      <w:r w:rsidR="00AA2472">
        <w:rPr>
          <w:rFonts w:eastAsia="MS Mincho"/>
          <w:sz w:val="22"/>
          <w:szCs w:val="22"/>
        </w:rPr>
        <w:t>horize the credit card payment.</w:t>
      </w:r>
      <w:r w:rsidRPr="00A66F85">
        <w:rPr>
          <w:rFonts w:eastAsia="MS Mincho"/>
          <w:sz w:val="22"/>
          <w:szCs w:val="22"/>
        </w:rPr>
        <w:t xml:space="preserve">  The completed Form 159 must then be mailed to Federal Communications Commission, </w:t>
      </w:r>
      <w:smartTag w:uri="urn:schemas-microsoft-com:office:smarttags" w:element="address">
        <w:smartTag w:uri="urn:schemas-microsoft-com:office:smarttags" w:element="Street">
          <w:r w:rsidRPr="00A66F85">
            <w:rPr>
              <w:rFonts w:eastAsia="MS Mincho"/>
              <w:sz w:val="22"/>
              <w:szCs w:val="22"/>
            </w:rPr>
            <w:t>P.O. Box 979088</w:t>
          </w:r>
        </w:smartTag>
        <w:r w:rsidRPr="00A66F85">
          <w:rPr>
            <w:rFonts w:eastAsia="MS Mincho"/>
            <w:sz w:val="22"/>
            <w:szCs w:val="22"/>
          </w:rPr>
          <w:t xml:space="preserve">, </w:t>
        </w:r>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63197-9000</w:t>
          </w:r>
        </w:smartTag>
      </w:smartTag>
      <w:r w:rsidRPr="00A66F85">
        <w:rPr>
          <w:rFonts w:eastAsia="MS Mincho"/>
          <w:sz w:val="22"/>
          <w:szCs w:val="22"/>
        </w:rPr>
        <w:t xml:space="preserve">, or sent via overnight mail to U.S. Bank – Government Lockbox #979088, SL-MO-C2-GL, 1005 </w:t>
      </w:r>
      <w:smartTag w:uri="urn:schemas-microsoft-com:office:smarttags" w:element="PlaceName">
        <w:r w:rsidRPr="00A66F85">
          <w:rPr>
            <w:rFonts w:eastAsia="MS Mincho"/>
            <w:sz w:val="22"/>
            <w:szCs w:val="22"/>
          </w:rPr>
          <w:t>Convention</w:t>
        </w:r>
      </w:smartTag>
      <w:r w:rsidRPr="00A66F85">
        <w:rPr>
          <w:rFonts w:eastAsia="MS Mincho"/>
          <w:sz w:val="22"/>
          <w:szCs w:val="22"/>
        </w:rPr>
        <w:t xml:space="preserve"> </w:t>
      </w:r>
      <w:smartTag w:uri="urn:schemas-microsoft-com:office:smarttags" w:element="PlaceType">
        <w:r w:rsidRPr="00A66F85">
          <w:rPr>
            <w:rFonts w:eastAsia="MS Mincho"/>
            <w:sz w:val="22"/>
            <w:szCs w:val="22"/>
          </w:rPr>
          <w:t>Plaza</w:t>
        </w:r>
      </w:smartTag>
      <w:r w:rsidRPr="00A66F85">
        <w:rPr>
          <w:rFonts w:eastAsia="MS Mincho"/>
          <w:sz w:val="22"/>
          <w:szCs w:val="22"/>
        </w:rPr>
        <w:t xml:space="preserve">, </w:t>
      </w:r>
      <w:smartTag w:uri="urn:schemas-microsoft-com:office:smarttags" w:element="place">
        <w:smartTag w:uri="urn:schemas-microsoft-com:office:smarttags" w:element="City">
          <w:r w:rsidRPr="00A66F85">
            <w:rPr>
              <w:rFonts w:eastAsia="MS Mincho"/>
              <w:sz w:val="22"/>
              <w:szCs w:val="22"/>
            </w:rPr>
            <w:t>St. Louis</w:t>
          </w:r>
        </w:smartTag>
        <w:r w:rsidRPr="00A66F85">
          <w:rPr>
            <w:rFonts w:eastAsia="MS Mincho"/>
            <w:sz w:val="22"/>
            <w:szCs w:val="22"/>
          </w:rPr>
          <w:t xml:space="preserve">, </w:t>
        </w:r>
        <w:smartTag w:uri="urn:schemas-microsoft-com:office:smarttags" w:element="State">
          <w:r w:rsidRPr="00A66F85">
            <w:rPr>
              <w:rFonts w:eastAsia="MS Mincho"/>
              <w:sz w:val="22"/>
              <w:szCs w:val="22"/>
            </w:rPr>
            <w:t>MO</w:t>
          </w:r>
        </w:smartTag>
        <w:r w:rsidRPr="00A66F85">
          <w:rPr>
            <w:rFonts w:eastAsia="MS Mincho"/>
            <w:sz w:val="22"/>
            <w:szCs w:val="22"/>
          </w:rPr>
          <w:t xml:space="preserve"> </w:t>
        </w:r>
        <w:smartTag w:uri="urn:schemas-microsoft-com:office:smarttags" w:element="PostalCode">
          <w:r w:rsidRPr="00A66F85">
            <w:rPr>
              <w:rFonts w:eastAsia="MS Mincho"/>
              <w:sz w:val="22"/>
              <w:szCs w:val="22"/>
            </w:rPr>
            <w:t>63101</w:t>
          </w:r>
        </w:smartTag>
      </w:smartTag>
      <w:r w:rsidRPr="00A66F85">
        <w:rPr>
          <w:rFonts w:eastAsia="MS Mincho"/>
          <w:sz w:val="22"/>
          <w:szCs w:val="22"/>
        </w:rPr>
        <w:t xml:space="preserve">.  </w:t>
      </w:r>
    </w:p>
    <w:p w:rsidR="00A66F85" w:rsidRPr="00A66F85" w:rsidRDefault="00A66F85" w:rsidP="00FC66E3">
      <w:pPr>
        <w:widowControl/>
        <w:numPr>
          <w:ilvl w:val="0"/>
          <w:numId w:val="22"/>
        </w:numPr>
        <w:tabs>
          <w:tab w:val="clear" w:pos="1260"/>
          <w:tab w:val="left" w:pos="0"/>
          <w:tab w:val="num" w:pos="1440"/>
        </w:tabs>
        <w:suppressAutoHyphens/>
        <w:spacing w:after="120"/>
        <w:ind w:left="0"/>
        <w:rPr>
          <w:spacing w:val="-2"/>
          <w:sz w:val="22"/>
          <w:szCs w:val="22"/>
        </w:rPr>
      </w:pPr>
      <w:r w:rsidRPr="00A66F85">
        <w:rPr>
          <w:rFonts w:eastAsia="MS Mincho"/>
          <w:sz w:val="22"/>
          <w:szCs w:val="22"/>
        </w:rPr>
        <w:t xml:space="preserve">Any request for </w:t>
      </w:r>
      <w:r w:rsidR="00D13FA6">
        <w:rPr>
          <w:rFonts w:eastAsia="MS Mincho"/>
          <w:sz w:val="22"/>
          <w:szCs w:val="22"/>
        </w:rPr>
        <w:t xml:space="preserve">making </w:t>
      </w:r>
      <w:r w:rsidRPr="00A66F85">
        <w:rPr>
          <w:rFonts w:eastAsia="MS Mincho"/>
          <w:sz w:val="22"/>
          <w:szCs w:val="22"/>
        </w:rPr>
        <w:t xml:space="preserve">full payment </w:t>
      </w:r>
      <w:r w:rsidR="00D13FA6">
        <w:rPr>
          <w:rFonts w:eastAsia="MS Mincho"/>
          <w:sz w:val="22"/>
          <w:szCs w:val="22"/>
        </w:rPr>
        <w:t xml:space="preserve">over time </w:t>
      </w:r>
      <w:r w:rsidRPr="00A66F85">
        <w:rPr>
          <w:rFonts w:eastAsia="MS Mincho" w:cs="Arial"/>
          <w:sz w:val="22"/>
          <w:szCs w:val="22"/>
        </w:rPr>
        <w:t>under</w:t>
      </w:r>
      <w:r w:rsidRPr="00A66F85">
        <w:rPr>
          <w:rFonts w:eastAsia="MS Mincho"/>
          <w:sz w:val="22"/>
          <w:szCs w:val="22"/>
        </w:rPr>
        <w:t xml:space="preserve"> an installment plan should be sent to:  Chief Financial Officer—Financial Operations, </w:t>
      </w:r>
      <w:r w:rsidRPr="00A66F85">
        <w:rPr>
          <w:rFonts w:eastAsia="MS Mincho" w:cs="Arial"/>
          <w:sz w:val="22"/>
          <w:szCs w:val="22"/>
        </w:rPr>
        <w:t>Federal</w:t>
      </w:r>
      <w:r w:rsidRPr="00A66F85">
        <w:rPr>
          <w:rFonts w:eastAsia="MS Mincho"/>
          <w:sz w:val="22"/>
          <w:szCs w:val="22"/>
        </w:rPr>
        <w:t xml:space="preserve"> Communications Commission, 445 12th Street, S.W., Room 1-A625, Washington, D.C.  20554.</w:t>
      </w:r>
      <w:r w:rsidRPr="00A66F85">
        <w:rPr>
          <w:rStyle w:val="FootnoteReference"/>
          <w:rFonts w:eastAsia="MS Mincho"/>
          <w:sz w:val="22"/>
          <w:szCs w:val="22"/>
        </w:rPr>
        <w:footnoteReference w:id="29"/>
      </w:r>
      <w:r w:rsidRPr="00A66F85">
        <w:rPr>
          <w:rFonts w:eastAsia="MS Mincho"/>
          <w:sz w:val="22"/>
          <w:szCs w:val="22"/>
        </w:rPr>
        <w:t>  If you have questions regarding payment procedures, please contact the Financial Operations Group Help Desk by phone, 1-877-480-3201, or by e</w:t>
      </w:r>
      <w:r w:rsidRPr="00A66F85">
        <w:rPr>
          <w:rFonts w:eastAsia="MS Mincho"/>
          <w:sz w:val="22"/>
          <w:szCs w:val="22"/>
        </w:rPr>
        <w:noBreakHyphen/>
        <w:t xml:space="preserve">mail, </w:t>
      </w:r>
      <w:r w:rsidRPr="00A66F85">
        <w:rPr>
          <w:rFonts w:eastAsia="MS Mincho" w:cs="Arial"/>
          <w:sz w:val="22"/>
          <w:szCs w:val="22"/>
        </w:rPr>
        <w:t>ARINQUIRIES@fcc.gov</w:t>
      </w:r>
      <w:r w:rsidRPr="00A66F85">
        <w:rPr>
          <w:rFonts w:eastAsia="MS Mincho"/>
          <w:sz w:val="22"/>
          <w:szCs w:val="22"/>
        </w:rPr>
        <w:t>.   </w:t>
      </w:r>
    </w:p>
    <w:p w:rsidR="00050854" w:rsidRPr="001F566B" w:rsidRDefault="00392410" w:rsidP="00FC66E3">
      <w:pPr>
        <w:widowControl/>
        <w:numPr>
          <w:ilvl w:val="0"/>
          <w:numId w:val="22"/>
        </w:numPr>
        <w:tabs>
          <w:tab w:val="clear" w:pos="1260"/>
          <w:tab w:val="left" w:pos="0"/>
          <w:tab w:val="num" w:pos="1440"/>
        </w:tabs>
        <w:suppressAutoHyphens/>
        <w:spacing w:after="120"/>
        <w:ind w:left="0"/>
        <w:rPr>
          <w:spacing w:val="-2"/>
          <w:sz w:val="22"/>
          <w:szCs w:val="22"/>
        </w:rPr>
      </w:pPr>
      <w:r w:rsidRPr="001F566B">
        <w:rPr>
          <w:color w:val="000000"/>
          <w:sz w:val="22"/>
          <w:szCs w:val="22"/>
          <w:lang w:bidi="he-IL"/>
        </w:rPr>
        <w:t xml:space="preserve"> </w:t>
      </w:r>
      <w:r w:rsidR="007E2E05" w:rsidRPr="001F566B">
        <w:rPr>
          <w:sz w:val="22"/>
          <w:szCs w:val="22"/>
        </w:rPr>
        <w:t>The written statement seeking reduction or cancellation of the proposed forfeiture, if any, must include a detailed factual statement supported by appropriate documentat</w:t>
      </w:r>
      <w:r w:rsidR="00D57AE2" w:rsidRPr="001F566B">
        <w:rPr>
          <w:sz w:val="22"/>
          <w:szCs w:val="22"/>
        </w:rPr>
        <w:t>ion and affidavits pursuant to S</w:t>
      </w:r>
      <w:r w:rsidR="007E2E05" w:rsidRPr="001F566B">
        <w:rPr>
          <w:sz w:val="22"/>
          <w:szCs w:val="22"/>
        </w:rPr>
        <w:t xml:space="preserve">ections </w:t>
      </w:r>
      <w:r w:rsidR="00F30E61" w:rsidRPr="001F566B">
        <w:rPr>
          <w:sz w:val="22"/>
          <w:szCs w:val="22"/>
        </w:rPr>
        <w:t xml:space="preserve">1.16 and </w:t>
      </w:r>
      <w:r w:rsidR="007E2E05" w:rsidRPr="001F566B">
        <w:rPr>
          <w:sz w:val="22"/>
          <w:szCs w:val="22"/>
        </w:rPr>
        <w:t>1.80(f)(3) of the Rules.</w:t>
      </w:r>
      <w:r w:rsidR="003E2AD5">
        <w:rPr>
          <w:rStyle w:val="FootnoteReference"/>
          <w:sz w:val="22"/>
          <w:szCs w:val="22"/>
        </w:rPr>
        <w:footnoteReference w:id="30"/>
      </w:r>
      <w:r w:rsidR="007E2E05" w:rsidRPr="001F566B">
        <w:rPr>
          <w:sz w:val="22"/>
          <w:szCs w:val="22"/>
        </w:rPr>
        <w:t xml:space="preserve">  Mail the written statement to Federal </w:t>
      </w:r>
      <w:r w:rsidR="007E2E05" w:rsidRPr="00397098">
        <w:rPr>
          <w:sz w:val="22"/>
          <w:szCs w:val="22"/>
        </w:rPr>
        <w:t>Communications Commission, Enforcement Bureau,</w:t>
      </w:r>
      <w:r w:rsidR="00050854" w:rsidRPr="00397098">
        <w:rPr>
          <w:spacing w:val="-2"/>
          <w:sz w:val="22"/>
          <w:szCs w:val="22"/>
        </w:rPr>
        <w:t xml:space="preserve"> </w:t>
      </w:r>
      <w:r w:rsidR="00397098" w:rsidRPr="00397098">
        <w:rPr>
          <w:spacing w:val="-2"/>
          <w:sz w:val="22"/>
          <w:szCs w:val="22"/>
        </w:rPr>
        <w:t>Northe</w:t>
      </w:r>
      <w:r w:rsidR="00397098">
        <w:rPr>
          <w:spacing w:val="-2"/>
          <w:sz w:val="22"/>
          <w:szCs w:val="22"/>
        </w:rPr>
        <w:t>a</w:t>
      </w:r>
      <w:r w:rsidR="00397098" w:rsidRPr="00397098">
        <w:rPr>
          <w:spacing w:val="-2"/>
          <w:sz w:val="22"/>
          <w:szCs w:val="22"/>
        </w:rPr>
        <w:t>st</w:t>
      </w:r>
      <w:r w:rsidR="00EB57F9" w:rsidRPr="00397098">
        <w:rPr>
          <w:spacing w:val="-2"/>
          <w:sz w:val="22"/>
          <w:szCs w:val="22"/>
        </w:rPr>
        <w:t xml:space="preserve"> </w:t>
      </w:r>
      <w:r w:rsidR="00050854" w:rsidRPr="00397098">
        <w:rPr>
          <w:spacing w:val="-2"/>
          <w:sz w:val="22"/>
          <w:szCs w:val="22"/>
        </w:rPr>
        <w:t xml:space="preserve">Region, </w:t>
      </w:r>
      <w:r w:rsidR="00397098" w:rsidRPr="00397098">
        <w:rPr>
          <w:spacing w:val="-2"/>
          <w:sz w:val="22"/>
          <w:szCs w:val="22"/>
        </w:rPr>
        <w:t xml:space="preserve">Philadelphia </w:t>
      </w:r>
      <w:r w:rsidR="00050854" w:rsidRPr="00397098">
        <w:rPr>
          <w:spacing w:val="-2"/>
          <w:sz w:val="22"/>
          <w:szCs w:val="22"/>
        </w:rPr>
        <w:t xml:space="preserve">Office, </w:t>
      </w:r>
      <w:r w:rsidR="00397098" w:rsidRPr="00397098">
        <w:rPr>
          <w:spacing w:val="-2"/>
          <w:sz w:val="22"/>
          <w:szCs w:val="22"/>
        </w:rPr>
        <w:t>One Oxford Valley Building, 2300 East Lincoln Highway</w:t>
      </w:r>
      <w:r w:rsidR="00050854" w:rsidRPr="00397098">
        <w:rPr>
          <w:spacing w:val="-2"/>
          <w:sz w:val="22"/>
          <w:szCs w:val="22"/>
        </w:rPr>
        <w:t xml:space="preserve">, </w:t>
      </w:r>
      <w:r w:rsidR="00397098" w:rsidRPr="00397098">
        <w:rPr>
          <w:spacing w:val="-2"/>
          <w:sz w:val="22"/>
          <w:szCs w:val="22"/>
        </w:rPr>
        <w:t>Langhorne</w:t>
      </w:r>
      <w:r w:rsidR="00050854" w:rsidRPr="00397098">
        <w:rPr>
          <w:spacing w:val="-2"/>
          <w:sz w:val="22"/>
          <w:szCs w:val="22"/>
        </w:rPr>
        <w:t xml:space="preserve">, </w:t>
      </w:r>
      <w:r w:rsidR="00397098" w:rsidRPr="00397098">
        <w:rPr>
          <w:spacing w:val="-2"/>
          <w:sz w:val="22"/>
          <w:szCs w:val="22"/>
        </w:rPr>
        <w:t>Pennsylvania</w:t>
      </w:r>
      <w:r w:rsidR="00050854" w:rsidRPr="00397098">
        <w:rPr>
          <w:spacing w:val="-2"/>
          <w:sz w:val="22"/>
          <w:szCs w:val="22"/>
        </w:rPr>
        <w:t xml:space="preserve">, </w:t>
      </w:r>
      <w:r w:rsidR="00397098" w:rsidRPr="00397098">
        <w:rPr>
          <w:spacing w:val="-2"/>
          <w:sz w:val="22"/>
          <w:szCs w:val="22"/>
        </w:rPr>
        <w:t>19047</w:t>
      </w:r>
      <w:r w:rsidR="00F30E61" w:rsidRPr="00397098">
        <w:rPr>
          <w:spacing w:val="-2"/>
          <w:sz w:val="22"/>
          <w:szCs w:val="22"/>
        </w:rPr>
        <w:t>,</w:t>
      </w:r>
      <w:r w:rsidR="00050854" w:rsidRPr="00397098">
        <w:rPr>
          <w:spacing w:val="-2"/>
          <w:sz w:val="22"/>
          <w:szCs w:val="22"/>
        </w:rPr>
        <w:t xml:space="preserve"> and include the NAL/Acct. No. referenced in the caption.</w:t>
      </w:r>
      <w:r w:rsidR="00683F6F" w:rsidRPr="00397098">
        <w:rPr>
          <w:spacing w:val="-2"/>
          <w:sz w:val="22"/>
          <w:szCs w:val="22"/>
        </w:rPr>
        <w:t xml:space="preserve">  </w:t>
      </w:r>
      <w:r w:rsidR="00115798" w:rsidRPr="00680DCA">
        <w:rPr>
          <w:spacing w:val="-2"/>
          <w:sz w:val="22"/>
          <w:szCs w:val="22"/>
        </w:rPr>
        <w:t xml:space="preserve">M.J. Phillips Communications, Inc. </w:t>
      </w:r>
      <w:r w:rsidR="005F67D7" w:rsidRPr="00397098">
        <w:rPr>
          <w:spacing w:val="-2"/>
          <w:sz w:val="22"/>
          <w:szCs w:val="22"/>
        </w:rPr>
        <w:t xml:space="preserve">also </w:t>
      </w:r>
      <w:r w:rsidR="00683F6F" w:rsidRPr="00397098">
        <w:rPr>
          <w:spacing w:val="-2"/>
          <w:sz w:val="22"/>
          <w:szCs w:val="22"/>
        </w:rPr>
        <w:t>shall e</w:t>
      </w:r>
      <w:r w:rsidR="00C009F7" w:rsidRPr="00397098">
        <w:rPr>
          <w:spacing w:val="-2"/>
          <w:sz w:val="22"/>
          <w:szCs w:val="22"/>
        </w:rPr>
        <w:t>-</w:t>
      </w:r>
      <w:r w:rsidR="00683F6F" w:rsidRPr="00397098">
        <w:rPr>
          <w:spacing w:val="-2"/>
          <w:sz w:val="22"/>
          <w:szCs w:val="22"/>
        </w:rPr>
        <w:t xml:space="preserve">mail the written response to </w:t>
      </w:r>
      <w:r w:rsidR="00683F6F" w:rsidRPr="00115798">
        <w:rPr>
          <w:sz w:val="22"/>
          <w:szCs w:val="22"/>
        </w:rPr>
        <w:t>NER-Response@fcc.gov</w:t>
      </w:r>
      <w:r w:rsidR="00683F6F" w:rsidRPr="00397098">
        <w:rPr>
          <w:sz w:val="22"/>
          <w:szCs w:val="22"/>
        </w:rPr>
        <w:t>.</w:t>
      </w:r>
    </w:p>
    <w:p w:rsidR="00050854" w:rsidRPr="00E34AAE" w:rsidRDefault="00050854" w:rsidP="00FC66E3">
      <w:pPr>
        <w:widowControl/>
        <w:numPr>
          <w:ilvl w:val="0"/>
          <w:numId w:val="22"/>
        </w:numPr>
        <w:tabs>
          <w:tab w:val="clear" w:pos="1260"/>
          <w:tab w:val="left" w:pos="0"/>
          <w:tab w:val="num" w:pos="1440"/>
        </w:tabs>
        <w:suppressAutoHyphens/>
        <w:spacing w:after="120"/>
        <w:ind w:left="0"/>
        <w:rPr>
          <w:spacing w:val="-2"/>
          <w:sz w:val="22"/>
          <w:szCs w:val="22"/>
        </w:rPr>
      </w:pPr>
      <w:r w:rsidRPr="00E34AAE">
        <w:rPr>
          <w:spacing w:val="-2"/>
          <w:sz w:val="22"/>
          <w:szCs w:val="22"/>
        </w:rPr>
        <w:t xml:space="preserve">The Commission will not consider reducing or canceling a forfeiture in response to a claim of inability to pay unless the petitioner submits: </w:t>
      </w:r>
      <w:r w:rsidR="00F30E61">
        <w:rPr>
          <w:spacing w:val="-2"/>
          <w:sz w:val="22"/>
          <w:szCs w:val="22"/>
        </w:rPr>
        <w:t xml:space="preserve"> </w:t>
      </w:r>
      <w:r w:rsidRPr="00E34AAE">
        <w:rPr>
          <w:spacing w:val="-2"/>
          <w:sz w:val="22"/>
          <w:szCs w:val="22"/>
        </w:rPr>
        <w:t>(1) federal tax returns for the most recent three-year period; (2) financial statements prepared according to generally accepted accounting pr</w:t>
      </w:r>
      <w:r w:rsidR="00D13FA6">
        <w:rPr>
          <w:spacing w:val="-2"/>
          <w:sz w:val="22"/>
          <w:szCs w:val="22"/>
        </w:rPr>
        <w:t>inciples</w:t>
      </w:r>
      <w:r w:rsidRPr="00E34AAE">
        <w:rPr>
          <w:spacing w:val="-2"/>
          <w:sz w:val="22"/>
          <w:szCs w:val="22"/>
        </w:rPr>
        <w:t xml:space="preserve"> (GAAP); or (3) some other reliable and objective documentation that accurately reflects the petitioner’s current financial status.  Any claim of inability to pay must specifically identify the basis for the claim by reference to the financial documentation submitted.</w:t>
      </w:r>
    </w:p>
    <w:p w:rsidR="00331410" w:rsidRPr="00397098" w:rsidRDefault="00050854" w:rsidP="00FC66E3">
      <w:pPr>
        <w:widowControl/>
        <w:numPr>
          <w:ilvl w:val="0"/>
          <w:numId w:val="22"/>
        </w:numPr>
        <w:tabs>
          <w:tab w:val="clear" w:pos="1260"/>
          <w:tab w:val="left" w:pos="0"/>
          <w:tab w:val="num" w:pos="1440"/>
        </w:tabs>
        <w:suppressAutoHyphens/>
        <w:spacing w:after="120"/>
        <w:ind w:left="0"/>
        <w:rPr>
          <w:spacing w:val="-2"/>
          <w:sz w:val="22"/>
          <w:szCs w:val="22"/>
        </w:rPr>
      </w:pPr>
      <w:r w:rsidRPr="00397098">
        <w:rPr>
          <w:b/>
          <w:spacing w:val="-2"/>
          <w:sz w:val="22"/>
          <w:szCs w:val="22"/>
        </w:rPr>
        <w:t>IT IS FURTHER ORDERED</w:t>
      </w:r>
      <w:r w:rsidRPr="00397098">
        <w:rPr>
          <w:spacing w:val="-2"/>
          <w:sz w:val="22"/>
          <w:szCs w:val="22"/>
        </w:rPr>
        <w:t xml:space="preserve"> </w:t>
      </w:r>
      <w:r w:rsidR="003F3CFD" w:rsidRPr="00397098">
        <w:rPr>
          <w:spacing w:val="-2"/>
          <w:sz w:val="22"/>
          <w:szCs w:val="22"/>
        </w:rPr>
        <w:t>that</w:t>
      </w:r>
      <w:r w:rsidRPr="00397098">
        <w:rPr>
          <w:spacing w:val="-2"/>
          <w:sz w:val="22"/>
          <w:szCs w:val="22"/>
        </w:rPr>
        <w:t xml:space="preserve"> a copy of this Notice of Apparent Liability for Forfeiture shall be sent by </w:t>
      </w:r>
      <w:r w:rsidR="00683F6F" w:rsidRPr="00397098">
        <w:rPr>
          <w:spacing w:val="-2"/>
          <w:sz w:val="22"/>
          <w:szCs w:val="22"/>
        </w:rPr>
        <w:t xml:space="preserve">both </w:t>
      </w:r>
      <w:r w:rsidRPr="00397098">
        <w:rPr>
          <w:spacing w:val="-2"/>
          <w:sz w:val="22"/>
          <w:szCs w:val="22"/>
        </w:rPr>
        <w:t xml:space="preserve">Certified Mail, Return Receipt Requested, and </w:t>
      </w:r>
      <w:r w:rsidR="008C26F7" w:rsidRPr="00397098">
        <w:rPr>
          <w:spacing w:val="-2"/>
          <w:sz w:val="22"/>
          <w:szCs w:val="22"/>
        </w:rPr>
        <w:t xml:space="preserve">first class </w:t>
      </w:r>
      <w:r w:rsidRPr="00397098">
        <w:rPr>
          <w:spacing w:val="-2"/>
          <w:sz w:val="22"/>
          <w:szCs w:val="22"/>
        </w:rPr>
        <w:t xml:space="preserve">mail to </w:t>
      </w:r>
      <w:r w:rsidR="00397098" w:rsidRPr="00397098">
        <w:rPr>
          <w:spacing w:val="-2"/>
          <w:sz w:val="22"/>
          <w:szCs w:val="22"/>
        </w:rPr>
        <w:t>M.J. Phillips Communications</w:t>
      </w:r>
      <w:r w:rsidR="00287ADA">
        <w:rPr>
          <w:spacing w:val="-2"/>
          <w:sz w:val="22"/>
          <w:szCs w:val="22"/>
        </w:rPr>
        <w:t>,</w:t>
      </w:r>
      <w:r w:rsidR="00397098" w:rsidRPr="00397098">
        <w:rPr>
          <w:spacing w:val="-2"/>
          <w:sz w:val="22"/>
          <w:szCs w:val="22"/>
        </w:rPr>
        <w:t xml:space="preserve"> Inc. at 9</w:t>
      </w:r>
      <w:r w:rsidR="00E10C8A">
        <w:rPr>
          <w:spacing w:val="-2"/>
          <w:sz w:val="22"/>
          <w:szCs w:val="22"/>
        </w:rPr>
        <w:t>9</w:t>
      </w:r>
      <w:r w:rsidR="00397098" w:rsidRPr="00397098">
        <w:rPr>
          <w:spacing w:val="-2"/>
          <w:sz w:val="22"/>
          <w:szCs w:val="22"/>
        </w:rPr>
        <w:t>76-B Union Road, West Seneca, New York.</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331410" w:rsidP="00BF1922">
      <w:pPr>
        <w:widowControl/>
        <w:tabs>
          <w:tab w:val="left" w:pos="0"/>
          <w:tab w:val="num" w:pos="1440"/>
        </w:tabs>
        <w:suppressAutoHyphens/>
        <w:spacing w:line="240" w:lineRule="atLeast"/>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FEDERAL COMMUNICATIONS COMMISSION</w:t>
      </w: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050854" w:rsidRPr="00E34AAE" w:rsidRDefault="00050854" w:rsidP="00BF1922">
      <w:pPr>
        <w:widowControl/>
        <w:tabs>
          <w:tab w:val="left" w:pos="0"/>
          <w:tab w:val="num" w:pos="1440"/>
        </w:tabs>
        <w:suppressAutoHyphens/>
        <w:spacing w:line="240" w:lineRule="atLeast"/>
        <w:jc w:val="both"/>
        <w:rPr>
          <w:spacing w:val="-2"/>
          <w:sz w:val="22"/>
          <w:szCs w:val="22"/>
        </w:rPr>
      </w:pPr>
    </w:p>
    <w:p w:rsidR="00331410" w:rsidRDefault="00050854" w:rsidP="00BF1922">
      <w:pPr>
        <w:widowControl/>
        <w:tabs>
          <w:tab w:val="left" w:pos="0"/>
          <w:tab w:val="num" w:pos="1440"/>
        </w:tabs>
        <w:suppressAutoHyphens/>
        <w:spacing w:line="240" w:lineRule="atLeast"/>
        <w:jc w:val="both"/>
        <w:rPr>
          <w:spacing w:val="-2"/>
          <w:sz w:val="22"/>
          <w:szCs w:val="22"/>
        </w:rPr>
      </w:pP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r w:rsidRPr="00E34AAE">
        <w:rPr>
          <w:spacing w:val="-2"/>
          <w:sz w:val="22"/>
          <w:szCs w:val="22"/>
        </w:rPr>
        <w:tab/>
      </w:r>
    </w:p>
    <w:p w:rsidR="00050854" w:rsidRPr="00523A68" w:rsidRDefault="00331410" w:rsidP="00BF1922">
      <w:pPr>
        <w:widowControl/>
        <w:tabs>
          <w:tab w:val="left" w:pos="0"/>
          <w:tab w:val="num" w:pos="1440"/>
        </w:tabs>
        <w:suppressAutoHyphens/>
        <w:spacing w:line="240" w:lineRule="atLeast"/>
        <w:jc w:val="both"/>
        <w:rPr>
          <w:spacing w:val="-2"/>
          <w:sz w:val="22"/>
          <w:szCs w:val="22"/>
        </w:rPr>
      </w:pPr>
      <w:r>
        <w:rPr>
          <w:spacing w:val="-2"/>
          <w:sz w:val="22"/>
          <w:szCs w:val="22"/>
        </w:rPr>
        <w:tab/>
      </w:r>
      <w:r>
        <w:rPr>
          <w:spacing w:val="-2"/>
          <w:sz w:val="22"/>
          <w:szCs w:val="22"/>
        </w:rPr>
        <w:tab/>
      </w:r>
      <w:r>
        <w:rPr>
          <w:spacing w:val="-2"/>
          <w:sz w:val="22"/>
          <w:szCs w:val="22"/>
        </w:rPr>
        <w:tab/>
      </w:r>
      <w:r>
        <w:rPr>
          <w:spacing w:val="-2"/>
          <w:sz w:val="22"/>
          <w:szCs w:val="22"/>
        </w:rPr>
        <w:tab/>
      </w:r>
      <w:r w:rsidR="00050854" w:rsidRPr="00E34AAE">
        <w:rPr>
          <w:spacing w:val="-2"/>
          <w:sz w:val="22"/>
          <w:szCs w:val="22"/>
        </w:rPr>
        <w:tab/>
      </w:r>
      <w:r w:rsidR="00523A68" w:rsidRPr="00523A68">
        <w:rPr>
          <w:spacing w:val="-2"/>
          <w:sz w:val="22"/>
          <w:szCs w:val="22"/>
        </w:rPr>
        <w:t>David C. Dombrowski</w:t>
      </w:r>
    </w:p>
    <w:p w:rsidR="00050854" w:rsidRPr="00523A68" w:rsidRDefault="00050854" w:rsidP="00BF1922">
      <w:pPr>
        <w:widowControl/>
        <w:tabs>
          <w:tab w:val="left" w:pos="0"/>
          <w:tab w:val="num" w:pos="1440"/>
        </w:tabs>
        <w:suppressAutoHyphens/>
        <w:spacing w:line="240" w:lineRule="atLeast"/>
        <w:jc w:val="both"/>
        <w:rPr>
          <w:spacing w:val="-2"/>
          <w:sz w:val="22"/>
          <w:szCs w:val="22"/>
        </w:rPr>
      </w:pPr>
      <w:r w:rsidRPr="00523A68">
        <w:rPr>
          <w:spacing w:val="-2"/>
          <w:sz w:val="22"/>
          <w:szCs w:val="22"/>
        </w:rPr>
        <w:tab/>
      </w:r>
      <w:r w:rsidRPr="00523A68">
        <w:rPr>
          <w:spacing w:val="-2"/>
          <w:sz w:val="22"/>
          <w:szCs w:val="22"/>
        </w:rPr>
        <w:tab/>
      </w:r>
      <w:r w:rsidRPr="00523A68">
        <w:rPr>
          <w:spacing w:val="-2"/>
          <w:sz w:val="22"/>
          <w:szCs w:val="22"/>
        </w:rPr>
        <w:tab/>
      </w:r>
      <w:r w:rsidRPr="00523A68">
        <w:rPr>
          <w:spacing w:val="-2"/>
          <w:sz w:val="22"/>
          <w:szCs w:val="22"/>
        </w:rPr>
        <w:tab/>
      </w:r>
      <w:r w:rsidR="00331410" w:rsidRPr="00523A68">
        <w:rPr>
          <w:spacing w:val="-2"/>
          <w:sz w:val="22"/>
          <w:szCs w:val="22"/>
        </w:rPr>
        <w:tab/>
      </w:r>
      <w:r w:rsidR="00523A68" w:rsidRPr="00523A68">
        <w:rPr>
          <w:spacing w:val="-2"/>
          <w:sz w:val="22"/>
          <w:szCs w:val="22"/>
        </w:rPr>
        <w:t>District Director</w:t>
      </w:r>
      <w:r w:rsidRPr="00523A68">
        <w:rPr>
          <w:spacing w:val="-2"/>
          <w:sz w:val="22"/>
          <w:szCs w:val="22"/>
        </w:rPr>
        <w:t xml:space="preserve"> </w:t>
      </w:r>
    </w:p>
    <w:p w:rsidR="00050854" w:rsidRPr="00523A68" w:rsidRDefault="00050854" w:rsidP="00BF1922">
      <w:pPr>
        <w:widowControl/>
        <w:tabs>
          <w:tab w:val="left" w:pos="0"/>
          <w:tab w:val="num" w:pos="1440"/>
        </w:tabs>
        <w:suppressAutoHyphens/>
        <w:spacing w:line="240" w:lineRule="atLeast"/>
        <w:jc w:val="both"/>
        <w:rPr>
          <w:spacing w:val="-2"/>
          <w:sz w:val="22"/>
          <w:szCs w:val="22"/>
        </w:rPr>
      </w:pPr>
      <w:r w:rsidRPr="00523A68">
        <w:rPr>
          <w:spacing w:val="-2"/>
          <w:sz w:val="22"/>
          <w:szCs w:val="22"/>
        </w:rPr>
        <w:tab/>
      </w:r>
      <w:r w:rsidRPr="00523A68">
        <w:rPr>
          <w:spacing w:val="-2"/>
          <w:sz w:val="22"/>
          <w:szCs w:val="22"/>
        </w:rPr>
        <w:tab/>
      </w:r>
      <w:r w:rsidRPr="00523A68">
        <w:rPr>
          <w:spacing w:val="-2"/>
          <w:sz w:val="22"/>
          <w:szCs w:val="22"/>
        </w:rPr>
        <w:tab/>
      </w:r>
      <w:r w:rsidRPr="00523A68">
        <w:rPr>
          <w:spacing w:val="-2"/>
          <w:sz w:val="22"/>
          <w:szCs w:val="22"/>
        </w:rPr>
        <w:tab/>
      </w:r>
      <w:r w:rsidRPr="00523A68">
        <w:rPr>
          <w:spacing w:val="-2"/>
          <w:sz w:val="22"/>
          <w:szCs w:val="22"/>
        </w:rPr>
        <w:tab/>
      </w:r>
      <w:r w:rsidR="00523A68" w:rsidRPr="00523A68">
        <w:rPr>
          <w:spacing w:val="-2"/>
          <w:sz w:val="22"/>
          <w:szCs w:val="22"/>
        </w:rPr>
        <w:t>Philadelphia</w:t>
      </w:r>
      <w:r w:rsidR="00716561" w:rsidRPr="00523A68">
        <w:rPr>
          <w:spacing w:val="-2"/>
          <w:sz w:val="22"/>
          <w:szCs w:val="22"/>
        </w:rPr>
        <w:t xml:space="preserve"> </w:t>
      </w:r>
      <w:r w:rsidRPr="00523A68">
        <w:rPr>
          <w:spacing w:val="-2"/>
          <w:sz w:val="22"/>
          <w:szCs w:val="22"/>
        </w:rPr>
        <w:t>Office</w:t>
      </w:r>
    </w:p>
    <w:p w:rsidR="00050854" w:rsidRPr="00523A68" w:rsidRDefault="000A0EEE" w:rsidP="00BF1922">
      <w:pPr>
        <w:widowControl/>
        <w:tabs>
          <w:tab w:val="left" w:pos="0"/>
          <w:tab w:val="num" w:pos="1440"/>
        </w:tabs>
        <w:suppressAutoHyphens/>
        <w:spacing w:line="240" w:lineRule="atLeast"/>
        <w:jc w:val="both"/>
        <w:rPr>
          <w:spacing w:val="-2"/>
          <w:sz w:val="22"/>
          <w:szCs w:val="22"/>
        </w:rPr>
      </w:pPr>
      <w:r w:rsidRPr="00523A68">
        <w:rPr>
          <w:spacing w:val="-2"/>
          <w:sz w:val="22"/>
          <w:szCs w:val="22"/>
        </w:rPr>
        <w:tab/>
      </w:r>
      <w:r w:rsidRPr="00523A68">
        <w:rPr>
          <w:spacing w:val="-2"/>
          <w:sz w:val="22"/>
          <w:szCs w:val="22"/>
        </w:rPr>
        <w:tab/>
      </w:r>
      <w:r w:rsidRPr="00523A68">
        <w:rPr>
          <w:spacing w:val="-2"/>
          <w:sz w:val="22"/>
          <w:szCs w:val="22"/>
        </w:rPr>
        <w:tab/>
      </w:r>
      <w:r w:rsidRPr="00523A68">
        <w:rPr>
          <w:spacing w:val="-2"/>
          <w:sz w:val="22"/>
          <w:szCs w:val="22"/>
        </w:rPr>
        <w:tab/>
      </w:r>
      <w:r w:rsidRPr="00523A68">
        <w:rPr>
          <w:spacing w:val="-2"/>
          <w:sz w:val="22"/>
          <w:szCs w:val="22"/>
        </w:rPr>
        <w:tab/>
      </w:r>
      <w:r w:rsidR="00523A68" w:rsidRPr="00523A68">
        <w:rPr>
          <w:spacing w:val="-2"/>
          <w:sz w:val="22"/>
          <w:szCs w:val="22"/>
        </w:rPr>
        <w:t>Northeast</w:t>
      </w:r>
      <w:r w:rsidR="00EB57F9" w:rsidRPr="00523A68">
        <w:rPr>
          <w:spacing w:val="-2"/>
          <w:sz w:val="22"/>
          <w:szCs w:val="22"/>
        </w:rPr>
        <w:t xml:space="preserve"> </w:t>
      </w:r>
      <w:r w:rsidR="00050854" w:rsidRPr="00523A68">
        <w:rPr>
          <w:spacing w:val="-2"/>
          <w:sz w:val="22"/>
          <w:szCs w:val="22"/>
        </w:rPr>
        <w:t>Region</w:t>
      </w:r>
    </w:p>
    <w:p w:rsidR="009F6C24" w:rsidRPr="00FC66E3" w:rsidRDefault="00050854" w:rsidP="00FC66E3">
      <w:pPr>
        <w:widowControl/>
        <w:tabs>
          <w:tab w:val="left" w:pos="0"/>
          <w:tab w:val="num" w:pos="1440"/>
        </w:tabs>
        <w:suppressAutoHyphens/>
        <w:spacing w:line="240" w:lineRule="atLeast"/>
        <w:jc w:val="both"/>
        <w:rPr>
          <w:spacing w:val="-2"/>
          <w:sz w:val="22"/>
        </w:rPr>
      </w:pPr>
      <w:r>
        <w:rPr>
          <w:spacing w:val="-2"/>
          <w:sz w:val="22"/>
          <w:szCs w:val="22"/>
        </w:rPr>
        <w:tab/>
      </w:r>
      <w:r>
        <w:rPr>
          <w:spacing w:val="-2"/>
          <w:sz w:val="22"/>
          <w:szCs w:val="22"/>
        </w:rPr>
        <w:tab/>
      </w:r>
      <w:r>
        <w:rPr>
          <w:spacing w:val="-2"/>
          <w:sz w:val="22"/>
          <w:szCs w:val="22"/>
        </w:rPr>
        <w:tab/>
      </w:r>
      <w:r>
        <w:rPr>
          <w:spacing w:val="-2"/>
          <w:sz w:val="22"/>
          <w:szCs w:val="22"/>
        </w:rPr>
        <w:tab/>
      </w:r>
      <w:r>
        <w:rPr>
          <w:spacing w:val="-2"/>
          <w:sz w:val="22"/>
          <w:szCs w:val="22"/>
        </w:rPr>
        <w:tab/>
        <w:t>Enforcement Bureau</w:t>
      </w:r>
    </w:p>
    <w:sectPr w:rsidR="009F6C24" w:rsidRPr="00FC66E3" w:rsidSect="0039241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008" w:left="1440" w:header="1008"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E96" w:rsidRDefault="00520E96">
      <w:r>
        <w:separator/>
      </w:r>
    </w:p>
  </w:endnote>
  <w:endnote w:type="continuationSeparator" w:id="0">
    <w:p w:rsidR="00520E96" w:rsidRDefault="00520E96">
      <w:r>
        <w:continuationSeparator/>
      </w:r>
    </w:p>
  </w:endnote>
  <w:endnote w:type="continuationNotice" w:id="1">
    <w:p w:rsidR="00520E96" w:rsidRDefault="00520E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EF" w:rsidRDefault="003013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E2" w:rsidRDefault="00232AE2">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4E13C1">
      <w:rPr>
        <w:rStyle w:val="PageNumber"/>
        <w:noProof/>
      </w:rPr>
      <w:t>2</w:t>
    </w:r>
    <w:r>
      <w:rPr>
        <w:rStyle w:val="PageNumber"/>
      </w:rPr>
      <w:fldChar w:fldCharType="end"/>
    </w:r>
  </w:p>
  <w:p w:rsidR="00232AE2" w:rsidRPr="004110FC" w:rsidRDefault="00232AE2" w:rsidP="004110FC">
    <w:pPr>
      <w:pStyle w:val="Header"/>
      <w:tabs>
        <w:tab w:val="clear" w:pos="4320"/>
        <w:tab w:val="clear" w:pos="8640"/>
        <w:tab w:val="center" w:pos="4680"/>
        <w:tab w:val="right" w:pos="9360"/>
      </w:tabs>
      <w:rPr>
        <w:b/>
      </w:rPr>
    </w:pPr>
  </w:p>
  <w:p w:rsidR="00232AE2" w:rsidRDefault="00232AE2" w:rsidP="006C72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E2" w:rsidRPr="004110FC" w:rsidRDefault="00232AE2" w:rsidP="004110FC">
    <w:pPr>
      <w:pStyle w:val="Header"/>
      <w:tabs>
        <w:tab w:val="clear" w:pos="4320"/>
        <w:tab w:val="clear" w:pos="8640"/>
        <w:tab w:val="center" w:pos="4680"/>
        <w:tab w:val="right" w:pos="9360"/>
      </w:tabs>
      <w:rPr>
        <w:b/>
      </w:rPr>
    </w:pPr>
  </w:p>
  <w:p w:rsidR="00232AE2" w:rsidRDefault="00232A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E96" w:rsidRDefault="00520E96">
      <w:r>
        <w:separator/>
      </w:r>
    </w:p>
  </w:footnote>
  <w:footnote w:type="continuationSeparator" w:id="0">
    <w:p w:rsidR="00520E96" w:rsidRDefault="00520E96">
      <w:r>
        <w:separator/>
      </w:r>
    </w:p>
    <w:p w:rsidR="00520E96" w:rsidRDefault="00520E96">
      <w:r>
        <w:t>(...continued from previous page)</w:t>
      </w:r>
    </w:p>
  </w:footnote>
  <w:footnote w:type="continuationNotice" w:id="1">
    <w:p w:rsidR="00520E96" w:rsidRDefault="00520E96">
      <w:pPr>
        <w:jc w:val="right"/>
      </w:pPr>
      <w:r>
        <w:t>(continued....)</w:t>
      </w:r>
    </w:p>
  </w:footnote>
  <w:footnote w:id="2">
    <w:p w:rsidR="00C02779" w:rsidRDefault="00C02779" w:rsidP="003E6E55">
      <w:pPr>
        <w:pStyle w:val="FootnoteText"/>
        <w:jc w:val="left"/>
      </w:pPr>
      <w:r>
        <w:rPr>
          <w:rStyle w:val="FootnoteReference"/>
        </w:rPr>
        <w:footnoteRef/>
      </w:r>
      <w:r>
        <w:t xml:space="preserve"> 47 U.S.C. § 301.</w:t>
      </w:r>
    </w:p>
  </w:footnote>
  <w:footnote w:id="3">
    <w:p w:rsidR="00232AE2" w:rsidRPr="00DE4F4C" w:rsidRDefault="00232AE2" w:rsidP="003E6E55">
      <w:pPr>
        <w:pStyle w:val="FootnoteText"/>
        <w:jc w:val="left"/>
      </w:pPr>
      <w:r>
        <w:rPr>
          <w:rStyle w:val="FootnoteReference"/>
        </w:rPr>
        <w:footnoteRef/>
      </w:r>
      <w:r>
        <w:t xml:space="preserve"> 47 C.F.</w:t>
      </w:r>
      <w:r w:rsidRPr="00DE4F4C">
        <w:t>R. § 1.903(a).</w:t>
      </w:r>
    </w:p>
  </w:footnote>
  <w:footnote w:id="4">
    <w:p w:rsidR="00232AE2" w:rsidRPr="00CA1CA0" w:rsidRDefault="00232AE2" w:rsidP="00FC66E3">
      <w:pPr>
        <w:pStyle w:val="FootnoteText"/>
        <w:jc w:val="left"/>
      </w:pPr>
      <w:r>
        <w:rPr>
          <w:rStyle w:val="FootnoteReference"/>
        </w:rPr>
        <w:footnoteRef/>
      </w:r>
      <w:r>
        <w:t xml:space="preserve"> </w:t>
      </w:r>
      <w:r w:rsidRPr="00CA1CA0">
        <w:rPr>
          <w:spacing w:val="-2"/>
        </w:rPr>
        <w:t xml:space="preserve">The antenna for the STL </w:t>
      </w:r>
      <w:r w:rsidR="005137F8">
        <w:rPr>
          <w:spacing w:val="-2"/>
        </w:rPr>
        <w:t xml:space="preserve">Station </w:t>
      </w:r>
      <w:r w:rsidRPr="00CA1CA0">
        <w:rPr>
          <w:spacing w:val="-2"/>
        </w:rPr>
        <w:t>was located on the rooftop of the building adjacent to the main studio at the coordinates 42-49-31.92 North Latitude / 078-45-16.55 West Longitude.</w:t>
      </w:r>
    </w:p>
  </w:footnote>
  <w:footnote w:id="5">
    <w:p w:rsidR="005137F8" w:rsidRDefault="005137F8" w:rsidP="003E6E55">
      <w:pPr>
        <w:pStyle w:val="FootnoteText"/>
        <w:widowControl/>
        <w:jc w:val="left"/>
      </w:pPr>
      <w:r>
        <w:rPr>
          <w:rStyle w:val="FootnoteReference"/>
        </w:rPr>
        <w:footnoteRef/>
      </w:r>
      <w:r>
        <w:t xml:space="preserve"> STL Station</w:t>
      </w:r>
      <w:r w:rsidRPr="00232AE2">
        <w:t xml:space="preserve"> </w:t>
      </w:r>
      <w:r w:rsidR="007E0B9D">
        <w:t xml:space="preserve">WHB714 </w:t>
      </w:r>
      <w:r w:rsidRPr="00232AE2">
        <w:t xml:space="preserve">is authorized for operation </w:t>
      </w:r>
      <w:r w:rsidRPr="00232AE2">
        <w:rPr>
          <w:spacing w:val="-2"/>
        </w:rPr>
        <w:t>at the coordinates 43-06-02.1 North Latitude</w:t>
      </w:r>
      <w:r>
        <w:rPr>
          <w:spacing w:val="-2"/>
        </w:rPr>
        <w:t xml:space="preserve">, </w:t>
      </w:r>
      <w:r w:rsidRPr="00232AE2">
        <w:rPr>
          <w:spacing w:val="-2"/>
        </w:rPr>
        <w:t>079-03-13.1 West Longitude.</w:t>
      </w:r>
    </w:p>
  </w:footnote>
  <w:footnote w:id="6">
    <w:p w:rsidR="00A112B0" w:rsidRPr="00D26815" w:rsidRDefault="00A112B0" w:rsidP="003E6E55">
      <w:pPr>
        <w:pStyle w:val="FootnoteText"/>
        <w:jc w:val="left"/>
        <w:rPr>
          <w:b/>
        </w:rPr>
      </w:pPr>
      <w:r>
        <w:rPr>
          <w:rStyle w:val="FootnoteReference"/>
        </w:rPr>
        <w:footnoteRef/>
      </w:r>
      <w:r>
        <w:t xml:space="preserve"> </w:t>
      </w:r>
      <w:r w:rsidR="009E6F0C">
        <w:rPr>
          <w:i/>
        </w:rPr>
        <w:t>M.J. Phillips Communications, Inc</w:t>
      </w:r>
      <w:r w:rsidR="009E6F0C">
        <w:t xml:space="preserve">., </w:t>
      </w:r>
      <w:r w:rsidR="009E6F0C" w:rsidRPr="00E619C2">
        <w:t>Notice of Violation</w:t>
      </w:r>
      <w:r w:rsidR="009E6F0C">
        <w:t>, V201332400021 (Enf. Bur. Mar. 25, 2013</w:t>
      </w:r>
      <w:r w:rsidR="009E6F0C" w:rsidRPr="00F5744D">
        <w:t>)</w:t>
      </w:r>
      <w:r w:rsidR="009E6F0C">
        <w:t xml:space="preserve"> (on file in EB-FIELDNER-13-00007256)</w:t>
      </w:r>
      <w:r w:rsidR="006B1DE3">
        <w:t xml:space="preserve"> (First NOV)</w:t>
      </w:r>
      <w:r w:rsidR="009E6F0C" w:rsidRPr="00F5744D">
        <w:t>.</w:t>
      </w:r>
    </w:p>
  </w:footnote>
  <w:footnote w:id="7">
    <w:p w:rsidR="0067128E" w:rsidRDefault="0067128E" w:rsidP="003E6E55">
      <w:pPr>
        <w:pStyle w:val="FootnoteText"/>
        <w:jc w:val="left"/>
      </w:pPr>
      <w:r>
        <w:rPr>
          <w:rStyle w:val="FootnoteReference"/>
        </w:rPr>
        <w:footnoteRef/>
      </w:r>
      <w:r>
        <w:t xml:space="preserve"> Letter from James R. Cooke, Counsel to M.J. Phillips Communications, Inc., to District Director, Philadelphia Office, Northeast Region, Enforcement Bureau (May 2, 2013) (on file in on file in EB-FIELDNER-13-00007256). </w:t>
      </w:r>
    </w:p>
  </w:footnote>
  <w:footnote w:id="8">
    <w:p w:rsidR="00A112B0" w:rsidRPr="0067128E" w:rsidRDefault="00A112B0" w:rsidP="003E6E55">
      <w:pPr>
        <w:pStyle w:val="FootnoteText"/>
        <w:jc w:val="left"/>
      </w:pPr>
      <w:r>
        <w:rPr>
          <w:rStyle w:val="FootnoteReference"/>
        </w:rPr>
        <w:footnoteRef/>
      </w:r>
      <w:r>
        <w:t xml:space="preserve"> </w:t>
      </w:r>
      <w:r w:rsidR="0067128E" w:rsidRPr="0067128E">
        <w:rPr>
          <w:i/>
        </w:rPr>
        <w:t>Id.</w:t>
      </w:r>
    </w:p>
  </w:footnote>
  <w:footnote w:id="9">
    <w:p w:rsidR="00BA3EC6" w:rsidRDefault="00BA3EC6" w:rsidP="003E6E55">
      <w:pPr>
        <w:pStyle w:val="FootnoteText"/>
        <w:jc w:val="left"/>
      </w:pPr>
      <w:r>
        <w:rPr>
          <w:rStyle w:val="FootnoteReference"/>
        </w:rPr>
        <w:footnoteRef/>
      </w:r>
      <w:r>
        <w:t xml:space="preserve"> The agents also confirmed that Station WHB714 was operating on its licensed frequency.</w:t>
      </w:r>
    </w:p>
  </w:footnote>
  <w:footnote w:id="10">
    <w:p w:rsidR="006B1DE3" w:rsidRPr="006B1DE3" w:rsidRDefault="006B1DE3" w:rsidP="003E6E55">
      <w:pPr>
        <w:pStyle w:val="FootnoteText"/>
        <w:jc w:val="left"/>
        <w:rPr>
          <w:i/>
        </w:rPr>
      </w:pPr>
      <w:r>
        <w:rPr>
          <w:rStyle w:val="FootnoteReference"/>
        </w:rPr>
        <w:footnoteRef/>
      </w:r>
      <w:r>
        <w:t xml:space="preserve"> </w:t>
      </w:r>
      <w:r>
        <w:rPr>
          <w:i/>
        </w:rPr>
        <w:t>M.J. Phillips Communications, Inc</w:t>
      </w:r>
      <w:r>
        <w:t xml:space="preserve">., </w:t>
      </w:r>
      <w:r w:rsidRPr="00E619C2">
        <w:t>Notice of Violation</w:t>
      </w:r>
      <w:r>
        <w:t>, V201432400005 (Enf. Bur. Nov. 27, 2013) (on file in EB-FIELDNER-13-00011961) (Second NOV).</w:t>
      </w:r>
    </w:p>
  </w:footnote>
  <w:footnote w:id="11">
    <w:p w:rsidR="006B1DE3" w:rsidRDefault="006B1DE3" w:rsidP="003E6E55">
      <w:pPr>
        <w:pStyle w:val="FootnoteText"/>
        <w:jc w:val="left"/>
      </w:pPr>
      <w:r>
        <w:rPr>
          <w:rStyle w:val="FootnoteReference"/>
        </w:rPr>
        <w:footnoteRef/>
      </w:r>
      <w:r>
        <w:t xml:space="preserve"> Letter from James R. Cooke, Counsel to M.J. Phillips Communications, Inc., to District Director, Philadelphia Office, Northeast Region, Enforcement Bureau (Jan. 3, 2014) (on file in EB-FIELDNER-13-00011961).</w:t>
      </w:r>
    </w:p>
  </w:footnote>
  <w:footnote w:id="12">
    <w:p w:rsidR="00232AE2" w:rsidRDefault="00232AE2" w:rsidP="00FC66E3">
      <w:pPr>
        <w:pStyle w:val="FootnoteText"/>
        <w:jc w:val="left"/>
      </w:pPr>
      <w:r>
        <w:rPr>
          <w:rStyle w:val="FootnoteReference"/>
        </w:rPr>
        <w:footnoteRef/>
      </w:r>
      <w:r>
        <w:t xml:space="preserve"> 47 U.S.C. § 503(b).</w:t>
      </w:r>
    </w:p>
  </w:footnote>
  <w:footnote w:id="13">
    <w:p w:rsidR="00232AE2" w:rsidRDefault="00232AE2" w:rsidP="00FC66E3">
      <w:pPr>
        <w:pStyle w:val="FootnoteText"/>
        <w:widowControl/>
        <w:jc w:val="left"/>
      </w:pPr>
      <w:r>
        <w:rPr>
          <w:rStyle w:val="FootnoteReference"/>
        </w:rPr>
        <w:footnoteRef/>
      </w:r>
      <w:r>
        <w:t xml:space="preserve"> 47 U.S.C. § 312(f)(1).</w:t>
      </w:r>
    </w:p>
  </w:footnote>
  <w:footnote w:id="14">
    <w:p w:rsidR="00232AE2" w:rsidRDefault="00232AE2" w:rsidP="00FC66E3">
      <w:pPr>
        <w:pStyle w:val="FootnoteText"/>
        <w:widowControl/>
        <w:jc w:val="left"/>
      </w:pPr>
      <w:r>
        <w:rPr>
          <w:rStyle w:val="FootnoteReference"/>
        </w:rPr>
        <w:footnoteRef/>
      </w:r>
      <w:r>
        <w:t xml:space="preserve"> </w:t>
      </w:r>
      <w:r w:rsidRPr="00811CB2">
        <w:t>H.R. Rep. No. 97-765, 97</w:t>
      </w:r>
      <w:r w:rsidRPr="00811CB2">
        <w:rPr>
          <w:vertAlign w:val="superscript"/>
        </w:rPr>
        <w:t>th</w:t>
      </w:r>
      <w:r w:rsidRPr="00811CB2">
        <w:t xml:space="preserve"> Cong. 2d Sess. 51 (1982) (“</w:t>
      </w:r>
      <w:r w:rsidRPr="00811CB2">
        <w:rPr>
          <w:rStyle w:val="documentbody"/>
        </w:rPr>
        <w:t xml:space="preserve">This provision [inserted in Section 312] defines the terms ‘willful’ and ‘repeated’ for purposes of section </w:t>
      </w:r>
      <w:r w:rsidRPr="00811CB2">
        <w:rPr>
          <w:rStyle w:val="searchterm"/>
        </w:rPr>
        <w:t>312</w:t>
      </w:r>
      <w:r w:rsidRPr="00811CB2">
        <w:rPr>
          <w:rStyle w:val="documentbody"/>
        </w:rPr>
        <w:t>, and for any other relevant section of the act (e.g., Section 503)</w:t>
      </w:r>
      <w:r>
        <w:rPr>
          <w:rStyle w:val="documentbody"/>
        </w:rPr>
        <w:t xml:space="preserve">   . . . .</w:t>
      </w:r>
      <w:r w:rsidRPr="00811CB2">
        <w:rPr>
          <w:rStyle w:val="documentbody"/>
        </w:rPr>
        <w:t xml:space="preserve">  As defined</w:t>
      </w:r>
      <w:r>
        <w:rPr>
          <w:rStyle w:val="documentbody"/>
        </w:rPr>
        <w:t xml:space="preserve">[,] . . . </w:t>
      </w:r>
      <w:r w:rsidRPr="00811CB2">
        <w:rPr>
          <w:rStyle w:val="documentbody"/>
        </w:rPr>
        <w:t xml:space="preserve">‘willful’ means that the licensee knew that he was doing the act in question, regardless of whether there was an intent to violate the law.  ‘Repeated’ means more than once, or where the act is continuous, for more than one day. </w:t>
      </w:r>
      <w:r>
        <w:rPr>
          <w:rStyle w:val="documentbody"/>
        </w:rPr>
        <w:t xml:space="preserve"> </w:t>
      </w:r>
      <w:r w:rsidRPr="00811CB2">
        <w:rPr>
          <w:rStyle w:val="documentbody"/>
        </w:rPr>
        <w:t xml:space="preserve">Whether an act is considered to be ‘continuous’ would depend upon the circumstances in each case. </w:t>
      </w:r>
      <w:r>
        <w:rPr>
          <w:rStyle w:val="documentbody"/>
        </w:rPr>
        <w:t xml:space="preserve"> </w:t>
      </w:r>
      <w:r w:rsidRPr="00811CB2">
        <w:rPr>
          <w:rStyle w:val="documentbody"/>
        </w:rPr>
        <w:t xml:space="preserve">The definitions are intended primarily to clarify the language in Sections </w:t>
      </w:r>
      <w:r w:rsidRPr="00811CB2">
        <w:rPr>
          <w:rStyle w:val="searchterm"/>
        </w:rPr>
        <w:t>312</w:t>
      </w:r>
      <w:r w:rsidRPr="00811CB2">
        <w:rPr>
          <w:rStyle w:val="documentbody"/>
        </w:rPr>
        <w:t xml:space="preserve"> and 503, and are consistent with the Commission’s application of those terms</w:t>
      </w:r>
      <w:r>
        <w:rPr>
          <w:rStyle w:val="documentbody"/>
        </w:rPr>
        <w:t xml:space="preserve"> . . . .</w:t>
      </w:r>
      <w:r w:rsidRPr="00811CB2">
        <w:rPr>
          <w:rStyle w:val="documentbody"/>
        </w:rPr>
        <w:t>”).</w:t>
      </w:r>
    </w:p>
  </w:footnote>
  <w:footnote w:id="15">
    <w:p w:rsidR="00232AE2" w:rsidRPr="00371652" w:rsidRDefault="00232AE2" w:rsidP="003E6E55">
      <w:pPr>
        <w:pStyle w:val="FootnoteText"/>
        <w:jc w:val="left"/>
      </w:pPr>
      <w:r>
        <w:rPr>
          <w:rStyle w:val="FootnoteReference"/>
        </w:rPr>
        <w:footnoteRef/>
      </w:r>
      <w:r>
        <w:t xml:space="preserve"> </w:t>
      </w:r>
      <w:r w:rsidR="001E696E">
        <w:rPr>
          <w:i/>
        </w:rPr>
        <w:t>See, e.g.</w:t>
      </w:r>
      <w:r w:rsidR="001E696E" w:rsidRPr="00FC66E3">
        <w:t>,</w:t>
      </w:r>
      <w:r>
        <w:rPr>
          <w:i/>
        </w:rPr>
        <w:t xml:space="preserve"> Southern California Broadcasting Co.</w:t>
      </w:r>
      <w:r>
        <w:t>, Memorandum Opinion and Order, 6 FCC Rcd 4387, 4388</w:t>
      </w:r>
      <w:r w:rsidR="001E696E">
        <w:t>, para. 5</w:t>
      </w:r>
      <w:r>
        <w:t xml:space="preserve"> (1991), </w:t>
      </w:r>
      <w:r w:rsidR="001E696E">
        <w:rPr>
          <w:i/>
        </w:rPr>
        <w:t>recons. denied</w:t>
      </w:r>
      <w:r w:rsidR="001E696E" w:rsidRPr="00FC66E3">
        <w:t>,</w:t>
      </w:r>
      <w:r>
        <w:rPr>
          <w:i/>
        </w:rPr>
        <w:t xml:space="preserve"> </w:t>
      </w:r>
      <w:r>
        <w:t>7 FCC Rcd 3454 (1992)</w:t>
      </w:r>
      <w:r w:rsidR="00371652">
        <w:t xml:space="preserve"> (</w:t>
      </w:r>
      <w:r w:rsidR="00371652" w:rsidRPr="00371652">
        <w:rPr>
          <w:i/>
        </w:rPr>
        <w:t>S</w:t>
      </w:r>
      <w:r w:rsidRPr="00371652">
        <w:rPr>
          <w:i/>
        </w:rPr>
        <w:t>.</w:t>
      </w:r>
      <w:r w:rsidR="00371652" w:rsidRPr="00371652">
        <w:rPr>
          <w:i/>
        </w:rPr>
        <w:t xml:space="preserve"> Cal. Broad.</w:t>
      </w:r>
      <w:r w:rsidR="00371652">
        <w:t>)</w:t>
      </w:r>
    </w:p>
  </w:footnote>
  <w:footnote w:id="16">
    <w:p w:rsidR="00232AE2" w:rsidRDefault="00232AE2" w:rsidP="003E6E55">
      <w:pPr>
        <w:pStyle w:val="FootnoteText"/>
        <w:jc w:val="left"/>
      </w:pPr>
      <w:r>
        <w:rPr>
          <w:rStyle w:val="FootnoteReference"/>
        </w:rPr>
        <w:footnoteRef/>
      </w:r>
      <w:r>
        <w:t xml:space="preserve"> </w:t>
      </w:r>
      <w:r w:rsidR="001E696E" w:rsidRPr="006162C2">
        <w:rPr>
          <w:i/>
        </w:rPr>
        <w:t>See, e.g.</w:t>
      </w:r>
      <w:r w:rsidR="001E696E" w:rsidRPr="00FC66E3">
        <w:t>,</w:t>
      </w:r>
      <w:r w:rsidR="001E696E" w:rsidRPr="006162C2">
        <w:t xml:space="preserve"> </w:t>
      </w:r>
      <w:r w:rsidR="001E696E" w:rsidRPr="006162C2">
        <w:rPr>
          <w:i/>
        </w:rPr>
        <w:t>Callais Cablevision, Inc.</w:t>
      </w:r>
      <w:r w:rsidR="001E696E" w:rsidRPr="006162C2">
        <w:t>, Notice of Apparent Liability for Monetary Forfeiture, 16 FCC Rcd 1359, 1362, para. 10 (2001) (</w:t>
      </w:r>
      <w:r w:rsidR="001E696E" w:rsidRPr="006162C2">
        <w:rPr>
          <w:i/>
        </w:rPr>
        <w:t>Callais Cablevision, Inc.</w:t>
      </w:r>
      <w:r w:rsidR="001E696E" w:rsidRPr="006162C2">
        <w:t xml:space="preserve">) (proposing a forfeiture for, </w:t>
      </w:r>
      <w:r w:rsidR="001E696E" w:rsidRPr="006162C2">
        <w:rPr>
          <w:i/>
        </w:rPr>
        <w:t>inter alia</w:t>
      </w:r>
      <w:r w:rsidR="001E696E" w:rsidRPr="006162C2">
        <w:t>, a cable television operator’s repeated signal leakage).</w:t>
      </w:r>
    </w:p>
  </w:footnote>
  <w:footnote w:id="17">
    <w:p w:rsidR="00232AE2" w:rsidRDefault="00232AE2" w:rsidP="003E6E55">
      <w:pPr>
        <w:pStyle w:val="FootnoteText"/>
        <w:jc w:val="left"/>
      </w:pPr>
      <w:r>
        <w:rPr>
          <w:rStyle w:val="FootnoteReference"/>
        </w:rPr>
        <w:footnoteRef/>
      </w:r>
      <w:r>
        <w:t xml:space="preserve"> </w:t>
      </w:r>
      <w:r w:rsidR="001E696E" w:rsidRPr="006162C2">
        <w:t xml:space="preserve">Section 312(f)(2) of the Act, 47 U.S.C. § 312(f)(2), which also applies to violations for which forfeitures are assessed under Section 503(b) of the </w:t>
      </w:r>
      <w:r w:rsidR="001E696E">
        <w:t>Act, provides that “[t]he term ‘repeated’</w:t>
      </w:r>
      <w:r w:rsidR="001E696E" w:rsidRPr="006162C2">
        <w:t xml:space="preserve">, when used with reference to the commission or omission of any act, means the commission or omission of such act more than once or, if such commission or omission is continuous, for more than one day.”  </w:t>
      </w:r>
      <w:r w:rsidR="001E696E" w:rsidRPr="006162C2">
        <w:rPr>
          <w:i/>
        </w:rPr>
        <w:t>See Callais Cablevision, Inc.</w:t>
      </w:r>
      <w:r w:rsidR="001E696E" w:rsidRPr="006162C2">
        <w:t>, 16 FCC Rcd</w:t>
      </w:r>
      <w:r w:rsidR="001E696E" w:rsidRPr="006162C2">
        <w:rPr>
          <w:i/>
        </w:rPr>
        <w:t xml:space="preserve"> </w:t>
      </w:r>
      <w:r w:rsidR="001E696E" w:rsidRPr="006162C2">
        <w:t>at 1362</w:t>
      </w:r>
      <w:r w:rsidR="001E696E">
        <w:t>, para. 9</w:t>
      </w:r>
      <w:r w:rsidR="001E696E" w:rsidRPr="006162C2">
        <w:t>.</w:t>
      </w:r>
    </w:p>
  </w:footnote>
  <w:footnote w:id="18">
    <w:p w:rsidR="00A112B0" w:rsidRDefault="00A112B0" w:rsidP="003E6E55">
      <w:pPr>
        <w:pStyle w:val="FootnoteText"/>
        <w:jc w:val="left"/>
      </w:pPr>
      <w:r>
        <w:rPr>
          <w:rStyle w:val="FootnoteReference"/>
        </w:rPr>
        <w:footnoteRef/>
      </w:r>
      <w:r>
        <w:t xml:space="preserve"> 47 U.S.C. § 301.</w:t>
      </w:r>
    </w:p>
  </w:footnote>
  <w:footnote w:id="19">
    <w:p w:rsidR="00A112B0" w:rsidRDefault="00A112B0" w:rsidP="003E6E55">
      <w:pPr>
        <w:pStyle w:val="FootnoteText"/>
        <w:jc w:val="left"/>
      </w:pPr>
      <w:r>
        <w:rPr>
          <w:rStyle w:val="FootnoteReference"/>
        </w:rPr>
        <w:footnoteRef/>
      </w:r>
      <w:r>
        <w:t xml:space="preserve"> 47 C.F.R. § 1.903</w:t>
      </w:r>
      <w:r w:rsidR="001E696E">
        <w:t>(a)</w:t>
      </w:r>
      <w:r>
        <w:t>.</w:t>
      </w:r>
    </w:p>
  </w:footnote>
  <w:footnote w:id="20">
    <w:p w:rsidR="00232AE2" w:rsidRDefault="00232AE2" w:rsidP="003E6E55">
      <w:pPr>
        <w:pStyle w:val="FootnoteText"/>
        <w:jc w:val="left"/>
      </w:pPr>
      <w:r>
        <w:rPr>
          <w:rStyle w:val="FootnoteReference"/>
        </w:rPr>
        <w:footnoteRef/>
      </w:r>
      <w:r>
        <w:t xml:space="preserve"> </w:t>
      </w:r>
      <w:r w:rsidRPr="00BB68C5">
        <w:rPr>
          <w:i/>
        </w:rPr>
        <w:t>The Commission’s Forfeiture Policy Statement and Amendment of Section 1.80 of the Rules to Incorporate the Forfeiture Guidelines</w:t>
      </w:r>
      <w:r>
        <w:t xml:space="preserve">, Report and Order, 12 FCC Rcd 17087 (1997) </w:t>
      </w:r>
      <w:r w:rsidRPr="006C72D8">
        <w:t>(</w:t>
      </w:r>
      <w:r w:rsidRPr="00BB68C5">
        <w:rPr>
          <w:i/>
        </w:rPr>
        <w:t>Forfeiture Policy Statement</w:t>
      </w:r>
      <w:r w:rsidRPr="00BB68C5">
        <w:t>)</w:t>
      </w:r>
      <w:r>
        <w:t xml:space="preserve">, </w:t>
      </w:r>
      <w:r>
        <w:rPr>
          <w:i/>
        </w:rPr>
        <w:t>recons. denied</w:t>
      </w:r>
      <w:r>
        <w:t>, 15 FCC Rcd 303 (1999); 47 C.F.R. § 1.80.</w:t>
      </w:r>
    </w:p>
  </w:footnote>
  <w:footnote w:id="21">
    <w:p w:rsidR="00232AE2" w:rsidRDefault="00232AE2" w:rsidP="003E6E55">
      <w:pPr>
        <w:pStyle w:val="FootnoteText"/>
        <w:jc w:val="left"/>
      </w:pPr>
      <w:r>
        <w:rPr>
          <w:rStyle w:val="FootnoteReference"/>
        </w:rPr>
        <w:footnoteRef/>
      </w:r>
      <w:r>
        <w:t xml:space="preserve"> 47 U.S.C. § 503(b)(2)(E).</w:t>
      </w:r>
    </w:p>
  </w:footnote>
  <w:footnote w:id="22">
    <w:p w:rsidR="0065506E" w:rsidRPr="0065506E" w:rsidRDefault="0065506E" w:rsidP="003E6E55">
      <w:pPr>
        <w:pStyle w:val="FootnoteText"/>
        <w:jc w:val="left"/>
      </w:pPr>
      <w:r>
        <w:rPr>
          <w:rStyle w:val="FootnoteReference"/>
        </w:rPr>
        <w:footnoteRef/>
      </w:r>
      <w:r>
        <w:t xml:space="preserve"> </w:t>
      </w:r>
      <w:r>
        <w:rPr>
          <w:i/>
        </w:rPr>
        <w:t xml:space="preserve">See supra </w:t>
      </w:r>
      <w:r>
        <w:t>para. 4.</w:t>
      </w:r>
    </w:p>
  </w:footnote>
  <w:footnote w:id="23">
    <w:p w:rsidR="0065506E" w:rsidRPr="00371652" w:rsidRDefault="0065506E" w:rsidP="003E6E55">
      <w:pPr>
        <w:pStyle w:val="FootnoteText"/>
        <w:jc w:val="left"/>
      </w:pPr>
      <w:r>
        <w:rPr>
          <w:rStyle w:val="FootnoteReference"/>
        </w:rPr>
        <w:footnoteRef/>
      </w:r>
      <w:r>
        <w:t xml:space="preserve"> </w:t>
      </w:r>
      <w:r w:rsidR="00371652">
        <w:rPr>
          <w:i/>
        </w:rPr>
        <w:t>See, e.g.</w:t>
      </w:r>
      <w:r w:rsidR="00371652">
        <w:t>,</w:t>
      </w:r>
      <w:r w:rsidR="00371652">
        <w:rPr>
          <w:i/>
        </w:rPr>
        <w:t xml:space="preserve"> </w:t>
      </w:r>
      <w:r w:rsidR="00371652" w:rsidRPr="00371652">
        <w:rPr>
          <w:i/>
        </w:rPr>
        <w:t>S. Cal. Broad</w:t>
      </w:r>
      <w:r w:rsidR="00371652">
        <w:rPr>
          <w:i/>
        </w:rPr>
        <w:t>.</w:t>
      </w:r>
      <w:r w:rsidR="00371652">
        <w:t>, 6 FCC Rcd at 4387, para. 3</w:t>
      </w:r>
      <w:r w:rsidR="00371652">
        <w:rPr>
          <w:rStyle w:val="apple-converted-space"/>
          <w:color w:val="000000"/>
          <w:shd w:val="clear" w:color="auto" w:fill="FFFFFF"/>
        </w:rPr>
        <w:t xml:space="preserve"> </w:t>
      </w:r>
      <w:r w:rsidR="00371652">
        <w:rPr>
          <w:color w:val="000000"/>
          <w:shd w:val="clear" w:color="auto" w:fill="FFFFFF"/>
        </w:rPr>
        <w:t xml:space="preserve">(“‘[I]nadvertence’ . . . </w:t>
      </w:r>
      <w:r w:rsidR="00371652" w:rsidRPr="00C85716">
        <w:rPr>
          <w:color w:val="000000"/>
          <w:shd w:val="clear" w:color="auto" w:fill="FFFFFF"/>
        </w:rPr>
        <w:t>is at best,</w:t>
      </w:r>
      <w:r w:rsidR="00371652" w:rsidRPr="00C85716">
        <w:rPr>
          <w:rStyle w:val="apple-converted-space"/>
          <w:color w:val="000000"/>
          <w:shd w:val="clear" w:color="auto" w:fill="FFFFFF"/>
        </w:rPr>
        <w:t> </w:t>
      </w:r>
      <w:bookmarkStart w:id="1" w:name="SR;3880"/>
      <w:bookmarkEnd w:id="1"/>
      <w:r w:rsidR="00371652">
        <w:rPr>
          <w:rStyle w:val="apple-converted-space"/>
          <w:color w:val="000000"/>
          <w:shd w:val="clear" w:color="auto" w:fill="FFFFFF"/>
        </w:rPr>
        <w:t>ignorance</w:t>
      </w:r>
      <w:r w:rsidR="00371652" w:rsidRPr="00C85716">
        <w:rPr>
          <w:rStyle w:val="apple-converted-space"/>
          <w:color w:val="000000"/>
          <w:shd w:val="clear" w:color="auto" w:fill="FFFFFF"/>
        </w:rPr>
        <w:t> </w:t>
      </w:r>
      <w:r w:rsidR="00371652" w:rsidRPr="00C85716">
        <w:rPr>
          <w:color w:val="000000"/>
          <w:shd w:val="clear" w:color="auto" w:fill="FFFFFF"/>
        </w:rPr>
        <w:t>of the</w:t>
      </w:r>
      <w:r w:rsidR="00371652" w:rsidRPr="00C85716">
        <w:rPr>
          <w:rStyle w:val="apple-converted-space"/>
          <w:color w:val="000000"/>
          <w:shd w:val="clear" w:color="auto" w:fill="FFFFFF"/>
        </w:rPr>
        <w:t> </w:t>
      </w:r>
      <w:bookmarkStart w:id="2" w:name="SR;3883"/>
      <w:bookmarkEnd w:id="2"/>
      <w:r w:rsidR="00371652">
        <w:rPr>
          <w:rStyle w:val="apple-converted-space"/>
          <w:color w:val="000000"/>
          <w:shd w:val="clear" w:color="auto" w:fill="FFFFFF"/>
        </w:rPr>
        <w:t>law</w:t>
      </w:r>
      <w:r w:rsidR="00371652" w:rsidRPr="00B927D9">
        <w:rPr>
          <w:color w:val="000000"/>
          <w:shd w:val="clear" w:color="auto" w:fill="FFFFFF"/>
        </w:rPr>
        <w:t>, which the Commission does not consider a mitigating circumstance”)</w:t>
      </w:r>
      <w:r w:rsidR="00371652">
        <w:rPr>
          <w:color w:val="000000"/>
          <w:shd w:val="clear" w:color="auto" w:fill="FFFFFF"/>
        </w:rPr>
        <w:t xml:space="preserve">; </w:t>
      </w:r>
      <w:r w:rsidR="00371652" w:rsidRPr="00893736">
        <w:rPr>
          <w:i/>
          <w:iCs/>
          <w:color w:val="000000"/>
          <w:shd w:val="clear" w:color="auto" w:fill="FFFFFF"/>
        </w:rPr>
        <w:t>Emigrant Storage</w:t>
      </w:r>
      <w:r w:rsidR="00371652" w:rsidRPr="00893736">
        <w:rPr>
          <w:color w:val="000000"/>
          <w:shd w:val="clear" w:color="auto" w:fill="FFFFFF"/>
        </w:rPr>
        <w:t xml:space="preserve">, Notice of Apparent Liability for Forfeiture, 27 FCC Rcd </w:t>
      </w:r>
      <w:r w:rsidR="00371652">
        <w:rPr>
          <w:color w:val="000000"/>
          <w:shd w:val="clear" w:color="auto" w:fill="FFFFFF"/>
        </w:rPr>
        <w:t xml:space="preserve">8917, 8920, para. 9 </w:t>
      </w:r>
      <w:r w:rsidR="00371652" w:rsidRPr="007C23C5">
        <w:rPr>
          <w:color w:val="000000"/>
          <w:shd w:val="clear" w:color="auto" w:fill="FFFFFF"/>
        </w:rPr>
        <w:t xml:space="preserve">(Enf. Bur. 2012) (declining to downwardly adjust </w:t>
      </w:r>
      <w:r w:rsidR="00371652">
        <w:rPr>
          <w:color w:val="000000"/>
          <w:shd w:val="clear" w:color="auto" w:fill="FFFFFF"/>
        </w:rPr>
        <w:t xml:space="preserve">a forfeiture </w:t>
      </w:r>
      <w:r w:rsidR="00371652" w:rsidRPr="007C23C5">
        <w:rPr>
          <w:color w:val="000000"/>
          <w:shd w:val="clear" w:color="auto" w:fill="FFFFFF"/>
        </w:rPr>
        <w:t>where the violation resulted from oversight and a change in personnel)</w:t>
      </w:r>
      <w:r w:rsidR="00371652">
        <w:rPr>
          <w:color w:val="000000"/>
          <w:shd w:val="clear" w:color="auto" w:fill="FFFFFF"/>
        </w:rPr>
        <w:t>.</w:t>
      </w:r>
    </w:p>
  </w:footnote>
  <w:footnote w:id="24">
    <w:p w:rsidR="00371652" w:rsidRPr="007A19A7" w:rsidRDefault="00371652" w:rsidP="003E6E55">
      <w:pPr>
        <w:pStyle w:val="FootnoteText"/>
        <w:tabs>
          <w:tab w:val="clear" w:pos="720"/>
        </w:tabs>
        <w:jc w:val="left"/>
      </w:pPr>
      <w:r>
        <w:rPr>
          <w:rStyle w:val="FootnoteReference"/>
        </w:rPr>
        <w:footnoteRef/>
      </w:r>
      <w:r>
        <w:t xml:space="preserve"> </w:t>
      </w:r>
      <w:r>
        <w:rPr>
          <w:i/>
        </w:rPr>
        <w:t>See, e.g.</w:t>
      </w:r>
      <w:r>
        <w:t xml:space="preserve">, </w:t>
      </w:r>
      <w:r>
        <w:rPr>
          <w:i/>
        </w:rPr>
        <w:t>Mattoon Broad. Co.</w:t>
      </w:r>
      <w:r>
        <w:t xml:space="preserve">, Forfeiture Order, 29 FCC Rcd 2925 (Enf. Bur. 2014); </w:t>
      </w:r>
      <w:r>
        <w:rPr>
          <w:i/>
        </w:rPr>
        <w:t>Catholic Radio Network of Loveland, Inc.</w:t>
      </w:r>
      <w:r>
        <w:t xml:space="preserve">, Forfeiture Order, 29 FCC Rcd 121 (Enf. Bur. 2014); </w:t>
      </w:r>
      <w:r>
        <w:rPr>
          <w:i/>
        </w:rPr>
        <w:t>Argos Net, Inc.</w:t>
      </w:r>
      <w:r>
        <w:t>, Forfeiture Order, 28 FCC Rcd 1126 (Enf. Bur. 2013).</w:t>
      </w:r>
    </w:p>
  </w:footnote>
  <w:footnote w:id="25">
    <w:p w:rsidR="00197106" w:rsidRPr="0087621C" w:rsidRDefault="00197106" w:rsidP="003E6E55">
      <w:pPr>
        <w:pStyle w:val="FootnoteText"/>
        <w:jc w:val="left"/>
      </w:pPr>
      <w:r>
        <w:rPr>
          <w:rStyle w:val="FootnoteReference"/>
        </w:rPr>
        <w:footnoteRef/>
      </w:r>
      <w:r>
        <w:t xml:space="preserve"> </w:t>
      </w:r>
      <w:r>
        <w:rPr>
          <w:i/>
        </w:rPr>
        <w:t xml:space="preserve">See </w:t>
      </w:r>
      <w:r w:rsidR="0087621C">
        <w:rPr>
          <w:i/>
          <w:color w:val="010101"/>
        </w:rPr>
        <w:t>Brian Crow</w:t>
      </w:r>
      <w:r w:rsidR="0087621C">
        <w:rPr>
          <w:color w:val="010101"/>
        </w:rPr>
        <w:t>, Notice of Apparent Liability for Forfeiture, DA 14-1031 (Enf. Bur. July 22, 2014) (</w:t>
      </w:r>
      <w:r w:rsidR="0087621C">
        <w:t>upwardly adjusted proposed forfei</w:t>
      </w:r>
      <w:r w:rsidR="003E6E55">
        <w:t>ture by 50 percent when individual</w:t>
      </w:r>
      <w:r w:rsidR="0087621C">
        <w:t xml:space="preserve"> continued violations after being warned twice in </w:t>
      </w:r>
      <w:r w:rsidR="0087621C" w:rsidRPr="0087621C">
        <w:t>writing by the Commission</w:t>
      </w:r>
      <w:r w:rsidR="0087621C">
        <w:rPr>
          <w:i/>
        </w:rPr>
        <w:t xml:space="preserve"> </w:t>
      </w:r>
      <w:r w:rsidR="0087621C">
        <w:rPr>
          <w:color w:val="000000"/>
        </w:rPr>
        <w:t>that such action</w:t>
      </w:r>
      <w:r w:rsidR="003E6E55">
        <w:rPr>
          <w:color w:val="000000"/>
        </w:rPr>
        <w:t>s</w:t>
      </w:r>
      <w:r w:rsidR="0087621C">
        <w:rPr>
          <w:color w:val="000000"/>
        </w:rPr>
        <w:t xml:space="preserve"> violated the Act and Rules); </w:t>
      </w:r>
      <w:r>
        <w:rPr>
          <w:i/>
        </w:rPr>
        <w:t>Orloff Haines</w:t>
      </w:r>
      <w:r>
        <w:t xml:space="preserve">, Notice of Apparent Liability for Forfeiture, 29 FCC Rcd 2903 (Enf. Bur. 2014) (upwardly adjusted proposed forfeiture </w:t>
      </w:r>
      <w:r w:rsidR="0087621C">
        <w:t xml:space="preserve">by approximately 70 percent </w:t>
      </w:r>
      <w:r w:rsidR="003E6E55">
        <w:t>when individual</w:t>
      </w:r>
      <w:r>
        <w:t xml:space="preserve"> continued </w:t>
      </w:r>
      <w:r w:rsidR="0087621C">
        <w:t xml:space="preserve">violations </w:t>
      </w:r>
      <w:r>
        <w:t xml:space="preserve">after being warned </w:t>
      </w:r>
      <w:r w:rsidR="0087621C">
        <w:t xml:space="preserve">twice in </w:t>
      </w:r>
      <w:r w:rsidRPr="0087621C">
        <w:t xml:space="preserve">writing </w:t>
      </w:r>
      <w:r w:rsidR="0087621C" w:rsidRPr="0087621C">
        <w:t>by the Commission</w:t>
      </w:r>
      <w:r w:rsidR="0087621C">
        <w:rPr>
          <w:i/>
        </w:rPr>
        <w:t xml:space="preserve"> </w:t>
      </w:r>
      <w:r>
        <w:rPr>
          <w:color w:val="000000"/>
        </w:rPr>
        <w:t>that such action</w:t>
      </w:r>
      <w:r w:rsidR="003E6E55">
        <w:rPr>
          <w:color w:val="000000"/>
        </w:rPr>
        <w:t>s</w:t>
      </w:r>
      <w:r>
        <w:rPr>
          <w:color w:val="000000"/>
        </w:rPr>
        <w:t xml:space="preserve"> violated the Act and Rules); </w:t>
      </w:r>
      <w:r>
        <w:rPr>
          <w:i/>
          <w:color w:val="000000"/>
        </w:rPr>
        <w:t>Carlton Lewis</w:t>
      </w:r>
      <w:r>
        <w:rPr>
          <w:color w:val="000000"/>
        </w:rPr>
        <w:t>, Notice of Apparent Liability for Forfeiture, 28 FCC Rcd 15975 (Enf. Bur. 2014) (</w:t>
      </w:r>
      <w:r w:rsidR="0087621C">
        <w:t>same</w:t>
      </w:r>
      <w:r>
        <w:rPr>
          <w:color w:val="000000"/>
        </w:rPr>
        <w:t>)</w:t>
      </w:r>
      <w:r w:rsidR="0087621C">
        <w:rPr>
          <w:color w:val="000000"/>
        </w:rPr>
        <w:t>.</w:t>
      </w:r>
    </w:p>
  </w:footnote>
  <w:footnote w:id="26">
    <w:p w:rsidR="0087621C" w:rsidRDefault="0087621C" w:rsidP="003E6E55">
      <w:pPr>
        <w:pStyle w:val="FootnoteText"/>
        <w:jc w:val="left"/>
      </w:pPr>
      <w:r>
        <w:rPr>
          <w:rStyle w:val="FootnoteReference"/>
        </w:rPr>
        <w:footnoteRef/>
      </w:r>
      <w:r>
        <w:t xml:space="preserve"> 47 C.F.R. § 1.16.</w:t>
      </w:r>
    </w:p>
  </w:footnote>
  <w:footnote w:id="27">
    <w:p w:rsidR="00232AE2" w:rsidRPr="00C17F42" w:rsidRDefault="00232AE2" w:rsidP="003E6E55">
      <w:pPr>
        <w:pStyle w:val="FootnoteText"/>
        <w:jc w:val="left"/>
      </w:pPr>
      <w:r>
        <w:rPr>
          <w:rStyle w:val="FootnoteReference"/>
        </w:rPr>
        <w:footnoteRef/>
      </w:r>
      <w:r>
        <w:t xml:space="preserve"> 47 U.S.C. §</w:t>
      </w:r>
      <w:r w:rsidR="00AD246B">
        <w:t>§</w:t>
      </w:r>
      <w:r>
        <w:t xml:space="preserve"> </w:t>
      </w:r>
      <w:r w:rsidR="00AD246B">
        <w:t xml:space="preserve">301, </w:t>
      </w:r>
      <w:r>
        <w:t xml:space="preserve">503(b); 47 C.F.R. §§ 0.111, 0.204, 0.311, 0.314, </w:t>
      </w:r>
      <w:r w:rsidRPr="00CE1B0F">
        <w:t>1.80, 1.903(a).</w:t>
      </w:r>
    </w:p>
  </w:footnote>
  <w:footnote w:id="28">
    <w:p w:rsidR="00232AE2" w:rsidRDefault="00232AE2" w:rsidP="003E6E55">
      <w:pPr>
        <w:pStyle w:val="FootnoteText"/>
        <w:jc w:val="left"/>
      </w:pPr>
      <w:r>
        <w:rPr>
          <w:rStyle w:val="FootnoteReference"/>
        </w:rPr>
        <w:footnoteRef/>
      </w:r>
      <w:r>
        <w:t xml:space="preserve"> </w:t>
      </w:r>
      <w:r w:rsidRPr="00626BA2">
        <w:rPr>
          <w:rFonts w:eastAsia="MS Mincho" w:cs="Arial"/>
        </w:rPr>
        <w:t>An FCC Form 159 </w:t>
      </w:r>
      <w:r>
        <w:rPr>
          <w:rFonts w:eastAsia="MS Mincho" w:cs="Arial"/>
        </w:rPr>
        <w:t>and</w:t>
      </w:r>
      <w:r w:rsidRPr="00626BA2">
        <w:rPr>
          <w:rFonts w:eastAsia="MS Mincho" w:cs="Arial"/>
        </w:rPr>
        <w:t> </w:t>
      </w:r>
      <w:r>
        <w:rPr>
          <w:rFonts w:eastAsia="MS Mincho" w:cs="Arial"/>
        </w:rPr>
        <w:t xml:space="preserve">detailed </w:t>
      </w:r>
      <w:r w:rsidRPr="00626BA2">
        <w:rPr>
          <w:rFonts w:eastAsia="MS Mincho" w:cs="Arial"/>
        </w:rPr>
        <w:t>instructions for completing the form may be obtained at http://www.fcc.gov/Forms/Form159/159.pdf.</w:t>
      </w:r>
    </w:p>
  </w:footnote>
  <w:footnote w:id="29">
    <w:p w:rsidR="00232AE2" w:rsidRDefault="00232AE2" w:rsidP="00FC66E3">
      <w:pPr>
        <w:pStyle w:val="FootnoteText"/>
        <w:jc w:val="left"/>
      </w:pPr>
      <w:r>
        <w:rPr>
          <w:rStyle w:val="FootnoteReference"/>
        </w:rPr>
        <w:footnoteRef/>
      </w:r>
      <w:r>
        <w:t xml:space="preserve"> </w:t>
      </w:r>
      <w:r w:rsidRPr="00D70F1F">
        <w:rPr>
          <w:i/>
        </w:rPr>
        <w:t>See</w:t>
      </w:r>
      <w:r>
        <w:t xml:space="preserve"> 47 C.F.R. § 1.1914.</w:t>
      </w:r>
    </w:p>
  </w:footnote>
  <w:footnote w:id="30">
    <w:p w:rsidR="00232AE2" w:rsidRDefault="00232AE2" w:rsidP="00FC66E3">
      <w:pPr>
        <w:pStyle w:val="FootnoteText"/>
        <w:jc w:val="left"/>
      </w:pPr>
      <w:r>
        <w:rPr>
          <w:rStyle w:val="FootnoteReference"/>
        </w:rPr>
        <w:footnoteRef/>
      </w:r>
      <w:r>
        <w:t xml:space="preserve"> 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3EF" w:rsidRDefault="003013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E2" w:rsidRPr="00331410" w:rsidRDefault="00232AE2">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1C21E6">
      <w:rPr>
        <w:b/>
        <w:sz w:val="22"/>
        <w:szCs w:val="22"/>
      </w:rPr>
      <w:t>4</w:t>
    </w:r>
    <w:r>
      <w:rPr>
        <w:b/>
        <w:sz w:val="22"/>
        <w:szCs w:val="22"/>
      </w:rPr>
      <w:t>-</w:t>
    </w:r>
    <w:r w:rsidR="00774183">
      <w:rPr>
        <w:b/>
        <w:sz w:val="22"/>
      </w:rPr>
      <w:t>1236</w:t>
    </w:r>
  </w:p>
  <w:p w:rsidR="00232AE2" w:rsidRDefault="004E13C1">
    <w:pPr>
      <w:pStyle w:val="Header"/>
      <w:tabs>
        <w:tab w:val="clear" w:pos="8640"/>
        <w:tab w:val="right" w:pos="9360"/>
      </w:tabs>
    </w:pPr>
    <w:r>
      <w:rPr>
        <w:noProof/>
      </w:rPr>
      <w:pict>
        <v:line id="_x0000_s2053" style="position:absolute;z-index:251658240" from="0,1.75pt" to="468pt,1.75pt" o:allowincell="f" strokeweight="1.5pt"/>
      </w:pict>
    </w:r>
  </w:p>
  <w:p w:rsidR="00232AE2" w:rsidRDefault="00232A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AE2" w:rsidRPr="00331410" w:rsidRDefault="00232AE2">
    <w:pPr>
      <w:pStyle w:val="Header"/>
      <w:tabs>
        <w:tab w:val="clear" w:pos="4320"/>
        <w:tab w:val="clear" w:pos="8640"/>
        <w:tab w:val="center" w:pos="4680"/>
        <w:tab w:val="right" w:pos="9360"/>
      </w:tabs>
      <w:rPr>
        <w:b/>
        <w:sz w:val="22"/>
        <w:szCs w:val="22"/>
      </w:rPr>
    </w:pPr>
    <w:r>
      <w:rPr>
        <w:b/>
      </w:rPr>
      <w:tab/>
    </w:r>
    <w:r w:rsidRPr="00331410">
      <w:rPr>
        <w:b/>
        <w:sz w:val="22"/>
        <w:szCs w:val="22"/>
      </w:rPr>
      <w:t>Federal Communications Commission</w:t>
    </w:r>
    <w:r w:rsidRPr="00331410">
      <w:rPr>
        <w:b/>
        <w:sz w:val="22"/>
        <w:szCs w:val="22"/>
      </w:rPr>
      <w:tab/>
    </w:r>
    <w:r>
      <w:rPr>
        <w:b/>
        <w:sz w:val="22"/>
        <w:szCs w:val="22"/>
      </w:rPr>
      <w:t>DA 1</w:t>
    </w:r>
    <w:r w:rsidR="001C21E6">
      <w:rPr>
        <w:b/>
        <w:sz w:val="22"/>
        <w:szCs w:val="22"/>
      </w:rPr>
      <w:t>4</w:t>
    </w:r>
    <w:r>
      <w:rPr>
        <w:b/>
        <w:sz w:val="22"/>
        <w:szCs w:val="22"/>
      </w:rPr>
      <w:t>-</w:t>
    </w:r>
    <w:r w:rsidR="00774183">
      <w:rPr>
        <w:b/>
        <w:sz w:val="22"/>
      </w:rPr>
      <w:t>1236</w:t>
    </w:r>
  </w:p>
  <w:p w:rsidR="00232AE2" w:rsidRDefault="004E13C1">
    <w:pPr>
      <w:pStyle w:val="Header"/>
      <w:tabs>
        <w:tab w:val="clear" w:pos="8640"/>
        <w:tab w:val="right" w:pos="9360"/>
      </w:tabs>
    </w:pPr>
    <w:r>
      <w:rPr>
        <w:noProof/>
      </w:rPr>
      <w:pict>
        <v:line id="_x0000_s2052" style="position:absolute;z-index:251657216" from="0,1.75pt" to="468pt,1.75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4F76BB7"/>
    <w:multiLevelType w:val="hybridMultilevel"/>
    <w:tmpl w:val="27C65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4">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1">
    <w:nsid w:val="381073ED"/>
    <w:multiLevelType w:val="hybridMultilevel"/>
    <w:tmpl w:val="343C3AB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C775E63"/>
    <w:multiLevelType w:val="hybridMultilevel"/>
    <w:tmpl w:val="5012492E"/>
    <w:lvl w:ilvl="0" w:tplc="BB08D364">
      <w:start w:val="2"/>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D0F1B3D"/>
    <w:multiLevelType w:val="singleLevel"/>
    <w:tmpl w:val="4DCCE696"/>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15">
    <w:nsid w:val="3F376A15"/>
    <w:multiLevelType w:val="hybridMultilevel"/>
    <w:tmpl w:val="5C7695F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7">
    <w:nsid w:val="432817C4"/>
    <w:multiLevelType w:val="singleLevel"/>
    <w:tmpl w:val="FC8E7280"/>
    <w:lvl w:ilvl="0">
      <w:start w:val="1"/>
      <w:numFmt w:val="decimal"/>
      <w:lvlText w:val="%1."/>
      <w:lvlJc w:val="left"/>
      <w:pPr>
        <w:tabs>
          <w:tab w:val="num" w:pos="1260"/>
        </w:tabs>
        <w:ind w:left="180" w:firstLine="720"/>
      </w:pPr>
      <w:rPr>
        <w:rFonts w:ascii="Times New Roman" w:hAnsi="Times New Roman" w:hint="default"/>
        <w:b w:val="0"/>
        <w:i w:val="0"/>
        <w:color w:val="auto"/>
        <w:sz w:val="22"/>
        <w:szCs w:val="22"/>
      </w:rPr>
    </w:lvl>
  </w:abstractNum>
  <w:abstractNum w:abstractNumId="18">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9">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0">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1">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22">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4">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5">
    <w:nsid w:val="61182925"/>
    <w:multiLevelType w:val="singleLevel"/>
    <w:tmpl w:val="D5A8460C"/>
    <w:lvl w:ilvl="0">
      <w:start w:val="1"/>
      <w:numFmt w:val="decimal"/>
      <w:lvlText w:val="%1."/>
      <w:lvlJc w:val="left"/>
      <w:pPr>
        <w:tabs>
          <w:tab w:val="num" w:pos="1080"/>
        </w:tabs>
        <w:ind w:firstLine="720"/>
      </w:pPr>
      <w:rPr>
        <w:rFonts w:cs="Times New Roman"/>
        <w:b w:val="0"/>
      </w:rPr>
    </w:lvl>
  </w:abstractNum>
  <w:abstractNum w:abstractNumId="26">
    <w:nsid w:val="628E1E95"/>
    <w:multiLevelType w:val="singleLevel"/>
    <w:tmpl w:val="084CABB8"/>
    <w:lvl w:ilvl="0">
      <w:start w:val="1"/>
      <w:numFmt w:val="decimal"/>
      <w:pStyle w:val="par1"/>
      <w:lvlText w:val="%1."/>
      <w:lvlJc w:val="left"/>
      <w:pPr>
        <w:tabs>
          <w:tab w:val="num" w:pos="990"/>
        </w:tabs>
        <w:ind w:left="-90" w:firstLine="720"/>
      </w:pPr>
      <w:rPr>
        <w:b w:val="0"/>
      </w:rPr>
    </w:lvl>
  </w:abstractNum>
  <w:abstractNum w:abstractNumId="27">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8">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7"/>
  </w:num>
  <w:num w:numId="2">
    <w:abstractNumId w:val="28"/>
  </w:num>
  <w:num w:numId="3">
    <w:abstractNumId w:val="4"/>
  </w:num>
  <w:num w:numId="4">
    <w:abstractNumId w:val="21"/>
  </w:num>
  <w:num w:numId="5">
    <w:abstractNumId w:val="5"/>
  </w:num>
  <w:num w:numId="6">
    <w:abstractNumId w:val="24"/>
  </w:num>
  <w:num w:numId="7">
    <w:abstractNumId w:val="18"/>
  </w:num>
  <w:num w:numId="8">
    <w:abstractNumId w:val="6"/>
  </w:num>
  <w:num w:numId="9">
    <w:abstractNumId w:val="23"/>
  </w:num>
  <w:num w:numId="10">
    <w:abstractNumId w:val="12"/>
  </w:num>
  <w:num w:numId="11">
    <w:abstractNumId w:val="10"/>
  </w:num>
  <w:num w:numId="12">
    <w:abstractNumId w:val="7"/>
  </w:num>
  <w:num w:numId="13">
    <w:abstractNumId w:val="14"/>
  </w:num>
  <w:num w:numId="14">
    <w:abstractNumId w:val="22"/>
  </w:num>
  <w:num w:numId="15">
    <w:abstractNumId w:val="2"/>
  </w:num>
  <w:num w:numId="16">
    <w:abstractNumId w:val="3"/>
  </w:num>
  <w:num w:numId="17">
    <w:abstractNumId w:val="8"/>
  </w:num>
  <w:num w:numId="18">
    <w:abstractNumId w:val="0"/>
  </w:num>
  <w:num w:numId="19">
    <w:abstractNumId w:val="9"/>
  </w:num>
  <w:num w:numId="20">
    <w:abstractNumId w:val="19"/>
  </w:num>
  <w:num w:numId="21">
    <w:abstractNumId w:val="20"/>
  </w:num>
  <w:num w:numId="22">
    <w:abstractNumId w:val="17"/>
  </w:num>
  <w:num w:numId="23">
    <w:abstractNumId w:val="11"/>
  </w:num>
  <w:num w:numId="24">
    <w:abstractNumId w:val="26"/>
  </w:num>
  <w:num w:numId="25">
    <w:abstractNumId w:val="13"/>
  </w:num>
  <w:num w:numId="26">
    <w:abstractNumId w:val="16"/>
  </w:num>
  <w:num w:numId="27">
    <w:abstractNumId w:val="1"/>
  </w:num>
  <w:num w:numId="28">
    <w:abstractNumId w:val="15"/>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847E3"/>
    <w:rsid w:val="00005AAA"/>
    <w:rsid w:val="00017CDA"/>
    <w:rsid w:val="00022679"/>
    <w:rsid w:val="00037295"/>
    <w:rsid w:val="00042E27"/>
    <w:rsid w:val="00050854"/>
    <w:rsid w:val="00071484"/>
    <w:rsid w:val="000736B3"/>
    <w:rsid w:val="00077F92"/>
    <w:rsid w:val="000813E7"/>
    <w:rsid w:val="000875B1"/>
    <w:rsid w:val="0009401C"/>
    <w:rsid w:val="00096E76"/>
    <w:rsid w:val="000A0EEE"/>
    <w:rsid w:val="000A5F92"/>
    <w:rsid w:val="000A71AC"/>
    <w:rsid w:val="000B3C45"/>
    <w:rsid w:val="000C329F"/>
    <w:rsid w:val="000E0451"/>
    <w:rsid w:val="000E2560"/>
    <w:rsid w:val="000F3131"/>
    <w:rsid w:val="00105973"/>
    <w:rsid w:val="0011114B"/>
    <w:rsid w:val="0011170C"/>
    <w:rsid w:val="00115696"/>
    <w:rsid w:val="00115798"/>
    <w:rsid w:val="00120233"/>
    <w:rsid w:val="001253C3"/>
    <w:rsid w:val="00125A4D"/>
    <w:rsid w:val="00145224"/>
    <w:rsid w:val="001526A2"/>
    <w:rsid w:val="00154417"/>
    <w:rsid w:val="001665F5"/>
    <w:rsid w:val="00173BF4"/>
    <w:rsid w:val="00174A12"/>
    <w:rsid w:val="00175E71"/>
    <w:rsid w:val="00182ED8"/>
    <w:rsid w:val="00190523"/>
    <w:rsid w:val="00197106"/>
    <w:rsid w:val="001C0B1F"/>
    <w:rsid w:val="001C21E6"/>
    <w:rsid w:val="001E2A65"/>
    <w:rsid w:val="001E696E"/>
    <w:rsid w:val="001F566B"/>
    <w:rsid w:val="0021139E"/>
    <w:rsid w:val="00211D85"/>
    <w:rsid w:val="00232AE2"/>
    <w:rsid w:val="00237F81"/>
    <w:rsid w:val="002511FB"/>
    <w:rsid w:val="00256422"/>
    <w:rsid w:val="00257CC8"/>
    <w:rsid w:val="00260C08"/>
    <w:rsid w:val="002745A2"/>
    <w:rsid w:val="00287ADA"/>
    <w:rsid w:val="002A732B"/>
    <w:rsid w:val="002C51C3"/>
    <w:rsid w:val="002C62DA"/>
    <w:rsid w:val="003003E1"/>
    <w:rsid w:val="003013EF"/>
    <w:rsid w:val="00302F30"/>
    <w:rsid w:val="00321805"/>
    <w:rsid w:val="00323513"/>
    <w:rsid w:val="0033085D"/>
    <w:rsid w:val="00331410"/>
    <w:rsid w:val="0033797D"/>
    <w:rsid w:val="00337B75"/>
    <w:rsid w:val="003422DF"/>
    <w:rsid w:val="00347B43"/>
    <w:rsid w:val="00347CA1"/>
    <w:rsid w:val="00371336"/>
    <w:rsid w:val="00371652"/>
    <w:rsid w:val="003740F2"/>
    <w:rsid w:val="00375576"/>
    <w:rsid w:val="00390F1B"/>
    <w:rsid w:val="00392410"/>
    <w:rsid w:val="00397098"/>
    <w:rsid w:val="003A2112"/>
    <w:rsid w:val="003A7878"/>
    <w:rsid w:val="003E2AD5"/>
    <w:rsid w:val="003E3564"/>
    <w:rsid w:val="003E6E55"/>
    <w:rsid w:val="003F3CFD"/>
    <w:rsid w:val="004110FC"/>
    <w:rsid w:val="0041443C"/>
    <w:rsid w:val="00425706"/>
    <w:rsid w:val="0044363C"/>
    <w:rsid w:val="00447AAD"/>
    <w:rsid w:val="00484313"/>
    <w:rsid w:val="0048798E"/>
    <w:rsid w:val="004930F5"/>
    <w:rsid w:val="004A498E"/>
    <w:rsid w:val="004C6D99"/>
    <w:rsid w:val="004E00D3"/>
    <w:rsid w:val="004E13C1"/>
    <w:rsid w:val="004E22F7"/>
    <w:rsid w:val="00502239"/>
    <w:rsid w:val="00510919"/>
    <w:rsid w:val="00512D71"/>
    <w:rsid w:val="005137F8"/>
    <w:rsid w:val="00520E96"/>
    <w:rsid w:val="00523A68"/>
    <w:rsid w:val="00561A15"/>
    <w:rsid w:val="00562A69"/>
    <w:rsid w:val="00571009"/>
    <w:rsid w:val="00574A7A"/>
    <w:rsid w:val="005D19E6"/>
    <w:rsid w:val="005D5845"/>
    <w:rsid w:val="005E587D"/>
    <w:rsid w:val="005F002F"/>
    <w:rsid w:val="005F483B"/>
    <w:rsid w:val="005F67D7"/>
    <w:rsid w:val="00607D4F"/>
    <w:rsid w:val="00624E7D"/>
    <w:rsid w:val="00645E06"/>
    <w:rsid w:val="00651DE2"/>
    <w:rsid w:val="0065506E"/>
    <w:rsid w:val="0067128E"/>
    <w:rsid w:val="006775FF"/>
    <w:rsid w:val="00680DCA"/>
    <w:rsid w:val="00683F6F"/>
    <w:rsid w:val="0068674B"/>
    <w:rsid w:val="006868B5"/>
    <w:rsid w:val="00697628"/>
    <w:rsid w:val="006B1DE3"/>
    <w:rsid w:val="006C3BBF"/>
    <w:rsid w:val="006C72D8"/>
    <w:rsid w:val="00716561"/>
    <w:rsid w:val="00735D4D"/>
    <w:rsid w:val="00744632"/>
    <w:rsid w:val="00760DBF"/>
    <w:rsid w:val="00774183"/>
    <w:rsid w:val="00777E77"/>
    <w:rsid w:val="00780C18"/>
    <w:rsid w:val="00787C4B"/>
    <w:rsid w:val="007907B0"/>
    <w:rsid w:val="00794C59"/>
    <w:rsid w:val="007953AD"/>
    <w:rsid w:val="007B7280"/>
    <w:rsid w:val="007D4078"/>
    <w:rsid w:val="007E0B9D"/>
    <w:rsid w:val="007E2E05"/>
    <w:rsid w:val="007F2A15"/>
    <w:rsid w:val="008024F6"/>
    <w:rsid w:val="0080639B"/>
    <w:rsid w:val="00810C6F"/>
    <w:rsid w:val="00832D6C"/>
    <w:rsid w:val="00833A94"/>
    <w:rsid w:val="00840A6A"/>
    <w:rsid w:val="0084167C"/>
    <w:rsid w:val="00852A75"/>
    <w:rsid w:val="00856437"/>
    <w:rsid w:val="00863F41"/>
    <w:rsid w:val="00875DB2"/>
    <w:rsid w:val="0087621C"/>
    <w:rsid w:val="00887660"/>
    <w:rsid w:val="00890911"/>
    <w:rsid w:val="008A6D48"/>
    <w:rsid w:val="008B58B7"/>
    <w:rsid w:val="008C26F7"/>
    <w:rsid w:val="008C4978"/>
    <w:rsid w:val="008D16E9"/>
    <w:rsid w:val="008D235A"/>
    <w:rsid w:val="0091686F"/>
    <w:rsid w:val="00920C19"/>
    <w:rsid w:val="009336F4"/>
    <w:rsid w:val="009423ED"/>
    <w:rsid w:val="0095119D"/>
    <w:rsid w:val="009578B1"/>
    <w:rsid w:val="00967758"/>
    <w:rsid w:val="009711A7"/>
    <w:rsid w:val="009712F4"/>
    <w:rsid w:val="009758BD"/>
    <w:rsid w:val="00980DFC"/>
    <w:rsid w:val="00986009"/>
    <w:rsid w:val="00990FB6"/>
    <w:rsid w:val="00997C3D"/>
    <w:rsid w:val="009B12C0"/>
    <w:rsid w:val="009D1F23"/>
    <w:rsid w:val="009D7325"/>
    <w:rsid w:val="009E4540"/>
    <w:rsid w:val="009E6F0C"/>
    <w:rsid w:val="009F6C24"/>
    <w:rsid w:val="00A10DA6"/>
    <w:rsid w:val="00A112B0"/>
    <w:rsid w:val="00A12D37"/>
    <w:rsid w:val="00A14557"/>
    <w:rsid w:val="00A16AF9"/>
    <w:rsid w:val="00A37420"/>
    <w:rsid w:val="00A546FC"/>
    <w:rsid w:val="00A56DA8"/>
    <w:rsid w:val="00A5735B"/>
    <w:rsid w:val="00A66F85"/>
    <w:rsid w:val="00A76BC5"/>
    <w:rsid w:val="00AA2472"/>
    <w:rsid w:val="00AB3F15"/>
    <w:rsid w:val="00AD0CF5"/>
    <w:rsid w:val="00AD246B"/>
    <w:rsid w:val="00AE36A3"/>
    <w:rsid w:val="00AE3A0F"/>
    <w:rsid w:val="00AF74C3"/>
    <w:rsid w:val="00B04DF4"/>
    <w:rsid w:val="00B1040A"/>
    <w:rsid w:val="00B12DDF"/>
    <w:rsid w:val="00B23749"/>
    <w:rsid w:val="00B67328"/>
    <w:rsid w:val="00B711FC"/>
    <w:rsid w:val="00B739D4"/>
    <w:rsid w:val="00B943BA"/>
    <w:rsid w:val="00B962F3"/>
    <w:rsid w:val="00BA3EC6"/>
    <w:rsid w:val="00BA6DFF"/>
    <w:rsid w:val="00BB0098"/>
    <w:rsid w:val="00BB34F3"/>
    <w:rsid w:val="00BB4E8D"/>
    <w:rsid w:val="00BB5A17"/>
    <w:rsid w:val="00BD24E7"/>
    <w:rsid w:val="00BE6E2F"/>
    <w:rsid w:val="00BF08E4"/>
    <w:rsid w:val="00BF1922"/>
    <w:rsid w:val="00BF4DA8"/>
    <w:rsid w:val="00C009F7"/>
    <w:rsid w:val="00C02779"/>
    <w:rsid w:val="00C07588"/>
    <w:rsid w:val="00C24320"/>
    <w:rsid w:val="00C24414"/>
    <w:rsid w:val="00C46A39"/>
    <w:rsid w:val="00C55AF9"/>
    <w:rsid w:val="00C5634A"/>
    <w:rsid w:val="00C600C5"/>
    <w:rsid w:val="00C8210C"/>
    <w:rsid w:val="00C87EC9"/>
    <w:rsid w:val="00C91804"/>
    <w:rsid w:val="00CA1CA0"/>
    <w:rsid w:val="00CC221F"/>
    <w:rsid w:val="00CC2A5F"/>
    <w:rsid w:val="00CD5AA2"/>
    <w:rsid w:val="00CE1311"/>
    <w:rsid w:val="00CE1B0F"/>
    <w:rsid w:val="00CE28D6"/>
    <w:rsid w:val="00D02F61"/>
    <w:rsid w:val="00D13FA6"/>
    <w:rsid w:val="00D15A5F"/>
    <w:rsid w:val="00D24820"/>
    <w:rsid w:val="00D26815"/>
    <w:rsid w:val="00D345DC"/>
    <w:rsid w:val="00D5058F"/>
    <w:rsid w:val="00D52690"/>
    <w:rsid w:val="00D57AE2"/>
    <w:rsid w:val="00D7437C"/>
    <w:rsid w:val="00D814B1"/>
    <w:rsid w:val="00DA0A53"/>
    <w:rsid w:val="00DA65CA"/>
    <w:rsid w:val="00DC7D2B"/>
    <w:rsid w:val="00DE4F4C"/>
    <w:rsid w:val="00DF5000"/>
    <w:rsid w:val="00DF64C1"/>
    <w:rsid w:val="00E034EB"/>
    <w:rsid w:val="00E0443A"/>
    <w:rsid w:val="00E10C8A"/>
    <w:rsid w:val="00E16103"/>
    <w:rsid w:val="00E4431D"/>
    <w:rsid w:val="00E458B2"/>
    <w:rsid w:val="00E460B0"/>
    <w:rsid w:val="00E5035F"/>
    <w:rsid w:val="00E52C78"/>
    <w:rsid w:val="00E54B64"/>
    <w:rsid w:val="00E847E3"/>
    <w:rsid w:val="00E920CC"/>
    <w:rsid w:val="00E92986"/>
    <w:rsid w:val="00E92EAB"/>
    <w:rsid w:val="00E933FF"/>
    <w:rsid w:val="00EA4240"/>
    <w:rsid w:val="00EB57F9"/>
    <w:rsid w:val="00EC0A33"/>
    <w:rsid w:val="00ED63A7"/>
    <w:rsid w:val="00ED6E57"/>
    <w:rsid w:val="00EE7962"/>
    <w:rsid w:val="00F21C44"/>
    <w:rsid w:val="00F25F9A"/>
    <w:rsid w:val="00F30E61"/>
    <w:rsid w:val="00F4123C"/>
    <w:rsid w:val="00F41BC5"/>
    <w:rsid w:val="00F46870"/>
    <w:rsid w:val="00F6189B"/>
    <w:rsid w:val="00F634DD"/>
    <w:rsid w:val="00F71B85"/>
    <w:rsid w:val="00F82954"/>
    <w:rsid w:val="00FA71CD"/>
    <w:rsid w:val="00FB30D7"/>
    <w:rsid w:val="00FB4F88"/>
    <w:rsid w:val="00FC357F"/>
    <w:rsid w:val="00FC66E3"/>
    <w:rsid w:val="00FE0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CC221F"/>
  </w:style>
  <w:style w:type="character" w:customStyle="1" w:styleId="cosearchterm">
    <w:name w:val="co_searchterm"/>
    <w:rsid w:val="00CC221F"/>
  </w:style>
  <w:style w:type="character" w:customStyle="1" w:styleId="FootnoteTextChar1CharCharChar">
    <w:name w:val="Footnote Text Char1 Char Char Char"/>
    <w:aliases w:val="rrfootnote Char Char Char Char,Footnote Text Char Char Char Char Char,Footnote Text Char1 Char Char Char Char Char"/>
    <w:locked/>
    <w:rsid w:val="00371652"/>
    <w:rPr>
      <w:snapToGrid w:val="0"/>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0854"/>
    <w:pPr>
      <w:widowControl w:val="0"/>
      <w:autoSpaceDE w:val="0"/>
      <w:autoSpaceDN w:val="0"/>
      <w:adjustRightInd w:val="0"/>
    </w:pPr>
  </w:style>
  <w:style w:type="paragraph" w:styleId="Heading1">
    <w:name w:val="heading 1"/>
    <w:basedOn w:val="Normal"/>
    <w:next w:val="ParaNum"/>
    <w:qFormat/>
    <w:pPr>
      <w:keepNext/>
      <w:numPr>
        <w:numId w:val="4"/>
      </w:numPr>
      <w:suppressAutoHyphens/>
      <w:spacing w:after="220"/>
      <w:jc w:val="both"/>
      <w:outlineLvl w:val="0"/>
    </w:pPr>
    <w:rPr>
      <w:b/>
      <w:caps/>
    </w:rPr>
  </w:style>
  <w:style w:type="paragraph" w:styleId="Heading2">
    <w:name w:val="heading 2"/>
    <w:basedOn w:val="Normal"/>
    <w:next w:val="ParaNum"/>
    <w:qFormat/>
    <w:pPr>
      <w:keepNext/>
      <w:numPr>
        <w:ilvl w:val="1"/>
        <w:numId w:val="4"/>
      </w:numPr>
      <w:spacing w:after="220"/>
      <w:jc w:val="both"/>
      <w:outlineLvl w:val="1"/>
    </w:pPr>
    <w:rPr>
      <w:b/>
    </w:rPr>
  </w:style>
  <w:style w:type="paragraph" w:styleId="Heading3">
    <w:name w:val="heading 3"/>
    <w:basedOn w:val="Normal"/>
    <w:next w:val="ParaNum"/>
    <w:qFormat/>
    <w:pPr>
      <w:keepNext/>
      <w:numPr>
        <w:ilvl w:val="2"/>
        <w:numId w:val="4"/>
      </w:numPr>
      <w:spacing w:after="220"/>
      <w:jc w:val="both"/>
      <w:outlineLvl w:val="2"/>
    </w:pPr>
    <w:rPr>
      <w:b/>
    </w:rPr>
  </w:style>
  <w:style w:type="paragraph" w:styleId="Heading4">
    <w:name w:val="heading 4"/>
    <w:basedOn w:val="Normal"/>
    <w:next w:val="ParaNum"/>
    <w:qFormat/>
    <w:pPr>
      <w:keepNext/>
      <w:numPr>
        <w:ilvl w:val="3"/>
        <w:numId w:val="4"/>
      </w:numPr>
      <w:spacing w:after="220"/>
      <w:jc w:val="both"/>
      <w:outlineLvl w:val="3"/>
    </w:pPr>
    <w:rPr>
      <w:b/>
    </w:rPr>
  </w:style>
  <w:style w:type="paragraph" w:styleId="Heading5">
    <w:name w:val="heading 5"/>
    <w:basedOn w:val="Normal"/>
    <w:next w:val="ParaNum"/>
    <w:qFormat/>
    <w:pPr>
      <w:keepNext/>
      <w:numPr>
        <w:ilvl w:val="4"/>
        <w:numId w:val="4"/>
      </w:numPr>
      <w:suppressAutoHyphens/>
      <w:spacing w:after="220"/>
      <w:jc w:val="both"/>
      <w:outlineLvl w:val="4"/>
    </w:pPr>
    <w:rPr>
      <w:b/>
    </w:rPr>
  </w:style>
  <w:style w:type="paragraph" w:styleId="Heading6">
    <w:name w:val="heading 6"/>
    <w:basedOn w:val="Normal"/>
    <w:next w:val="ParaNum"/>
    <w:qFormat/>
    <w:pPr>
      <w:numPr>
        <w:ilvl w:val="5"/>
        <w:numId w:val="4"/>
      </w:numPr>
      <w:spacing w:after="220"/>
      <w:jc w:val="both"/>
      <w:outlineLvl w:val="5"/>
    </w:pPr>
    <w:rPr>
      <w:b/>
    </w:rPr>
  </w:style>
  <w:style w:type="paragraph" w:styleId="Heading7">
    <w:name w:val="heading 7"/>
    <w:basedOn w:val="Normal"/>
    <w:next w:val="ParaNum"/>
    <w:qFormat/>
    <w:pPr>
      <w:numPr>
        <w:ilvl w:val="6"/>
        <w:numId w:val="4"/>
      </w:numPr>
      <w:spacing w:after="220"/>
      <w:jc w:val="both"/>
      <w:outlineLvl w:val="6"/>
    </w:pPr>
    <w:rPr>
      <w:b/>
    </w:rPr>
  </w:style>
  <w:style w:type="paragraph" w:styleId="Heading8">
    <w:name w:val="heading 8"/>
    <w:basedOn w:val="Normal"/>
    <w:next w:val="ParaNum"/>
    <w:qFormat/>
    <w:pPr>
      <w:numPr>
        <w:ilvl w:val="7"/>
        <w:numId w:val="4"/>
      </w:numPr>
      <w:spacing w:after="220"/>
      <w:jc w:val="both"/>
      <w:outlineLvl w:val="7"/>
    </w:pPr>
    <w:rPr>
      <w:b/>
    </w:rPr>
  </w:style>
  <w:style w:type="paragraph" w:styleId="Heading9">
    <w:name w:val="heading 9"/>
    <w:basedOn w:val="Normal"/>
    <w:next w:val="ParaNum"/>
    <w:qFormat/>
    <w:pPr>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numPr>
        <w:numId w:val="13"/>
      </w:numPr>
      <w:tabs>
        <w:tab w:val="clear" w:pos="1080"/>
        <w:tab w:val="left" w:pos="1440"/>
      </w:tabs>
      <w:spacing w:after="220"/>
      <w:jc w:val="both"/>
    </w:pPr>
  </w:style>
  <w:style w:type="paragraph" w:styleId="FootnoteText">
    <w:name w:val="footnote text"/>
    <w:aliases w:val="rrfootnote,Footnote Text Char,rrfootnote Char,Footnote Text Char1 Char,Footnote Text Char Char Char,Footnote Text Char2 Char Char Char,Footnote Text Char1 Char2 Char Char Char,Footnote Text Char Char Char Char Char Char,Footnote Text Char1"/>
    <w:basedOn w:val="Normal"/>
    <w:link w:val="FootnoteTextChar2"/>
    <w:pPr>
      <w:tabs>
        <w:tab w:val="left" w:pos="180"/>
        <w:tab w:val="left" w:pos="720"/>
        <w:tab w:val="left" w:pos="1440"/>
        <w:tab w:val="left" w:pos="2160"/>
      </w:tabs>
      <w:spacing w:after="120"/>
      <w:jc w:val="both"/>
    </w:pPr>
  </w:style>
  <w:style w:type="paragraph" w:customStyle="1" w:styleId="Bullet">
    <w:name w:val="Bullet"/>
    <w:basedOn w:val="Normal"/>
    <w:pPr>
      <w:numPr>
        <w:numId w:val="9"/>
      </w:numPr>
      <w:tabs>
        <w:tab w:val="clear" w:pos="2520"/>
      </w:tabs>
      <w:spacing w:after="220"/>
      <w:ind w:left="2160" w:hanging="720"/>
      <w:jc w:val="both"/>
    </w:pPr>
  </w:style>
  <w:style w:type="paragraph" w:styleId="BlockText">
    <w:name w:val="Block Text"/>
    <w:basedOn w:val="Normal"/>
    <w:pPr>
      <w:spacing w:after="220"/>
      <w:ind w:left="1440" w:right="1440"/>
      <w:jc w:val="both"/>
    </w:pPr>
  </w:style>
  <w:style w:type="paragraph" w:customStyle="1" w:styleId="TableFormat">
    <w:name w:val="TableFormat"/>
    <w:basedOn w:val="Normal"/>
    <w:pPr>
      <w:tabs>
        <w:tab w:val="left" w:pos="5040"/>
      </w:tabs>
      <w:spacing w:after="220"/>
      <w:ind w:left="5040" w:hanging="3600"/>
      <w:jc w:val="both"/>
    </w:pPr>
  </w:style>
  <w:style w:type="character" w:styleId="FootnoteReference">
    <w:name w:val="footnote reference"/>
    <w:aliases w:val="Style 12,(NECG) Footnote Reference,Appel note de bas de p,Style 124,Style 4,Style 13,o,fr,Style 3"/>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OC2">
    <w:name w:val="toc 2"/>
    <w:basedOn w:val="Normal"/>
    <w:next w:val="Normal"/>
    <w:semiHidden/>
    <w:pPr>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tabs>
        <w:tab w:val="right" w:leader="dot" w:pos="9360"/>
      </w:tabs>
      <w:suppressAutoHyphens/>
      <w:spacing w:before="220"/>
      <w:ind w:left="720" w:right="720" w:hanging="720"/>
      <w:jc w:val="both"/>
    </w:pPr>
    <w:rPr>
      <w:caps/>
    </w:rPr>
  </w:style>
  <w:style w:type="paragraph" w:styleId="TOC3">
    <w:name w:val="toc 3"/>
    <w:basedOn w:val="Normal"/>
    <w:next w:val="Normal"/>
    <w:semiHidden/>
    <w:pPr>
      <w:tabs>
        <w:tab w:val="left" w:pos="2160"/>
        <w:tab w:val="right" w:leader="dot" w:pos="9360"/>
      </w:tabs>
      <w:suppressAutoHyphens/>
      <w:ind w:left="2160" w:right="720" w:hanging="720"/>
      <w:jc w:val="both"/>
    </w:pPr>
  </w:style>
  <w:style w:type="paragraph" w:styleId="TOC4">
    <w:name w:val="toc 4"/>
    <w:basedOn w:val="Normal"/>
    <w:next w:val="Normal"/>
    <w:semiHidden/>
    <w:pPr>
      <w:tabs>
        <w:tab w:val="left" w:pos="2880"/>
        <w:tab w:val="right" w:leader="dot" w:pos="9360"/>
      </w:tabs>
      <w:suppressAutoHyphens/>
      <w:ind w:left="2880" w:right="720" w:hanging="720"/>
      <w:jc w:val="both"/>
    </w:pPr>
  </w:style>
  <w:style w:type="paragraph" w:styleId="TOC5">
    <w:name w:val="toc 5"/>
    <w:basedOn w:val="Normal"/>
    <w:next w:val="Normal"/>
    <w:semiHidden/>
    <w:pPr>
      <w:tabs>
        <w:tab w:val="left" w:pos="3600"/>
        <w:tab w:val="right" w:leader="dot" w:pos="9360"/>
      </w:tabs>
      <w:suppressAutoHyphens/>
      <w:ind w:left="3600" w:right="720" w:hanging="720"/>
      <w:jc w:val="both"/>
    </w:pPr>
  </w:style>
  <w:style w:type="paragraph" w:styleId="TOC6">
    <w:name w:val="toc 6"/>
    <w:basedOn w:val="Normal"/>
    <w:next w:val="Normal"/>
    <w:semiHidden/>
    <w:pPr>
      <w:tabs>
        <w:tab w:val="left" w:leader="dot" w:pos="9360"/>
      </w:tabs>
      <w:suppressAutoHyphens/>
      <w:ind w:left="720" w:hanging="720"/>
      <w:jc w:val="both"/>
    </w:pPr>
  </w:style>
  <w:style w:type="paragraph" w:styleId="TOC7">
    <w:name w:val="toc 7"/>
    <w:basedOn w:val="Normal"/>
    <w:next w:val="Normal"/>
    <w:semiHidden/>
    <w:pPr>
      <w:tabs>
        <w:tab w:val="left" w:leader="dot" w:pos="9360"/>
      </w:tabs>
      <w:suppressAutoHyphens/>
      <w:ind w:left="720" w:hanging="720"/>
      <w:jc w:val="both"/>
    </w:pPr>
  </w:style>
  <w:style w:type="paragraph" w:styleId="TOC8">
    <w:name w:val="toc 8"/>
    <w:basedOn w:val="Normal"/>
    <w:next w:val="Normal"/>
    <w:semiHidden/>
    <w:pPr>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tyle>
  <w:style w:type="paragraph" w:styleId="Title">
    <w:name w:val="Title"/>
    <w:basedOn w:val="Normal"/>
    <w:qFormat/>
    <w:pPr>
      <w:jc w:val="center"/>
    </w:pPr>
    <w:rPr>
      <w:b/>
    </w:rPr>
  </w:style>
  <w:style w:type="character" w:styleId="Hyperlink">
    <w:name w:val="Hyperlink"/>
    <w:rsid w:val="000E2560"/>
    <w:rPr>
      <w:color w:val="0000FF"/>
      <w:u w:val="single"/>
    </w:rPr>
  </w:style>
  <w:style w:type="paragraph" w:styleId="BalloonText">
    <w:name w:val="Balloon Text"/>
    <w:basedOn w:val="Normal"/>
    <w:semiHidden/>
    <w:rsid w:val="007E2E05"/>
    <w:rPr>
      <w:rFonts w:ascii="Tahoma" w:hAnsi="Tahoma" w:cs="Tahoma"/>
      <w:sz w:val="16"/>
      <w:szCs w:val="16"/>
    </w:rPr>
  </w:style>
  <w:style w:type="character" w:styleId="CommentReference">
    <w:name w:val="annotation reference"/>
    <w:semiHidden/>
    <w:rsid w:val="00856437"/>
    <w:rPr>
      <w:sz w:val="16"/>
      <w:szCs w:val="16"/>
    </w:rPr>
  </w:style>
  <w:style w:type="paragraph" w:styleId="CommentText">
    <w:name w:val="annotation text"/>
    <w:basedOn w:val="Normal"/>
    <w:semiHidden/>
    <w:rsid w:val="00856437"/>
  </w:style>
  <w:style w:type="paragraph" w:styleId="CommentSubject">
    <w:name w:val="annotation subject"/>
    <w:basedOn w:val="CommentText"/>
    <w:next w:val="CommentText"/>
    <w:semiHidden/>
    <w:rsid w:val="00856437"/>
    <w:rPr>
      <w:b/>
      <w:bCs/>
    </w:rPr>
  </w:style>
  <w:style w:type="character" w:customStyle="1" w:styleId="documentbody">
    <w:name w:val="documentbody"/>
    <w:basedOn w:val="DefaultParagraphFont"/>
    <w:rsid w:val="001665F5"/>
  </w:style>
  <w:style w:type="character" w:customStyle="1" w:styleId="searchterm">
    <w:name w:val="searchterm"/>
    <w:basedOn w:val="DefaultParagraphFont"/>
    <w:rsid w:val="001665F5"/>
  </w:style>
  <w:style w:type="paragraph" w:customStyle="1" w:styleId="par1">
    <w:name w:val="par1"/>
    <w:basedOn w:val="Normal"/>
    <w:rsid w:val="001665F5"/>
    <w:pPr>
      <w:widowControl/>
      <w:numPr>
        <w:numId w:val="24"/>
      </w:numPr>
      <w:tabs>
        <w:tab w:val="left" w:pos="1440"/>
      </w:tabs>
      <w:autoSpaceDE/>
      <w:autoSpaceDN/>
      <w:adjustRightInd/>
    </w:pPr>
    <w:rPr>
      <w:sz w:val="22"/>
    </w:rPr>
  </w:style>
  <w:style w:type="character" w:customStyle="1" w:styleId="FootnoteTextChar2">
    <w:name w:val="Footnote Text Char2"/>
    <w:aliases w:val="rrfootnote Char1,Footnote Text Char Char,rrfootnote Char Char,Footnote Text Char1 Char Char,Footnote Text Char Char Char Char,Footnote Text Char2 Char Char Char Char,Footnote Text Char1 Char2 Char Char Char Char"/>
    <w:link w:val="FootnoteText"/>
    <w:rsid w:val="001665F5"/>
    <w:rPr>
      <w:lang w:val="en-US" w:eastAsia="en-US" w:bidi="ar-SA"/>
    </w:rPr>
  </w:style>
  <w:style w:type="character" w:customStyle="1" w:styleId="ParaNumChar">
    <w:name w:val="ParaNum Char"/>
    <w:link w:val="ParaNum"/>
    <w:rsid w:val="00A66F85"/>
    <w:rPr>
      <w:lang w:val="en-US" w:eastAsia="en-US" w:bidi="ar-SA"/>
    </w:rPr>
  </w:style>
  <w:style w:type="character" w:customStyle="1" w:styleId="apple-converted-space">
    <w:name w:val="apple-converted-space"/>
    <w:rsid w:val="00CC221F"/>
  </w:style>
  <w:style w:type="character" w:customStyle="1" w:styleId="cosearchterm">
    <w:name w:val="co_searchterm"/>
    <w:rsid w:val="00CC221F"/>
  </w:style>
  <w:style w:type="character" w:customStyle="1" w:styleId="FootnoteTextChar1CharCharChar">
    <w:name w:val="Footnote Text Char1 Char Char Char"/>
    <w:aliases w:val="rrfootnote Char Char Char Char,Footnote Text Char Char Char Char Char,Footnote Text Char1 Char Char Char Char Char"/>
    <w:locked/>
    <w:rsid w:val="00371652"/>
    <w:rPr>
      <w:snapToGrid w:val="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35290">
      <w:bodyDiv w:val="1"/>
      <w:marLeft w:val="0"/>
      <w:marRight w:val="0"/>
      <w:marTop w:val="0"/>
      <w:marBottom w:val="0"/>
      <w:divBdr>
        <w:top w:val="none" w:sz="0" w:space="0" w:color="auto"/>
        <w:left w:val="none" w:sz="0" w:space="0" w:color="auto"/>
        <w:bottom w:val="none" w:sz="0" w:space="0" w:color="auto"/>
        <w:right w:val="none" w:sz="0" w:space="0" w:color="auto"/>
      </w:divBdr>
    </w:div>
    <w:div w:id="1530725765">
      <w:bodyDiv w:val="1"/>
      <w:marLeft w:val="0"/>
      <w:marRight w:val="0"/>
      <w:marTop w:val="0"/>
      <w:marBottom w:val="0"/>
      <w:divBdr>
        <w:top w:val="none" w:sz="0" w:space="0" w:color="auto"/>
        <w:left w:val="none" w:sz="0" w:space="0" w:color="auto"/>
        <w:bottom w:val="none" w:sz="0" w:space="0" w:color="auto"/>
        <w:right w:val="none" w:sz="0" w:space="0" w:color="auto"/>
      </w:divBdr>
      <w:divsChild>
        <w:div w:id="1361471758">
          <w:marLeft w:val="0"/>
          <w:marRight w:val="0"/>
          <w:marTop w:val="0"/>
          <w:marBottom w:val="0"/>
          <w:divBdr>
            <w:top w:val="none" w:sz="0" w:space="0" w:color="auto"/>
            <w:left w:val="none" w:sz="0" w:space="0" w:color="auto"/>
            <w:bottom w:val="none" w:sz="0" w:space="0" w:color="auto"/>
            <w:right w:val="none" w:sz="0" w:space="0" w:color="auto"/>
          </w:divBdr>
          <w:divsChild>
            <w:div w:id="2034838209">
              <w:marLeft w:val="0"/>
              <w:marRight w:val="0"/>
              <w:marTop w:val="0"/>
              <w:marBottom w:val="0"/>
              <w:divBdr>
                <w:top w:val="none" w:sz="0" w:space="0" w:color="auto"/>
                <w:left w:val="none" w:sz="0" w:space="0" w:color="auto"/>
                <w:bottom w:val="none" w:sz="0" w:space="0" w:color="auto"/>
                <w:right w:val="none" w:sz="0" w:space="0" w:color="auto"/>
              </w:divBdr>
              <w:divsChild>
                <w:div w:id="1482847760">
                  <w:marLeft w:val="0"/>
                  <w:marRight w:val="0"/>
                  <w:marTop w:val="0"/>
                  <w:marBottom w:val="0"/>
                  <w:divBdr>
                    <w:top w:val="none" w:sz="0" w:space="0" w:color="auto"/>
                    <w:left w:val="none" w:sz="0" w:space="0" w:color="auto"/>
                    <w:bottom w:val="none" w:sz="0" w:space="0" w:color="auto"/>
                    <w:right w:val="none" w:sz="0" w:space="0" w:color="auto"/>
                  </w:divBdr>
                  <w:divsChild>
                    <w:div w:id="185483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IANE~1.LAW\LOCALS~1\Temp\NAL1012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NAL101210</Template>
  <TotalTime>0</TotalTime>
  <Pages>3</Pages>
  <Words>2140</Words>
  <Characters>11750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13960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2014-08-25T19:11:00Z</cp:lastPrinted>
  <dcterms:created xsi:type="dcterms:W3CDTF">2014-08-28T16:58:00Z</dcterms:created>
  <dcterms:modified xsi:type="dcterms:W3CDTF">2014-08-28T16:58:00Z</dcterms:modified>
  <cp:category> </cp:category>
  <cp:contentStatus> </cp:contentStatus>
</cp:coreProperties>
</file>