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450542">
      <w:pPr>
        <w:jc w:val="right"/>
        <w:rPr>
          <w:sz w:val="24"/>
        </w:rPr>
      </w:pPr>
      <w:r>
        <w:rPr>
          <w:sz w:val="24"/>
        </w:rPr>
        <w:lastRenderedPageBreak/>
        <w:t>DA 14-1243</w:t>
      </w:r>
    </w:p>
    <w:p w:rsidR="00602577" w:rsidRDefault="007D3FE1">
      <w:pPr>
        <w:spacing w:before="60"/>
        <w:jc w:val="right"/>
        <w:rPr>
          <w:sz w:val="24"/>
        </w:rPr>
      </w:pPr>
      <w:r>
        <w:rPr>
          <w:sz w:val="24"/>
        </w:rPr>
        <w:t xml:space="preserve">Release Date:  August </w:t>
      </w:r>
      <w:r w:rsidR="00450542">
        <w:rPr>
          <w:sz w:val="24"/>
        </w:rPr>
        <w:t>27</w:t>
      </w:r>
      <w:r>
        <w:rPr>
          <w:sz w:val="24"/>
        </w:rPr>
        <w:t>, 2014</w:t>
      </w:r>
    </w:p>
    <w:p w:rsidR="00602577" w:rsidRDefault="00602577">
      <w:pPr>
        <w:jc w:val="right"/>
        <w:rPr>
          <w:sz w:val="24"/>
        </w:rPr>
      </w:pPr>
    </w:p>
    <w:p w:rsidR="00602577" w:rsidRDefault="007D3FE1">
      <w:pPr>
        <w:spacing w:after="240"/>
        <w:jc w:val="center"/>
        <w:rPr>
          <w:b/>
          <w:sz w:val="24"/>
        </w:rPr>
      </w:pPr>
      <w:r>
        <w:rPr>
          <w:b/>
          <w:sz w:val="24"/>
        </w:rPr>
        <w:t xml:space="preserve">WIRELESS TELECOMMUNICATIONS BUREAU </w:t>
      </w:r>
      <w:r w:rsidR="00CB7327">
        <w:rPr>
          <w:b/>
          <w:sz w:val="24"/>
        </w:rPr>
        <w:t>MODIFIES</w:t>
      </w:r>
      <w:r>
        <w:rPr>
          <w:b/>
          <w:sz w:val="24"/>
        </w:rPr>
        <w:t xml:space="preserve"> EX PARTE RULES FOR ENVIRONMENTAL ASSESSMENTS SUBMITTED </w:t>
      </w:r>
      <w:r w:rsidR="00CB7327">
        <w:rPr>
          <w:b/>
          <w:sz w:val="24"/>
        </w:rPr>
        <w:t>FOR</w:t>
      </w:r>
      <w:r>
        <w:rPr>
          <w:b/>
          <w:sz w:val="24"/>
        </w:rPr>
        <w:t xml:space="preserve"> POSITIVE TRAIN CONTROL </w:t>
      </w:r>
      <w:r w:rsidR="00E85CB7">
        <w:rPr>
          <w:b/>
          <w:sz w:val="24"/>
        </w:rPr>
        <w:t>FACILITIES</w:t>
      </w:r>
    </w:p>
    <w:p w:rsidR="00624E58" w:rsidRDefault="007D3FE1">
      <w:pPr>
        <w:spacing w:before="120" w:after="240"/>
        <w:rPr>
          <w:sz w:val="24"/>
        </w:rPr>
      </w:pPr>
      <w:r>
        <w:rPr>
          <w:sz w:val="24"/>
        </w:rPr>
        <w:tab/>
        <w:t xml:space="preserve">By this Public Notice, the Wireless Telecommunications Bureau (Bureau) announces </w:t>
      </w:r>
      <w:r w:rsidR="00CB7327">
        <w:rPr>
          <w:sz w:val="24"/>
        </w:rPr>
        <w:t>pursuant to</w:t>
      </w:r>
      <w:r>
        <w:rPr>
          <w:sz w:val="24"/>
        </w:rPr>
        <w:t xml:space="preserve"> Section 1.1200(a) of the Commission’s rules</w:t>
      </w:r>
      <w:r w:rsidR="00624E58">
        <w:rPr>
          <w:rStyle w:val="FootnoteReference"/>
          <w:sz w:val="24"/>
        </w:rPr>
        <w:footnoteReference w:id="1"/>
      </w:r>
      <w:r w:rsidR="00CB7327">
        <w:rPr>
          <w:sz w:val="24"/>
        </w:rPr>
        <w:t xml:space="preserve"> that</w:t>
      </w:r>
      <w:r>
        <w:rPr>
          <w:sz w:val="24"/>
        </w:rPr>
        <w:t xml:space="preserve"> effective immediately, when a </w:t>
      </w:r>
      <w:r w:rsidR="00624E58">
        <w:rPr>
          <w:sz w:val="24"/>
        </w:rPr>
        <w:t>railroad submits a</w:t>
      </w:r>
      <w:r w:rsidR="00CB7327">
        <w:rPr>
          <w:sz w:val="24"/>
        </w:rPr>
        <w:t xml:space="preserve"> license application with attached</w:t>
      </w:r>
      <w:r w:rsidR="00624E58">
        <w:rPr>
          <w:sz w:val="24"/>
        </w:rPr>
        <w:t xml:space="preserve"> Environmental Assessment (EA) </w:t>
      </w:r>
      <w:r w:rsidR="00CB7327">
        <w:rPr>
          <w:sz w:val="24"/>
        </w:rPr>
        <w:t>for</w:t>
      </w:r>
      <w:r w:rsidR="001A7B53">
        <w:rPr>
          <w:sz w:val="24"/>
        </w:rPr>
        <w:t xml:space="preserve"> Positive Train Control (PTC) </w:t>
      </w:r>
      <w:r w:rsidR="00CB7327">
        <w:rPr>
          <w:sz w:val="24"/>
        </w:rPr>
        <w:t>facilities</w:t>
      </w:r>
      <w:r w:rsidR="001A7B53">
        <w:rPr>
          <w:sz w:val="24"/>
        </w:rPr>
        <w:t xml:space="preserve"> </w:t>
      </w:r>
      <w:r w:rsidR="00624E58">
        <w:rPr>
          <w:sz w:val="24"/>
        </w:rPr>
        <w:t>prior to completing its obligations under</w:t>
      </w:r>
      <w:r w:rsidR="00CB7327">
        <w:rPr>
          <w:sz w:val="24"/>
        </w:rPr>
        <w:t xml:space="preserve"> the Commission’s rules implementing</w:t>
      </w:r>
      <w:r w:rsidR="00624E58">
        <w:rPr>
          <w:sz w:val="24"/>
        </w:rPr>
        <w:t xml:space="preserve"> Section 106 of the National Historic Preservation Act (Section 106),</w:t>
      </w:r>
      <w:r w:rsidR="00624E58">
        <w:rPr>
          <w:rStyle w:val="FootnoteReference"/>
          <w:sz w:val="24"/>
        </w:rPr>
        <w:footnoteReference w:id="2"/>
      </w:r>
      <w:r w:rsidR="00624E58">
        <w:rPr>
          <w:sz w:val="24"/>
        </w:rPr>
        <w:t xml:space="preserve"> </w:t>
      </w:r>
      <w:r w:rsidR="00CB7327">
        <w:rPr>
          <w:sz w:val="24"/>
        </w:rPr>
        <w:t>communications</w:t>
      </w:r>
      <w:r w:rsidR="00624E58">
        <w:rPr>
          <w:sz w:val="24"/>
        </w:rPr>
        <w:t xml:space="preserve"> between the Commission and Tribal Nations, and between the Commission and State Historic Preservation Officers (SHPOs), are </w:t>
      </w:r>
      <w:r w:rsidR="00CB7327">
        <w:rPr>
          <w:sz w:val="24"/>
        </w:rPr>
        <w:t>exempt from</w:t>
      </w:r>
      <w:r w:rsidR="00624E58">
        <w:rPr>
          <w:sz w:val="24"/>
        </w:rPr>
        <w:t xml:space="preserve"> </w:t>
      </w:r>
      <w:r w:rsidR="00624E58" w:rsidRPr="00624E58">
        <w:rPr>
          <w:i/>
          <w:sz w:val="24"/>
        </w:rPr>
        <w:t>ex parte</w:t>
      </w:r>
      <w:r w:rsidR="00624E58">
        <w:rPr>
          <w:sz w:val="24"/>
        </w:rPr>
        <w:t xml:space="preserve"> restrictions.</w:t>
      </w:r>
    </w:p>
    <w:p w:rsidR="00624E58" w:rsidRDefault="00624E58">
      <w:pPr>
        <w:spacing w:before="120" w:after="240"/>
        <w:rPr>
          <w:sz w:val="24"/>
        </w:rPr>
      </w:pPr>
      <w:r>
        <w:rPr>
          <w:sz w:val="24"/>
        </w:rPr>
        <w:tab/>
        <w:t>Ordinarily, when a</w:t>
      </w:r>
      <w:r w:rsidR="00CB7327">
        <w:rPr>
          <w:sz w:val="24"/>
        </w:rPr>
        <w:t xml:space="preserve"> party</w:t>
      </w:r>
      <w:r>
        <w:rPr>
          <w:sz w:val="24"/>
        </w:rPr>
        <w:t xml:space="preserve"> submits a</w:t>
      </w:r>
      <w:r w:rsidR="00CB7327">
        <w:rPr>
          <w:sz w:val="24"/>
        </w:rPr>
        <w:t xml:space="preserve"> license application</w:t>
      </w:r>
      <w:r>
        <w:rPr>
          <w:sz w:val="24"/>
        </w:rPr>
        <w:t>, the matter is treated as a restricted proceeding under the Commission rules.</w:t>
      </w:r>
      <w:r w:rsidR="00CB7327">
        <w:rPr>
          <w:rStyle w:val="FootnoteReference"/>
          <w:sz w:val="24"/>
        </w:rPr>
        <w:footnoteReference w:id="3"/>
      </w:r>
      <w:r w:rsidR="00CB7327">
        <w:rPr>
          <w:sz w:val="24"/>
        </w:rPr>
        <w:t xml:space="preserve">  EAs for facilities constructed pursuant to geographic area licenses are submitted as applications to modify the relevant license.</w:t>
      </w:r>
      <w:r>
        <w:rPr>
          <w:sz w:val="24"/>
        </w:rPr>
        <w:t xml:space="preserve">  </w:t>
      </w:r>
      <w:r w:rsidR="00CC76E8">
        <w:rPr>
          <w:sz w:val="24"/>
        </w:rPr>
        <w:t xml:space="preserve">Consequently, should the Commission </w:t>
      </w:r>
      <w:r w:rsidR="00CB7327">
        <w:rPr>
          <w:sz w:val="24"/>
        </w:rPr>
        <w:t>need</w:t>
      </w:r>
      <w:r w:rsidR="00CC76E8">
        <w:rPr>
          <w:sz w:val="24"/>
        </w:rPr>
        <w:t xml:space="preserve"> to communicate with either a Tribal Nation or a SHPO</w:t>
      </w:r>
      <w:r w:rsidR="00FA3B72">
        <w:rPr>
          <w:sz w:val="24"/>
        </w:rPr>
        <w:t xml:space="preserve"> about </w:t>
      </w:r>
      <w:r w:rsidR="005F1A62">
        <w:rPr>
          <w:sz w:val="24"/>
        </w:rPr>
        <w:t>matters addressed in an applicant’s</w:t>
      </w:r>
      <w:r w:rsidR="00FA3B72">
        <w:rPr>
          <w:sz w:val="24"/>
        </w:rPr>
        <w:t xml:space="preserve"> submission</w:t>
      </w:r>
      <w:r w:rsidR="00CC76E8">
        <w:rPr>
          <w:sz w:val="24"/>
        </w:rPr>
        <w:t>, the applicant would have the right to notice and service</w:t>
      </w:r>
      <w:r w:rsidR="00CB7327">
        <w:rPr>
          <w:sz w:val="24"/>
        </w:rPr>
        <w:t>, and the right to participate in any oral communications</w:t>
      </w:r>
      <w:r w:rsidR="00CC76E8">
        <w:rPr>
          <w:sz w:val="24"/>
        </w:rPr>
        <w:t>.</w:t>
      </w:r>
      <w:r w:rsidR="00CC76E8">
        <w:rPr>
          <w:rStyle w:val="FootnoteReference"/>
          <w:sz w:val="24"/>
        </w:rPr>
        <w:footnoteReference w:id="4"/>
      </w:r>
      <w:r w:rsidR="00CC76E8">
        <w:rPr>
          <w:sz w:val="24"/>
        </w:rPr>
        <w:t xml:space="preserve">  For this reason, the Commission </w:t>
      </w:r>
      <w:r w:rsidR="000531EB">
        <w:rPr>
          <w:sz w:val="24"/>
        </w:rPr>
        <w:t xml:space="preserve">normally prefers that </w:t>
      </w:r>
      <w:r w:rsidR="00CC76E8">
        <w:rPr>
          <w:sz w:val="24"/>
        </w:rPr>
        <w:t>applicants fil</w:t>
      </w:r>
      <w:r w:rsidR="000531EB">
        <w:rPr>
          <w:sz w:val="24"/>
        </w:rPr>
        <w:t xml:space="preserve">e </w:t>
      </w:r>
      <w:r w:rsidR="00CC76E8">
        <w:rPr>
          <w:sz w:val="24"/>
        </w:rPr>
        <w:t xml:space="preserve">EAs </w:t>
      </w:r>
      <w:r w:rsidR="000531EB">
        <w:rPr>
          <w:sz w:val="24"/>
        </w:rPr>
        <w:t>after</w:t>
      </w:r>
      <w:r w:rsidR="00CC76E8">
        <w:rPr>
          <w:sz w:val="24"/>
        </w:rPr>
        <w:t xml:space="preserve"> they have completed their Section 106 obligations, as the </w:t>
      </w:r>
      <w:r w:rsidR="00CC76E8">
        <w:rPr>
          <w:i/>
          <w:sz w:val="24"/>
        </w:rPr>
        <w:t>ex parte</w:t>
      </w:r>
      <w:r w:rsidR="00CC76E8">
        <w:rPr>
          <w:sz w:val="24"/>
        </w:rPr>
        <w:t xml:space="preserve"> rules make it difficult for the Commission to conduct negotiations that may facilitate the completion of the Section 106 process.</w:t>
      </w:r>
    </w:p>
    <w:p w:rsidR="00C63F6A" w:rsidRPr="007561B2" w:rsidRDefault="00CC76E8">
      <w:pPr>
        <w:spacing w:before="120" w:after="240"/>
        <w:rPr>
          <w:sz w:val="24"/>
          <w:szCs w:val="24"/>
        </w:rPr>
      </w:pPr>
      <w:r>
        <w:rPr>
          <w:sz w:val="24"/>
        </w:rPr>
        <w:tab/>
        <w:t xml:space="preserve">Nevertheless, </w:t>
      </w:r>
      <w:r w:rsidR="001A7B53">
        <w:rPr>
          <w:sz w:val="24"/>
        </w:rPr>
        <w:t>we determine that</w:t>
      </w:r>
      <w:r w:rsidR="005F1A62">
        <w:rPr>
          <w:sz w:val="24"/>
        </w:rPr>
        <w:t xml:space="preserve"> under the unique circumstances surrounding the deployment of PTC systems, “the public interest . . . requires” a modification of the </w:t>
      </w:r>
      <w:r w:rsidR="005F1A62">
        <w:rPr>
          <w:i/>
          <w:sz w:val="24"/>
        </w:rPr>
        <w:t xml:space="preserve">ex </w:t>
      </w:r>
      <w:r w:rsidR="005F1A62" w:rsidRPr="00D50BC2">
        <w:rPr>
          <w:i/>
          <w:sz w:val="24"/>
        </w:rPr>
        <w:t>parte</w:t>
      </w:r>
      <w:r w:rsidR="005F1A62">
        <w:rPr>
          <w:sz w:val="24"/>
        </w:rPr>
        <w:t xml:space="preserve"> </w:t>
      </w:r>
      <w:r w:rsidR="005F1A62">
        <w:rPr>
          <w:sz w:val="24"/>
        </w:rPr>
        <w:lastRenderedPageBreak/>
        <w:t>rules</w:t>
      </w:r>
      <w:r w:rsidR="000531EB">
        <w:rPr>
          <w:sz w:val="24"/>
        </w:rPr>
        <w:t xml:space="preserve"> in this instance</w:t>
      </w:r>
      <w:r w:rsidR="005F1A62">
        <w:rPr>
          <w:sz w:val="24"/>
        </w:rPr>
        <w:t>.</w:t>
      </w:r>
      <w:r w:rsidR="005F1A62">
        <w:rPr>
          <w:rStyle w:val="FootnoteReference"/>
          <w:sz w:val="24"/>
        </w:rPr>
        <w:footnoteReference w:id="5"/>
      </w:r>
      <w:r w:rsidR="005F1A62">
        <w:rPr>
          <w:sz w:val="24"/>
        </w:rPr>
        <w:t xml:space="preserve">  </w:t>
      </w:r>
      <w:r w:rsidR="00C63F6A">
        <w:rPr>
          <w:sz w:val="24"/>
        </w:rPr>
        <w:t>G</w:t>
      </w:r>
      <w:r w:rsidR="005F1A62">
        <w:rPr>
          <w:sz w:val="24"/>
        </w:rPr>
        <w:t>iven</w:t>
      </w:r>
      <w:r w:rsidR="001A7B53">
        <w:rPr>
          <w:sz w:val="24"/>
        </w:rPr>
        <w:t xml:space="preserve"> </w:t>
      </w:r>
      <w:r w:rsidR="00BD1BB8">
        <w:rPr>
          <w:sz w:val="24"/>
        </w:rPr>
        <w:t xml:space="preserve">the </w:t>
      </w:r>
      <w:r>
        <w:rPr>
          <w:sz w:val="24"/>
        </w:rPr>
        <w:t>statutory deadline of December 31, 2015</w:t>
      </w:r>
      <w:r w:rsidR="005F1A62">
        <w:rPr>
          <w:sz w:val="24"/>
        </w:rPr>
        <w:t>,</w:t>
      </w:r>
      <w:r w:rsidR="00BD1BB8" w:rsidRPr="00BD1BB8">
        <w:rPr>
          <w:sz w:val="24"/>
        </w:rPr>
        <w:t xml:space="preserve"> </w:t>
      </w:r>
      <w:r w:rsidR="001A7B53">
        <w:rPr>
          <w:sz w:val="24"/>
        </w:rPr>
        <w:t>for railroads to complete PTC build out</w:t>
      </w:r>
      <w:r>
        <w:rPr>
          <w:sz w:val="24"/>
        </w:rPr>
        <w:t>,</w:t>
      </w:r>
      <w:r>
        <w:rPr>
          <w:rStyle w:val="FootnoteReference"/>
          <w:sz w:val="24"/>
        </w:rPr>
        <w:footnoteReference w:id="6"/>
      </w:r>
      <w:r w:rsidR="001A7B53">
        <w:rPr>
          <w:sz w:val="24"/>
        </w:rPr>
        <w:t xml:space="preserve"> </w:t>
      </w:r>
      <w:r w:rsidR="005F1A62">
        <w:rPr>
          <w:sz w:val="24"/>
        </w:rPr>
        <w:t xml:space="preserve">it is imperative </w:t>
      </w:r>
      <w:r w:rsidR="00AF0569" w:rsidRPr="00AF0569">
        <w:rPr>
          <w:sz w:val="24"/>
        </w:rPr>
        <w:t>that enviro</w:t>
      </w:r>
      <w:r w:rsidR="00AF0569">
        <w:rPr>
          <w:sz w:val="24"/>
        </w:rPr>
        <w:t xml:space="preserve">nmental processing for PTC </w:t>
      </w:r>
      <w:r w:rsidR="00E85CB7">
        <w:rPr>
          <w:sz w:val="24"/>
        </w:rPr>
        <w:t>facilities</w:t>
      </w:r>
      <w:r w:rsidR="00AF0569" w:rsidRPr="00AF0569">
        <w:rPr>
          <w:sz w:val="24"/>
        </w:rPr>
        <w:t xml:space="preserve"> not unnecessarily delay </w:t>
      </w:r>
      <w:r w:rsidR="005F1A62">
        <w:rPr>
          <w:sz w:val="24"/>
        </w:rPr>
        <w:t>this important</w:t>
      </w:r>
      <w:r w:rsidR="00AF0569" w:rsidRPr="00AF0569">
        <w:rPr>
          <w:sz w:val="24"/>
        </w:rPr>
        <w:t xml:space="preserve"> rail safety</w:t>
      </w:r>
      <w:r w:rsidR="005F1A62">
        <w:rPr>
          <w:sz w:val="24"/>
        </w:rPr>
        <w:t xml:space="preserve"> initiative.</w:t>
      </w:r>
      <w:r w:rsidR="00FA3B72">
        <w:rPr>
          <w:rStyle w:val="FootnoteReference"/>
          <w:sz w:val="24"/>
        </w:rPr>
        <w:footnoteReference w:id="7"/>
      </w:r>
      <w:r w:rsidR="00AF0569">
        <w:rPr>
          <w:sz w:val="24"/>
        </w:rPr>
        <w:t xml:space="preserve"> </w:t>
      </w:r>
      <w:r w:rsidR="005F1A62">
        <w:rPr>
          <w:sz w:val="24"/>
        </w:rPr>
        <w:t xml:space="preserve"> Accordingly, this modification of the </w:t>
      </w:r>
      <w:r w:rsidR="005F1A62">
        <w:rPr>
          <w:i/>
          <w:sz w:val="24"/>
        </w:rPr>
        <w:t xml:space="preserve">ex </w:t>
      </w:r>
      <w:r w:rsidR="005F1A62" w:rsidRPr="00E54786">
        <w:rPr>
          <w:i/>
          <w:sz w:val="24"/>
        </w:rPr>
        <w:t>parte</w:t>
      </w:r>
      <w:r w:rsidR="005F1A62">
        <w:rPr>
          <w:sz w:val="24"/>
        </w:rPr>
        <w:t xml:space="preserve"> rules </w:t>
      </w:r>
      <w:r w:rsidR="00E54786">
        <w:rPr>
          <w:sz w:val="24"/>
        </w:rPr>
        <w:t>applies</w:t>
      </w:r>
      <w:r w:rsidR="005F1A62">
        <w:rPr>
          <w:sz w:val="24"/>
        </w:rPr>
        <w:t xml:space="preserve"> to EAs submitted for </w:t>
      </w:r>
      <w:r w:rsidR="00E85CB7">
        <w:rPr>
          <w:sz w:val="24"/>
        </w:rPr>
        <w:t xml:space="preserve">PTC </w:t>
      </w:r>
      <w:r w:rsidR="005F1A62">
        <w:rPr>
          <w:sz w:val="24"/>
        </w:rPr>
        <w:t>facilities</w:t>
      </w:r>
      <w:r w:rsidR="00A91301">
        <w:rPr>
          <w:sz w:val="24"/>
        </w:rPr>
        <w:t xml:space="preserve"> prior to the statutory deadline</w:t>
      </w:r>
      <w:r w:rsidR="005F1A62">
        <w:rPr>
          <w:sz w:val="24"/>
        </w:rPr>
        <w:t>.</w:t>
      </w:r>
      <w:r w:rsidR="005F1A62">
        <w:rPr>
          <w:rStyle w:val="FootnoteReference"/>
          <w:sz w:val="24"/>
        </w:rPr>
        <w:footnoteReference w:id="8"/>
      </w:r>
      <w:r w:rsidR="00E54786">
        <w:rPr>
          <w:sz w:val="24"/>
        </w:rPr>
        <w:t xml:space="preserve">  </w:t>
      </w:r>
      <w:r w:rsidR="003F6F4B" w:rsidRPr="00450542">
        <w:rPr>
          <w:sz w:val="24"/>
          <w:szCs w:val="24"/>
        </w:rPr>
        <w:t xml:space="preserve">Should the deadline be extended either by Congress or through a waiver from the Department of Transportation, the modification to the </w:t>
      </w:r>
      <w:r w:rsidR="003F6F4B" w:rsidRPr="00450542">
        <w:rPr>
          <w:i/>
          <w:sz w:val="24"/>
          <w:szCs w:val="24"/>
        </w:rPr>
        <w:t>ex parte</w:t>
      </w:r>
      <w:r w:rsidR="003F6F4B" w:rsidRPr="00450542">
        <w:rPr>
          <w:sz w:val="24"/>
          <w:szCs w:val="24"/>
        </w:rPr>
        <w:t xml:space="preserve"> rules will run through the expiration of the new deadline.  </w:t>
      </w:r>
    </w:p>
    <w:p w:rsidR="00E54786" w:rsidRDefault="00C63F6A" w:rsidP="00D50BC2">
      <w:pPr>
        <w:spacing w:before="120" w:after="240"/>
        <w:ind w:firstLine="720"/>
        <w:rPr>
          <w:sz w:val="24"/>
        </w:rPr>
      </w:pPr>
      <w:r>
        <w:rPr>
          <w:sz w:val="24"/>
        </w:rPr>
        <w:t>We note that</w:t>
      </w:r>
      <w:r w:rsidR="00E54786">
        <w:rPr>
          <w:sz w:val="24"/>
        </w:rPr>
        <w:t xml:space="preserve"> this modification of the </w:t>
      </w:r>
      <w:r w:rsidR="00E54786">
        <w:rPr>
          <w:i/>
          <w:sz w:val="24"/>
        </w:rPr>
        <w:t xml:space="preserve">ex </w:t>
      </w:r>
      <w:r w:rsidR="00E54786" w:rsidRPr="00E54786">
        <w:rPr>
          <w:i/>
          <w:sz w:val="24"/>
        </w:rPr>
        <w:t>par</w:t>
      </w:r>
      <w:r w:rsidR="00E54786" w:rsidRPr="00D50BC2">
        <w:rPr>
          <w:i/>
          <w:sz w:val="24"/>
        </w:rPr>
        <w:t>te</w:t>
      </w:r>
      <w:r w:rsidR="00E54786" w:rsidRPr="00E54786">
        <w:rPr>
          <w:sz w:val="24"/>
        </w:rPr>
        <w:t xml:space="preserve"> </w:t>
      </w:r>
      <w:r w:rsidR="00E54786">
        <w:rPr>
          <w:sz w:val="24"/>
        </w:rPr>
        <w:t>rules is limited to communications between the Commission and Tribal and State government entities with a formal role in the Section 106 process, thereby reducing any risk that a party could gain competitive or commercial advantage from exempt communications.</w:t>
      </w:r>
      <w:r w:rsidR="00E54786">
        <w:rPr>
          <w:rStyle w:val="FootnoteReference"/>
          <w:sz w:val="24"/>
        </w:rPr>
        <w:footnoteReference w:id="9"/>
      </w:r>
      <w:r w:rsidR="00E54786">
        <w:rPr>
          <w:sz w:val="24"/>
        </w:rPr>
        <w:t xml:space="preserve">  </w:t>
      </w:r>
      <w:r>
        <w:rPr>
          <w:sz w:val="24"/>
        </w:rPr>
        <w:t xml:space="preserve">We further note that </w:t>
      </w:r>
      <w:r w:rsidR="00E54786">
        <w:rPr>
          <w:sz w:val="24"/>
        </w:rPr>
        <w:t xml:space="preserve">we modify the </w:t>
      </w:r>
      <w:r w:rsidR="00E54786">
        <w:rPr>
          <w:i/>
          <w:sz w:val="24"/>
        </w:rPr>
        <w:t xml:space="preserve">ex </w:t>
      </w:r>
      <w:r w:rsidR="00E54786" w:rsidRPr="00E54786">
        <w:rPr>
          <w:i/>
          <w:sz w:val="24"/>
        </w:rPr>
        <w:t>parte</w:t>
      </w:r>
      <w:r w:rsidR="00E54786">
        <w:rPr>
          <w:sz w:val="24"/>
        </w:rPr>
        <w:t xml:space="preserve"> requirements herein only when an EA is submitted for a reason other than potential impacts on historic properties or Indian religious sites.</w:t>
      </w:r>
      <w:r w:rsidR="00E54786">
        <w:rPr>
          <w:rStyle w:val="FootnoteReference"/>
          <w:sz w:val="24"/>
        </w:rPr>
        <w:footnoteReference w:id="10"/>
      </w:r>
      <w:r w:rsidR="00E54786">
        <w:rPr>
          <w:sz w:val="24"/>
        </w:rPr>
        <w:t xml:space="preserve">  Under this condition, communications with Tribal Nations and SHPOs are unlikely to implicate the </w:t>
      </w:r>
      <w:r w:rsidR="00F14BD6">
        <w:rPr>
          <w:sz w:val="24"/>
        </w:rPr>
        <w:t>potential environmental impacts</w:t>
      </w:r>
      <w:r w:rsidR="00E54786">
        <w:rPr>
          <w:sz w:val="24"/>
        </w:rPr>
        <w:t xml:space="preserve"> that caused the EA to be submitted.</w:t>
      </w:r>
    </w:p>
    <w:p w:rsidR="00CC76E8" w:rsidRDefault="00E54786" w:rsidP="00D50BC2">
      <w:pPr>
        <w:spacing w:before="120" w:after="240"/>
        <w:ind w:firstLine="720"/>
        <w:rPr>
          <w:sz w:val="24"/>
        </w:rPr>
      </w:pPr>
      <w:r>
        <w:rPr>
          <w:sz w:val="24"/>
        </w:rPr>
        <w:t xml:space="preserve">This targeted modification of the </w:t>
      </w:r>
      <w:r>
        <w:rPr>
          <w:i/>
          <w:sz w:val="24"/>
        </w:rPr>
        <w:t xml:space="preserve">ex parte </w:t>
      </w:r>
      <w:r>
        <w:rPr>
          <w:sz w:val="24"/>
        </w:rPr>
        <w:t>rules</w:t>
      </w:r>
      <w:r w:rsidR="00AF0569">
        <w:rPr>
          <w:sz w:val="24"/>
        </w:rPr>
        <w:t xml:space="preserve"> will enable the railroad</w:t>
      </w:r>
      <w:r w:rsidR="009661CC">
        <w:rPr>
          <w:sz w:val="24"/>
        </w:rPr>
        <w:t>s better</w:t>
      </w:r>
      <w:r w:rsidR="00AF0569">
        <w:rPr>
          <w:sz w:val="24"/>
        </w:rPr>
        <w:t xml:space="preserve"> to complete </w:t>
      </w:r>
      <w:r w:rsidR="009661CC">
        <w:rPr>
          <w:sz w:val="24"/>
        </w:rPr>
        <w:t>their</w:t>
      </w:r>
      <w:r w:rsidR="00AF0569">
        <w:rPr>
          <w:sz w:val="24"/>
        </w:rPr>
        <w:t xml:space="preserve"> obligations </w:t>
      </w:r>
      <w:r w:rsidR="009661CC">
        <w:rPr>
          <w:sz w:val="24"/>
        </w:rPr>
        <w:t>relating to</w:t>
      </w:r>
      <w:r w:rsidR="00AF0569">
        <w:rPr>
          <w:sz w:val="24"/>
        </w:rPr>
        <w:t xml:space="preserve"> National Environmental Policy Act </w:t>
      </w:r>
      <w:r w:rsidR="009661CC">
        <w:rPr>
          <w:sz w:val="24"/>
        </w:rPr>
        <w:t>compliance and</w:t>
      </w:r>
      <w:r w:rsidR="00AF0569">
        <w:rPr>
          <w:sz w:val="24"/>
        </w:rPr>
        <w:t xml:space="preserve"> Section 106</w:t>
      </w:r>
      <w:r w:rsidR="009661CC">
        <w:rPr>
          <w:sz w:val="24"/>
        </w:rPr>
        <w:t xml:space="preserve"> compliance in parallel</w:t>
      </w:r>
      <w:r w:rsidR="00AF0569">
        <w:rPr>
          <w:sz w:val="24"/>
        </w:rPr>
        <w:t>.  Specifically, a railroad will be able to submit an EA that is required for reason</w:t>
      </w:r>
      <w:r w:rsidR="0012597C">
        <w:rPr>
          <w:sz w:val="24"/>
        </w:rPr>
        <w:t>s</w:t>
      </w:r>
      <w:r w:rsidR="00AF0569">
        <w:rPr>
          <w:sz w:val="24"/>
        </w:rPr>
        <w:t xml:space="preserve"> other than Section 106 prior to completing the Section 106 process.  Should issues arise in the course of a railroad completing its Section 106 obligations, the Commission will be able to </w:t>
      </w:r>
      <w:r w:rsidR="009661CC">
        <w:rPr>
          <w:sz w:val="24"/>
        </w:rPr>
        <w:t>resolve such issues</w:t>
      </w:r>
      <w:r w:rsidR="00AF0569">
        <w:rPr>
          <w:sz w:val="24"/>
        </w:rPr>
        <w:t xml:space="preserve"> with affected Tribal Nations and the SHPO without being subject to </w:t>
      </w:r>
      <w:r w:rsidR="00AF0569">
        <w:rPr>
          <w:i/>
          <w:sz w:val="24"/>
        </w:rPr>
        <w:t>ex parte</w:t>
      </w:r>
      <w:r w:rsidR="00AF0569">
        <w:rPr>
          <w:sz w:val="24"/>
        </w:rPr>
        <w:t xml:space="preserve"> restrictions that would hinder </w:t>
      </w:r>
      <w:r w:rsidR="009661CC">
        <w:rPr>
          <w:sz w:val="24"/>
        </w:rPr>
        <w:t>the necessary communications.  Given the exigent nature of PTC deployment, we find that this benefit of increased efficiency outweighs any harms that may be caused by permitting th</w:t>
      </w:r>
      <w:r w:rsidR="00F14BD6">
        <w:rPr>
          <w:sz w:val="24"/>
        </w:rPr>
        <w:t xml:space="preserve">is limited class of </w:t>
      </w:r>
      <w:r w:rsidR="009661CC">
        <w:rPr>
          <w:sz w:val="24"/>
        </w:rPr>
        <w:t>communications</w:t>
      </w:r>
      <w:r w:rsidR="00F14BD6">
        <w:rPr>
          <w:sz w:val="24"/>
        </w:rPr>
        <w:t xml:space="preserve"> without disclosure</w:t>
      </w:r>
      <w:r w:rsidR="000531EB">
        <w:rPr>
          <w:sz w:val="24"/>
        </w:rPr>
        <w:t xml:space="preserve"> and serves the public interest</w:t>
      </w:r>
      <w:r w:rsidR="00AF0569">
        <w:rPr>
          <w:sz w:val="24"/>
        </w:rPr>
        <w:t>.</w:t>
      </w:r>
    </w:p>
    <w:p w:rsidR="00AF0569" w:rsidRDefault="00AF0569">
      <w:pPr>
        <w:spacing w:before="120" w:after="240"/>
        <w:rPr>
          <w:sz w:val="24"/>
        </w:rPr>
      </w:pPr>
      <w:r>
        <w:rPr>
          <w:sz w:val="24"/>
        </w:rPr>
        <w:tab/>
      </w:r>
      <w:r w:rsidR="00D50BC2">
        <w:rPr>
          <w:sz w:val="24"/>
        </w:rPr>
        <w:t xml:space="preserve">Once the Section 106 process is complete, the railroad will be required to amend its EA to include the new information.  </w:t>
      </w:r>
      <w:r w:rsidR="00BD1BB8">
        <w:rPr>
          <w:sz w:val="24"/>
        </w:rPr>
        <w:t>The Bureau will</w:t>
      </w:r>
      <w:r w:rsidR="00BD1BB8" w:rsidRPr="00BD1BB8">
        <w:rPr>
          <w:sz w:val="24"/>
        </w:rPr>
        <w:t xml:space="preserve"> not issue a Finding Of No Significant Impact</w:t>
      </w:r>
      <w:r w:rsidR="009661CC">
        <w:rPr>
          <w:sz w:val="24"/>
        </w:rPr>
        <w:t xml:space="preserve"> in any matter</w:t>
      </w:r>
      <w:r w:rsidR="00BD1BB8" w:rsidRPr="00BD1BB8">
        <w:rPr>
          <w:sz w:val="24"/>
        </w:rPr>
        <w:t xml:space="preserve"> until all</w:t>
      </w:r>
      <w:r w:rsidR="009661CC">
        <w:rPr>
          <w:sz w:val="24"/>
        </w:rPr>
        <w:t xml:space="preserve"> environmental</w:t>
      </w:r>
      <w:r w:rsidR="00BD1BB8" w:rsidRPr="00BD1BB8">
        <w:rPr>
          <w:sz w:val="24"/>
        </w:rPr>
        <w:t xml:space="preserve"> processes</w:t>
      </w:r>
      <w:r w:rsidR="009661CC">
        <w:rPr>
          <w:sz w:val="24"/>
        </w:rPr>
        <w:t xml:space="preserve"> required under Part 1, Subpart I of the rules</w:t>
      </w:r>
      <w:r w:rsidR="00BD1BB8" w:rsidRPr="00BD1BB8">
        <w:rPr>
          <w:sz w:val="24"/>
        </w:rPr>
        <w:t xml:space="preserve"> are final</w:t>
      </w:r>
      <w:r w:rsidR="00BD1BB8">
        <w:rPr>
          <w:sz w:val="24"/>
        </w:rPr>
        <w:t>.</w:t>
      </w:r>
      <w:r w:rsidR="0059681B">
        <w:rPr>
          <w:rStyle w:val="FootnoteReference"/>
          <w:sz w:val="24"/>
        </w:rPr>
        <w:footnoteReference w:id="11"/>
      </w:r>
      <w:r w:rsidR="00BD1BB8">
        <w:rPr>
          <w:sz w:val="24"/>
        </w:rPr>
        <w:t xml:space="preserve">  Further</w:t>
      </w:r>
      <w:r w:rsidR="00BD1BB8" w:rsidRPr="00BD1BB8">
        <w:rPr>
          <w:sz w:val="24"/>
        </w:rPr>
        <w:t xml:space="preserve">, if the </w:t>
      </w:r>
      <w:r w:rsidR="00BD1BB8">
        <w:rPr>
          <w:sz w:val="24"/>
        </w:rPr>
        <w:t>Section 106</w:t>
      </w:r>
      <w:r w:rsidR="00BD1BB8" w:rsidRPr="00BD1BB8">
        <w:rPr>
          <w:sz w:val="24"/>
        </w:rPr>
        <w:t xml:space="preserve"> process does yield a finding of adverse effect</w:t>
      </w:r>
      <w:r w:rsidR="00D50BC2">
        <w:rPr>
          <w:sz w:val="24"/>
        </w:rPr>
        <w:t xml:space="preserve"> or other material change to the substance of the railroad’s environmental findings</w:t>
      </w:r>
      <w:r w:rsidR="0012597C">
        <w:rPr>
          <w:sz w:val="24"/>
        </w:rPr>
        <w:t xml:space="preserve">, </w:t>
      </w:r>
      <w:r w:rsidR="009661CC">
        <w:rPr>
          <w:sz w:val="24"/>
        </w:rPr>
        <w:t>the Bureau will</w:t>
      </w:r>
      <w:r w:rsidR="00BD1BB8" w:rsidRPr="00BD1BB8">
        <w:rPr>
          <w:sz w:val="24"/>
        </w:rPr>
        <w:t xml:space="preserve"> restart the public comment period.  </w:t>
      </w:r>
    </w:p>
    <w:p w:rsidR="00C63F6A" w:rsidRPr="00C63F6A" w:rsidRDefault="00C63F6A" w:rsidP="00C63F6A">
      <w:pPr>
        <w:spacing w:before="120" w:after="240"/>
        <w:rPr>
          <w:sz w:val="24"/>
        </w:rPr>
      </w:pPr>
      <w:r w:rsidRPr="00C63F6A">
        <w:rPr>
          <w:sz w:val="24"/>
        </w:rPr>
        <w:t>Wireless Te</w:t>
      </w:r>
      <w:r>
        <w:rPr>
          <w:sz w:val="24"/>
        </w:rPr>
        <w:t>lecommunications Bureau contact</w:t>
      </w:r>
      <w:r w:rsidRPr="00C63F6A">
        <w:rPr>
          <w:sz w:val="24"/>
        </w:rPr>
        <w:t xml:space="preserve">: Aaron Goldschmidt, (202) 418-7146 or aaron.goldschmidt@fcc.gov. </w:t>
      </w:r>
    </w:p>
    <w:p w:rsidR="009661CC" w:rsidRPr="00AF0569" w:rsidRDefault="00C63F6A" w:rsidP="00C63F6A">
      <w:pPr>
        <w:spacing w:before="120" w:after="240"/>
        <w:rPr>
          <w:sz w:val="24"/>
        </w:rPr>
      </w:pPr>
      <w:r w:rsidRPr="00C63F6A">
        <w:rPr>
          <w:sz w:val="24"/>
        </w:rPr>
        <w:t>Media contact: Cecilia Sulhoff, (202) 418-0587 or cecilia.sulhoff@fcc.gov</w:t>
      </w:r>
      <w:r w:rsidRPr="00C63F6A" w:rsidDel="00C63F6A">
        <w:rPr>
          <w:sz w:val="24"/>
        </w:rPr>
        <w:t xml:space="preserve"> </w:t>
      </w:r>
    </w:p>
    <w:sectPr w:rsidR="009661CC" w:rsidRPr="00AF056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33" w:rsidRDefault="00726F33">
      <w:r>
        <w:separator/>
      </w:r>
    </w:p>
  </w:endnote>
  <w:endnote w:type="continuationSeparator" w:id="0">
    <w:p w:rsidR="00726F33" w:rsidRDefault="0072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66" w:rsidRDefault="00911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66" w:rsidRDefault="00911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66" w:rsidRDefault="009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33" w:rsidRDefault="00726F33">
      <w:r>
        <w:separator/>
      </w:r>
    </w:p>
  </w:footnote>
  <w:footnote w:type="continuationSeparator" w:id="0">
    <w:p w:rsidR="00726F33" w:rsidRDefault="00726F33">
      <w:r>
        <w:continuationSeparator/>
      </w:r>
    </w:p>
  </w:footnote>
  <w:footnote w:id="1">
    <w:p w:rsidR="00FA3B72" w:rsidRDefault="00FA3B72">
      <w:pPr>
        <w:pStyle w:val="FootnoteText"/>
      </w:pPr>
      <w:r>
        <w:rPr>
          <w:rStyle w:val="FootnoteReference"/>
        </w:rPr>
        <w:footnoteRef/>
      </w:r>
      <w:r>
        <w:t xml:space="preserve"> 47 C.F.R. § 1.1200(a).</w:t>
      </w:r>
    </w:p>
  </w:footnote>
  <w:footnote w:id="2">
    <w:p w:rsidR="00FA3B72" w:rsidRDefault="00FA3B72">
      <w:pPr>
        <w:pStyle w:val="FootnoteText"/>
      </w:pPr>
      <w:r>
        <w:rPr>
          <w:rStyle w:val="FootnoteReference"/>
        </w:rPr>
        <w:footnoteRef/>
      </w:r>
      <w:r>
        <w:t xml:space="preserve"> 16 U.S.C. § 470f.</w:t>
      </w:r>
    </w:p>
  </w:footnote>
  <w:footnote w:id="3">
    <w:p w:rsidR="00CB7327" w:rsidRPr="00CB7327" w:rsidRDefault="00CB7327">
      <w:pPr>
        <w:pStyle w:val="FootnoteText"/>
      </w:pPr>
      <w:r>
        <w:rPr>
          <w:rStyle w:val="FootnoteReference"/>
        </w:rPr>
        <w:footnoteRef/>
      </w:r>
      <w:r>
        <w:t xml:space="preserve"> </w:t>
      </w:r>
      <w:r>
        <w:rPr>
          <w:i/>
        </w:rPr>
        <w:t>See</w:t>
      </w:r>
      <w:r>
        <w:t xml:space="preserve"> 47 C.F.R. § 1.1208 (restricted proceedings include applications for authority under Title III of the Communications Act).</w:t>
      </w:r>
    </w:p>
  </w:footnote>
  <w:footnote w:id="4">
    <w:p w:rsidR="00FA3B72" w:rsidRPr="00CC76E8" w:rsidRDefault="00FA3B72">
      <w:pPr>
        <w:pStyle w:val="FootnoteText"/>
      </w:pPr>
      <w:r>
        <w:rPr>
          <w:rStyle w:val="FootnoteReference"/>
        </w:rPr>
        <w:footnoteRef/>
      </w:r>
      <w:r>
        <w:t xml:space="preserve"> </w:t>
      </w:r>
      <w:r>
        <w:rPr>
          <w:i/>
        </w:rPr>
        <w:t>See</w:t>
      </w:r>
      <w:r>
        <w:t xml:space="preserve"> 47 C.F.R. § 1.120</w:t>
      </w:r>
      <w:r w:rsidR="00CB7327">
        <w:t xml:space="preserve">2(b) (defining an </w:t>
      </w:r>
      <w:r w:rsidR="00CB7327">
        <w:rPr>
          <w:i/>
        </w:rPr>
        <w:t>ex parte</w:t>
      </w:r>
      <w:r w:rsidR="00CB7327">
        <w:t xml:space="preserve"> presentation as any presentation which, if written, is not served on the parties to the proceeding, or if oral, is made without advance notice to the parties and an opportunity for them to be present)</w:t>
      </w:r>
      <w:r>
        <w:t>.</w:t>
      </w:r>
    </w:p>
  </w:footnote>
  <w:footnote w:id="5">
    <w:p w:rsidR="005F1A62" w:rsidRPr="0059681B" w:rsidRDefault="005F1A62" w:rsidP="005F1A62">
      <w:pPr>
        <w:pStyle w:val="FootnoteText"/>
      </w:pPr>
      <w:r>
        <w:rPr>
          <w:rStyle w:val="FootnoteReference"/>
        </w:rPr>
        <w:footnoteRef/>
      </w:r>
      <w:r>
        <w:t xml:space="preserve"> </w:t>
      </w:r>
      <w:r>
        <w:rPr>
          <w:i/>
        </w:rPr>
        <w:t>See</w:t>
      </w:r>
      <w:r>
        <w:t xml:space="preserve"> 47 C.F.R. § 1.1200(a).</w:t>
      </w:r>
    </w:p>
  </w:footnote>
  <w:footnote w:id="6">
    <w:p w:rsidR="00FA3B72" w:rsidRPr="00CC76E8" w:rsidRDefault="00FA3B72">
      <w:pPr>
        <w:pStyle w:val="FootnoteText"/>
        <w:rPr>
          <w:b/>
        </w:rPr>
      </w:pPr>
      <w:r>
        <w:rPr>
          <w:rStyle w:val="FootnoteReference"/>
        </w:rPr>
        <w:footnoteRef/>
      </w:r>
      <w:r>
        <w:t xml:space="preserve"> </w:t>
      </w:r>
      <w:r w:rsidRPr="00BD1BB8">
        <w:rPr>
          <w:i/>
        </w:rPr>
        <w:t>See</w:t>
      </w:r>
      <w:r w:rsidRPr="00BD1BB8">
        <w:t xml:space="preserve"> Rail Safety Improvement Act of 2008, P.L. 110-432.</w:t>
      </w:r>
    </w:p>
  </w:footnote>
  <w:footnote w:id="7">
    <w:p w:rsidR="00FA3B72" w:rsidRPr="00FA3B72" w:rsidRDefault="00FA3B72">
      <w:pPr>
        <w:pStyle w:val="FootnoteText"/>
      </w:pPr>
      <w:r>
        <w:rPr>
          <w:rStyle w:val="FootnoteReference"/>
        </w:rPr>
        <w:footnoteRef/>
      </w:r>
      <w:r>
        <w:t xml:space="preserve"> For a more complete discussion of the public interest rationale for </w:t>
      </w:r>
      <w:r w:rsidR="005F1A62">
        <w:t>expediting review of</w:t>
      </w:r>
      <w:r>
        <w:t xml:space="preserve"> PTC </w:t>
      </w:r>
      <w:r w:rsidR="00E85CB7">
        <w:t>facilities</w:t>
      </w:r>
      <w:r w:rsidR="005F1A62">
        <w:t xml:space="preserve"> while</w:t>
      </w:r>
      <w:r>
        <w:t xml:space="preserve"> compl</w:t>
      </w:r>
      <w:r w:rsidR="005F1A62">
        <w:t>ying</w:t>
      </w:r>
      <w:r>
        <w:t xml:space="preserve"> with environmental laws, </w:t>
      </w:r>
      <w:r>
        <w:rPr>
          <w:i/>
        </w:rPr>
        <w:t>see</w:t>
      </w:r>
      <w:r>
        <w:t xml:space="preserve"> </w:t>
      </w:r>
      <w:r w:rsidR="005F1A62">
        <w:t xml:space="preserve">Wireless Telecommunications Bureau Announces Adoption of Program Comment To Govern Review of Positive Train Control Wayside Facilities, WT Docket No. 13-240, </w:t>
      </w:r>
      <w:r w:rsidR="005F1A62">
        <w:rPr>
          <w:i/>
        </w:rPr>
        <w:t>Public Notice</w:t>
      </w:r>
      <w:r w:rsidR="005F1A62">
        <w:t>, 29 FCC Rcd 5340, 5344-46 (WT</w:t>
      </w:r>
      <w:r w:rsidR="009661CC">
        <w:t>B 2014)</w:t>
      </w:r>
      <w:r>
        <w:t>.</w:t>
      </w:r>
    </w:p>
  </w:footnote>
  <w:footnote w:id="8">
    <w:p w:rsidR="005F1A62" w:rsidRPr="00A91301" w:rsidRDefault="005F1A62">
      <w:pPr>
        <w:pStyle w:val="FootnoteText"/>
      </w:pPr>
      <w:r>
        <w:rPr>
          <w:rStyle w:val="FootnoteReference"/>
        </w:rPr>
        <w:footnoteRef/>
      </w:r>
      <w:r>
        <w:t xml:space="preserve"> </w:t>
      </w:r>
      <w:r w:rsidR="00E85CB7">
        <w:t>Although the</w:t>
      </w:r>
      <w:r w:rsidR="007561B2">
        <w:t xml:space="preserve"> PTC</w:t>
      </w:r>
      <w:r w:rsidR="00E85CB7">
        <w:t xml:space="preserve"> Program Comment is limited to wayside facilities that meet certain criteria</w:t>
      </w:r>
      <w:r w:rsidR="007561B2">
        <w:t xml:space="preserve"> and therefore are less likely to cause adverse effects to historic properties</w:t>
      </w:r>
      <w:r w:rsidR="00E85CB7">
        <w:t xml:space="preserve">, </w:t>
      </w:r>
      <w:r w:rsidR="00E85CB7">
        <w:rPr>
          <w:i/>
        </w:rPr>
        <w:t>s</w:t>
      </w:r>
      <w:r>
        <w:rPr>
          <w:i/>
        </w:rPr>
        <w:t xml:space="preserve">ee id. </w:t>
      </w:r>
      <w:r>
        <w:t xml:space="preserve">at </w:t>
      </w:r>
      <w:r w:rsidR="00E54786">
        <w:t>5346</w:t>
      </w:r>
      <w:r w:rsidR="00E85CB7">
        <w:t xml:space="preserve">, </w:t>
      </w:r>
      <w:r w:rsidR="007561B2">
        <w:t xml:space="preserve">this distinction is immaterial to the application of the </w:t>
      </w:r>
      <w:r w:rsidR="007561B2">
        <w:rPr>
          <w:i/>
        </w:rPr>
        <w:t xml:space="preserve">ex parte </w:t>
      </w:r>
      <w:r w:rsidR="007561B2">
        <w:t xml:space="preserve"> rules.  Accordingly, in order best to facilitate the timely deployment of PTC before the statutory deadline, this modification of the </w:t>
      </w:r>
      <w:r w:rsidR="007561B2">
        <w:rPr>
          <w:i/>
          <w:u w:val="single"/>
        </w:rPr>
        <w:t xml:space="preserve">ex parte </w:t>
      </w:r>
      <w:r w:rsidR="007561B2">
        <w:rPr>
          <w:u w:val="single"/>
        </w:rPr>
        <w:t xml:space="preserve"> rules applies to all facilities constructed for the purpose of supporting PTC transmissions.</w:t>
      </w:r>
    </w:p>
  </w:footnote>
  <w:footnote w:id="9">
    <w:p w:rsidR="00E54786" w:rsidRPr="00E54786" w:rsidRDefault="00E54786">
      <w:pPr>
        <w:pStyle w:val="FootnoteText"/>
      </w:pPr>
      <w:r>
        <w:rPr>
          <w:rStyle w:val="FootnoteReference"/>
        </w:rPr>
        <w:footnoteRef/>
      </w:r>
      <w:r>
        <w:t xml:space="preserve"> We note that communications between Commission staff and another Federal agency with which the Commission shares jurisdiction over issues addressed in an EA are exempt from </w:t>
      </w:r>
      <w:r>
        <w:rPr>
          <w:i/>
        </w:rPr>
        <w:t xml:space="preserve">ex parte </w:t>
      </w:r>
      <w:r>
        <w:t>restrictions.  47 C</w:t>
      </w:r>
      <w:r w:rsidR="00D50BC2">
        <w:t>.</w:t>
      </w:r>
      <w:r>
        <w:t>F.R</w:t>
      </w:r>
      <w:r w:rsidR="00D50BC2">
        <w:t>.</w:t>
      </w:r>
      <w:r>
        <w:t xml:space="preserve"> §</w:t>
      </w:r>
      <w:r w:rsidR="00D50BC2">
        <w:t xml:space="preserve"> </w:t>
      </w:r>
      <w:r>
        <w:t>1.1204(a)(5).</w:t>
      </w:r>
    </w:p>
  </w:footnote>
  <w:footnote w:id="10">
    <w:p w:rsidR="00E54786" w:rsidRDefault="00E54786">
      <w:pPr>
        <w:pStyle w:val="FootnoteText"/>
      </w:pPr>
      <w:r>
        <w:rPr>
          <w:rStyle w:val="FootnoteReference"/>
        </w:rPr>
        <w:footnoteRef/>
      </w:r>
      <w:r>
        <w:t xml:space="preserve"> 47 C.F.R. § 1.1307(a)(4), (5).</w:t>
      </w:r>
    </w:p>
  </w:footnote>
  <w:footnote w:id="11">
    <w:p w:rsidR="00FA3B72" w:rsidRPr="0059681B" w:rsidRDefault="00FA3B72">
      <w:pPr>
        <w:pStyle w:val="FootnoteText"/>
      </w:pPr>
      <w:r>
        <w:rPr>
          <w:rStyle w:val="FootnoteReference"/>
        </w:rPr>
        <w:footnoteRef/>
      </w:r>
      <w:r>
        <w:t xml:space="preserve"> </w:t>
      </w:r>
      <w:r>
        <w:rPr>
          <w:i/>
        </w:rPr>
        <w:t>See</w:t>
      </w:r>
      <w:r>
        <w:t xml:space="preserve"> 47 C.F.R. § 1.1308(d).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66" w:rsidRDefault="00911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66" w:rsidRDefault="00911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72" w:rsidRDefault="00FA3B7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8F211E0" wp14:editId="19A478E6">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FA3B72" w:rsidRDefault="00FA3B7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5BEBDB6" wp14:editId="1180C4C3">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40937EC" wp14:editId="40B30C5C">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72" w:rsidRDefault="00FA3B72">
                          <w:pPr>
                            <w:rPr>
                              <w:rFonts w:ascii="Arial" w:hAnsi="Arial"/>
                              <w:b/>
                            </w:rPr>
                          </w:pPr>
                          <w:r>
                            <w:rPr>
                              <w:rFonts w:ascii="Arial" w:hAnsi="Arial"/>
                              <w:b/>
                            </w:rPr>
                            <w:t>Federal Communications Commission</w:t>
                          </w:r>
                        </w:p>
                        <w:p w:rsidR="00FA3B72" w:rsidRDefault="00FA3B7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A3B72" w:rsidRDefault="00FA3B7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FA3B72" w:rsidRDefault="00FA3B72">
                    <w:pPr>
                      <w:rPr>
                        <w:rFonts w:ascii="Arial" w:hAnsi="Arial"/>
                        <w:b/>
                      </w:rPr>
                    </w:pPr>
                    <w:r>
                      <w:rPr>
                        <w:rFonts w:ascii="Arial" w:hAnsi="Arial"/>
                        <w:b/>
                      </w:rPr>
                      <w:t>Federal Communications Commission</w:t>
                    </w:r>
                  </w:p>
                  <w:p w:rsidR="00FA3B72" w:rsidRDefault="00FA3B7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A3B72" w:rsidRDefault="00FA3B7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FEE0508" wp14:editId="5943D50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72" w:rsidRDefault="00FA3B72">
                          <w:pPr>
                            <w:spacing w:before="40"/>
                            <w:jc w:val="right"/>
                            <w:rPr>
                              <w:rFonts w:ascii="Arial" w:hAnsi="Arial"/>
                              <w:b/>
                              <w:sz w:val="16"/>
                            </w:rPr>
                          </w:pPr>
                          <w:r>
                            <w:rPr>
                              <w:rFonts w:ascii="Arial" w:hAnsi="Arial"/>
                              <w:b/>
                              <w:sz w:val="16"/>
                            </w:rPr>
                            <w:t>News Media Information 202 / 418-0500</w:t>
                          </w:r>
                        </w:p>
                        <w:p w:rsidR="00FA3B72" w:rsidRDefault="00FA3B7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A3B72" w:rsidRDefault="00FA3B72">
                          <w:pPr>
                            <w:jc w:val="right"/>
                            <w:rPr>
                              <w:rFonts w:ascii="Arial" w:hAnsi="Arial"/>
                              <w:b/>
                              <w:sz w:val="16"/>
                            </w:rPr>
                          </w:pPr>
                          <w:r>
                            <w:rPr>
                              <w:rFonts w:ascii="Arial" w:hAnsi="Arial"/>
                              <w:b/>
                              <w:sz w:val="16"/>
                            </w:rPr>
                            <w:t>TTY: 1-888-835-5322</w:t>
                          </w:r>
                        </w:p>
                        <w:p w:rsidR="00FA3B72" w:rsidRDefault="00FA3B7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FA3B72" w:rsidRDefault="00FA3B72">
                    <w:pPr>
                      <w:spacing w:before="40"/>
                      <w:jc w:val="right"/>
                      <w:rPr>
                        <w:rFonts w:ascii="Arial" w:hAnsi="Arial"/>
                        <w:b/>
                        <w:sz w:val="16"/>
                      </w:rPr>
                    </w:pPr>
                    <w:r>
                      <w:rPr>
                        <w:rFonts w:ascii="Arial" w:hAnsi="Arial"/>
                        <w:b/>
                        <w:sz w:val="16"/>
                      </w:rPr>
                      <w:t>News Media Information 202 / 418-0500</w:t>
                    </w:r>
                  </w:p>
                  <w:p w:rsidR="00FA3B72" w:rsidRDefault="00FA3B7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A3B72" w:rsidRDefault="00FA3B72">
                    <w:pPr>
                      <w:jc w:val="right"/>
                      <w:rPr>
                        <w:rFonts w:ascii="Arial" w:hAnsi="Arial"/>
                        <w:b/>
                        <w:sz w:val="16"/>
                      </w:rPr>
                    </w:pPr>
                    <w:r>
                      <w:rPr>
                        <w:rFonts w:ascii="Arial" w:hAnsi="Arial"/>
                        <w:b/>
                        <w:sz w:val="16"/>
                      </w:rPr>
                      <w:t>TTY: 1-888-835-5322</w:t>
                    </w:r>
                  </w:p>
                  <w:p w:rsidR="00FA3B72" w:rsidRDefault="00FA3B72">
                    <w:pPr>
                      <w:jc w:val="right"/>
                    </w:pPr>
                  </w:p>
                </w:txbxContent>
              </v:textbox>
            </v:shape>
          </w:pict>
        </mc:Fallback>
      </mc:AlternateContent>
    </w:r>
  </w:p>
  <w:p w:rsidR="00FA3B72" w:rsidRDefault="00FA3B7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E1"/>
    <w:rsid w:val="000265AE"/>
    <w:rsid w:val="000531EB"/>
    <w:rsid w:val="00092524"/>
    <w:rsid w:val="0012597C"/>
    <w:rsid w:val="00157B45"/>
    <w:rsid w:val="001A7B53"/>
    <w:rsid w:val="003F6F4B"/>
    <w:rsid w:val="00450542"/>
    <w:rsid w:val="00482948"/>
    <w:rsid w:val="004D549C"/>
    <w:rsid w:val="0059681B"/>
    <w:rsid w:val="005F1A62"/>
    <w:rsid w:val="00602577"/>
    <w:rsid w:val="00624E58"/>
    <w:rsid w:val="006B203A"/>
    <w:rsid w:val="00726F33"/>
    <w:rsid w:val="007561B2"/>
    <w:rsid w:val="00790B88"/>
    <w:rsid w:val="007D3FE1"/>
    <w:rsid w:val="007D5956"/>
    <w:rsid w:val="00911E66"/>
    <w:rsid w:val="009661CC"/>
    <w:rsid w:val="009D4AB8"/>
    <w:rsid w:val="00A75951"/>
    <w:rsid w:val="00A91301"/>
    <w:rsid w:val="00AF0569"/>
    <w:rsid w:val="00BD1BB8"/>
    <w:rsid w:val="00C63F6A"/>
    <w:rsid w:val="00CB7327"/>
    <w:rsid w:val="00CC76E8"/>
    <w:rsid w:val="00D17DC0"/>
    <w:rsid w:val="00D50BC2"/>
    <w:rsid w:val="00D60EFF"/>
    <w:rsid w:val="00D979D0"/>
    <w:rsid w:val="00E54786"/>
    <w:rsid w:val="00E57C35"/>
    <w:rsid w:val="00E85CB7"/>
    <w:rsid w:val="00F14BD6"/>
    <w:rsid w:val="00FA3B72"/>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CB7327"/>
    <w:rPr>
      <w:sz w:val="16"/>
      <w:szCs w:val="16"/>
    </w:rPr>
  </w:style>
  <w:style w:type="paragraph" w:styleId="CommentText">
    <w:name w:val="annotation text"/>
    <w:basedOn w:val="Normal"/>
    <w:link w:val="CommentTextChar"/>
    <w:uiPriority w:val="99"/>
    <w:semiHidden/>
    <w:unhideWhenUsed/>
    <w:rsid w:val="00CB7327"/>
    <w:rPr>
      <w:sz w:val="20"/>
    </w:rPr>
  </w:style>
  <w:style w:type="character" w:customStyle="1" w:styleId="CommentTextChar">
    <w:name w:val="Comment Text Char"/>
    <w:basedOn w:val="DefaultParagraphFont"/>
    <w:link w:val="CommentText"/>
    <w:uiPriority w:val="99"/>
    <w:semiHidden/>
    <w:rsid w:val="00CB7327"/>
  </w:style>
  <w:style w:type="paragraph" w:styleId="CommentSubject">
    <w:name w:val="annotation subject"/>
    <w:basedOn w:val="CommentText"/>
    <w:next w:val="CommentText"/>
    <w:link w:val="CommentSubjectChar"/>
    <w:uiPriority w:val="99"/>
    <w:semiHidden/>
    <w:unhideWhenUsed/>
    <w:rsid w:val="00CB7327"/>
    <w:rPr>
      <w:b/>
      <w:bCs/>
    </w:rPr>
  </w:style>
  <w:style w:type="character" w:customStyle="1" w:styleId="CommentSubjectChar">
    <w:name w:val="Comment Subject Char"/>
    <w:basedOn w:val="CommentTextChar"/>
    <w:link w:val="CommentSubject"/>
    <w:uiPriority w:val="99"/>
    <w:semiHidden/>
    <w:rsid w:val="00CB7327"/>
    <w:rPr>
      <w:b/>
      <w:bCs/>
    </w:rPr>
  </w:style>
  <w:style w:type="paragraph" w:styleId="BalloonText">
    <w:name w:val="Balloon Text"/>
    <w:basedOn w:val="Normal"/>
    <w:link w:val="BalloonTextChar"/>
    <w:uiPriority w:val="99"/>
    <w:semiHidden/>
    <w:unhideWhenUsed/>
    <w:rsid w:val="00CB7327"/>
    <w:rPr>
      <w:rFonts w:ascii="Tahoma" w:hAnsi="Tahoma" w:cs="Tahoma"/>
      <w:sz w:val="16"/>
      <w:szCs w:val="16"/>
    </w:rPr>
  </w:style>
  <w:style w:type="character" w:customStyle="1" w:styleId="BalloonTextChar">
    <w:name w:val="Balloon Text Char"/>
    <w:basedOn w:val="DefaultParagraphFont"/>
    <w:link w:val="BalloonText"/>
    <w:uiPriority w:val="99"/>
    <w:semiHidden/>
    <w:rsid w:val="00CB7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CB7327"/>
    <w:rPr>
      <w:sz w:val="16"/>
      <w:szCs w:val="16"/>
    </w:rPr>
  </w:style>
  <w:style w:type="paragraph" w:styleId="CommentText">
    <w:name w:val="annotation text"/>
    <w:basedOn w:val="Normal"/>
    <w:link w:val="CommentTextChar"/>
    <w:uiPriority w:val="99"/>
    <w:semiHidden/>
    <w:unhideWhenUsed/>
    <w:rsid w:val="00CB7327"/>
    <w:rPr>
      <w:sz w:val="20"/>
    </w:rPr>
  </w:style>
  <w:style w:type="character" w:customStyle="1" w:styleId="CommentTextChar">
    <w:name w:val="Comment Text Char"/>
    <w:basedOn w:val="DefaultParagraphFont"/>
    <w:link w:val="CommentText"/>
    <w:uiPriority w:val="99"/>
    <w:semiHidden/>
    <w:rsid w:val="00CB7327"/>
  </w:style>
  <w:style w:type="paragraph" w:styleId="CommentSubject">
    <w:name w:val="annotation subject"/>
    <w:basedOn w:val="CommentText"/>
    <w:next w:val="CommentText"/>
    <w:link w:val="CommentSubjectChar"/>
    <w:uiPriority w:val="99"/>
    <w:semiHidden/>
    <w:unhideWhenUsed/>
    <w:rsid w:val="00CB7327"/>
    <w:rPr>
      <w:b/>
      <w:bCs/>
    </w:rPr>
  </w:style>
  <w:style w:type="character" w:customStyle="1" w:styleId="CommentSubjectChar">
    <w:name w:val="Comment Subject Char"/>
    <w:basedOn w:val="CommentTextChar"/>
    <w:link w:val="CommentSubject"/>
    <w:uiPriority w:val="99"/>
    <w:semiHidden/>
    <w:rsid w:val="00CB7327"/>
    <w:rPr>
      <w:b/>
      <w:bCs/>
    </w:rPr>
  </w:style>
  <w:style w:type="paragraph" w:styleId="BalloonText">
    <w:name w:val="Balloon Text"/>
    <w:basedOn w:val="Normal"/>
    <w:link w:val="BalloonTextChar"/>
    <w:uiPriority w:val="99"/>
    <w:semiHidden/>
    <w:unhideWhenUsed/>
    <w:rsid w:val="00CB7327"/>
    <w:rPr>
      <w:rFonts w:ascii="Tahoma" w:hAnsi="Tahoma" w:cs="Tahoma"/>
      <w:sz w:val="16"/>
      <w:szCs w:val="16"/>
    </w:rPr>
  </w:style>
  <w:style w:type="character" w:customStyle="1" w:styleId="BalloonTextChar">
    <w:name w:val="Balloon Text Char"/>
    <w:basedOn w:val="DefaultParagraphFont"/>
    <w:link w:val="BalloonText"/>
    <w:uiPriority w:val="99"/>
    <w:semiHidden/>
    <w:rsid w:val="00CB7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682</Words>
  <Characters>3887</Characters>
  <Application>Microsoft Office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2014-08-26T19:05:00Z</cp:lastPrinted>
  <dcterms:created xsi:type="dcterms:W3CDTF">2014-08-27T16:02:00Z</dcterms:created>
  <dcterms:modified xsi:type="dcterms:W3CDTF">2014-08-27T16:02:00Z</dcterms:modified>
  <cp:category> </cp:category>
  <cp:contentStatus> </cp:contentStatus>
</cp:coreProperties>
</file>