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5958" w14:textId="77777777" w:rsidR="00C94EB8" w:rsidRDefault="00C94EB8">
      <w:pPr>
        <w:widowControl/>
        <w:jc w:val="center"/>
        <w:rPr>
          <w:b/>
          <w:szCs w:val="22"/>
        </w:rPr>
      </w:pPr>
      <w:bookmarkStart w:id="0" w:name="_GoBack"/>
      <w:bookmarkEnd w:id="0"/>
      <w:r>
        <w:rPr>
          <w:b/>
          <w:kern w:val="0"/>
          <w:szCs w:val="22"/>
        </w:rPr>
        <w:t>Before</w:t>
      </w:r>
      <w:r>
        <w:rPr>
          <w:b/>
          <w:szCs w:val="22"/>
        </w:rPr>
        <w:t xml:space="preserve"> the</w:t>
      </w:r>
    </w:p>
    <w:p w14:paraId="73C27F53" w14:textId="77777777" w:rsidR="00C94EB8" w:rsidRDefault="00C94EB8">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14:paraId="079B84BF" w14:textId="77777777" w:rsidR="00C94EB8" w:rsidRDefault="00C94EB8">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14:paraId="744054F2" w14:textId="77777777" w:rsidR="00C94EB8" w:rsidRDefault="00C94EB8">
      <w:pPr>
        <w:widowControl/>
        <w:rPr>
          <w:szCs w:val="22"/>
        </w:rPr>
      </w:pPr>
    </w:p>
    <w:tbl>
      <w:tblPr>
        <w:tblW w:w="0" w:type="auto"/>
        <w:jc w:val="center"/>
        <w:tblLayout w:type="fixed"/>
        <w:tblLook w:val="0000" w:firstRow="0" w:lastRow="0" w:firstColumn="0" w:lastColumn="0" w:noHBand="0" w:noVBand="0"/>
      </w:tblPr>
      <w:tblGrid>
        <w:gridCol w:w="4698"/>
        <w:gridCol w:w="630"/>
        <w:gridCol w:w="4248"/>
      </w:tblGrid>
      <w:tr w:rsidR="00C94EB8" w14:paraId="72537DC5" w14:textId="77777777">
        <w:trPr>
          <w:jc w:val="center"/>
        </w:trPr>
        <w:tc>
          <w:tcPr>
            <w:tcW w:w="4698" w:type="dxa"/>
          </w:tcPr>
          <w:p w14:paraId="6307C5A4" w14:textId="77777777" w:rsidR="00C94EB8" w:rsidRDefault="00C94EB8">
            <w:pPr>
              <w:widowControl/>
              <w:rPr>
                <w:szCs w:val="22"/>
              </w:rPr>
            </w:pPr>
            <w:r>
              <w:rPr>
                <w:spacing w:val="-2"/>
                <w:szCs w:val="22"/>
              </w:rPr>
              <w:t>In the Matter of</w:t>
            </w:r>
            <w:r>
              <w:rPr>
                <w:szCs w:val="22"/>
              </w:rPr>
              <w:t xml:space="preserve"> </w:t>
            </w:r>
          </w:p>
          <w:p w14:paraId="3C361CD7" w14:textId="77777777" w:rsidR="00C94EB8" w:rsidRDefault="00C94EB8">
            <w:pPr>
              <w:widowControl/>
              <w:rPr>
                <w:szCs w:val="22"/>
              </w:rPr>
            </w:pPr>
          </w:p>
          <w:p w14:paraId="02FD2C0A" w14:textId="0B342745" w:rsidR="003B6C3B" w:rsidRDefault="003B6C3B" w:rsidP="003B6C3B">
            <w:pPr>
              <w:pStyle w:val="BodyText"/>
              <w:rPr>
                <w:sz w:val="22"/>
                <w:szCs w:val="22"/>
              </w:rPr>
            </w:pPr>
            <w:r>
              <w:rPr>
                <w:color w:val="000000"/>
                <w:sz w:val="22"/>
                <w:szCs w:val="22"/>
              </w:rPr>
              <w:t>WOYK</w:t>
            </w:r>
            <w:r w:rsidR="009C069E">
              <w:rPr>
                <w:color w:val="000000"/>
                <w:sz w:val="22"/>
                <w:szCs w:val="22"/>
              </w:rPr>
              <w:t>,</w:t>
            </w:r>
            <w:r>
              <w:rPr>
                <w:color w:val="000000"/>
                <w:sz w:val="22"/>
                <w:szCs w:val="22"/>
              </w:rPr>
              <w:t xml:space="preserve"> Inc.</w:t>
            </w:r>
          </w:p>
          <w:p w14:paraId="458F3D7F" w14:textId="77777777" w:rsidR="003B6C3B" w:rsidRDefault="003B6C3B" w:rsidP="003B6C3B">
            <w:pPr>
              <w:pStyle w:val="BodyText"/>
              <w:rPr>
                <w:sz w:val="22"/>
                <w:szCs w:val="22"/>
              </w:rPr>
            </w:pPr>
            <w:r w:rsidRPr="0013414C">
              <w:rPr>
                <w:spacing w:val="0"/>
                <w:sz w:val="22"/>
                <w:szCs w:val="22"/>
              </w:rPr>
              <w:t>Licensee of Radio Station W</w:t>
            </w:r>
            <w:r>
              <w:rPr>
                <w:spacing w:val="0"/>
                <w:sz w:val="22"/>
                <w:szCs w:val="22"/>
              </w:rPr>
              <w:t>OYK</w:t>
            </w:r>
            <w:r w:rsidRPr="0013414C">
              <w:rPr>
                <w:spacing w:val="0"/>
                <w:sz w:val="22"/>
                <w:szCs w:val="22"/>
              </w:rPr>
              <w:t>(AM)</w:t>
            </w:r>
          </w:p>
          <w:p w14:paraId="2336FE04" w14:textId="77777777" w:rsidR="003B6C3B" w:rsidRDefault="003B6C3B" w:rsidP="003B6C3B">
            <w:pPr>
              <w:pStyle w:val="BodyText"/>
              <w:rPr>
                <w:spacing w:val="0"/>
                <w:sz w:val="22"/>
                <w:szCs w:val="22"/>
              </w:rPr>
            </w:pPr>
            <w:r>
              <w:rPr>
                <w:spacing w:val="0"/>
                <w:sz w:val="22"/>
                <w:szCs w:val="22"/>
              </w:rPr>
              <w:t>Owner of Antenna Structure Number 1029251</w:t>
            </w:r>
          </w:p>
          <w:p w14:paraId="0FBBB7DF" w14:textId="77777777" w:rsidR="003B6C3B" w:rsidRDefault="003B6C3B" w:rsidP="003B6C3B">
            <w:pPr>
              <w:pStyle w:val="BodyText"/>
              <w:rPr>
                <w:snapToGrid w:val="0"/>
                <w:color w:val="000000"/>
                <w:sz w:val="22"/>
                <w:szCs w:val="22"/>
              </w:rPr>
            </w:pPr>
            <w:smartTag w:uri="urn:schemas-microsoft-com:office:smarttags" w:element="place">
              <w:smartTag w:uri="urn:schemas-microsoft-com:office:smarttags" w:element="City">
                <w:r>
                  <w:rPr>
                    <w:color w:val="000000"/>
                    <w:sz w:val="22"/>
                    <w:szCs w:val="22"/>
                  </w:rPr>
                  <w:t>York</w:t>
                </w:r>
              </w:smartTag>
              <w:r>
                <w:rPr>
                  <w:color w:val="000000"/>
                  <w:sz w:val="22"/>
                  <w:szCs w:val="22"/>
                </w:rPr>
                <w:t xml:space="preserve">, </w:t>
              </w:r>
              <w:smartTag w:uri="urn:schemas-microsoft-com:office:smarttags" w:element="State">
                <w:r>
                  <w:rPr>
                    <w:color w:val="000000"/>
                    <w:sz w:val="22"/>
                    <w:szCs w:val="22"/>
                  </w:rPr>
                  <w:t>Pennsylvania</w:t>
                </w:r>
              </w:smartTag>
            </w:smartTag>
          </w:p>
          <w:p w14:paraId="2F89A660" w14:textId="77777777" w:rsidR="00C94EB8" w:rsidRDefault="00C94EB8" w:rsidP="003B6C3B">
            <w:pPr>
              <w:widowControl/>
              <w:rPr>
                <w:spacing w:val="-2"/>
                <w:szCs w:val="22"/>
                <w:lang w:val="es-ES"/>
              </w:rPr>
            </w:pPr>
          </w:p>
        </w:tc>
        <w:tc>
          <w:tcPr>
            <w:tcW w:w="630" w:type="dxa"/>
          </w:tcPr>
          <w:p w14:paraId="4EC08BD6" w14:textId="77777777" w:rsidR="00C94EB8" w:rsidRDefault="00C94EB8">
            <w:pPr>
              <w:widowControl/>
              <w:tabs>
                <w:tab w:val="center" w:pos="4680"/>
              </w:tabs>
              <w:suppressAutoHyphens/>
              <w:spacing w:line="240" w:lineRule="atLeast"/>
              <w:jc w:val="both"/>
              <w:outlineLvl w:val="0"/>
              <w:rPr>
                <w:szCs w:val="22"/>
              </w:rPr>
            </w:pPr>
            <w:r>
              <w:rPr>
                <w:szCs w:val="22"/>
              </w:rPr>
              <w:t>)</w:t>
            </w:r>
          </w:p>
          <w:p w14:paraId="4BC17E36" w14:textId="77777777" w:rsidR="00C94EB8" w:rsidRDefault="00C94EB8">
            <w:pPr>
              <w:widowControl/>
              <w:tabs>
                <w:tab w:val="center" w:pos="4680"/>
              </w:tabs>
              <w:suppressAutoHyphens/>
              <w:spacing w:line="240" w:lineRule="atLeast"/>
              <w:jc w:val="both"/>
              <w:outlineLvl w:val="0"/>
              <w:rPr>
                <w:szCs w:val="22"/>
              </w:rPr>
            </w:pPr>
            <w:r>
              <w:rPr>
                <w:szCs w:val="22"/>
              </w:rPr>
              <w:t>)</w:t>
            </w:r>
          </w:p>
          <w:p w14:paraId="5913C5EB" w14:textId="77777777" w:rsidR="00C94EB8" w:rsidRDefault="00C94EB8">
            <w:pPr>
              <w:widowControl/>
              <w:tabs>
                <w:tab w:val="center" w:pos="4680"/>
              </w:tabs>
              <w:suppressAutoHyphens/>
              <w:spacing w:line="240" w:lineRule="atLeast"/>
              <w:jc w:val="both"/>
              <w:outlineLvl w:val="0"/>
              <w:rPr>
                <w:szCs w:val="22"/>
              </w:rPr>
            </w:pPr>
            <w:r>
              <w:rPr>
                <w:szCs w:val="22"/>
              </w:rPr>
              <w:t>)</w:t>
            </w:r>
          </w:p>
          <w:p w14:paraId="669C9C37" w14:textId="77777777" w:rsidR="00C94EB8" w:rsidRDefault="00C94EB8">
            <w:pPr>
              <w:widowControl/>
              <w:tabs>
                <w:tab w:val="center" w:pos="4680"/>
              </w:tabs>
              <w:suppressAutoHyphens/>
              <w:spacing w:line="240" w:lineRule="atLeast"/>
              <w:jc w:val="both"/>
              <w:outlineLvl w:val="0"/>
              <w:rPr>
                <w:szCs w:val="22"/>
              </w:rPr>
            </w:pPr>
            <w:r>
              <w:rPr>
                <w:szCs w:val="22"/>
              </w:rPr>
              <w:t>)</w:t>
            </w:r>
          </w:p>
          <w:p w14:paraId="2121CDA3" w14:textId="77777777" w:rsidR="00C94EB8" w:rsidRDefault="00C94EB8">
            <w:pPr>
              <w:widowControl/>
              <w:tabs>
                <w:tab w:val="center" w:pos="4680"/>
              </w:tabs>
              <w:suppressAutoHyphens/>
              <w:spacing w:line="240" w:lineRule="atLeast"/>
              <w:jc w:val="both"/>
              <w:outlineLvl w:val="0"/>
              <w:rPr>
                <w:szCs w:val="22"/>
              </w:rPr>
            </w:pPr>
            <w:r>
              <w:rPr>
                <w:szCs w:val="22"/>
              </w:rPr>
              <w:t>)</w:t>
            </w:r>
          </w:p>
          <w:p w14:paraId="28DAB005" w14:textId="77777777" w:rsidR="00C94EB8" w:rsidRDefault="00890159">
            <w:pPr>
              <w:widowControl/>
              <w:tabs>
                <w:tab w:val="center" w:pos="4680"/>
              </w:tabs>
              <w:suppressAutoHyphens/>
              <w:spacing w:line="240" w:lineRule="atLeast"/>
              <w:jc w:val="both"/>
              <w:outlineLvl w:val="0"/>
              <w:rPr>
                <w:szCs w:val="22"/>
              </w:rPr>
            </w:pPr>
            <w:r>
              <w:rPr>
                <w:szCs w:val="22"/>
              </w:rPr>
              <w:t>)</w:t>
            </w:r>
          </w:p>
          <w:p w14:paraId="689F866E" w14:textId="77777777" w:rsidR="00890159" w:rsidRDefault="00890159">
            <w:pPr>
              <w:widowControl/>
              <w:tabs>
                <w:tab w:val="center" w:pos="4680"/>
              </w:tabs>
              <w:suppressAutoHyphens/>
              <w:spacing w:line="240" w:lineRule="atLeast"/>
              <w:jc w:val="both"/>
              <w:outlineLvl w:val="0"/>
              <w:rPr>
                <w:szCs w:val="22"/>
              </w:rPr>
            </w:pPr>
            <w:r>
              <w:rPr>
                <w:szCs w:val="22"/>
              </w:rPr>
              <w:t>)</w:t>
            </w:r>
          </w:p>
        </w:tc>
        <w:tc>
          <w:tcPr>
            <w:tcW w:w="4248" w:type="dxa"/>
          </w:tcPr>
          <w:p w14:paraId="4AF52944" w14:textId="77777777" w:rsidR="00890159" w:rsidRDefault="00890159" w:rsidP="00F439DA">
            <w:pPr>
              <w:rPr>
                <w:snapToGrid/>
                <w:spacing w:val="-2"/>
                <w:szCs w:val="22"/>
              </w:rPr>
            </w:pPr>
          </w:p>
          <w:p w14:paraId="3A3CE07B" w14:textId="77777777" w:rsidR="00890159" w:rsidRPr="00F439DA" w:rsidRDefault="00890159" w:rsidP="00F439DA">
            <w:pPr>
              <w:rPr>
                <w:spacing w:val="-2"/>
              </w:rPr>
            </w:pPr>
          </w:p>
          <w:p w14:paraId="4C7CB329" w14:textId="77777777" w:rsidR="003B6C3B" w:rsidRDefault="003B6C3B" w:rsidP="003B6C3B">
            <w:pPr>
              <w:rPr>
                <w:szCs w:val="22"/>
              </w:rPr>
            </w:pPr>
            <w:r>
              <w:rPr>
                <w:szCs w:val="22"/>
              </w:rPr>
              <w:t xml:space="preserve">File No.: </w:t>
            </w:r>
            <w:r w:rsidR="00890159">
              <w:rPr>
                <w:szCs w:val="22"/>
              </w:rPr>
              <w:t xml:space="preserve"> </w:t>
            </w:r>
            <w:r w:rsidRPr="00A94B13">
              <w:rPr>
                <w:szCs w:val="22"/>
              </w:rPr>
              <w:t>EB-10-PA-0308</w:t>
            </w:r>
            <w:r w:rsidR="00743A76">
              <w:rPr>
                <w:szCs w:val="22"/>
              </w:rPr>
              <w:t xml:space="preserve">; </w:t>
            </w:r>
            <w:r w:rsidR="00172CCB">
              <w:t>EB-FIELDNER-13-000056628</w:t>
            </w:r>
          </w:p>
          <w:p w14:paraId="66F21BFC" w14:textId="77777777" w:rsidR="003B6C3B" w:rsidRDefault="003B6C3B" w:rsidP="00743A76">
            <w:pPr>
              <w:rPr>
                <w:szCs w:val="22"/>
              </w:rPr>
            </w:pPr>
            <w:r>
              <w:rPr>
                <w:szCs w:val="22"/>
              </w:rPr>
              <w:t>NAL/Acct. No.:  20123240000</w:t>
            </w:r>
            <w:r w:rsidR="00743A76">
              <w:rPr>
                <w:szCs w:val="22"/>
              </w:rPr>
              <w:t>4</w:t>
            </w:r>
          </w:p>
          <w:p w14:paraId="7128888E" w14:textId="0E108222" w:rsidR="003B6C3B" w:rsidRDefault="003B6C3B" w:rsidP="003B6C3B">
            <w:pPr>
              <w:tabs>
                <w:tab w:val="center" w:pos="4680"/>
              </w:tabs>
              <w:suppressAutoHyphens/>
              <w:spacing w:line="240" w:lineRule="atLeast"/>
              <w:outlineLvl w:val="0"/>
              <w:rPr>
                <w:szCs w:val="22"/>
              </w:rPr>
            </w:pPr>
            <w:r>
              <w:rPr>
                <w:szCs w:val="22"/>
              </w:rPr>
              <w:t xml:space="preserve">FRN: </w:t>
            </w:r>
            <w:r w:rsidR="00890159">
              <w:rPr>
                <w:szCs w:val="22"/>
              </w:rPr>
              <w:t xml:space="preserve"> </w:t>
            </w:r>
            <w:r w:rsidR="00B7076D" w:rsidRPr="00F96ED3">
              <w:rPr>
                <w:szCs w:val="22"/>
              </w:rPr>
              <w:t>00</w:t>
            </w:r>
            <w:r w:rsidR="00890159">
              <w:rPr>
                <w:szCs w:val="22"/>
              </w:rPr>
              <w:t>0502</w:t>
            </w:r>
            <w:r w:rsidR="00B7076D">
              <w:rPr>
                <w:szCs w:val="22"/>
              </w:rPr>
              <w:t>3106</w:t>
            </w:r>
          </w:p>
          <w:p w14:paraId="3B0BB303" w14:textId="4D288E06" w:rsidR="003B6C3B" w:rsidRDefault="00890159" w:rsidP="003B6C3B">
            <w:pPr>
              <w:pStyle w:val="BodyText"/>
              <w:rPr>
                <w:sz w:val="22"/>
                <w:szCs w:val="22"/>
              </w:rPr>
            </w:pPr>
            <w:r>
              <w:rPr>
                <w:spacing w:val="0"/>
                <w:sz w:val="22"/>
                <w:szCs w:val="22"/>
              </w:rPr>
              <w:t>Facility ID No.</w:t>
            </w:r>
            <w:r w:rsidR="003B6C3B">
              <w:rPr>
                <w:spacing w:val="0"/>
                <w:sz w:val="22"/>
                <w:szCs w:val="22"/>
              </w:rPr>
              <w:t>:</w:t>
            </w:r>
            <w:r w:rsidR="003B6C3B" w:rsidRPr="0013414C">
              <w:rPr>
                <w:spacing w:val="0"/>
                <w:sz w:val="22"/>
                <w:szCs w:val="22"/>
              </w:rPr>
              <w:t xml:space="preserve"> </w:t>
            </w:r>
            <w:r w:rsidR="003B6C3B">
              <w:rPr>
                <w:spacing w:val="0"/>
                <w:sz w:val="22"/>
                <w:szCs w:val="22"/>
              </w:rPr>
              <w:t>73873</w:t>
            </w:r>
          </w:p>
          <w:p w14:paraId="4ADF447E" w14:textId="77777777" w:rsidR="00C94EB8" w:rsidRDefault="00C94EB8" w:rsidP="003B6C3B">
            <w:pPr>
              <w:widowControl/>
              <w:rPr>
                <w:szCs w:val="22"/>
              </w:rPr>
            </w:pPr>
            <w:r>
              <w:rPr>
                <w:szCs w:val="22"/>
              </w:rPr>
              <w:t xml:space="preserve">        </w:t>
            </w:r>
          </w:p>
        </w:tc>
      </w:tr>
    </w:tbl>
    <w:p w14:paraId="080CF345" w14:textId="77777777" w:rsidR="00C94EB8" w:rsidRDefault="00C94EB8">
      <w:pPr>
        <w:pStyle w:val="StyleBoldCentered"/>
        <w:widowControl/>
        <w:rPr>
          <w:rFonts w:ascii="Times New Roman" w:hAnsi="Times New Roman"/>
        </w:rPr>
      </w:pPr>
      <w:r>
        <w:rPr>
          <w:rFonts w:ascii="Times New Roman" w:hAnsi="Times New Roman"/>
        </w:rPr>
        <w:t>Forfeiture Order</w:t>
      </w:r>
    </w:p>
    <w:p w14:paraId="73DD458D" w14:textId="77777777" w:rsidR="00C94EB8" w:rsidRDefault="00C94EB8">
      <w:pPr>
        <w:widowControl/>
        <w:tabs>
          <w:tab w:val="left" w:pos="-720"/>
        </w:tabs>
        <w:suppressAutoHyphens/>
        <w:spacing w:line="227" w:lineRule="auto"/>
        <w:rPr>
          <w:spacing w:val="-2"/>
          <w:szCs w:val="22"/>
        </w:rPr>
      </w:pPr>
    </w:p>
    <w:p w14:paraId="0AC227DD" w14:textId="1BBAAC24" w:rsidR="00C94EB8" w:rsidRDefault="00C94EB8" w:rsidP="003B6C3B">
      <w:pPr>
        <w:widowControl/>
        <w:tabs>
          <w:tab w:val="left" w:pos="720"/>
          <w:tab w:val="left" w:pos="5760"/>
        </w:tabs>
        <w:suppressAutoHyphens/>
        <w:spacing w:line="227" w:lineRule="auto"/>
        <w:rPr>
          <w:b/>
          <w:bCs/>
          <w:spacing w:val="-2"/>
          <w:szCs w:val="22"/>
        </w:rPr>
      </w:pPr>
      <w:r>
        <w:rPr>
          <w:b/>
          <w:spacing w:val="-2"/>
          <w:szCs w:val="22"/>
        </w:rPr>
        <w:t xml:space="preserve">Adopted:  </w:t>
      </w:r>
      <w:r w:rsidR="002A1FBE">
        <w:rPr>
          <w:b/>
          <w:spacing w:val="-2"/>
          <w:szCs w:val="22"/>
        </w:rPr>
        <w:t>September 5, 2014</w:t>
      </w:r>
      <w:r>
        <w:rPr>
          <w:b/>
          <w:spacing w:val="-2"/>
          <w:szCs w:val="22"/>
        </w:rPr>
        <w:tab/>
        <w:t xml:space="preserve">           Released:  </w:t>
      </w:r>
      <w:r w:rsidR="002A1FBE">
        <w:rPr>
          <w:b/>
          <w:spacing w:val="-2"/>
          <w:szCs w:val="22"/>
        </w:rPr>
        <w:t>September 5, 2014</w:t>
      </w:r>
    </w:p>
    <w:p w14:paraId="55800381" w14:textId="77777777" w:rsidR="00C94EB8" w:rsidRDefault="00C94EB8">
      <w:pPr>
        <w:widowControl/>
        <w:rPr>
          <w:szCs w:val="22"/>
        </w:rPr>
      </w:pPr>
    </w:p>
    <w:p w14:paraId="2B134AE0" w14:textId="77777777" w:rsidR="00C94EB8" w:rsidRDefault="00C94EB8">
      <w:pPr>
        <w:widowControl/>
        <w:rPr>
          <w:spacing w:val="-2"/>
          <w:szCs w:val="22"/>
        </w:rPr>
      </w:pPr>
      <w:r>
        <w:rPr>
          <w:szCs w:val="22"/>
        </w:rPr>
        <w:t xml:space="preserve">By the </w:t>
      </w:r>
      <w:r w:rsidR="003B6C3B">
        <w:rPr>
          <w:spacing w:val="-2"/>
          <w:szCs w:val="22"/>
        </w:rPr>
        <w:t>Regional Director, Northeast</w:t>
      </w:r>
      <w:r>
        <w:rPr>
          <w:spacing w:val="-2"/>
          <w:szCs w:val="22"/>
        </w:rPr>
        <w:t xml:space="preserve"> Region, Enforcement Bureau:</w:t>
      </w:r>
    </w:p>
    <w:p w14:paraId="1E2C3324" w14:textId="77777777" w:rsidR="00C94EB8" w:rsidRDefault="00C94EB8">
      <w:pPr>
        <w:widowControl/>
        <w:rPr>
          <w:szCs w:val="22"/>
        </w:rPr>
      </w:pPr>
    </w:p>
    <w:p w14:paraId="20B2B5A9" w14:textId="77777777" w:rsidR="00C94EB8" w:rsidRDefault="00C94EB8" w:rsidP="00F439DA">
      <w:pPr>
        <w:pStyle w:val="Heading1"/>
        <w:widowControl/>
        <w:rPr>
          <w:rFonts w:ascii="Times New Roman" w:hAnsi="Times New Roman"/>
          <w:szCs w:val="22"/>
        </w:rPr>
      </w:pPr>
      <w:r>
        <w:rPr>
          <w:rFonts w:ascii="Times New Roman" w:hAnsi="Times New Roman"/>
          <w:szCs w:val="22"/>
        </w:rPr>
        <w:t>Introduction</w:t>
      </w:r>
    </w:p>
    <w:p w14:paraId="02EFD61C" w14:textId="51916298" w:rsidR="00C94EB8" w:rsidRPr="009104F6" w:rsidRDefault="003A42E4" w:rsidP="00E42A16">
      <w:pPr>
        <w:widowControl/>
        <w:numPr>
          <w:ilvl w:val="0"/>
          <w:numId w:val="7"/>
        </w:numPr>
        <w:tabs>
          <w:tab w:val="clear" w:pos="1080"/>
          <w:tab w:val="left" w:pos="0"/>
          <w:tab w:val="num" w:pos="1440"/>
        </w:tabs>
        <w:suppressAutoHyphens/>
        <w:autoSpaceDE w:val="0"/>
        <w:autoSpaceDN w:val="0"/>
        <w:adjustRightInd w:val="0"/>
        <w:spacing w:after="120"/>
        <w:rPr>
          <w:spacing w:val="-2"/>
        </w:rPr>
      </w:pPr>
      <w:r>
        <w:t>We impose a penalty of $</w:t>
      </w:r>
      <w:r w:rsidR="0033232F">
        <w:t>5</w:t>
      </w:r>
      <w:r w:rsidR="008E585E">
        <w:t>,</w:t>
      </w:r>
      <w:r w:rsidR="0033232F">
        <w:t>6</w:t>
      </w:r>
      <w:r w:rsidR="008E585E">
        <w:t>00</w:t>
      </w:r>
      <w:r w:rsidR="00C94EB8">
        <w:t xml:space="preserve"> against </w:t>
      </w:r>
      <w:r w:rsidR="009D35E1">
        <w:rPr>
          <w:color w:val="000000"/>
          <w:szCs w:val="22"/>
        </w:rPr>
        <w:t>WOYK</w:t>
      </w:r>
      <w:r w:rsidR="009C069E">
        <w:rPr>
          <w:color w:val="000000"/>
          <w:szCs w:val="22"/>
        </w:rPr>
        <w:t>,</w:t>
      </w:r>
      <w:r w:rsidR="009D35E1">
        <w:rPr>
          <w:color w:val="000000"/>
          <w:szCs w:val="22"/>
        </w:rPr>
        <w:t xml:space="preserve"> Inc.</w:t>
      </w:r>
      <w:r w:rsidR="009C069E">
        <w:rPr>
          <w:color w:val="000000"/>
          <w:szCs w:val="22"/>
        </w:rPr>
        <w:t xml:space="preserve"> </w:t>
      </w:r>
      <w:r w:rsidR="00E42A16">
        <w:t>for failing</w:t>
      </w:r>
      <w:r w:rsidR="00BC07DA">
        <w:t xml:space="preserve"> to enclose </w:t>
      </w:r>
      <w:r w:rsidR="00E42A16">
        <w:t xml:space="preserve">its antenna </w:t>
      </w:r>
      <w:r w:rsidR="00577667">
        <w:t xml:space="preserve">structure </w:t>
      </w:r>
      <w:r>
        <w:t xml:space="preserve">within an effective locked fence or other enclosure.  </w:t>
      </w:r>
      <w:r w:rsidR="00E42A16">
        <w:t xml:space="preserve">The Commission’s fencing rules protect the public by limiting access to areas with a high potential for radiofrequency exposure.  WOYK does not deny that a broken hasp on the antenna structure </w:t>
      </w:r>
      <w:r w:rsidR="009104F6">
        <w:t xml:space="preserve">fencing gate </w:t>
      </w:r>
      <w:r w:rsidR="00E42A16">
        <w:t>permitted unrestricted public access, but requests cancellation or red</w:t>
      </w:r>
      <w:r w:rsidR="00577667">
        <w:t xml:space="preserve">uction of the forfeiture because </w:t>
      </w:r>
      <w:r w:rsidR="00E42A16">
        <w:t xml:space="preserve">the broken hasp </w:t>
      </w:r>
      <w:r w:rsidR="00577667">
        <w:t xml:space="preserve">purportedly </w:t>
      </w:r>
      <w:r w:rsidR="00E42A16">
        <w:t>was due to vandalism</w:t>
      </w:r>
      <w:r w:rsidR="009104F6">
        <w:t xml:space="preserve">, it repaired the broken hasp immediately, the violation was minor, and </w:t>
      </w:r>
      <w:r w:rsidR="00E42A16">
        <w:t>it has a history of compliance with the Commission’s rules.</w:t>
      </w:r>
      <w:r w:rsidR="009104F6">
        <w:t xml:space="preserve">  As explained below, w</w:t>
      </w:r>
      <w:r w:rsidR="004E3FE9">
        <w:t xml:space="preserve">e do not </w:t>
      </w:r>
      <w:r w:rsidR="00C94EB8">
        <w:t xml:space="preserve">cancel </w:t>
      </w:r>
      <w:r w:rsidR="00D5797C">
        <w:t>t</w:t>
      </w:r>
      <w:r w:rsidR="00C94EB8">
        <w:t xml:space="preserve">he </w:t>
      </w:r>
      <w:r w:rsidR="004E3FE9">
        <w:t xml:space="preserve">proposed </w:t>
      </w:r>
      <w:r w:rsidR="005F2201">
        <w:t>fine</w:t>
      </w:r>
      <w:r w:rsidR="009104F6">
        <w:t xml:space="preserve">, but </w:t>
      </w:r>
      <w:r w:rsidR="00D5797C">
        <w:t xml:space="preserve">reduce </w:t>
      </w:r>
      <w:r w:rsidR="00172CCB">
        <w:t>it</w:t>
      </w:r>
      <w:r w:rsidR="008E3361">
        <w:t xml:space="preserve"> </w:t>
      </w:r>
      <w:r w:rsidR="00D5797C">
        <w:t xml:space="preserve">based on </w:t>
      </w:r>
      <w:r w:rsidR="008E3361">
        <w:t xml:space="preserve">WOYK’s </w:t>
      </w:r>
      <w:r w:rsidR="009104F6">
        <w:t>history of compliance</w:t>
      </w:r>
      <w:r w:rsidR="005F2201">
        <w:t>.</w:t>
      </w:r>
    </w:p>
    <w:p w14:paraId="45F5AF1D" w14:textId="1C99A2C1" w:rsidR="00B7076D" w:rsidRPr="00F439DA" w:rsidRDefault="009104F6" w:rsidP="00F439DA">
      <w:pPr>
        <w:widowControl/>
        <w:numPr>
          <w:ilvl w:val="0"/>
          <w:numId w:val="7"/>
        </w:numPr>
        <w:tabs>
          <w:tab w:val="clear" w:pos="1080"/>
          <w:tab w:val="left" w:pos="0"/>
          <w:tab w:val="num" w:pos="1440"/>
        </w:tabs>
        <w:suppressAutoHyphens/>
        <w:autoSpaceDE w:val="0"/>
        <w:autoSpaceDN w:val="0"/>
        <w:adjustRightInd w:val="0"/>
        <w:spacing w:after="120"/>
      </w:pPr>
      <w:r>
        <w:t xml:space="preserve">Specifically, </w:t>
      </w:r>
      <w:r w:rsidR="00C94EB8">
        <w:t>we issue a monetary</w:t>
      </w:r>
      <w:r w:rsidR="004E3FE9">
        <w:t xml:space="preserve"> forfeiture </w:t>
      </w:r>
      <w:r>
        <w:t xml:space="preserve">to WOYK, owner of Antenna Structure Number 1029251 in York, Pennsylvania (Antenna Structure), </w:t>
      </w:r>
      <w:r w:rsidR="00C94EB8">
        <w:t>for willfully</w:t>
      </w:r>
      <w:r w:rsidR="00B7076D">
        <w:t xml:space="preserve"> and repeatedly</w:t>
      </w:r>
      <w:r w:rsidR="00C94EB8">
        <w:t xml:space="preserve"> violating</w:t>
      </w:r>
      <w:r w:rsidR="00C94EB8" w:rsidRPr="00F439DA">
        <w:t xml:space="preserve"> </w:t>
      </w:r>
      <w:r w:rsidR="00B7076D" w:rsidRPr="00F439DA">
        <w:t>Section 73.49</w:t>
      </w:r>
      <w:r w:rsidR="00B7076D" w:rsidRPr="00F439DA">
        <w:rPr>
          <w:spacing w:val="-2"/>
        </w:rPr>
        <w:t xml:space="preserve"> </w:t>
      </w:r>
      <w:r w:rsidR="00C94EB8" w:rsidRPr="00F439DA">
        <w:rPr>
          <w:spacing w:val="-2"/>
        </w:rPr>
        <w:t>of the Commission’s rules (Rules)</w:t>
      </w:r>
      <w:r>
        <w:rPr>
          <w:spacing w:val="-2"/>
        </w:rPr>
        <w:t xml:space="preserve"> by failing</w:t>
      </w:r>
      <w:r w:rsidR="00B7076D" w:rsidRPr="00F439DA">
        <w:rPr>
          <w:spacing w:val="-2"/>
        </w:rPr>
        <w:t xml:space="preserve"> to enclose the Antenna Structure </w:t>
      </w:r>
      <w:r w:rsidR="00B7076D" w:rsidRPr="005F2201">
        <w:rPr>
          <w:spacing w:val="-2"/>
        </w:rPr>
        <w:t>within</w:t>
      </w:r>
      <w:r w:rsidR="00B7076D" w:rsidRPr="00F439DA">
        <w:rPr>
          <w:spacing w:val="-2"/>
        </w:rPr>
        <w:t xml:space="preserve"> an effective locked fence</w:t>
      </w:r>
      <w:r w:rsidRPr="00F439DA">
        <w:rPr>
          <w:spacing w:val="-2"/>
        </w:rPr>
        <w:t xml:space="preserve"> or other enclosure</w:t>
      </w:r>
      <w:r w:rsidR="00B7076D" w:rsidRPr="00F439DA">
        <w:rPr>
          <w:spacing w:val="-2"/>
        </w:rPr>
        <w:t>.</w:t>
      </w:r>
      <w:r>
        <w:rPr>
          <w:rStyle w:val="FootnoteReference"/>
          <w:spacing w:val="-2"/>
          <w:szCs w:val="22"/>
        </w:rPr>
        <w:footnoteReference w:id="2"/>
      </w:r>
    </w:p>
    <w:p w14:paraId="7D4BB530" w14:textId="77777777" w:rsidR="00C94EB8" w:rsidRPr="00B7076D" w:rsidRDefault="00C94EB8" w:rsidP="00F439DA">
      <w:pPr>
        <w:pStyle w:val="Heading1"/>
        <w:widowControl/>
        <w:rPr>
          <w:rFonts w:ascii="Times New Roman" w:hAnsi="Times New Roman"/>
          <w:szCs w:val="22"/>
        </w:rPr>
      </w:pPr>
      <w:r w:rsidRPr="00B7076D">
        <w:rPr>
          <w:rFonts w:ascii="Times New Roman" w:hAnsi="Times New Roman"/>
          <w:szCs w:val="22"/>
        </w:rPr>
        <w:t>Background</w:t>
      </w:r>
    </w:p>
    <w:p w14:paraId="5C72F87C" w14:textId="6D176755" w:rsidR="00B7076D" w:rsidRPr="007C7F9D" w:rsidRDefault="00326F2C" w:rsidP="007C7F9D">
      <w:pPr>
        <w:widowControl/>
        <w:numPr>
          <w:ilvl w:val="0"/>
          <w:numId w:val="7"/>
        </w:numPr>
        <w:tabs>
          <w:tab w:val="clear" w:pos="1080"/>
          <w:tab w:val="left" w:pos="0"/>
          <w:tab w:val="num" w:pos="1440"/>
        </w:tabs>
        <w:suppressAutoHyphens/>
        <w:autoSpaceDE w:val="0"/>
        <w:autoSpaceDN w:val="0"/>
        <w:adjustRightInd w:val="0"/>
        <w:spacing w:after="120"/>
        <w:rPr>
          <w:szCs w:val="22"/>
        </w:rPr>
      </w:pPr>
      <w:r w:rsidRPr="00967457">
        <w:rPr>
          <w:szCs w:val="22"/>
        </w:rPr>
        <w:t xml:space="preserve">On May 22, 2012, the Enforcement Bureau’s </w:t>
      </w:r>
      <w:r w:rsidR="00B7076D" w:rsidRPr="00967457">
        <w:rPr>
          <w:szCs w:val="22"/>
        </w:rPr>
        <w:t xml:space="preserve">Philadelphia Office (Philadelphia Office) </w:t>
      </w:r>
      <w:r w:rsidRPr="00967457">
        <w:rPr>
          <w:szCs w:val="22"/>
        </w:rPr>
        <w:t xml:space="preserve">issued a Notice of Apparent Liability for Forfeiture </w:t>
      </w:r>
      <w:r w:rsidR="007C7F9D">
        <w:rPr>
          <w:szCs w:val="22"/>
        </w:rPr>
        <w:t xml:space="preserve">(NAL) </w:t>
      </w:r>
      <w:r w:rsidRPr="00967457">
        <w:rPr>
          <w:szCs w:val="22"/>
        </w:rPr>
        <w:t xml:space="preserve">to WOYK </w:t>
      </w:r>
      <w:r w:rsidR="007C7F9D">
        <w:rPr>
          <w:szCs w:val="22"/>
        </w:rPr>
        <w:t>proposing</w:t>
      </w:r>
      <w:r w:rsidR="00467241">
        <w:rPr>
          <w:szCs w:val="22"/>
        </w:rPr>
        <w:t xml:space="preserve"> </w:t>
      </w:r>
      <w:r w:rsidR="007C7F9D">
        <w:rPr>
          <w:szCs w:val="22"/>
        </w:rPr>
        <w:t xml:space="preserve">a $7,000 forfeiture against it </w:t>
      </w:r>
      <w:r w:rsidRPr="00967457">
        <w:rPr>
          <w:szCs w:val="22"/>
        </w:rPr>
        <w:t>for failure to enclose the Antenna Structure within an effective locked fence</w:t>
      </w:r>
      <w:r w:rsidR="007C7F9D">
        <w:rPr>
          <w:szCs w:val="22"/>
        </w:rPr>
        <w:t xml:space="preserve"> or other enclosure</w:t>
      </w:r>
      <w:r w:rsidRPr="00967457">
        <w:rPr>
          <w:szCs w:val="22"/>
        </w:rPr>
        <w:t>.</w:t>
      </w:r>
      <w:r>
        <w:rPr>
          <w:rStyle w:val="FootnoteReference"/>
          <w:szCs w:val="22"/>
        </w:rPr>
        <w:footnoteReference w:id="3"/>
      </w:r>
      <w:r w:rsidR="007C7F9D">
        <w:rPr>
          <w:szCs w:val="22"/>
        </w:rPr>
        <w:t xml:space="preserve">  </w:t>
      </w:r>
      <w:r w:rsidR="00967457" w:rsidRPr="007C7F9D">
        <w:rPr>
          <w:szCs w:val="22"/>
        </w:rPr>
        <w:t xml:space="preserve">As detailed in the </w:t>
      </w:r>
      <w:r w:rsidR="00967457" w:rsidRPr="007C7F9D">
        <w:rPr>
          <w:i/>
          <w:iCs/>
          <w:szCs w:val="22"/>
        </w:rPr>
        <w:t>NAL</w:t>
      </w:r>
      <w:r w:rsidR="00967457" w:rsidRPr="007C7F9D">
        <w:rPr>
          <w:szCs w:val="22"/>
        </w:rPr>
        <w:t>, agents from the Philadelphia Office c</w:t>
      </w:r>
      <w:r w:rsidR="00B7076D" w:rsidRPr="007C7F9D">
        <w:rPr>
          <w:szCs w:val="22"/>
        </w:rPr>
        <w:t>onducted an inspection of</w:t>
      </w:r>
      <w:r w:rsidR="00967457" w:rsidRPr="007C7F9D">
        <w:rPr>
          <w:szCs w:val="22"/>
        </w:rPr>
        <w:t xml:space="preserve"> </w:t>
      </w:r>
      <w:r w:rsidR="00B7076D" w:rsidRPr="007C7F9D">
        <w:rPr>
          <w:szCs w:val="22"/>
        </w:rPr>
        <w:t>the Antenna Structure</w:t>
      </w:r>
      <w:r w:rsidR="00A93A51" w:rsidRPr="007C7F9D">
        <w:rPr>
          <w:szCs w:val="22"/>
        </w:rPr>
        <w:t xml:space="preserve"> and </w:t>
      </w:r>
      <w:r w:rsidR="00B7076D" w:rsidRPr="007C7F9D">
        <w:rPr>
          <w:szCs w:val="22"/>
        </w:rPr>
        <w:t>observed that the hasp on the gate of the fence enclosing the Antenna Structure was broken, which prevented the gate from closing and allowed unrestricted access to the base of the Antenna Structure.</w:t>
      </w:r>
      <w:r w:rsidR="007C7F9D">
        <w:rPr>
          <w:rStyle w:val="FootnoteReference"/>
          <w:szCs w:val="22"/>
        </w:rPr>
        <w:footnoteReference w:id="4"/>
      </w:r>
      <w:r w:rsidR="00B7076D" w:rsidRPr="007C7F9D">
        <w:rPr>
          <w:szCs w:val="22"/>
        </w:rPr>
        <w:t xml:space="preserve">  Based on the condition of the hasp, the agents </w:t>
      </w:r>
      <w:r w:rsidR="00387C36" w:rsidRPr="007C7F9D">
        <w:rPr>
          <w:szCs w:val="22"/>
        </w:rPr>
        <w:t xml:space="preserve">concluded </w:t>
      </w:r>
      <w:r w:rsidR="00B7076D" w:rsidRPr="007C7F9D">
        <w:rPr>
          <w:szCs w:val="22"/>
        </w:rPr>
        <w:t>that the hasp had been in disrepair for an extended period of time.</w:t>
      </w:r>
      <w:r w:rsidR="00A93A51">
        <w:rPr>
          <w:rStyle w:val="FootnoteReference"/>
          <w:szCs w:val="22"/>
        </w:rPr>
        <w:footnoteReference w:id="5"/>
      </w:r>
      <w:r w:rsidR="00A92D70">
        <w:rPr>
          <w:szCs w:val="22"/>
        </w:rPr>
        <w:t xml:space="preserve">  The agents </w:t>
      </w:r>
      <w:r w:rsidR="005001DC" w:rsidRPr="007C7F9D">
        <w:rPr>
          <w:szCs w:val="22"/>
        </w:rPr>
        <w:t xml:space="preserve">notified WOYK </w:t>
      </w:r>
      <w:r w:rsidR="00A92D70">
        <w:rPr>
          <w:szCs w:val="22"/>
        </w:rPr>
        <w:t xml:space="preserve">of the broken hasp </w:t>
      </w:r>
      <w:r w:rsidR="005001DC" w:rsidRPr="007C7F9D">
        <w:rPr>
          <w:szCs w:val="22"/>
        </w:rPr>
        <w:t xml:space="preserve">and </w:t>
      </w:r>
      <w:r w:rsidR="00172CCB" w:rsidRPr="007C7F9D">
        <w:rPr>
          <w:szCs w:val="22"/>
        </w:rPr>
        <w:t>the fence was</w:t>
      </w:r>
      <w:r w:rsidR="0091331B" w:rsidRPr="007C7F9D">
        <w:rPr>
          <w:szCs w:val="22"/>
        </w:rPr>
        <w:t xml:space="preserve"> fixed </w:t>
      </w:r>
      <w:r w:rsidR="005001DC" w:rsidRPr="007C7F9D">
        <w:rPr>
          <w:szCs w:val="22"/>
        </w:rPr>
        <w:t>that same day.</w:t>
      </w:r>
      <w:r w:rsidR="00A92D70">
        <w:rPr>
          <w:rStyle w:val="FootnoteReference"/>
          <w:szCs w:val="22"/>
        </w:rPr>
        <w:footnoteReference w:id="6"/>
      </w:r>
    </w:p>
    <w:p w14:paraId="41B3853D" w14:textId="37BD4D97" w:rsidR="00B7076D" w:rsidRPr="00D60EB8" w:rsidRDefault="004B7AB8" w:rsidP="00F439DA">
      <w:pPr>
        <w:widowControl/>
        <w:numPr>
          <w:ilvl w:val="0"/>
          <w:numId w:val="7"/>
        </w:numPr>
        <w:tabs>
          <w:tab w:val="clear" w:pos="1080"/>
          <w:tab w:val="left" w:pos="0"/>
          <w:tab w:val="num" w:pos="1440"/>
        </w:tabs>
        <w:suppressAutoHyphens/>
        <w:autoSpaceDE w:val="0"/>
        <w:autoSpaceDN w:val="0"/>
        <w:adjustRightInd w:val="0"/>
        <w:spacing w:after="120"/>
        <w:rPr>
          <w:szCs w:val="22"/>
        </w:rPr>
      </w:pPr>
      <w:r>
        <w:rPr>
          <w:szCs w:val="22"/>
        </w:rPr>
        <w:lastRenderedPageBreak/>
        <w:t xml:space="preserve">In its </w:t>
      </w:r>
      <w:r>
        <w:rPr>
          <w:i/>
          <w:iCs/>
          <w:szCs w:val="22"/>
        </w:rPr>
        <w:t>NAL Response</w:t>
      </w:r>
      <w:r>
        <w:rPr>
          <w:szCs w:val="22"/>
        </w:rPr>
        <w:t xml:space="preserve">, </w:t>
      </w:r>
      <w:r w:rsidR="00387C36">
        <w:rPr>
          <w:szCs w:val="22"/>
        </w:rPr>
        <w:t>WOYK</w:t>
      </w:r>
      <w:r w:rsidR="00A92D70">
        <w:rPr>
          <w:szCs w:val="22"/>
        </w:rPr>
        <w:t xml:space="preserve"> does not deny that t</w:t>
      </w:r>
      <w:r w:rsidR="00D60EB8">
        <w:rPr>
          <w:szCs w:val="22"/>
        </w:rPr>
        <w:t>he unlocked fencing</w:t>
      </w:r>
      <w:r w:rsidR="00A92D70">
        <w:rPr>
          <w:szCs w:val="22"/>
        </w:rPr>
        <w:t xml:space="preserve"> </w:t>
      </w:r>
      <w:r w:rsidR="00A92D70" w:rsidRPr="007C7F9D">
        <w:rPr>
          <w:szCs w:val="22"/>
        </w:rPr>
        <w:t>allowed unrestricted access to the base of the Antenna Structure</w:t>
      </w:r>
      <w:r w:rsidR="00A92D70">
        <w:rPr>
          <w:szCs w:val="22"/>
        </w:rPr>
        <w:t xml:space="preserve">.  However, WOYK claims </w:t>
      </w:r>
      <w:r w:rsidR="00387C36">
        <w:rPr>
          <w:szCs w:val="22"/>
        </w:rPr>
        <w:t>that cancellation of</w:t>
      </w:r>
      <w:r>
        <w:rPr>
          <w:szCs w:val="22"/>
        </w:rPr>
        <w:t xml:space="preserve"> the proposed forfeiture is warranted because</w:t>
      </w:r>
      <w:r w:rsidR="0070548F">
        <w:rPr>
          <w:szCs w:val="22"/>
        </w:rPr>
        <w:t xml:space="preserve"> the four screws that affixed t</w:t>
      </w:r>
      <w:r w:rsidR="00A92D70">
        <w:rPr>
          <w:szCs w:val="22"/>
        </w:rPr>
        <w:t xml:space="preserve">he hasp </w:t>
      </w:r>
      <w:r w:rsidR="0070548F">
        <w:rPr>
          <w:szCs w:val="22"/>
        </w:rPr>
        <w:t xml:space="preserve">to the </w:t>
      </w:r>
      <w:r w:rsidR="00D60EB8">
        <w:rPr>
          <w:szCs w:val="22"/>
        </w:rPr>
        <w:t xml:space="preserve">Antenna Structure fencing </w:t>
      </w:r>
      <w:r w:rsidR="0070548F">
        <w:rPr>
          <w:szCs w:val="22"/>
        </w:rPr>
        <w:t xml:space="preserve">gate </w:t>
      </w:r>
      <w:r w:rsidR="00A92D70">
        <w:rPr>
          <w:szCs w:val="22"/>
        </w:rPr>
        <w:t xml:space="preserve">had been pulled out by vandals </w:t>
      </w:r>
      <w:r w:rsidR="0091331B">
        <w:rPr>
          <w:szCs w:val="22"/>
        </w:rPr>
        <w:t>and therefore the violation was not willful</w:t>
      </w:r>
      <w:r w:rsidR="0070548F">
        <w:rPr>
          <w:szCs w:val="22"/>
        </w:rPr>
        <w:t>.</w:t>
      </w:r>
      <w:r w:rsidR="0070548F">
        <w:rPr>
          <w:rStyle w:val="FootnoteReference"/>
          <w:szCs w:val="22"/>
        </w:rPr>
        <w:footnoteReference w:id="7"/>
      </w:r>
      <w:r w:rsidR="00C023BB">
        <w:rPr>
          <w:szCs w:val="22"/>
        </w:rPr>
        <w:t xml:space="preserve">  </w:t>
      </w:r>
      <w:r w:rsidR="00A92D70">
        <w:rPr>
          <w:szCs w:val="22"/>
        </w:rPr>
        <w:t>WOYK further claims that the forfeiture should be cancelled because it fixed the hasp immediately after receiving notice of the violation from the Philadelphia Office.</w:t>
      </w:r>
      <w:r w:rsidR="00A92D70">
        <w:rPr>
          <w:rStyle w:val="FootnoteReference"/>
          <w:szCs w:val="22"/>
        </w:rPr>
        <w:footnoteReference w:id="8"/>
      </w:r>
      <w:r w:rsidR="00D60EB8">
        <w:rPr>
          <w:szCs w:val="22"/>
        </w:rPr>
        <w:t xml:space="preserve">  In the alternative, </w:t>
      </w:r>
      <w:r w:rsidR="00B4735B" w:rsidRPr="00D60EB8">
        <w:rPr>
          <w:szCs w:val="22"/>
        </w:rPr>
        <w:t xml:space="preserve">WOYK asserts that a </w:t>
      </w:r>
      <w:r w:rsidR="00D60EB8">
        <w:rPr>
          <w:szCs w:val="22"/>
        </w:rPr>
        <w:t xml:space="preserve">forfeiture </w:t>
      </w:r>
      <w:r w:rsidR="00B4735B" w:rsidRPr="00D60EB8">
        <w:rPr>
          <w:szCs w:val="22"/>
        </w:rPr>
        <w:t>reduction is justified because the</w:t>
      </w:r>
      <w:r w:rsidR="00C023BB" w:rsidRPr="00D60EB8">
        <w:rPr>
          <w:szCs w:val="22"/>
        </w:rPr>
        <w:t xml:space="preserve"> violation was minor and </w:t>
      </w:r>
      <w:r w:rsidR="006E653E" w:rsidRPr="00D60EB8">
        <w:rPr>
          <w:szCs w:val="22"/>
        </w:rPr>
        <w:t>WOYK</w:t>
      </w:r>
      <w:r w:rsidR="00B4735B" w:rsidRPr="00D60EB8">
        <w:rPr>
          <w:szCs w:val="22"/>
        </w:rPr>
        <w:t xml:space="preserve"> has a history of compliance with the Rules.</w:t>
      </w:r>
      <w:r w:rsidR="00D60EB8">
        <w:rPr>
          <w:rStyle w:val="FootnoteReference"/>
          <w:szCs w:val="22"/>
        </w:rPr>
        <w:footnoteReference w:id="9"/>
      </w:r>
    </w:p>
    <w:p w14:paraId="1F0B46FC" w14:textId="77777777" w:rsidR="00C94EB8" w:rsidRPr="00F439DA" w:rsidRDefault="00C94EB8" w:rsidP="00F439DA">
      <w:pPr>
        <w:pStyle w:val="Heading1"/>
        <w:widowControl/>
        <w:tabs>
          <w:tab w:val="left" w:pos="720"/>
        </w:tabs>
        <w:rPr>
          <w:rFonts w:ascii="Times New Roman" w:hAnsi="Times New Roman"/>
        </w:rPr>
      </w:pPr>
      <w:r w:rsidRPr="00F439DA">
        <w:rPr>
          <w:rFonts w:ascii="Times New Roman" w:hAnsi="Times New Roman"/>
        </w:rPr>
        <w:t>Discussion</w:t>
      </w:r>
    </w:p>
    <w:p w14:paraId="0EAEF283" w14:textId="312BC1A9" w:rsidR="00C94EB8" w:rsidRDefault="00C94EB8" w:rsidP="00F439DA">
      <w:pPr>
        <w:widowControl/>
        <w:numPr>
          <w:ilvl w:val="0"/>
          <w:numId w:val="7"/>
        </w:numPr>
        <w:tabs>
          <w:tab w:val="clear" w:pos="1080"/>
          <w:tab w:val="left" w:pos="0"/>
          <w:tab w:val="num" w:pos="1440"/>
        </w:tabs>
        <w:suppressAutoHyphens/>
        <w:autoSpaceDE w:val="0"/>
        <w:autoSpaceDN w:val="0"/>
        <w:adjustRightInd w:val="0"/>
        <w:spacing w:after="120"/>
      </w:pPr>
      <w:r>
        <w:t xml:space="preserve">The proposed forfeiture amount in this case was assessed in accordance with Section 503(b) of the </w:t>
      </w:r>
      <w:r w:rsidR="00D60EB8">
        <w:t xml:space="preserve">Communications </w:t>
      </w:r>
      <w:r>
        <w:t>Act</w:t>
      </w:r>
      <w:r w:rsidR="00D60EB8">
        <w:t xml:space="preserve"> of 1934, as amended (Act)</w:t>
      </w:r>
      <w:r>
        <w:t>,</w:t>
      </w:r>
      <w:r>
        <w:rPr>
          <w:rStyle w:val="FootnoteReference"/>
          <w:szCs w:val="22"/>
        </w:rPr>
        <w:footnoteReference w:id="10"/>
      </w:r>
      <w:r>
        <w:t xml:space="preserve"> Section 1.80 of the Rules,</w:t>
      </w:r>
      <w:r>
        <w:rPr>
          <w:rStyle w:val="FootnoteReference"/>
          <w:szCs w:val="22"/>
        </w:rPr>
        <w:footnoteReference w:id="11"/>
      </w:r>
      <w:r>
        <w:t xml:space="preserve"> and the </w:t>
      </w:r>
      <w:r>
        <w:rPr>
          <w:i/>
        </w:rPr>
        <w:t>Forfeiture Policy Statement</w:t>
      </w:r>
      <w:r>
        <w:t>.</w:t>
      </w:r>
      <w:r>
        <w:rPr>
          <w:rStyle w:val="FootnoteReference"/>
          <w:szCs w:val="22"/>
        </w:rPr>
        <w:footnoteReference w:id="12"/>
      </w:r>
      <w:r w:rsidR="005C39B0">
        <w:t xml:space="preserve">  In examining WOYK’s</w:t>
      </w:r>
      <w:r>
        <w:t xml:space="preserve"> </w:t>
      </w:r>
      <w:r w:rsidR="00D60EB8">
        <w:rPr>
          <w:i/>
        </w:rPr>
        <w:t>NAL Response</w:t>
      </w:r>
      <w: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rStyle w:val="FootnoteReference"/>
          <w:szCs w:val="22"/>
        </w:rPr>
        <w:footnoteReference w:id="13"/>
      </w:r>
      <w:r>
        <w:t xml:space="preserve">  As discussed below, we</w:t>
      </w:r>
      <w:r w:rsidR="006E653E">
        <w:t xml:space="preserve"> have fully considered WOYK</w:t>
      </w:r>
      <w:r>
        <w:t xml:space="preserve">’s </w:t>
      </w:r>
      <w:r w:rsidR="00D60EB8">
        <w:rPr>
          <w:i/>
        </w:rPr>
        <w:t>NAL Response</w:t>
      </w:r>
      <w:r w:rsidR="00D60EB8">
        <w:t xml:space="preserve"> </w:t>
      </w:r>
      <w:r>
        <w:t xml:space="preserve">in light of these statutory factors and find that </w:t>
      </w:r>
      <w:r>
        <w:rPr>
          <w:spacing w:val="-2"/>
        </w:rPr>
        <w:t xml:space="preserve">cancellation of </w:t>
      </w:r>
      <w:r w:rsidR="00D60EB8">
        <w:rPr>
          <w:spacing w:val="-2"/>
        </w:rPr>
        <w:t xml:space="preserve">the forfeiture is not warranted, but </w:t>
      </w:r>
      <w:r>
        <w:rPr>
          <w:spacing w:val="-2"/>
        </w:rPr>
        <w:t>that reduction of the fo</w:t>
      </w:r>
      <w:r w:rsidR="00577667">
        <w:rPr>
          <w:spacing w:val="-2"/>
        </w:rPr>
        <w:t xml:space="preserve">rfeiture is justified based </w:t>
      </w:r>
      <w:r w:rsidR="006E653E">
        <w:rPr>
          <w:spacing w:val="-2"/>
        </w:rPr>
        <w:t>on WOYK’s history of compliance with the Rules</w:t>
      </w:r>
      <w:r>
        <w:rPr>
          <w:spacing w:val="-2"/>
        </w:rPr>
        <w:t xml:space="preserve">. </w:t>
      </w:r>
    </w:p>
    <w:p w14:paraId="689A5192" w14:textId="77777777" w:rsidR="001568F4" w:rsidRPr="00654C5E" w:rsidRDefault="00D60EB8" w:rsidP="006D5A15">
      <w:pPr>
        <w:widowControl/>
        <w:numPr>
          <w:ilvl w:val="0"/>
          <w:numId w:val="7"/>
        </w:numPr>
        <w:tabs>
          <w:tab w:val="clear" w:pos="1080"/>
          <w:tab w:val="left" w:pos="0"/>
          <w:tab w:val="num" w:pos="1440"/>
        </w:tabs>
        <w:suppressAutoHyphens/>
        <w:autoSpaceDE w:val="0"/>
        <w:autoSpaceDN w:val="0"/>
        <w:adjustRightInd w:val="0"/>
        <w:spacing w:after="120"/>
        <w:rPr>
          <w:szCs w:val="22"/>
        </w:rPr>
      </w:pPr>
      <w:r>
        <w:t>We find</w:t>
      </w:r>
      <w:r w:rsidR="00FA4185">
        <w:t xml:space="preserve"> that WOYK willfully and repeatedly violated Secti</w:t>
      </w:r>
      <w:r>
        <w:t xml:space="preserve">on 73.49 of the Rules and </w:t>
      </w:r>
      <w:r w:rsidR="00FA4185">
        <w:t xml:space="preserve">has presented no basis for cancellation of the </w:t>
      </w:r>
      <w:r w:rsidR="00A20933">
        <w:t xml:space="preserve">proposed </w:t>
      </w:r>
      <w:r w:rsidR="00FA4185">
        <w:t>fo</w:t>
      </w:r>
      <w:r>
        <w:t>rfeiture.</w:t>
      </w:r>
      <w:r w:rsidR="00042435">
        <w:t xml:space="preserve">  WOY</w:t>
      </w:r>
      <w:r>
        <w:t>K claims that the violation was not willful because the hasp was vandalized.</w:t>
      </w:r>
      <w:r>
        <w:rPr>
          <w:rStyle w:val="FootnoteReference"/>
        </w:rPr>
        <w:footnoteReference w:id="14"/>
      </w:r>
      <w:r w:rsidR="001B0022">
        <w:t xml:space="preserve">  The Commission previously has cancelled forfeitures concerning AM antenna structure fencing violations</w:t>
      </w:r>
      <w:r w:rsidR="00577667">
        <w:t xml:space="preserve"> due to</w:t>
      </w:r>
      <w:r w:rsidR="001B0022">
        <w:t xml:space="preserve"> vandalism.</w:t>
      </w:r>
      <w:r w:rsidR="001B0022">
        <w:rPr>
          <w:rStyle w:val="FootnoteReference"/>
        </w:rPr>
        <w:footnoteReference w:id="15"/>
      </w:r>
      <w:r w:rsidR="001B0022">
        <w:t xml:space="preserve">  However, the Commission required the licensee to produce evidence that it regularly monitored the condition of its antenna site and the vandalism occurred “just prior” to the Commission’s inspection.</w:t>
      </w:r>
      <w:r w:rsidR="001B0022">
        <w:rPr>
          <w:rStyle w:val="FootnoteReference"/>
        </w:rPr>
        <w:footnoteReference w:id="16"/>
      </w:r>
      <w:r w:rsidR="001B0022">
        <w:rPr>
          <w:szCs w:val="22"/>
        </w:rPr>
        <w:t xml:space="preserve">  </w:t>
      </w:r>
      <w:r w:rsidR="007F5A3D">
        <w:rPr>
          <w:szCs w:val="22"/>
        </w:rPr>
        <w:t xml:space="preserve">WOYK has not provided any documentation, such as a police report, supporting its claim </w:t>
      </w:r>
      <w:r w:rsidR="007F5A3D">
        <w:t>that the broken hasp was the result of vandalism.</w:t>
      </w:r>
      <w:r w:rsidR="007F5A3D">
        <w:rPr>
          <w:szCs w:val="22"/>
        </w:rPr>
        <w:t xml:space="preserve">  In addition, </w:t>
      </w:r>
      <w:r w:rsidR="007F5A3D">
        <w:t>w</w:t>
      </w:r>
      <w:r w:rsidR="001568F4">
        <w:t>hile WOY</w:t>
      </w:r>
      <w:r w:rsidR="00172CCB">
        <w:t>K claims that vandalism is</w:t>
      </w:r>
      <w:r w:rsidR="001568F4">
        <w:t xml:space="preserve"> an ongoing problem at</w:t>
      </w:r>
      <w:r w:rsidR="000F7A30">
        <w:t xml:space="preserve"> the antenna site, </w:t>
      </w:r>
      <w:r w:rsidR="001B0022">
        <w:t>it</w:t>
      </w:r>
      <w:r w:rsidR="00577667">
        <w:t xml:space="preserve"> did not take action to inspect</w:t>
      </w:r>
      <w:r w:rsidR="001B0022">
        <w:t xml:space="preserve"> the Antenna Structure </w:t>
      </w:r>
      <w:r w:rsidR="00577667">
        <w:t>regularly and</w:t>
      </w:r>
      <w:r w:rsidR="001B0022">
        <w:t xml:space="preserve"> make any necessary repairs to damaged fencing.</w:t>
      </w:r>
      <w:r w:rsidR="001B0022">
        <w:rPr>
          <w:rStyle w:val="FootnoteReference"/>
        </w:rPr>
        <w:footnoteReference w:id="17"/>
      </w:r>
      <w:r w:rsidR="006D5A15">
        <w:t xml:space="preserve">  </w:t>
      </w:r>
      <w:r w:rsidR="005A6D93">
        <w:rPr>
          <w:szCs w:val="22"/>
        </w:rPr>
        <w:t>As noted above</w:t>
      </w:r>
      <w:r w:rsidR="005A6D93" w:rsidRPr="007C7F9D">
        <w:rPr>
          <w:szCs w:val="22"/>
        </w:rPr>
        <w:t>, the</w:t>
      </w:r>
      <w:r w:rsidR="005A6D93">
        <w:rPr>
          <w:szCs w:val="22"/>
        </w:rPr>
        <w:t xml:space="preserve"> condition of the hasp indicated that it </w:t>
      </w:r>
      <w:r w:rsidR="005A6D93" w:rsidRPr="007C7F9D">
        <w:rPr>
          <w:szCs w:val="22"/>
        </w:rPr>
        <w:t>had been in disrepair for an extended period of time</w:t>
      </w:r>
      <w:r w:rsidR="005A6D93">
        <w:t>.</w:t>
      </w:r>
      <w:r w:rsidR="005A6D93">
        <w:rPr>
          <w:rStyle w:val="FootnoteReference"/>
        </w:rPr>
        <w:footnoteReference w:id="18"/>
      </w:r>
      <w:r w:rsidR="005A6D93">
        <w:t xml:space="preserve">  </w:t>
      </w:r>
      <w:r w:rsidR="00577667">
        <w:t>WOYK even concedes</w:t>
      </w:r>
      <w:r w:rsidR="006D5A15">
        <w:t xml:space="preserve"> that the fencing hasp and lock </w:t>
      </w:r>
      <w:r w:rsidR="00E34AE7">
        <w:t>were rusty from exposure to the elements</w:t>
      </w:r>
      <w:r w:rsidR="000F7A30">
        <w:t xml:space="preserve"> </w:t>
      </w:r>
      <w:r w:rsidR="00617D8F">
        <w:t xml:space="preserve">and </w:t>
      </w:r>
      <w:r w:rsidR="000F7A30">
        <w:t>perhaps more susceptible to damage by vandals</w:t>
      </w:r>
      <w:r w:rsidR="00E34AE7">
        <w:t>.</w:t>
      </w:r>
      <w:r w:rsidR="006D5A15">
        <w:rPr>
          <w:rStyle w:val="FootnoteReference"/>
        </w:rPr>
        <w:footnoteReference w:id="19"/>
      </w:r>
      <w:r w:rsidR="006D5A15">
        <w:t xml:space="preserve">  Given that WOYK cannot show that the vandalism of the hasp occurred shortly before the Philadelphia Office</w:t>
      </w:r>
      <w:r w:rsidR="00654C5E">
        <w:t xml:space="preserve">’s inspection or that it </w:t>
      </w:r>
      <w:r w:rsidR="00577667">
        <w:t>under</w:t>
      </w:r>
      <w:r w:rsidR="00654C5E">
        <w:t>took any good faith compliance measures to address known vandalism issues, we decline to cancel the proposed forfeiture.</w:t>
      </w:r>
    </w:p>
    <w:p w14:paraId="033840E8" w14:textId="77777777" w:rsidR="00E60741" w:rsidRDefault="00042435" w:rsidP="00E60741">
      <w:pPr>
        <w:widowControl/>
        <w:numPr>
          <w:ilvl w:val="0"/>
          <w:numId w:val="7"/>
        </w:numPr>
        <w:tabs>
          <w:tab w:val="clear" w:pos="1080"/>
          <w:tab w:val="left" w:pos="0"/>
          <w:tab w:val="num" w:pos="1440"/>
        </w:tabs>
        <w:suppressAutoHyphens/>
        <w:autoSpaceDE w:val="0"/>
        <w:autoSpaceDN w:val="0"/>
        <w:adjustRightInd w:val="0"/>
        <w:spacing w:after="120"/>
        <w:rPr>
          <w:szCs w:val="22"/>
        </w:rPr>
      </w:pPr>
      <w:r>
        <w:t>W</w:t>
      </w:r>
      <w:r w:rsidR="00654C5E">
        <w:t xml:space="preserve">e similarly reject </w:t>
      </w:r>
      <w:r w:rsidR="007F356D">
        <w:t>WOYK’s claim</w:t>
      </w:r>
      <w:r w:rsidR="00577667">
        <w:t xml:space="preserve"> that forfeiture cancellation </w:t>
      </w:r>
      <w:r w:rsidR="007F356D">
        <w:t xml:space="preserve">is warranted </w:t>
      </w:r>
      <w:r w:rsidR="00902255">
        <w:t xml:space="preserve">because </w:t>
      </w:r>
      <w:r w:rsidR="00654C5E">
        <w:rPr>
          <w:szCs w:val="22"/>
        </w:rPr>
        <w:t xml:space="preserve">it fixed the </w:t>
      </w:r>
      <w:r w:rsidR="00654C5E" w:rsidRPr="001B5FE6">
        <w:rPr>
          <w:szCs w:val="22"/>
        </w:rPr>
        <w:t>hasp immediately after receiving notice of the violation from the Philadelphia Office</w:t>
      </w:r>
      <w:r w:rsidR="00654C5E" w:rsidRPr="001B5FE6">
        <w:t xml:space="preserve">.  While </w:t>
      </w:r>
      <w:r w:rsidR="00097313" w:rsidRPr="001B5FE6">
        <w:t>the Commission will</w:t>
      </w:r>
      <w:r w:rsidR="00654C5E" w:rsidRPr="001B5FE6">
        <w:t xml:space="preserve"> generally reduce an assessed forfeiture based on the good faith corrective efforts of a </w:t>
      </w:r>
      <w:r w:rsidR="00654C5E" w:rsidRPr="001B5FE6">
        <w:rPr>
          <w:szCs w:val="22"/>
        </w:rPr>
        <w:t xml:space="preserve">violator, those corrective efforts must be taken </w:t>
      </w:r>
      <w:r w:rsidR="00654C5E" w:rsidRPr="001B5FE6">
        <w:rPr>
          <w:i/>
          <w:szCs w:val="22"/>
        </w:rPr>
        <w:t xml:space="preserve">prior </w:t>
      </w:r>
      <w:r w:rsidR="00654C5E" w:rsidRPr="001B5FE6">
        <w:rPr>
          <w:szCs w:val="22"/>
        </w:rPr>
        <w:t>to notification of the violation.</w:t>
      </w:r>
      <w:r w:rsidR="00654C5E" w:rsidRPr="001B5FE6">
        <w:rPr>
          <w:rStyle w:val="FootnoteReference"/>
          <w:szCs w:val="22"/>
        </w:rPr>
        <w:footnoteReference w:id="20"/>
      </w:r>
      <w:r w:rsidR="001B5FE6" w:rsidRPr="001B5FE6">
        <w:rPr>
          <w:szCs w:val="22"/>
        </w:rPr>
        <w:t xml:space="preserve">  As the Commission has repeatedly stated, “corrective action taken to come into compliance with Commission rules or policy is expected, and does not nullify or mitigate any prior forfeitures or violations</w:t>
      </w:r>
      <w:r w:rsidR="00FA4185">
        <w:t>.</w:t>
      </w:r>
      <w:bookmarkStart w:id="1" w:name="FN[FN8]"/>
      <w:bookmarkEnd w:id="1"/>
      <w:r w:rsidR="00E60741">
        <w:t>”</w:t>
      </w:r>
      <w:r w:rsidR="00C725CC">
        <w:rPr>
          <w:rStyle w:val="FootnoteReference"/>
        </w:rPr>
        <w:footnoteReference w:id="21"/>
      </w:r>
      <w:r w:rsidR="00E60741">
        <w:t xml:space="preserve">  Consequently, we have reduced proposed forfeitures when a licensee demonstrates that it contracted to resolve a violation prior to inspection.</w:t>
      </w:r>
      <w:r w:rsidR="00E60741">
        <w:rPr>
          <w:rStyle w:val="FootnoteReference"/>
        </w:rPr>
        <w:footnoteReference w:id="22"/>
      </w:r>
      <w:r w:rsidR="00E60741">
        <w:t xml:space="preserve">  WOYK has presented no evidence that it purchased a new hasp or took any </w:t>
      </w:r>
      <w:r w:rsidR="007D4EAD">
        <w:t>other</w:t>
      </w:r>
      <w:r w:rsidR="00E60741">
        <w:t xml:space="preserve"> remedial actions to fix the Antenna Structure’s fencing prior to the </w:t>
      </w:r>
      <w:r w:rsidR="00E60741" w:rsidRPr="00E60741">
        <w:rPr>
          <w:szCs w:val="22"/>
        </w:rPr>
        <w:t>Philadelphia Office inspection.</w:t>
      </w:r>
      <w:r w:rsidR="00E60741">
        <w:rPr>
          <w:szCs w:val="22"/>
        </w:rPr>
        <w:t xml:space="preserve">  We therefore decline to canc</w:t>
      </w:r>
      <w:r>
        <w:rPr>
          <w:szCs w:val="22"/>
        </w:rPr>
        <w:t>el the proposed forfeiture.</w:t>
      </w:r>
    </w:p>
    <w:p w14:paraId="201EC938" w14:textId="77777777" w:rsidR="00D5797C" w:rsidRPr="005A6D93" w:rsidRDefault="00042435" w:rsidP="00E60741">
      <w:pPr>
        <w:widowControl/>
        <w:numPr>
          <w:ilvl w:val="0"/>
          <w:numId w:val="7"/>
        </w:numPr>
        <w:tabs>
          <w:tab w:val="clear" w:pos="1080"/>
          <w:tab w:val="left" w:pos="0"/>
          <w:tab w:val="num" w:pos="1440"/>
        </w:tabs>
        <w:suppressAutoHyphens/>
        <w:autoSpaceDE w:val="0"/>
        <w:autoSpaceDN w:val="0"/>
        <w:adjustRightInd w:val="0"/>
        <w:spacing w:after="120"/>
        <w:rPr>
          <w:szCs w:val="22"/>
        </w:rPr>
      </w:pPr>
      <w:r w:rsidRPr="00042435">
        <w:rPr>
          <w:szCs w:val="22"/>
        </w:rPr>
        <w:t>WOYK also requests a forfeiture reduction, claiming that the violation was minor and it has a history of compliance with the Rules.</w:t>
      </w:r>
      <w:r w:rsidR="007D4EAD">
        <w:rPr>
          <w:szCs w:val="22"/>
        </w:rPr>
        <w:t xml:space="preserve">  When adopting </w:t>
      </w:r>
      <w:r w:rsidR="007D4EAD">
        <w:t>Section 73.49 of the Rules</w:t>
      </w:r>
      <w:r w:rsidRPr="00042435">
        <w:rPr>
          <w:szCs w:val="22"/>
        </w:rPr>
        <w:t>, the Co</w:t>
      </w:r>
      <w:r w:rsidR="007D4EAD">
        <w:rPr>
          <w:szCs w:val="22"/>
        </w:rPr>
        <w:t xml:space="preserve">mmission </w:t>
      </w:r>
      <w:r w:rsidR="003A2827">
        <w:rPr>
          <w:szCs w:val="22"/>
        </w:rPr>
        <w:t xml:space="preserve">stated that the </w:t>
      </w:r>
      <w:r w:rsidR="007D4EAD">
        <w:rPr>
          <w:szCs w:val="22"/>
        </w:rPr>
        <w:t xml:space="preserve">AM antenna structure </w:t>
      </w:r>
      <w:r w:rsidR="003A2827">
        <w:rPr>
          <w:szCs w:val="22"/>
        </w:rPr>
        <w:t xml:space="preserve">fencing requirement </w:t>
      </w:r>
      <w:r w:rsidRPr="00042435">
        <w:rPr>
          <w:szCs w:val="22"/>
        </w:rPr>
        <w:t>“</w:t>
      </w:r>
      <w:r w:rsidRPr="00042435">
        <w:rPr>
          <w:snapToGrid/>
          <w:kern w:val="0"/>
          <w:szCs w:val="22"/>
        </w:rPr>
        <w:t>is necessary to protect the general public.”</w:t>
      </w:r>
      <w:r>
        <w:rPr>
          <w:rStyle w:val="FootnoteReference"/>
          <w:snapToGrid/>
          <w:kern w:val="0"/>
          <w:szCs w:val="22"/>
        </w:rPr>
        <w:footnoteReference w:id="23"/>
      </w:r>
      <w:r w:rsidR="003A2827">
        <w:rPr>
          <w:snapToGrid/>
          <w:kern w:val="0"/>
          <w:szCs w:val="22"/>
        </w:rPr>
        <w:t xml:space="preserve">  We have also warned that “</w:t>
      </w:r>
      <w:r w:rsidR="003A2827">
        <w:rPr>
          <w:szCs w:val="22"/>
        </w:rPr>
        <w:t>[f]</w:t>
      </w:r>
      <w:r w:rsidR="003A2827">
        <w:t xml:space="preserve">ailure to maintain an effective locked fence in accordance with Section 73.49 of the Rules constitutes a serious </w:t>
      </w:r>
      <w:r w:rsidR="003A2827">
        <w:rPr>
          <w:rStyle w:val="cosearchterm"/>
        </w:rPr>
        <w:t>public</w:t>
      </w:r>
      <w:r w:rsidR="003A2827">
        <w:t xml:space="preserve"> </w:t>
      </w:r>
      <w:r w:rsidR="003A2827">
        <w:rPr>
          <w:rStyle w:val="cosearchterm"/>
        </w:rPr>
        <w:t>safety</w:t>
      </w:r>
      <w:r w:rsidR="003A2827">
        <w:t xml:space="preserve"> issue because it exposes the public to hazardous electrical charge.”</w:t>
      </w:r>
      <w:r w:rsidR="003A2827">
        <w:rPr>
          <w:rStyle w:val="FootnoteReference"/>
        </w:rPr>
        <w:footnoteReference w:id="24"/>
      </w:r>
      <w:r w:rsidR="003A2827">
        <w:t xml:space="preserve">  WOYK’s failure to maintain a locked fence is especially troubling, as the Antenna Structure is located nearby a residential area.</w:t>
      </w:r>
      <w:r w:rsidR="003A2827">
        <w:rPr>
          <w:rStyle w:val="FootnoteReference"/>
        </w:rPr>
        <w:footnoteReference w:id="25"/>
      </w:r>
      <w:r w:rsidR="005A6D93">
        <w:t xml:space="preserve">  We therefore decline to reduce the proposed forfeiture based on WOYK’s claim the violation was minor.  However, we </w:t>
      </w:r>
      <w:r w:rsidR="00D5797C">
        <w:t xml:space="preserve">agree that a </w:t>
      </w:r>
      <w:r w:rsidR="005A6D93">
        <w:t xml:space="preserve">forfeiture </w:t>
      </w:r>
      <w:r w:rsidR="00D5797C">
        <w:t>reduction is warranted based on WOYK’s history of compliance with the Rules and we redu</w:t>
      </w:r>
      <w:r w:rsidR="005A6D93">
        <w:t>ce the penalty imposed</w:t>
      </w:r>
      <w:r w:rsidR="00D5797C">
        <w:t xml:space="preserve"> to $5,600. </w:t>
      </w:r>
      <w:r w:rsidR="00C725CC">
        <w:t xml:space="preserve"> </w:t>
      </w:r>
    </w:p>
    <w:p w14:paraId="581A2104" w14:textId="77777777" w:rsidR="00C94EB8" w:rsidRPr="00F439DA" w:rsidRDefault="00C94EB8" w:rsidP="00F439DA">
      <w:pPr>
        <w:pStyle w:val="Heading1"/>
        <w:widowControl/>
        <w:tabs>
          <w:tab w:val="left" w:pos="720"/>
        </w:tabs>
        <w:rPr>
          <w:rFonts w:ascii="Times New Roman" w:hAnsi="Times New Roman"/>
        </w:rPr>
      </w:pPr>
      <w:r w:rsidRPr="00F439DA">
        <w:rPr>
          <w:rFonts w:ascii="Times New Roman" w:hAnsi="Times New Roman"/>
        </w:rPr>
        <w:t>ordering clauses</w:t>
      </w:r>
    </w:p>
    <w:p w14:paraId="7D7185B8" w14:textId="3C505EDE" w:rsidR="007F356D" w:rsidRDefault="00C94EB8" w:rsidP="00890159">
      <w:pPr>
        <w:widowControl/>
        <w:numPr>
          <w:ilvl w:val="0"/>
          <w:numId w:val="7"/>
        </w:numPr>
        <w:tabs>
          <w:tab w:val="clear" w:pos="1080"/>
          <w:tab w:val="left" w:pos="0"/>
          <w:tab w:val="num" w:pos="1440"/>
        </w:tabs>
        <w:suppressAutoHyphens/>
        <w:autoSpaceDE w:val="0"/>
        <w:autoSpaceDN w:val="0"/>
        <w:adjustRightInd w:val="0"/>
        <w:spacing w:after="120"/>
        <w:rPr>
          <w:szCs w:val="22"/>
        </w:rPr>
      </w:pPr>
      <w:r>
        <w:rPr>
          <w:szCs w:val="22"/>
        </w:rPr>
        <w:t xml:space="preserve">Accordingly, </w:t>
      </w:r>
      <w:r>
        <w:rPr>
          <w:b/>
          <w:szCs w:val="22"/>
        </w:rPr>
        <w:t>IT IS ORDERED</w:t>
      </w:r>
      <w:r>
        <w:rPr>
          <w:szCs w:val="22"/>
        </w:rPr>
        <w:t xml:space="preserve"> that, pursuant </w:t>
      </w:r>
      <w:r w:rsidR="009D35E1">
        <w:rPr>
          <w:szCs w:val="22"/>
        </w:rPr>
        <w:t>to Section 503(b) of the Act</w:t>
      </w:r>
      <w:r>
        <w:rPr>
          <w:szCs w:val="22"/>
        </w:rPr>
        <w:t xml:space="preserve"> and Sections 0.111, 0.204, 0.311, 0.314, and 1.80</w:t>
      </w:r>
      <w:r w:rsidR="009D35E1">
        <w:rPr>
          <w:szCs w:val="22"/>
        </w:rPr>
        <w:t>(f)(4) of the Rules</w:t>
      </w:r>
      <w:r>
        <w:rPr>
          <w:szCs w:val="22"/>
        </w:rPr>
        <w:t xml:space="preserve">, </w:t>
      </w:r>
      <w:r w:rsidR="009D35E1">
        <w:rPr>
          <w:szCs w:val="22"/>
        </w:rPr>
        <w:t>WOYK</w:t>
      </w:r>
      <w:r w:rsidR="00A5359E">
        <w:rPr>
          <w:szCs w:val="22"/>
        </w:rPr>
        <w:t>,</w:t>
      </w:r>
      <w:r w:rsidR="007F356D">
        <w:rPr>
          <w:szCs w:val="22"/>
        </w:rPr>
        <w:t xml:space="preserve"> Inc. </w:t>
      </w:r>
      <w:r>
        <w:rPr>
          <w:b/>
          <w:szCs w:val="22"/>
        </w:rPr>
        <w:t>IS LIABLE FOR A MONETARY FORFEITURE</w:t>
      </w:r>
      <w:r>
        <w:rPr>
          <w:szCs w:val="22"/>
        </w:rPr>
        <w:t xml:space="preserve"> </w:t>
      </w:r>
      <w:r w:rsidRPr="00F439DA">
        <w:t xml:space="preserve">in the amount of </w:t>
      </w:r>
      <w:r w:rsidR="00D5797C">
        <w:rPr>
          <w:szCs w:val="22"/>
        </w:rPr>
        <w:t>five</w:t>
      </w:r>
      <w:r w:rsidR="00A43F62" w:rsidRPr="00F439DA">
        <w:t xml:space="preserve"> thousand</w:t>
      </w:r>
      <w:r w:rsidRPr="00F439DA">
        <w:t xml:space="preserve"> </w:t>
      </w:r>
      <w:r w:rsidR="00D5797C">
        <w:rPr>
          <w:szCs w:val="22"/>
        </w:rPr>
        <w:t xml:space="preserve">six hundred </w:t>
      </w:r>
      <w:r w:rsidR="005F2201" w:rsidRPr="00F439DA">
        <w:t>dollars ($</w:t>
      </w:r>
      <w:r w:rsidR="00D5797C">
        <w:rPr>
          <w:szCs w:val="22"/>
        </w:rPr>
        <w:t>5,6</w:t>
      </w:r>
      <w:r w:rsidR="007F356D">
        <w:rPr>
          <w:szCs w:val="22"/>
        </w:rPr>
        <w:t>00</w:t>
      </w:r>
      <w:r>
        <w:rPr>
          <w:szCs w:val="22"/>
        </w:rPr>
        <w:t xml:space="preserve">) for violations of Section </w:t>
      </w:r>
      <w:r w:rsidR="007F356D">
        <w:rPr>
          <w:szCs w:val="22"/>
        </w:rPr>
        <w:t xml:space="preserve">73.49 </w:t>
      </w:r>
      <w:r>
        <w:rPr>
          <w:szCs w:val="22"/>
        </w:rPr>
        <w:t xml:space="preserve">of the </w:t>
      </w:r>
      <w:r w:rsidR="00A43F62">
        <w:rPr>
          <w:szCs w:val="22"/>
        </w:rPr>
        <w:t>R</w:t>
      </w:r>
      <w:r>
        <w:rPr>
          <w:szCs w:val="22"/>
        </w:rPr>
        <w:t>ules.</w:t>
      </w:r>
      <w:r>
        <w:rPr>
          <w:rStyle w:val="FootnoteReference"/>
          <w:szCs w:val="22"/>
        </w:rPr>
        <w:footnoteReference w:id="26"/>
      </w:r>
      <w:r>
        <w:rPr>
          <w:szCs w:val="22"/>
        </w:rPr>
        <w:t xml:space="preserve"> </w:t>
      </w:r>
    </w:p>
    <w:p w14:paraId="0723D9EF" w14:textId="72544C94" w:rsidR="00C94EB8" w:rsidRPr="007F356D" w:rsidRDefault="00C94EB8" w:rsidP="00F439DA">
      <w:pPr>
        <w:widowControl/>
        <w:numPr>
          <w:ilvl w:val="0"/>
          <w:numId w:val="7"/>
        </w:numPr>
        <w:tabs>
          <w:tab w:val="clear" w:pos="1080"/>
          <w:tab w:val="left" w:pos="0"/>
          <w:tab w:val="num" w:pos="1440"/>
        </w:tabs>
        <w:suppressAutoHyphens/>
        <w:autoSpaceDE w:val="0"/>
        <w:autoSpaceDN w:val="0"/>
        <w:adjustRightInd w:val="0"/>
        <w:spacing w:after="120"/>
        <w:rPr>
          <w:szCs w:val="22"/>
        </w:rPr>
      </w:pPr>
      <w:r w:rsidRPr="007F356D">
        <w:rPr>
          <w:szCs w:val="22"/>
        </w:rPr>
        <w:t>Payment</w:t>
      </w:r>
      <w:r w:rsidRPr="007F356D">
        <w:rPr>
          <w:rFonts w:eastAsia="MS Mincho"/>
          <w:szCs w:val="22"/>
        </w:rPr>
        <w:t xml:space="preserve"> of the forfeiture shall be made in the manner provided for in Section 1.80 of the Rules </w:t>
      </w:r>
      <w:r w:rsidRPr="007F356D">
        <w:rPr>
          <w:rFonts w:eastAsia="MS Mincho"/>
        </w:rPr>
        <w:t>within thirty (30) calendar days after the release date of this Forfeiture Order</w:t>
      </w:r>
      <w:r w:rsidRPr="007F356D">
        <w:rPr>
          <w:rFonts w:eastAsia="MS Mincho"/>
          <w:szCs w:val="22"/>
        </w:rPr>
        <w:t>.</w:t>
      </w:r>
      <w:r>
        <w:rPr>
          <w:rStyle w:val="FootnoteReference"/>
          <w:rFonts w:eastAsia="MS Mincho"/>
          <w:szCs w:val="22"/>
        </w:rPr>
        <w:footnoteReference w:id="27"/>
      </w:r>
      <w:r w:rsidRPr="007F356D">
        <w:rPr>
          <w:rFonts w:eastAsia="MS Mincho"/>
          <w:szCs w:val="22"/>
        </w:rPr>
        <w:t xml:space="preserve">  If the forfeiture is not paid within the period specified, the case may be referred</w:t>
      </w:r>
      <w:r w:rsidRPr="00F439DA">
        <w:rPr>
          <w:rFonts w:eastAsia="MS Mincho"/>
        </w:rPr>
        <w:t xml:space="preserve"> to </w:t>
      </w:r>
      <w:r w:rsidRPr="007F356D">
        <w:rPr>
          <w:rFonts w:eastAsia="MS Mincho"/>
          <w:szCs w:val="22"/>
        </w:rPr>
        <w:t>the U.S. Department of Justice for enforcement of the forfeiture pursuant to Section 504(a) of the Act.</w:t>
      </w:r>
      <w:r>
        <w:rPr>
          <w:rStyle w:val="FootnoteReference"/>
          <w:rFonts w:eastAsia="MS Mincho"/>
          <w:szCs w:val="22"/>
        </w:rPr>
        <w:footnoteReference w:id="28"/>
      </w:r>
      <w:r w:rsidRPr="007F356D">
        <w:rPr>
          <w:rFonts w:eastAsia="MS Mincho"/>
          <w:szCs w:val="22"/>
        </w:rPr>
        <w:t xml:space="preserve">  </w:t>
      </w:r>
      <w:r w:rsidR="00A43F62">
        <w:rPr>
          <w:color w:val="000000"/>
          <w:szCs w:val="22"/>
        </w:rPr>
        <w:t>WOYK</w:t>
      </w:r>
      <w:r w:rsidR="00A5359E">
        <w:rPr>
          <w:color w:val="000000"/>
          <w:szCs w:val="22"/>
        </w:rPr>
        <w:t>,</w:t>
      </w:r>
      <w:r w:rsidR="00A43F62">
        <w:rPr>
          <w:color w:val="000000"/>
          <w:szCs w:val="22"/>
        </w:rPr>
        <w:t xml:space="preserve"> Inc.</w:t>
      </w:r>
      <w:r w:rsidR="005C39B0">
        <w:rPr>
          <w:rFonts w:eastAsia="MS Mincho"/>
          <w:szCs w:val="22"/>
        </w:rPr>
        <w:t xml:space="preserve"> </w:t>
      </w:r>
      <w:r w:rsidRPr="007F356D">
        <w:rPr>
          <w:rFonts w:eastAsia="MS Mincho"/>
          <w:szCs w:val="22"/>
        </w:rPr>
        <w:t xml:space="preserve">shall send electronic notification of payment to </w:t>
      </w:r>
      <w:r w:rsidR="007F356D">
        <w:rPr>
          <w:szCs w:val="22"/>
        </w:rPr>
        <w:t>NER</w:t>
      </w:r>
      <w:r w:rsidRPr="007F356D">
        <w:rPr>
          <w:szCs w:val="22"/>
        </w:rPr>
        <w:t>-Response@fcc.gov</w:t>
      </w:r>
      <w:r w:rsidRPr="007F356D">
        <w:rPr>
          <w:rFonts w:eastAsia="MS Mincho"/>
          <w:szCs w:val="22"/>
        </w:rPr>
        <w:t xml:space="preserve"> on the date said payment is made.</w:t>
      </w:r>
      <w:r w:rsidRPr="007F356D">
        <w:rPr>
          <w:szCs w:val="22"/>
        </w:rPr>
        <w:t xml:space="preserve">  </w:t>
      </w:r>
      <w:r w:rsidRPr="007F356D">
        <w:rPr>
          <w:rFonts w:eastAsia="MS Mincho"/>
          <w:szCs w:val="22"/>
        </w:rPr>
        <w:t>The </w:t>
      </w:r>
      <w:r w:rsidRPr="007F356D">
        <w:rPr>
          <w:szCs w:val="22"/>
        </w:rPr>
        <w:t>payment</w:t>
      </w:r>
      <w:r w:rsidRPr="007F356D">
        <w:rPr>
          <w:rFonts w:eastAsia="MS Mincho"/>
          <w:szCs w:val="22"/>
        </w:rPr>
        <w:t xml:space="preserve"> must be made by check or similar instrument, wire transfer, or credit card, an</w:t>
      </w:r>
      <w:r w:rsidR="00A43F62">
        <w:rPr>
          <w:rFonts w:eastAsia="MS Mincho"/>
          <w:szCs w:val="22"/>
        </w:rPr>
        <w:t>d must include the NAL/Account N</w:t>
      </w:r>
      <w:r w:rsidRPr="007F356D">
        <w:rPr>
          <w:rFonts w:eastAsia="MS Mincho"/>
          <w:szCs w:val="22"/>
        </w:rPr>
        <w:t>umber and FRN referenced above.  Regardless of the form of payment, a completed FCC Form 159 (Remittance Advice) must be submitted.</w:t>
      </w:r>
      <w:r>
        <w:rPr>
          <w:rStyle w:val="FootnoteReference"/>
          <w:rFonts w:eastAsia="MS Mincho"/>
          <w:szCs w:val="22"/>
        </w:rPr>
        <w:footnoteReference w:id="29"/>
      </w:r>
      <w:r w:rsidRPr="007F356D">
        <w:rPr>
          <w:rFonts w:eastAsia="MS Mincho"/>
          <w:szCs w:val="22"/>
        </w:rPr>
        <w:t xml:space="preserve">  When completing the FCC Form 159, enter the Account Number in block number 23A (call sign/other ID) and enter the letters “FORF” in block n</w:t>
      </w:r>
      <w:r w:rsidR="00A43F62">
        <w:rPr>
          <w:rFonts w:eastAsia="MS Mincho"/>
          <w:szCs w:val="22"/>
        </w:rPr>
        <w:t>umber 24A (payment type code). </w:t>
      </w:r>
      <w:r w:rsidRPr="007F356D">
        <w:rPr>
          <w:rFonts w:eastAsia="MS Mincho"/>
          <w:szCs w:val="22"/>
        </w:rPr>
        <w:t xml:space="preserve"> </w:t>
      </w:r>
      <w:r w:rsidRPr="007F356D">
        <w:rPr>
          <w:color w:val="000000"/>
          <w:szCs w:val="22"/>
        </w:rPr>
        <w:t>Below are additional instructions you should follow based on the form of payment you select:</w:t>
      </w:r>
    </w:p>
    <w:p w14:paraId="056C637E" w14:textId="77777777" w:rsidR="00C94EB8" w:rsidRDefault="00C94EB8" w:rsidP="00890159">
      <w:pPr>
        <w:pStyle w:val="ParaNum"/>
        <w:widowControl/>
        <w:numPr>
          <w:ilvl w:val="0"/>
          <w:numId w:val="8"/>
        </w:numPr>
        <w:snapToGrid w:val="0"/>
        <w:rPr>
          <w:rFonts w:eastAsia="MS Mincho"/>
          <w:szCs w:val="22"/>
        </w:rPr>
      </w:pPr>
      <w:r>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2A319F0F" w14:textId="77777777" w:rsidR="00C94EB8" w:rsidRDefault="00C94EB8" w:rsidP="00890159">
      <w:pPr>
        <w:pStyle w:val="ParaNum"/>
        <w:widowControl/>
        <w:numPr>
          <w:ilvl w:val="0"/>
          <w:numId w:val="8"/>
        </w:numPr>
        <w:snapToGrid w:val="0"/>
        <w:rPr>
          <w:rFonts w:eastAsia="MS Mincho"/>
          <w:szCs w:val="22"/>
        </w:rPr>
      </w:pPr>
      <w:r>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4CAFC476" w14:textId="77777777" w:rsidR="00C94EB8" w:rsidRDefault="00C94EB8" w:rsidP="00890159">
      <w:pPr>
        <w:pStyle w:val="ParaNum"/>
        <w:widowControl/>
        <w:numPr>
          <w:ilvl w:val="0"/>
          <w:numId w:val="8"/>
        </w:numPr>
        <w:snapToGrid w:val="0"/>
        <w:rPr>
          <w:rFonts w:eastAsia="MS Mincho"/>
          <w:szCs w:val="22"/>
        </w:rPr>
      </w:pPr>
      <w:r>
        <w:rPr>
          <w:rFonts w:eastAsia="MS Mincho"/>
          <w:szCs w:val="22"/>
        </w:rPr>
        <w:t>Payment by credit card must be made by providing the required credit card information on FCC Form 159 and signing and dating the Form 159 to autho</w:t>
      </w:r>
      <w:r w:rsidR="007D4EAD">
        <w:rPr>
          <w:rFonts w:eastAsia="MS Mincho"/>
          <w:szCs w:val="22"/>
        </w:rPr>
        <w:t xml:space="preserve">rize the credit card payment.  </w:t>
      </w:r>
      <w:r>
        <w:rPr>
          <w:rFonts w:eastAsia="MS Mincho"/>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14:paraId="0E10BDAF" w14:textId="1BEF2EFE" w:rsidR="007F356D" w:rsidRDefault="00C94EB8" w:rsidP="00890159">
      <w:pPr>
        <w:widowControl/>
        <w:numPr>
          <w:ilvl w:val="0"/>
          <w:numId w:val="7"/>
        </w:numPr>
        <w:tabs>
          <w:tab w:val="clear" w:pos="1080"/>
          <w:tab w:val="left" w:pos="0"/>
          <w:tab w:val="num" w:pos="1440"/>
        </w:tabs>
        <w:suppressAutoHyphens/>
        <w:autoSpaceDE w:val="0"/>
        <w:autoSpaceDN w:val="0"/>
        <w:adjustRightInd w:val="0"/>
        <w:spacing w:after="120"/>
        <w:rPr>
          <w:rFonts w:eastAsia="MS Mincho"/>
        </w:rPr>
      </w:pPr>
      <w:bookmarkStart w:id="2" w:name="_Ref351630271"/>
      <w:r>
        <w:t>Any</w:t>
      </w:r>
      <w:r>
        <w:rPr>
          <w:rFonts w:eastAsia="MS Mincho"/>
        </w:rPr>
        <w:t xml:space="preserve"> request for making full payment over time under an installment plan should be sent to:  Chief Financial Officer—</w:t>
      </w:r>
      <w:r>
        <w:rPr>
          <w:szCs w:val="22"/>
        </w:rPr>
        <w:t>Financial</w:t>
      </w:r>
      <w:r>
        <w:rPr>
          <w:rFonts w:eastAsia="MS Mincho"/>
        </w:rPr>
        <w:t xml:space="preserve"> Operations, Federal Communications Commission, 445 12th Street, S.W., Room 1-A625, Washington, D.C.  20554.</w:t>
      </w:r>
      <w:r>
        <w:rPr>
          <w:rStyle w:val="FootnoteReference"/>
          <w:rFonts w:eastAsia="MS Mincho"/>
          <w:szCs w:val="22"/>
        </w:rPr>
        <w:footnoteReference w:id="30"/>
      </w:r>
      <w:r>
        <w:rPr>
          <w:rFonts w:eastAsia="MS Mincho"/>
        </w:rPr>
        <w:t>  If you have questions regarding payment procedures, please contact the Financial Operations Group Help Desk by phone, 1-877-480-3201, or by e</w:t>
      </w:r>
      <w:r>
        <w:rPr>
          <w:rFonts w:eastAsia="MS Mincho"/>
        </w:rPr>
        <w:noBreakHyphen/>
        <w:t xml:space="preserve">mail, </w:t>
      </w:r>
      <w:hyperlink r:id="rId8" w:history="1">
        <w:r>
          <w:rPr>
            <w:rStyle w:val="Hyperlink"/>
            <w:rFonts w:eastAsia="MS Mincho"/>
            <w:color w:val="auto"/>
            <w:szCs w:val="22"/>
            <w:u w:val="none"/>
          </w:rPr>
          <w:t>ARINQUIRIES@fcc.gov</w:t>
        </w:r>
      </w:hyperlink>
      <w:r>
        <w:rPr>
          <w:rFonts w:eastAsia="MS Mincho"/>
        </w:rPr>
        <w:t>.</w:t>
      </w:r>
      <w:bookmarkEnd w:id="2"/>
    </w:p>
    <w:p w14:paraId="33499BBF" w14:textId="6086485C" w:rsidR="00617D8F" w:rsidRPr="00617D8F" w:rsidRDefault="00C94EB8" w:rsidP="00F439DA">
      <w:pPr>
        <w:widowControl/>
        <w:numPr>
          <w:ilvl w:val="0"/>
          <w:numId w:val="7"/>
        </w:numPr>
        <w:tabs>
          <w:tab w:val="clear" w:pos="1080"/>
          <w:tab w:val="left" w:pos="0"/>
          <w:tab w:val="num" w:pos="1440"/>
        </w:tabs>
        <w:suppressAutoHyphens/>
        <w:autoSpaceDE w:val="0"/>
        <w:autoSpaceDN w:val="0"/>
        <w:adjustRightInd w:val="0"/>
        <w:spacing w:after="120"/>
        <w:rPr>
          <w:b/>
          <w:kern w:val="0"/>
          <w:szCs w:val="22"/>
        </w:rPr>
      </w:pPr>
      <w:r w:rsidRPr="007F356D">
        <w:rPr>
          <w:b/>
          <w:szCs w:val="22"/>
        </w:rPr>
        <w:t>IT IS FURTHER ORDERED</w:t>
      </w:r>
      <w:r w:rsidRPr="007F356D">
        <w:rPr>
          <w:szCs w:val="22"/>
        </w:rPr>
        <w:t xml:space="preserve"> that a copy of this Forfeiture Order shall be sent by both First Class Mail and Certified Mail, Return Receipt Requested, to</w:t>
      </w:r>
      <w:r w:rsidR="00617D8F">
        <w:rPr>
          <w:szCs w:val="22"/>
        </w:rPr>
        <w:t xml:space="preserve"> </w:t>
      </w:r>
      <w:r w:rsidR="00A43F62">
        <w:rPr>
          <w:szCs w:val="22"/>
        </w:rPr>
        <w:t>WOYK</w:t>
      </w:r>
      <w:r w:rsidR="00A5359E">
        <w:rPr>
          <w:szCs w:val="22"/>
        </w:rPr>
        <w:t>,</w:t>
      </w:r>
      <w:r w:rsidR="007F356D">
        <w:rPr>
          <w:szCs w:val="22"/>
        </w:rPr>
        <w:t xml:space="preserve"> Inc. at </w:t>
      </w:r>
      <w:r w:rsidR="00617D8F" w:rsidRPr="00617D8F">
        <w:rPr>
          <w:kern w:val="0"/>
          <w:szCs w:val="22"/>
        </w:rPr>
        <w:t>1360 Copenhaffer Road</w:t>
      </w:r>
      <w:r w:rsidR="00A43F62">
        <w:rPr>
          <w:kern w:val="0"/>
          <w:szCs w:val="22"/>
        </w:rPr>
        <w:t>, York, Pennsylvania</w:t>
      </w:r>
      <w:r w:rsidR="00617D8F">
        <w:rPr>
          <w:kern w:val="0"/>
          <w:szCs w:val="22"/>
        </w:rPr>
        <w:t xml:space="preserve"> 17404</w:t>
      </w:r>
      <w:r w:rsidR="00A43F62">
        <w:rPr>
          <w:kern w:val="0"/>
          <w:szCs w:val="22"/>
        </w:rPr>
        <w:t>,</w:t>
      </w:r>
      <w:r w:rsidR="00C25119">
        <w:rPr>
          <w:kern w:val="0"/>
          <w:szCs w:val="22"/>
        </w:rPr>
        <w:t xml:space="preserve"> and to Allan</w:t>
      </w:r>
      <w:r w:rsidR="00A43F62">
        <w:rPr>
          <w:kern w:val="0"/>
          <w:szCs w:val="22"/>
        </w:rPr>
        <w:t xml:space="preserve"> G. Moskowitz, Counsel for WOYK</w:t>
      </w:r>
      <w:r w:rsidR="00A5359E">
        <w:rPr>
          <w:kern w:val="0"/>
          <w:szCs w:val="22"/>
        </w:rPr>
        <w:t>,</w:t>
      </w:r>
      <w:r w:rsidR="00C25119">
        <w:rPr>
          <w:kern w:val="0"/>
          <w:szCs w:val="22"/>
        </w:rPr>
        <w:t xml:space="preserve"> Inc., at 10845 Tuckah</w:t>
      </w:r>
      <w:r w:rsidR="00A43F62">
        <w:rPr>
          <w:kern w:val="0"/>
          <w:szCs w:val="22"/>
        </w:rPr>
        <w:t>oe Way, North Potomac, Maryland</w:t>
      </w:r>
      <w:r w:rsidR="00C25119">
        <w:rPr>
          <w:kern w:val="0"/>
          <w:szCs w:val="22"/>
        </w:rPr>
        <w:t xml:space="preserve"> 20878</w:t>
      </w:r>
      <w:r w:rsidR="00617D8F">
        <w:rPr>
          <w:kern w:val="0"/>
          <w:szCs w:val="22"/>
        </w:rPr>
        <w:t>.</w:t>
      </w:r>
    </w:p>
    <w:p w14:paraId="29E8B891" w14:textId="77777777" w:rsidR="00C94EB8" w:rsidRDefault="00C94EB8">
      <w:pPr>
        <w:pStyle w:val="ParaNum"/>
        <w:widowControl/>
        <w:numPr>
          <w:ilvl w:val="0"/>
          <w:numId w:val="0"/>
        </w:numPr>
        <w:spacing w:after="220"/>
        <w:rPr>
          <w:szCs w:val="22"/>
        </w:rPr>
      </w:pPr>
    </w:p>
    <w:p w14:paraId="5FFD65C5" w14:textId="77777777" w:rsidR="00C94EB8" w:rsidRDefault="00C94EB8">
      <w:pPr>
        <w:pStyle w:val="ParaNum"/>
        <w:widowControl/>
        <w:numPr>
          <w:ilvl w:val="0"/>
          <w:numId w:val="0"/>
        </w:numPr>
        <w:spacing w:after="0"/>
        <w:ind w:left="4320"/>
        <w:rPr>
          <w:szCs w:val="22"/>
        </w:rPr>
      </w:pPr>
      <w:r>
        <w:rPr>
          <w:szCs w:val="22"/>
        </w:rPr>
        <w:t>FEDERAL COMMUNICATIONS COMMISSION</w:t>
      </w:r>
    </w:p>
    <w:p w14:paraId="17362144" w14:textId="77777777" w:rsidR="00C94EB8" w:rsidRDefault="00C94EB8">
      <w:pPr>
        <w:pStyle w:val="ParaNum"/>
        <w:widowControl/>
        <w:numPr>
          <w:ilvl w:val="0"/>
          <w:numId w:val="0"/>
        </w:numPr>
        <w:spacing w:after="0"/>
        <w:ind w:left="4320"/>
        <w:rPr>
          <w:szCs w:val="22"/>
          <w:lang w:val="en-US"/>
        </w:rPr>
      </w:pPr>
    </w:p>
    <w:p w14:paraId="12A6FA5C" w14:textId="77777777" w:rsidR="00C94EB8" w:rsidRDefault="00C94EB8">
      <w:pPr>
        <w:pStyle w:val="ParaNum"/>
        <w:widowControl/>
        <w:numPr>
          <w:ilvl w:val="0"/>
          <w:numId w:val="0"/>
        </w:numPr>
        <w:spacing w:after="0"/>
        <w:ind w:left="4320"/>
        <w:rPr>
          <w:szCs w:val="22"/>
          <w:lang w:val="en-US"/>
        </w:rPr>
      </w:pPr>
    </w:p>
    <w:p w14:paraId="2ADF47EE" w14:textId="77777777" w:rsidR="00C94EB8" w:rsidRDefault="00C94EB8">
      <w:pPr>
        <w:pStyle w:val="ParaNum"/>
        <w:widowControl/>
        <w:numPr>
          <w:ilvl w:val="0"/>
          <w:numId w:val="0"/>
        </w:numPr>
        <w:spacing w:after="0"/>
        <w:ind w:left="4320"/>
        <w:rPr>
          <w:szCs w:val="22"/>
        </w:rPr>
      </w:pPr>
    </w:p>
    <w:p w14:paraId="52D74B41" w14:textId="77777777" w:rsidR="00C94EB8" w:rsidRDefault="00C94EB8">
      <w:pPr>
        <w:pStyle w:val="ParaNum"/>
        <w:widowControl/>
        <w:numPr>
          <w:ilvl w:val="0"/>
          <w:numId w:val="0"/>
        </w:numPr>
        <w:spacing w:after="0"/>
        <w:ind w:left="4320"/>
        <w:rPr>
          <w:szCs w:val="22"/>
        </w:rPr>
      </w:pPr>
    </w:p>
    <w:p w14:paraId="286ED5A1" w14:textId="77777777" w:rsidR="00490D7D" w:rsidRDefault="00490D7D">
      <w:pPr>
        <w:pStyle w:val="ParaNum"/>
        <w:numPr>
          <w:ilvl w:val="0"/>
          <w:numId w:val="0"/>
        </w:numPr>
        <w:spacing w:after="0"/>
        <w:ind w:left="3600" w:firstLine="720"/>
        <w:rPr>
          <w:lang w:val="en-US"/>
        </w:rPr>
      </w:pPr>
      <w:r>
        <w:rPr>
          <w:lang w:val="en-US"/>
        </w:rPr>
        <w:t>G. Michael Moffitt</w:t>
      </w:r>
    </w:p>
    <w:p w14:paraId="3F06533C" w14:textId="77777777" w:rsidR="00C94EB8" w:rsidRDefault="00490D7D">
      <w:pPr>
        <w:pStyle w:val="ParaNum"/>
        <w:numPr>
          <w:ilvl w:val="0"/>
          <w:numId w:val="0"/>
        </w:numPr>
        <w:spacing w:after="0"/>
        <w:ind w:left="3600" w:firstLine="720"/>
      </w:pPr>
      <w:r>
        <w:t xml:space="preserve">Regional Director, </w:t>
      </w:r>
      <w:r>
        <w:rPr>
          <w:lang w:val="en-US"/>
        </w:rPr>
        <w:t>Northeast</w:t>
      </w:r>
      <w:r w:rsidR="00C94EB8">
        <w:t xml:space="preserve"> Region</w:t>
      </w:r>
    </w:p>
    <w:p w14:paraId="70B40527" w14:textId="77777777" w:rsidR="00C94EB8" w:rsidRDefault="00C94EB8">
      <w:pPr>
        <w:pStyle w:val="ParaNum"/>
        <w:widowControl/>
        <w:numPr>
          <w:ilvl w:val="0"/>
          <w:numId w:val="0"/>
        </w:numPr>
        <w:spacing w:after="0"/>
        <w:ind w:left="3600" w:firstLine="720"/>
      </w:pPr>
      <w:r>
        <w:rPr>
          <w:szCs w:val="22"/>
        </w:rPr>
        <w:t>Enforcement Bureau</w:t>
      </w:r>
    </w:p>
    <w:sectPr w:rsidR="00C94EB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B32B4" w14:textId="77777777" w:rsidR="00CD5683" w:rsidRDefault="00CD5683">
      <w:pPr>
        <w:spacing w:line="20" w:lineRule="exact"/>
      </w:pPr>
    </w:p>
  </w:endnote>
  <w:endnote w:type="continuationSeparator" w:id="0">
    <w:p w14:paraId="53DA35CC" w14:textId="77777777" w:rsidR="00CD5683" w:rsidRDefault="00CD5683">
      <w:r>
        <w:t xml:space="preserve"> </w:t>
      </w:r>
    </w:p>
  </w:endnote>
  <w:endnote w:type="continuationNotice" w:id="1">
    <w:p w14:paraId="69F6CDC9" w14:textId="77777777" w:rsidR="00CD5683" w:rsidRDefault="00CD56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FEB0" w14:textId="77777777" w:rsidR="00C94EB8" w:rsidRDefault="00C94EB8">
    <w:pPr>
      <w:pStyle w:val="Footer"/>
      <w:framePr w:wrap="around" w:vAnchor="text" w:hAnchor="margin" w:xAlign="center" w:y="1"/>
    </w:pPr>
    <w:r>
      <w:fldChar w:fldCharType="begin"/>
    </w:r>
    <w:r>
      <w:instrText xml:space="preserve">PAGE  </w:instrText>
    </w:r>
    <w:r>
      <w:fldChar w:fldCharType="end"/>
    </w:r>
  </w:p>
  <w:p w14:paraId="76189CFF" w14:textId="77777777" w:rsidR="00C94EB8" w:rsidRDefault="00C94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1C7A" w14:textId="77777777" w:rsidR="00C94EB8" w:rsidRDefault="00C94EB8">
    <w:pPr>
      <w:pStyle w:val="Footer"/>
      <w:framePr w:wrap="around" w:vAnchor="text" w:hAnchor="margin" w:xAlign="center" w:y="1"/>
    </w:pPr>
    <w:r>
      <w:fldChar w:fldCharType="begin"/>
    </w:r>
    <w:r>
      <w:instrText xml:space="preserve">PAGE  </w:instrText>
    </w:r>
    <w:r>
      <w:fldChar w:fldCharType="separate"/>
    </w:r>
    <w:r w:rsidR="004503EC">
      <w:rPr>
        <w:noProof/>
      </w:rPr>
      <w:t>4</w:t>
    </w:r>
    <w:r>
      <w:fldChar w:fldCharType="end"/>
    </w:r>
  </w:p>
  <w:p w14:paraId="73C26190" w14:textId="77777777" w:rsidR="00C94EB8" w:rsidRDefault="00C94EB8">
    <w:pPr>
      <w:spacing w:before="140" w:line="100" w:lineRule="exact"/>
      <w:rPr>
        <w:sz w:val="10"/>
      </w:rPr>
    </w:pPr>
  </w:p>
  <w:p w14:paraId="0325CB13" w14:textId="77777777" w:rsidR="00C94EB8" w:rsidRDefault="00C94EB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B23B" w14:textId="77777777" w:rsidR="004503EC" w:rsidRDefault="0045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57929" w14:textId="77777777" w:rsidR="00CD5683" w:rsidRDefault="00CD5683">
      <w:r>
        <w:separator/>
      </w:r>
    </w:p>
  </w:footnote>
  <w:footnote w:type="continuationSeparator" w:id="0">
    <w:p w14:paraId="44DADE43" w14:textId="77777777" w:rsidR="00CD5683" w:rsidRDefault="00CD5683">
      <w:pPr>
        <w:rPr>
          <w:sz w:val="20"/>
        </w:rPr>
      </w:pPr>
      <w:r>
        <w:rPr>
          <w:sz w:val="20"/>
        </w:rPr>
        <w:t xml:space="preserve">(Continued from previous page)  </w:t>
      </w:r>
      <w:r>
        <w:rPr>
          <w:sz w:val="20"/>
        </w:rPr>
        <w:separator/>
      </w:r>
    </w:p>
  </w:footnote>
  <w:footnote w:type="continuationNotice" w:id="1">
    <w:p w14:paraId="1D8DF452" w14:textId="77777777" w:rsidR="00CD5683" w:rsidRDefault="00CD5683">
      <w:pPr>
        <w:rPr>
          <w:sz w:val="20"/>
        </w:rPr>
      </w:pPr>
      <w:r>
        <w:rPr>
          <w:sz w:val="20"/>
        </w:rPr>
        <w:t>(continued….)</w:t>
      </w:r>
    </w:p>
  </w:footnote>
  <w:footnote w:id="2">
    <w:p w14:paraId="5AB0CE6A" w14:textId="77777777" w:rsidR="009104F6" w:rsidRPr="005A6D93" w:rsidRDefault="009104F6" w:rsidP="00924629">
      <w:pPr>
        <w:pStyle w:val="FootnoteText"/>
      </w:pPr>
      <w:r w:rsidRPr="005A6D93">
        <w:rPr>
          <w:rStyle w:val="FootnoteReference"/>
          <w:sz w:val="20"/>
        </w:rPr>
        <w:footnoteRef/>
      </w:r>
      <w:r w:rsidRPr="005A6D93">
        <w:t xml:space="preserve"> 47 C.F.R. § 73.49.</w:t>
      </w:r>
    </w:p>
  </w:footnote>
  <w:footnote w:id="3">
    <w:p w14:paraId="4BEBAE4B" w14:textId="77777777" w:rsidR="0091331B" w:rsidRPr="005A6D93" w:rsidRDefault="00326F2C" w:rsidP="00924629">
      <w:pPr>
        <w:spacing w:after="120"/>
        <w:rPr>
          <w:sz w:val="20"/>
        </w:rPr>
      </w:pPr>
      <w:r w:rsidRPr="005A6D93">
        <w:rPr>
          <w:rStyle w:val="FootnoteReference"/>
          <w:sz w:val="20"/>
        </w:rPr>
        <w:footnoteRef/>
      </w:r>
      <w:r w:rsidRPr="005A6D93">
        <w:rPr>
          <w:sz w:val="20"/>
        </w:rPr>
        <w:t xml:space="preserve"> </w:t>
      </w:r>
      <w:r w:rsidRPr="005A6D93">
        <w:rPr>
          <w:i/>
          <w:iCs/>
          <w:sz w:val="20"/>
        </w:rPr>
        <w:t>WOYK, Inc.</w:t>
      </w:r>
      <w:r w:rsidRPr="005A6D93">
        <w:rPr>
          <w:sz w:val="20"/>
        </w:rPr>
        <w:t>, Notice of Apparent Liability for Forfeiture</w:t>
      </w:r>
      <w:r w:rsidR="00774ED0" w:rsidRPr="005A6D93">
        <w:rPr>
          <w:sz w:val="20"/>
        </w:rPr>
        <w:t xml:space="preserve">, </w:t>
      </w:r>
      <w:r w:rsidR="0091331B" w:rsidRPr="005A6D93">
        <w:rPr>
          <w:sz w:val="20"/>
        </w:rPr>
        <w:t>27 FCC</w:t>
      </w:r>
      <w:r w:rsidR="007C7F9D" w:rsidRPr="005A6D93">
        <w:rPr>
          <w:sz w:val="20"/>
        </w:rPr>
        <w:t xml:space="preserve"> </w:t>
      </w:r>
      <w:r w:rsidR="0091331B" w:rsidRPr="005A6D93">
        <w:rPr>
          <w:sz w:val="20"/>
        </w:rPr>
        <w:t>Rcd 5336 (</w:t>
      </w:r>
      <w:r w:rsidR="007C7F9D" w:rsidRPr="005A6D93">
        <w:rPr>
          <w:sz w:val="20"/>
        </w:rPr>
        <w:t xml:space="preserve">Enf. Bur. </w:t>
      </w:r>
      <w:r w:rsidR="0091331B" w:rsidRPr="005A6D93">
        <w:rPr>
          <w:sz w:val="20"/>
        </w:rPr>
        <w:t xml:space="preserve">2012) </w:t>
      </w:r>
      <w:r w:rsidR="00967457" w:rsidRPr="005A6D93">
        <w:rPr>
          <w:sz w:val="20"/>
        </w:rPr>
        <w:t>(</w:t>
      </w:r>
      <w:r w:rsidR="00967457" w:rsidRPr="005A6D93">
        <w:rPr>
          <w:i/>
          <w:iCs/>
          <w:sz w:val="20"/>
        </w:rPr>
        <w:t>NAL</w:t>
      </w:r>
      <w:r w:rsidR="00967457" w:rsidRPr="005A6D93">
        <w:rPr>
          <w:sz w:val="20"/>
        </w:rPr>
        <w:t>)</w:t>
      </w:r>
      <w:r w:rsidRPr="005A6D93">
        <w:rPr>
          <w:sz w:val="20"/>
        </w:rPr>
        <w:t>.</w:t>
      </w:r>
      <w:r w:rsidR="007C7F9D" w:rsidRPr="005A6D93">
        <w:rPr>
          <w:sz w:val="20"/>
        </w:rPr>
        <w:t xml:space="preserve">  A comprehensive recitation of the facts and history of this case can be found in the </w:t>
      </w:r>
      <w:r w:rsidR="007C7F9D" w:rsidRPr="005A6D93">
        <w:rPr>
          <w:i/>
          <w:sz w:val="20"/>
        </w:rPr>
        <w:t xml:space="preserve">NAL </w:t>
      </w:r>
      <w:r w:rsidR="007C7F9D" w:rsidRPr="005A6D93">
        <w:rPr>
          <w:sz w:val="20"/>
        </w:rPr>
        <w:t>and is incorporated herein by reference.</w:t>
      </w:r>
    </w:p>
  </w:footnote>
  <w:footnote w:id="4">
    <w:p w14:paraId="2B8A61C4" w14:textId="77777777" w:rsidR="007C7F9D" w:rsidRPr="005A6D93" w:rsidRDefault="007C7F9D" w:rsidP="00924629">
      <w:pPr>
        <w:pStyle w:val="FootnoteText"/>
      </w:pPr>
      <w:r w:rsidRPr="005A6D93">
        <w:rPr>
          <w:rStyle w:val="FootnoteReference"/>
          <w:sz w:val="20"/>
        </w:rPr>
        <w:footnoteRef/>
      </w:r>
      <w:r w:rsidRPr="005A6D93">
        <w:t xml:space="preserve"> </w:t>
      </w:r>
      <w:r w:rsidRPr="005A6D93">
        <w:rPr>
          <w:i/>
        </w:rPr>
        <w:t xml:space="preserve">Id. </w:t>
      </w:r>
      <w:r w:rsidRPr="005A6D93">
        <w:t>at 5336, para. 2.</w:t>
      </w:r>
    </w:p>
  </w:footnote>
  <w:footnote w:id="5">
    <w:p w14:paraId="76D572F8" w14:textId="77777777" w:rsidR="00A93A51" w:rsidRPr="005A6D93" w:rsidRDefault="00A93A51" w:rsidP="00924629">
      <w:pPr>
        <w:pStyle w:val="FootnoteText"/>
      </w:pPr>
      <w:r w:rsidRPr="005A6D93">
        <w:rPr>
          <w:rStyle w:val="FootnoteReference"/>
          <w:sz w:val="20"/>
        </w:rPr>
        <w:footnoteRef/>
      </w:r>
      <w:r w:rsidRPr="005A6D93">
        <w:t xml:space="preserve"> </w:t>
      </w:r>
      <w:r w:rsidR="007C7F9D" w:rsidRPr="005A6D93">
        <w:rPr>
          <w:i/>
        </w:rPr>
        <w:t xml:space="preserve">Id.  </w:t>
      </w:r>
      <w:r w:rsidR="005001DC" w:rsidRPr="005A6D93">
        <w:t xml:space="preserve">The </w:t>
      </w:r>
      <w:r w:rsidR="005001DC" w:rsidRPr="005A6D93">
        <w:rPr>
          <w:i/>
          <w:iCs/>
        </w:rPr>
        <w:t xml:space="preserve">NAL </w:t>
      </w:r>
      <w:r w:rsidR="007C7F9D" w:rsidRPr="005A6D93">
        <w:rPr>
          <w:iCs/>
        </w:rPr>
        <w:t xml:space="preserve">also </w:t>
      </w:r>
      <w:r w:rsidR="007C7F9D" w:rsidRPr="005A6D93">
        <w:t>noted</w:t>
      </w:r>
      <w:r w:rsidR="005001DC" w:rsidRPr="005A6D93">
        <w:t xml:space="preserve"> that the property on which the Antenna Structure is located was not enclosed by a protective property fence.  </w:t>
      </w:r>
      <w:r w:rsidR="005001DC" w:rsidRPr="005A6D93">
        <w:rPr>
          <w:i/>
          <w:iCs/>
        </w:rPr>
        <w:t>See</w:t>
      </w:r>
      <w:r w:rsidR="007C7F9D" w:rsidRPr="005A6D93">
        <w:rPr>
          <w:i/>
          <w:iCs/>
        </w:rPr>
        <w:t xml:space="preserve"> id</w:t>
      </w:r>
      <w:r w:rsidR="007C7F9D" w:rsidRPr="005A6D93">
        <w:t>.  Contrary to WOYK’s assertion, this statement was not intended to suggest that</w:t>
      </w:r>
      <w:r w:rsidR="007D4EAD">
        <w:t xml:space="preserve"> the Rules require</w:t>
      </w:r>
      <w:r w:rsidR="007C7F9D" w:rsidRPr="005A6D93">
        <w:t xml:space="preserve"> such a </w:t>
      </w:r>
      <w:r w:rsidR="007D4EAD">
        <w:t>fence</w:t>
      </w:r>
      <w:r w:rsidR="007C7F9D" w:rsidRPr="005A6D93">
        <w:t xml:space="preserve">, </w:t>
      </w:r>
      <w:r w:rsidR="009420AA" w:rsidRPr="005A6D93">
        <w:t>but rather that individual fences around Station WOYK’s antenna structures were required because there was no protective property fence</w:t>
      </w:r>
      <w:r w:rsidR="007C7F9D" w:rsidRPr="005A6D93">
        <w:t>.</w:t>
      </w:r>
      <w:r w:rsidR="00A92D70" w:rsidRPr="005A6D93">
        <w:t xml:space="preserve">  </w:t>
      </w:r>
      <w:r w:rsidR="00A92D70" w:rsidRPr="005A6D93">
        <w:rPr>
          <w:i/>
        </w:rPr>
        <w:t xml:space="preserve">See </w:t>
      </w:r>
      <w:r w:rsidR="00A92D70" w:rsidRPr="005A6D93">
        <w:rPr>
          <w:i/>
          <w:iCs/>
        </w:rPr>
        <w:t>WOYK, Inc.</w:t>
      </w:r>
      <w:r w:rsidR="00A92D70" w:rsidRPr="005A6D93">
        <w:t>, Request for Rescission or Reduction of Forfeiture (June 20, 2012) (on file in EB-FIELDNER-13-000056628) (</w:t>
      </w:r>
      <w:r w:rsidR="00A92D70" w:rsidRPr="005A6D93">
        <w:rPr>
          <w:i/>
          <w:iCs/>
        </w:rPr>
        <w:t>NAL Response</w:t>
      </w:r>
      <w:r w:rsidR="00A92D70" w:rsidRPr="005A6D93">
        <w:t xml:space="preserve">).  </w:t>
      </w:r>
    </w:p>
  </w:footnote>
  <w:footnote w:id="6">
    <w:p w14:paraId="75A87AF8" w14:textId="77777777" w:rsidR="00A92D70" w:rsidRPr="005A6D93" w:rsidRDefault="00A92D70" w:rsidP="00924629">
      <w:pPr>
        <w:pStyle w:val="FootnoteText"/>
      </w:pPr>
      <w:r w:rsidRPr="005A6D93">
        <w:rPr>
          <w:rStyle w:val="FootnoteReference"/>
          <w:sz w:val="20"/>
        </w:rPr>
        <w:footnoteRef/>
      </w:r>
      <w:r w:rsidRPr="005A6D93">
        <w:t xml:space="preserve"> </w:t>
      </w:r>
      <w:r w:rsidRPr="005A6D93">
        <w:rPr>
          <w:i/>
        </w:rPr>
        <w:t>NAL</w:t>
      </w:r>
      <w:r w:rsidRPr="005A6D93">
        <w:t>, 27 FCC Rcd at 5336, para. 2.</w:t>
      </w:r>
    </w:p>
  </w:footnote>
  <w:footnote w:id="7">
    <w:p w14:paraId="5B826511" w14:textId="77777777" w:rsidR="0070548F" w:rsidRPr="005A6D93" w:rsidRDefault="0070548F" w:rsidP="00924629">
      <w:pPr>
        <w:pStyle w:val="FootnoteText"/>
      </w:pPr>
      <w:r w:rsidRPr="005A6D93">
        <w:rPr>
          <w:rStyle w:val="FootnoteReference"/>
          <w:sz w:val="20"/>
        </w:rPr>
        <w:footnoteRef/>
      </w:r>
      <w:r w:rsidRPr="005A6D93">
        <w:t xml:space="preserve"> </w:t>
      </w:r>
      <w:r w:rsidRPr="005A6D93">
        <w:rPr>
          <w:i/>
          <w:iCs/>
        </w:rPr>
        <w:t xml:space="preserve">NAL Response </w:t>
      </w:r>
      <w:r w:rsidR="00A92D70" w:rsidRPr="005A6D93">
        <w:t xml:space="preserve">at 2, 4.  </w:t>
      </w:r>
      <w:r w:rsidRPr="005A6D93">
        <w:t xml:space="preserve">WOYK takes issue </w:t>
      </w:r>
      <w:r w:rsidR="00A92D70" w:rsidRPr="005A6D93">
        <w:t xml:space="preserve">with the </w:t>
      </w:r>
      <w:r w:rsidR="00A92D70" w:rsidRPr="005A6D93">
        <w:rPr>
          <w:i/>
        </w:rPr>
        <w:t>NAL</w:t>
      </w:r>
      <w:r w:rsidR="00A92D70" w:rsidRPr="005A6D93">
        <w:t xml:space="preserve">’s characterization of the hasp as “broken.”  </w:t>
      </w:r>
      <w:r w:rsidR="00A92D70" w:rsidRPr="005A6D93">
        <w:rPr>
          <w:i/>
        </w:rPr>
        <w:t>See NAL</w:t>
      </w:r>
      <w:r w:rsidR="00A92D70" w:rsidRPr="005A6D93">
        <w:t>, 27 FCC Rcd 5336–37, paras. 2, 5.  I</w:t>
      </w:r>
      <w:r w:rsidRPr="005A6D93">
        <w:t xml:space="preserve">n its </w:t>
      </w:r>
      <w:r w:rsidRPr="005A6D93">
        <w:rPr>
          <w:i/>
          <w:iCs/>
        </w:rPr>
        <w:t>NAL Response</w:t>
      </w:r>
      <w:r w:rsidR="00A92D70" w:rsidRPr="005A6D93">
        <w:rPr>
          <w:iCs/>
        </w:rPr>
        <w:t>,</w:t>
      </w:r>
      <w:r w:rsidR="00A92D70" w:rsidRPr="005A6D93">
        <w:rPr>
          <w:i/>
          <w:iCs/>
        </w:rPr>
        <w:t xml:space="preserve"> </w:t>
      </w:r>
      <w:r w:rsidRPr="005A6D93">
        <w:t>WOYK claims that the hasp on the gate was not “broken,” but rather the “four (4) screws affixing the hasp (and the lock) to the gate ha</w:t>
      </w:r>
      <w:r w:rsidR="007D4EAD">
        <w:t>d been pulled out of the hasp.”</w:t>
      </w:r>
      <w:r w:rsidRPr="005A6D93">
        <w:t xml:space="preserve"> </w:t>
      </w:r>
      <w:r w:rsidR="00924629">
        <w:rPr>
          <w:i/>
        </w:rPr>
        <w:t xml:space="preserve">NAL Response </w:t>
      </w:r>
      <w:r w:rsidR="00924629">
        <w:t xml:space="preserve">at 2.  </w:t>
      </w:r>
      <w:r w:rsidR="007D4EAD">
        <w:t xml:space="preserve">As we find that WOYK </w:t>
      </w:r>
      <w:r w:rsidR="00D60EB8" w:rsidRPr="005A6D93">
        <w:t xml:space="preserve">presented </w:t>
      </w:r>
      <w:r w:rsidR="007D4EAD">
        <w:t>in</w:t>
      </w:r>
      <w:r w:rsidR="00D60EB8" w:rsidRPr="005A6D93">
        <w:t xml:space="preserve">sufficient evidence to justify a forfeiture cancellation due to vandalism, </w:t>
      </w:r>
      <w:r w:rsidR="00D60EB8" w:rsidRPr="005A6D93">
        <w:rPr>
          <w:i/>
        </w:rPr>
        <w:t xml:space="preserve">see infra </w:t>
      </w:r>
      <w:r w:rsidR="00D60EB8" w:rsidRPr="005A6D93">
        <w:t xml:space="preserve">para.  </w:t>
      </w:r>
      <w:r w:rsidR="007D4EAD">
        <w:t>6</w:t>
      </w:r>
      <w:r w:rsidR="00D60EB8" w:rsidRPr="005A6D93">
        <w:t>,</w:t>
      </w:r>
      <w:r w:rsidR="00D60EB8" w:rsidRPr="005A6D93">
        <w:rPr>
          <w:b/>
        </w:rPr>
        <w:t xml:space="preserve"> </w:t>
      </w:r>
      <w:r w:rsidR="00D60EB8" w:rsidRPr="005A6D93">
        <w:t xml:space="preserve">the characterization </w:t>
      </w:r>
      <w:r w:rsidR="007D4EAD">
        <w:t xml:space="preserve">of </w:t>
      </w:r>
      <w:r w:rsidR="00D60EB8" w:rsidRPr="005A6D93">
        <w:t>the hasp</w:t>
      </w:r>
      <w:r w:rsidR="007D4EAD">
        <w:t>’s condition</w:t>
      </w:r>
      <w:r w:rsidR="00D60EB8" w:rsidRPr="005A6D93">
        <w:t xml:space="preserve"> does</w:t>
      </w:r>
      <w:r w:rsidR="007D4EAD">
        <w:t xml:space="preserve"> not affect our analysis</w:t>
      </w:r>
      <w:r w:rsidR="00D60EB8" w:rsidRPr="005A6D93">
        <w:t>.</w:t>
      </w:r>
    </w:p>
  </w:footnote>
  <w:footnote w:id="8">
    <w:p w14:paraId="346C2973" w14:textId="1C6F4D3D" w:rsidR="00A92D70" w:rsidRPr="00A5359E" w:rsidRDefault="00A92D70" w:rsidP="00924629">
      <w:pPr>
        <w:pStyle w:val="FootnoteText"/>
      </w:pPr>
      <w:r w:rsidRPr="005A6D93">
        <w:rPr>
          <w:rStyle w:val="FootnoteReference"/>
          <w:sz w:val="20"/>
        </w:rPr>
        <w:footnoteRef/>
      </w:r>
      <w:r w:rsidRPr="005A6D93">
        <w:t xml:space="preserve"> </w:t>
      </w:r>
      <w:r w:rsidR="00A5359E">
        <w:rPr>
          <w:i/>
        </w:rPr>
        <w:t>NAL Response</w:t>
      </w:r>
      <w:r w:rsidR="00A5359E">
        <w:t xml:space="preserve"> at 3.</w:t>
      </w:r>
    </w:p>
  </w:footnote>
  <w:footnote w:id="9">
    <w:p w14:paraId="347EE650" w14:textId="6EFAFDD6" w:rsidR="00D60EB8" w:rsidRPr="00A5359E" w:rsidRDefault="00D60EB8" w:rsidP="00924629">
      <w:pPr>
        <w:pStyle w:val="FootnoteText"/>
        <w:rPr>
          <w:i/>
        </w:rPr>
      </w:pPr>
      <w:r w:rsidRPr="005A6D93">
        <w:rPr>
          <w:rStyle w:val="FootnoteReference"/>
          <w:sz w:val="20"/>
        </w:rPr>
        <w:footnoteRef/>
      </w:r>
      <w:r w:rsidRPr="005A6D93">
        <w:t xml:space="preserve"> </w:t>
      </w:r>
      <w:r w:rsidR="00A5359E">
        <w:rPr>
          <w:i/>
        </w:rPr>
        <w:t>Id. At 4.</w:t>
      </w:r>
    </w:p>
  </w:footnote>
  <w:footnote w:id="10">
    <w:p w14:paraId="0356541F" w14:textId="77777777" w:rsidR="00C94EB8" w:rsidRPr="005A6D93" w:rsidRDefault="00C94EB8" w:rsidP="00924629">
      <w:pPr>
        <w:pStyle w:val="FootnoteText"/>
      </w:pPr>
      <w:r w:rsidRPr="005A6D93">
        <w:rPr>
          <w:rStyle w:val="FootnoteReference"/>
          <w:sz w:val="20"/>
        </w:rPr>
        <w:footnoteRef/>
      </w:r>
      <w:r w:rsidRPr="005A6D93">
        <w:t xml:space="preserve"> 47 U.S.C. § 503(b).</w:t>
      </w:r>
    </w:p>
  </w:footnote>
  <w:footnote w:id="11">
    <w:p w14:paraId="21E5E090" w14:textId="77777777" w:rsidR="00C94EB8" w:rsidRPr="005A6D93" w:rsidRDefault="00C94EB8" w:rsidP="00924629">
      <w:pPr>
        <w:pStyle w:val="FootnoteText"/>
      </w:pPr>
      <w:r w:rsidRPr="005A6D93">
        <w:rPr>
          <w:rStyle w:val="FootnoteReference"/>
          <w:sz w:val="20"/>
        </w:rPr>
        <w:footnoteRef/>
      </w:r>
      <w:r w:rsidRPr="005A6D93">
        <w:t xml:space="preserve"> 47 C.F.R. § 1.80.</w:t>
      </w:r>
    </w:p>
  </w:footnote>
  <w:footnote w:id="12">
    <w:p w14:paraId="0AE4A9BD" w14:textId="77777777" w:rsidR="00C94EB8" w:rsidRPr="005A6D93" w:rsidRDefault="00C94EB8" w:rsidP="00924629">
      <w:pPr>
        <w:pStyle w:val="FootnoteText"/>
      </w:pPr>
      <w:r w:rsidRPr="005A6D93">
        <w:rPr>
          <w:rStyle w:val="FootnoteReference"/>
          <w:sz w:val="20"/>
        </w:rPr>
        <w:footnoteRef/>
      </w:r>
      <w:r w:rsidRPr="005A6D93">
        <w:t xml:space="preserve"> </w:t>
      </w:r>
      <w:r w:rsidRPr="005A6D93">
        <w:rPr>
          <w:i/>
        </w:rPr>
        <w:t>The Commission’s Forfeiture Policy Statement and Amendment of Section 1.80 of the Rules to Incorporate the Forfeiture Guidelines</w:t>
      </w:r>
      <w:r w:rsidRPr="005A6D93">
        <w:t xml:space="preserve">, Report and Order, 12 FCC Rcd 17087 (1997), </w:t>
      </w:r>
      <w:r w:rsidRPr="005A6D93">
        <w:rPr>
          <w:i/>
        </w:rPr>
        <w:t>recons. denied</w:t>
      </w:r>
      <w:r w:rsidRPr="005A6D93">
        <w:t>, 15 FCC Rcd 303 (1999) (</w:t>
      </w:r>
      <w:r w:rsidRPr="005A6D93">
        <w:rPr>
          <w:i/>
        </w:rPr>
        <w:t>Forfeiture Policy Statement</w:t>
      </w:r>
      <w:r w:rsidRPr="005A6D93">
        <w:t xml:space="preserve">).  </w:t>
      </w:r>
    </w:p>
  </w:footnote>
  <w:footnote w:id="13">
    <w:p w14:paraId="01507EB2" w14:textId="77777777" w:rsidR="00C94EB8" w:rsidRPr="005A6D93" w:rsidRDefault="00C94EB8" w:rsidP="00924629">
      <w:pPr>
        <w:pStyle w:val="FootnoteText"/>
      </w:pPr>
      <w:r w:rsidRPr="005A6D93">
        <w:rPr>
          <w:rStyle w:val="FootnoteReference"/>
          <w:sz w:val="20"/>
        </w:rPr>
        <w:footnoteRef/>
      </w:r>
      <w:r w:rsidRPr="005A6D93">
        <w:t xml:space="preserve"> 47 U.S.C. § 503(b)(2)(E).</w:t>
      </w:r>
    </w:p>
  </w:footnote>
  <w:footnote w:id="14">
    <w:p w14:paraId="08192DA3" w14:textId="1900ECD2" w:rsidR="00D60EB8" w:rsidRPr="00A5359E" w:rsidRDefault="00D60EB8" w:rsidP="00924629">
      <w:pPr>
        <w:pStyle w:val="FootnoteText"/>
        <w:rPr>
          <w:i/>
        </w:rPr>
      </w:pPr>
      <w:r w:rsidRPr="005A6D93">
        <w:rPr>
          <w:rStyle w:val="FootnoteReference"/>
          <w:sz w:val="20"/>
        </w:rPr>
        <w:footnoteRef/>
      </w:r>
      <w:r w:rsidRPr="005A6D93">
        <w:t xml:space="preserve"> </w:t>
      </w:r>
      <w:r w:rsidR="00A5359E">
        <w:rPr>
          <w:i/>
        </w:rPr>
        <w:t>NAL Response at 4.</w:t>
      </w:r>
    </w:p>
  </w:footnote>
  <w:footnote w:id="15">
    <w:p w14:paraId="48F877D1" w14:textId="77777777" w:rsidR="001B0022" w:rsidRPr="005A6D93" w:rsidRDefault="001B0022" w:rsidP="00924629">
      <w:pPr>
        <w:pStyle w:val="FootnoteText"/>
      </w:pPr>
      <w:r w:rsidRPr="005A6D93">
        <w:rPr>
          <w:rStyle w:val="FootnoteReference"/>
          <w:sz w:val="20"/>
        </w:rPr>
        <w:footnoteRef/>
      </w:r>
      <w:r w:rsidRPr="005A6D93">
        <w:t xml:space="preserve"> </w:t>
      </w:r>
      <w:r w:rsidRPr="005A6D93">
        <w:rPr>
          <w:i/>
        </w:rPr>
        <w:t>See, e.g.</w:t>
      </w:r>
      <w:r w:rsidRPr="005A6D93">
        <w:t xml:space="preserve">, </w:t>
      </w:r>
      <w:r w:rsidRPr="005A6D93">
        <w:rPr>
          <w:i/>
        </w:rPr>
        <w:t>Vernon Broad.</w:t>
      </w:r>
      <w:r w:rsidR="00924629">
        <w:rPr>
          <w:i/>
        </w:rPr>
        <w:t xml:space="preserve"> Inc.</w:t>
      </w:r>
      <w:r w:rsidR="00924629">
        <w:t>,</w:t>
      </w:r>
      <w:r w:rsidRPr="005A6D93">
        <w:rPr>
          <w:i/>
        </w:rPr>
        <w:t xml:space="preserve"> </w:t>
      </w:r>
      <w:r w:rsidRPr="005A6D93">
        <w:t xml:space="preserve">Memorandum Opinion and Order, 60 Rad. Reg. 2d 1275 (1986) (cancelling an $1,000 AM tower fencing violation forfeiture). </w:t>
      </w:r>
    </w:p>
  </w:footnote>
  <w:footnote w:id="16">
    <w:p w14:paraId="7F197BB4" w14:textId="77777777" w:rsidR="001B0022" w:rsidRPr="005A6D93" w:rsidRDefault="001B0022" w:rsidP="00924629">
      <w:pPr>
        <w:pStyle w:val="FootnoteText"/>
      </w:pPr>
      <w:r w:rsidRPr="005A6D93">
        <w:rPr>
          <w:rStyle w:val="FootnoteReference"/>
          <w:sz w:val="20"/>
        </w:rPr>
        <w:footnoteRef/>
      </w:r>
      <w:r w:rsidRPr="005A6D93">
        <w:t xml:space="preserve"> </w:t>
      </w:r>
      <w:r w:rsidRPr="005A6D93">
        <w:rPr>
          <w:i/>
        </w:rPr>
        <w:t xml:space="preserve">Id. </w:t>
      </w:r>
      <w:r w:rsidRPr="005A6D93">
        <w:t>at paras. 2–3.</w:t>
      </w:r>
    </w:p>
  </w:footnote>
  <w:footnote w:id="17">
    <w:p w14:paraId="0FABAAC5" w14:textId="77777777" w:rsidR="001B0022" w:rsidRPr="005A6D93" w:rsidRDefault="001B0022" w:rsidP="00924629">
      <w:pPr>
        <w:pStyle w:val="FootnoteText"/>
      </w:pPr>
      <w:r w:rsidRPr="005A6D93">
        <w:rPr>
          <w:rStyle w:val="FootnoteReference"/>
          <w:sz w:val="20"/>
        </w:rPr>
        <w:footnoteRef/>
      </w:r>
      <w:r w:rsidRPr="005A6D93">
        <w:t xml:space="preserve"> </w:t>
      </w:r>
      <w:r w:rsidRPr="005A6D93">
        <w:rPr>
          <w:i/>
        </w:rPr>
        <w:t xml:space="preserve">See id. </w:t>
      </w:r>
      <w:r w:rsidRPr="005A6D93">
        <w:t xml:space="preserve">at para. 2 (noting </w:t>
      </w:r>
      <w:r w:rsidR="007F5A3D" w:rsidRPr="005A6D93">
        <w:t>that, due to past insta</w:t>
      </w:r>
      <w:r w:rsidR="00924629">
        <w:t>nces of vandalism to its</w:t>
      </w:r>
      <w:r w:rsidR="007F5A3D" w:rsidRPr="005A6D93">
        <w:t xml:space="preserve"> antenna site, the licensee “inspects it regularly and immed</w:t>
      </w:r>
      <w:r w:rsidR="006D5A15" w:rsidRPr="005A6D93">
        <w:t xml:space="preserve">iately makes necessary repairs); </w:t>
      </w:r>
      <w:r w:rsidR="006D5A15" w:rsidRPr="005A6D93">
        <w:rPr>
          <w:i/>
        </w:rPr>
        <w:t>Frandsen Media Co.</w:t>
      </w:r>
      <w:r w:rsidR="006D5A15" w:rsidRPr="005A6D93">
        <w:t>, Forfeiture Order, DA 14-1073 (Enf. Bur. July 29, 2014) (declining to cancel proposed forfeiture when licensee had not inspected FM transmitter signage for at least five months in response to known vandalism issues).</w:t>
      </w:r>
    </w:p>
  </w:footnote>
  <w:footnote w:id="18">
    <w:p w14:paraId="47C2FD24" w14:textId="77777777" w:rsidR="005A6D93" w:rsidRPr="005A6D93" w:rsidRDefault="005A6D93" w:rsidP="00924629">
      <w:pPr>
        <w:spacing w:after="120"/>
        <w:rPr>
          <w:snapToGrid/>
          <w:kern w:val="0"/>
          <w:sz w:val="20"/>
        </w:rPr>
      </w:pPr>
      <w:r w:rsidRPr="005A6D93">
        <w:rPr>
          <w:rStyle w:val="FootnoteReference"/>
          <w:sz w:val="20"/>
        </w:rPr>
        <w:footnoteRef/>
      </w:r>
      <w:r w:rsidRPr="005A6D93">
        <w:rPr>
          <w:sz w:val="20"/>
        </w:rPr>
        <w:t xml:space="preserve"> </w:t>
      </w:r>
      <w:r w:rsidRPr="005A6D93">
        <w:rPr>
          <w:i/>
          <w:sz w:val="20"/>
        </w:rPr>
        <w:t>See JMK Commc’ns, Inc.</w:t>
      </w:r>
      <w:r w:rsidRPr="005A6D93">
        <w:rPr>
          <w:sz w:val="20"/>
        </w:rPr>
        <w:t>, Forfeiture Order, 28 FCC Rcd 6215, 6215, para. 2 (Enf. Bur. 2013) (observing condition of fencing suggested th</w:t>
      </w:r>
      <w:r>
        <w:rPr>
          <w:sz w:val="20"/>
        </w:rPr>
        <w:t>at it was</w:t>
      </w:r>
      <w:r w:rsidRPr="005A6D93">
        <w:rPr>
          <w:sz w:val="20"/>
        </w:rPr>
        <w:t xml:space="preserve"> damaged for a significant period of time).</w:t>
      </w:r>
    </w:p>
  </w:footnote>
  <w:footnote w:id="19">
    <w:p w14:paraId="1E76230D" w14:textId="1E299546" w:rsidR="006D5A15" w:rsidRPr="00A5359E" w:rsidRDefault="006D5A15" w:rsidP="00924629">
      <w:pPr>
        <w:pStyle w:val="FootnoteText"/>
        <w:rPr>
          <w:i/>
        </w:rPr>
      </w:pPr>
      <w:r w:rsidRPr="005A6D93">
        <w:rPr>
          <w:rStyle w:val="FootnoteReference"/>
          <w:sz w:val="20"/>
        </w:rPr>
        <w:footnoteRef/>
      </w:r>
      <w:r w:rsidRPr="005A6D93">
        <w:t xml:space="preserve"> </w:t>
      </w:r>
      <w:r w:rsidR="00A5359E">
        <w:rPr>
          <w:i/>
        </w:rPr>
        <w:t>NAL Response at 2-3.</w:t>
      </w:r>
    </w:p>
  </w:footnote>
  <w:footnote w:id="20">
    <w:p w14:paraId="352B5C73" w14:textId="77777777" w:rsidR="00654C5E" w:rsidRPr="005A6D93" w:rsidRDefault="00654C5E" w:rsidP="00924629">
      <w:pPr>
        <w:pStyle w:val="FootnoteText"/>
      </w:pPr>
      <w:r w:rsidRPr="005A6D93">
        <w:rPr>
          <w:rStyle w:val="FootnoteReference"/>
          <w:sz w:val="20"/>
        </w:rPr>
        <w:footnoteRef/>
      </w:r>
      <w:r w:rsidRPr="005A6D93">
        <w:t xml:space="preserve"> </w:t>
      </w:r>
      <w:r w:rsidR="00097313" w:rsidRPr="005A6D93">
        <w:rPr>
          <w:i/>
        </w:rPr>
        <w:t>See, e.g.</w:t>
      </w:r>
      <w:r w:rsidR="00097313" w:rsidRPr="005A6D93">
        <w:t xml:space="preserve">, </w:t>
      </w:r>
      <w:r w:rsidR="00097313" w:rsidRPr="005A6D93">
        <w:rPr>
          <w:rStyle w:val="Emphasis"/>
        </w:rPr>
        <w:t>Sutro Corp.</w:t>
      </w:r>
      <w:r w:rsidR="00097313" w:rsidRPr="005A6D93">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00097313" w:rsidRPr="005A6D93">
        <w:rPr>
          <w:i/>
        </w:rPr>
        <w:t>Catholic Radio Network of Loveland, Inc.</w:t>
      </w:r>
      <w:r w:rsidR="00097313" w:rsidRPr="005A6D93">
        <w:t>, Forfeiture Order, 29 FCC Rcd 121</w:t>
      </w:r>
      <w:r w:rsidR="001B5FE6" w:rsidRPr="005A6D93">
        <w:t>, 122–23, para. 5</w:t>
      </w:r>
      <w:r w:rsidR="00097313" w:rsidRPr="005A6D93">
        <w:t xml:space="preserve"> (Enf. Bur. 2014) (</w:t>
      </w:r>
      <w:r w:rsidR="001B5FE6" w:rsidRPr="005A6D93">
        <w:t xml:space="preserve">“The Commission will generally reduce an assessed forfeiture based on the good faith corrective efforts of a violator when those corrective efforts were taken </w:t>
      </w:r>
      <w:r w:rsidR="001B5FE6" w:rsidRPr="005A6D93">
        <w:rPr>
          <w:rStyle w:val="Emphasis"/>
        </w:rPr>
        <w:t>prior</w:t>
      </w:r>
      <w:r w:rsidR="001B5FE6" w:rsidRPr="005A6D93">
        <w:t xml:space="preserve"> to Commission notification of the violation</w:t>
      </w:r>
      <w:r w:rsidR="00924629">
        <w:t>.</w:t>
      </w:r>
      <w:r w:rsidR="001B5FE6" w:rsidRPr="005A6D93">
        <w:t>”) (emphasis in original)</w:t>
      </w:r>
      <w:r w:rsidR="00097313" w:rsidRPr="005A6D93">
        <w:t xml:space="preserve">; </w:t>
      </w:r>
      <w:r w:rsidR="00097313" w:rsidRPr="005A6D93">
        <w:rPr>
          <w:i/>
        </w:rPr>
        <w:t>Argos Net, Inc.</w:t>
      </w:r>
      <w:r w:rsidR="00097313" w:rsidRPr="005A6D93">
        <w:t>, Forfeiture Order, 28 FCC Rcd 1126</w:t>
      </w:r>
      <w:r w:rsidR="00924629">
        <w:t>,</w:t>
      </w:r>
      <w:r w:rsidR="001B5FE6" w:rsidRPr="005A6D93">
        <w:t xml:space="preserve"> 1127, para. 4</w:t>
      </w:r>
      <w:r w:rsidR="00097313" w:rsidRPr="005A6D93">
        <w:t xml:space="preserve"> (Enf. Bur. 2013)</w:t>
      </w:r>
      <w:r w:rsidR="001B5FE6" w:rsidRPr="005A6D93">
        <w:t xml:space="preserve"> (“[C[orrective action taken after notification or inspection by the Commission does not mitigate the violation . . . .”)</w:t>
      </w:r>
      <w:r w:rsidR="00097313" w:rsidRPr="005A6D93">
        <w:t xml:space="preserve">.  </w:t>
      </w:r>
    </w:p>
  </w:footnote>
  <w:footnote w:id="21">
    <w:p w14:paraId="5B86807E" w14:textId="6FB02EF1" w:rsidR="00C725CC" w:rsidRPr="005A6D93" w:rsidRDefault="00C725CC" w:rsidP="00924629">
      <w:pPr>
        <w:pStyle w:val="FootnoteText"/>
      </w:pPr>
      <w:r w:rsidRPr="005A6D93">
        <w:rPr>
          <w:rStyle w:val="FootnoteReference"/>
          <w:sz w:val="20"/>
        </w:rPr>
        <w:footnoteRef/>
      </w:r>
      <w:r w:rsidRPr="005A6D93">
        <w:t xml:space="preserve"> </w:t>
      </w:r>
      <w:r w:rsidRPr="005A6D93">
        <w:rPr>
          <w:i/>
          <w:iCs/>
        </w:rPr>
        <w:t>See, e.g.</w:t>
      </w:r>
      <w:r w:rsidRPr="005A6D93">
        <w:t>,</w:t>
      </w:r>
      <w:r w:rsidRPr="005A6D93">
        <w:rPr>
          <w:i/>
          <w:iCs/>
        </w:rPr>
        <w:t xml:space="preserve"> </w:t>
      </w:r>
      <w:hyperlink r:id="rId1" w:tgtFrame="_top" w:history="1">
        <w:r w:rsidR="00E60741" w:rsidRPr="005A6D93">
          <w:rPr>
            <w:rStyle w:val="Hyperlink"/>
            <w:i/>
            <w:iCs/>
            <w:color w:val="auto"/>
            <w:u w:val="none"/>
          </w:rPr>
          <w:t>Seawest Yacht Brokers</w:t>
        </w:r>
        <w:r w:rsidRPr="005A6D93">
          <w:rPr>
            <w:rStyle w:val="Hyperlink"/>
            <w:iCs/>
            <w:color w:val="auto"/>
            <w:u w:val="none"/>
          </w:rPr>
          <w:t xml:space="preserve">, </w:t>
        </w:r>
        <w:r w:rsidR="00E60741" w:rsidRPr="005A6D93">
          <w:rPr>
            <w:rStyle w:val="Hyperlink"/>
            <w:color w:val="auto"/>
            <w:u w:val="none"/>
          </w:rPr>
          <w:t>Notice of Forfeiture</w:t>
        </w:r>
        <w:r w:rsidRPr="005A6D93">
          <w:rPr>
            <w:rStyle w:val="Hyperlink"/>
            <w:iCs/>
            <w:color w:val="auto"/>
            <w:u w:val="none"/>
          </w:rPr>
          <w:t>, 9 FCC Rcd 6099</w:t>
        </w:r>
        <w:r w:rsidR="00E60741" w:rsidRPr="005A6D93">
          <w:rPr>
            <w:rStyle w:val="Hyperlink"/>
            <w:iCs/>
            <w:color w:val="auto"/>
            <w:u w:val="none"/>
          </w:rPr>
          <w:t>, 6099, para. 7</w:t>
        </w:r>
        <w:r w:rsidRPr="005A6D93">
          <w:rPr>
            <w:rStyle w:val="Hyperlink"/>
            <w:iCs/>
            <w:color w:val="auto"/>
            <w:u w:val="none"/>
          </w:rPr>
          <w:t xml:space="preserve"> (1994)</w:t>
        </w:r>
      </w:hyperlink>
      <w:r w:rsidRPr="005A6D93">
        <w:rPr>
          <w:iCs/>
        </w:rPr>
        <w:t xml:space="preserve"> </w:t>
      </w:r>
      <w:r w:rsidRPr="005A6D93">
        <w:t>(</w:t>
      </w:r>
      <w:r w:rsidR="00E60741" w:rsidRPr="005A6D93">
        <w:rPr>
          <w:iCs/>
        </w:rPr>
        <w:t>citations omitted)</w:t>
      </w:r>
      <w:r w:rsidRPr="005A6D93">
        <w:t xml:space="preserve">; </w:t>
      </w:r>
      <w:hyperlink r:id="rId2" w:tgtFrame="_top" w:history="1">
        <w:r w:rsidR="00E60741" w:rsidRPr="005A6D93">
          <w:rPr>
            <w:rStyle w:val="Hyperlink"/>
            <w:i/>
            <w:iCs/>
            <w:color w:val="auto"/>
            <w:u w:val="none"/>
          </w:rPr>
          <w:t>Exec. Broad.</w:t>
        </w:r>
        <w:r w:rsidRPr="005A6D93">
          <w:rPr>
            <w:rStyle w:val="Hyperlink"/>
            <w:i/>
            <w:iCs/>
            <w:color w:val="auto"/>
            <w:u w:val="none"/>
          </w:rPr>
          <w:t xml:space="preserve"> Corp.</w:t>
        </w:r>
        <w:r w:rsidR="00E60741" w:rsidRPr="005A6D93">
          <w:rPr>
            <w:rStyle w:val="Hyperlink"/>
            <w:color w:val="auto"/>
            <w:u w:val="none"/>
          </w:rPr>
          <w:t>, 3 FCC 2d 699, 700</w:t>
        </w:r>
        <w:r w:rsidRPr="005A6D93">
          <w:rPr>
            <w:rStyle w:val="Hyperlink"/>
            <w:color w:val="auto"/>
            <w:u w:val="none"/>
          </w:rPr>
          <w:t>, para. 6 (1966)</w:t>
        </w:r>
      </w:hyperlink>
      <w:r w:rsidRPr="005A6D93">
        <w:t xml:space="preserve"> (“The fact that prompt </w:t>
      </w:r>
      <w:r w:rsidR="00E60741" w:rsidRPr="005A6D93">
        <w:t xml:space="preserve">corrective action was taken . . . </w:t>
      </w:r>
      <w:r w:rsidRPr="005A6D93">
        <w:t>does not excuse the prior violations.”).</w:t>
      </w:r>
    </w:p>
  </w:footnote>
  <w:footnote w:id="22">
    <w:p w14:paraId="51FC3E02" w14:textId="77777777" w:rsidR="00E60741" w:rsidRPr="005A6D93" w:rsidRDefault="00E60741" w:rsidP="00924629">
      <w:pPr>
        <w:pStyle w:val="FootnoteText"/>
      </w:pPr>
      <w:r w:rsidRPr="005A6D93">
        <w:rPr>
          <w:rStyle w:val="FootnoteReference"/>
          <w:sz w:val="20"/>
        </w:rPr>
        <w:footnoteRef/>
      </w:r>
      <w:r w:rsidRPr="005A6D93">
        <w:t xml:space="preserve"> </w:t>
      </w:r>
      <w:r w:rsidRPr="005A6D93">
        <w:rPr>
          <w:i/>
        </w:rPr>
        <w:t>See, e.g.</w:t>
      </w:r>
      <w:r w:rsidRPr="005A6D93">
        <w:t>,</w:t>
      </w:r>
      <w:r w:rsidRPr="005A6D93">
        <w:rPr>
          <w:i/>
        </w:rPr>
        <w:t xml:space="preserve"> Bold Gold Media WBS, L.P.</w:t>
      </w:r>
      <w:r w:rsidRPr="005A6D93">
        <w:t xml:space="preserve">, Forfeiture Order, 29 FCC Rcd 6016 (Enf. Bur. 2014) (reducing proposed forfeiture where licensee contracted to acquire required Emergency Alert System equipment prior to inspection). </w:t>
      </w:r>
    </w:p>
  </w:footnote>
  <w:footnote w:id="23">
    <w:p w14:paraId="54E3C391" w14:textId="77777777" w:rsidR="00042435" w:rsidRPr="005A6D93" w:rsidRDefault="00042435" w:rsidP="00924629">
      <w:pPr>
        <w:pStyle w:val="FootnoteText"/>
      </w:pPr>
      <w:r w:rsidRPr="005A6D93">
        <w:rPr>
          <w:rStyle w:val="FootnoteReference"/>
          <w:sz w:val="20"/>
        </w:rPr>
        <w:footnoteRef/>
      </w:r>
      <w:r w:rsidRPr="005A6D93">
        <w:t xml:space="preserve"> Review of Technical and Operational Regulations, </w:t>
      </w:r>
      <w:r w:rsidR="00924629">
        <w:t xml:space="preserve">51 </w:t>
      </w:r>
      <w:r w:rsidRPr="005A6D93">
        <w:t>Fed. Reg. 2707</w:t>
      </w:r>
      <w:r w:rsidR="00E026FD" w:rsidRPr="005A6D93">
        <w:t xml:space="preserve"> (Jan. 21, 1986)</w:t>
      </w:r>
      <w:r w:rsidR="00924629">
        <w:t>.</w:t>
      </w:r>
    </w:p>
  </w:footnote>
  <w:footnote w:id="24">
    <w:p w14:paraId="40D280A5" w14:textId="77777777" w:rsidR="003A2827" w:rsidRPr="005A6D93" w:rsidRDefault="003A2827" w:rsidP="00924629">
      <w:pPr>
        <w:pStyle w:val="FootnoteText"/>
      </w:pPr>
      <w:r w:rsidRPr="005A6D93">
        <w:rPr>
          <w:rStyle w:val="FootnoteReference"/>
          <w:sz w:val="20"/>
        </w:rPr>
        <w:footnoteRef/>
      </w:r>
      <w:r w:rsidRPr="005A6D93">
        <w:t xml:space="preserve"> </w:t>
      </w:r>
      <w:r w:rsidRPr="005A6D93">
        <w:rPr>
          <w:i/>
        </w:rPr>
        <w:t>Greenwood Acres Baptist Church</w:t>
      </w:r>
      <w:r w:rsidRPr="005A6D93">
        <w:t xml:space="preserve">, Memorandum Opinion and Order, 22 FCC Rcd 1442, 1445, para. 10 (Enf. Bur. 2007); </w:t>
      </w:r>
      <w:r w:rsidRPr="005A6D93">
        <w:rPr>
          <w:i/>
        </w:rPr>
        <w:t>see Pilgrim Commc’ns, Inc.</w:t>
      </w:r>
      <w:r w:rsidRPr="005A6D93">
        <w:t>, Forfeiture Order, 19 FCC Rcd. 12251, 12252, para. 6 (Enf. Bur. 2004) (“</w:t>
      </w:r>
      <w:r w:rsidRPr="003A2827">
        <w:t>Effective base fencing is an important safety requirement to prevent</w:t>
      </w:r>
      <w:r w:rsidRPr="005A6D93">
        <w:t xml:space="preserve"> physical contact with the . . . </w:t>
      </w:r>
      <w:r w:rsidRPr="003A2827">
        <w:t>antenna structure</w:t>
      </w:r>
      <w:r w:rsidRPr="005A6D93">
        <w:t>.”).</w:t>
      </w:r>
    </w:p>
  </w:footnote>
  <w:footnote w:id="25">
    <w:p w14:paraId="669E1427" w14:textId="77777777" w:rsidR="003A2827" w:rsidRPr="005A6D93" w:rsidRDefault="003A2827" w:rsidP="00924629">
      <w:pPr>
        <w:pStyle w:val="FootnoteText"/>
      </w:pPr>
      <w:r w:rsidRPr="005A6D93">
        <w:rPr>
          <w:rStyle w:val="FootnoteReference"/>
          <w:sz w:val="20"/>
        </w:rPr>
        <w:footnoteRef/>
      </w:r>
      <w:r w:rsidRPr="005A6D93">
        <w:t xml:space="preserve"> </w:t>
      </w:r>
      <w:r w:rsidRPr="005A6D93">
        <w:rPr>
          <w:i/>
        </w:rPr>
        <w:t>See Birach Broad. Corp.</w:t>
      </w:r>
      <w:r w:rsidRPr="005A6D93">
        <w:t xml:space="preserve">, Notice of Apparent Liability for Forfeiture and Order, DA 14-885, para. 1 (Enf. Bur. June 26, 2014) (noting </w:t>
      </w:r>
      <w:r w:rsidR="005A6D93" w:rsidRPr="005A6D93">
        <w:t>that damaged fences presented a “particular public safety concern”</w:t>
      </w:r>
      <w:r w:rsidR="00924629">
        <w:t xml:space="preserve"> when</w:t>
      </w:r>
      <w:r w:rsidR="005A6D93" w:rsidRPr="005A6D93">
        <w:t xml:space="preserve"> the antenna structures were located in a residential neighborhood).</w:t>
      </w:r>
    </w:p>
  </w:footnote>
  <w:footnote w:id="26">
    <w:p w14:paraId="597810AE" w14:textId="77777777" w:rsidR="00C94EB8" w:rsidRPr="005A6D93" w:rsidRDefault="00C94EB8" w:rsidP="00924629">
      <w:pPr>
        <w:pStyle w:val="FootnoteText"/>
      </w:pPr>
      <w:r w:rsidRPr="005A6D93">
        <w:rPr>
          <w:rStyle w:val="FootnoteReference"/>
          <w:sz w:val="20"/>
        </w:rPr>
        <w:footnoteRef/>
      </w:r>
      <w:r w:rsidR="00A43F62">
        <w:t xml:space="preserve"> 47 U.S.C. § </w:t>
      </w:r>
      <w:r w:rsidRPr="005A6D93">
        <w:t xml:space="preserve">503(b); 47 C.F.R. §§ 0.111, 0.204, </w:t>
      </w:r>
      <w:r w:rsidR="00902255" w:rsidRPr="005A6D93">
        <w:t>0.311, 0.314, 1.80(f)(4), 73.49</w:t>
      </w:r>
      <w:r w:rsidRPr="005A6D93">
        <w:t>.</w:t>
      </w:r>
    </w:p>
  </w:footnote>
  <w:footnote w:id="27">
    <w:p w14:paraId="6E24CE5B" w14:textId="77777777" w:rsidR="00C94EB8" w:rsidRPr="005A6D93" w:rsidRDefault="00C94EB8" w:rsidP="00924629">
      <w:pPr>
        <w:pStyle w:val="FootnoteText"/>
      </w:pPr>
      <w:r w:rsidRPr="005A6D93">
        <w:rPr>
          <w:rStyle w:val="FootnoteReference"/>
          <w:sz w:val="20"/>
        </w:rPr>
        <w:footnoteRef/>
      </w:r>
      <w:r w:rsidRPr="005A6D93">
        <w:t xml:space="preserve"> 47 C.F.R. § 1.80.</w:t>
      </w:r>
    </w:p>
  </w:footnote>
  <w:footnote w:id="28">
    <w:p w14:paraId="150D6F86" w14:textId="77777777" w:rsidR="00C94EB8" w:rsidRPr="005A6D93" w:rsidRDefault="00C94EB8" w:rsidP="00924629">
      <w:pPr>
        <w:pStyle w:val="FootnoteText"/>
      </w:pPr>
      <w:r w:rsidRPr="005A6D93">
        <w:rPr>
          <w:rStyle w:val="FootnoteReference"/>
          <w:sz w:val="20"/>
        </w:rPr>
        <w:footnoteRef/>
      </w:r>
      <w:r w:rsidRPr="005A6D93">
        <w:t xml:space="preserve"> 47 U.S.C. § 504(a).</w:t>
      </w:r>
    </w:p>
  </w:footnote>
  <w:footnote w:id="29">
    <w:p w14:paraId="3F7C21E6" w14:textId="77777777" w:rsidR="00C94EB8" w:rsidRPr="005A6D93" w:rsidRDefault="00C94EB8" w:rsidP="00924629">
      <w:pPr>
        <w:pStyle w:val="FootnoteText"/>
      </w:pPr>
      <w:r w:rsidRPr="005A6D93">
        <w:rPr>
          <w:rStyle w:val="FootnoteReference"/>
          <w:sz w:val="20"/>
        </w:rPr>
        <w:footnoteRef/>
      </w:r>
      <w:r w:rsidRPr="005A6D93">
        <w:t xml:space="preserve"> </w:t>
      </w:r>
      <w:r w:rsidRPr="005A6D93">
        <w:rPr>
          <w:rFonts w:eastAsia="MS Mincho"/>
        </w:rPr>
        <w:t>An FCC Form 159 and detailed instructions for completing the form may be obtained at http://www.fcc.gov/Forms/Form159/159.pdf.</w:t>
      </w:r>
    </w:p>
  </w:footnote>
  <w:footnote w:id="30">
    <w:p w14:paraId="182D5391" w14:textId="77777777" w:rsidR="00C94EB8" w:rsidRPr="005A6D93" w:rsidRDefault="00C94EB8" w:rsidP="00924629">
      <w:pPr>
        <w:pStyle w:val="FootnoteText"/>
      </w:pPr>
      <w:r w:rsidRPr="005A6D93">
        <w:rPr>
          <w:rStyle w:val="FootnoteReference"/>
          <w:sz w:val="20"/>
        </w:rPr>
        <w:footnoteRef/>
      </w:r>
      <w:r w:rsidRPr="005A6D93">
        <w:t xml:space="preserve"> </w:t>
      </w:r>
      <w:r w:rsidRPr="005A6D93">
        <w:rPr>
          <w:i/>
        </w:rPr>
        <w:t>See</w:t>
      </w:r>
      <w:r w:rsidRPr="005A6D9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A697" w14:textId="77777777" w:rsidR="004503EC" w:rsidRDefault="00450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A171" w14:textId="77777777" w:rsidR="00C94EB8" w:rsidRDefault="00C94EB8">
    <w:pPr>
      <w:pStyle w:val="Header"/>
      <w:pBdr>
        <w:bottom w:val="single" w:sz="12" w:space="1" w:color="auto"/>
      </w:pBdr>
    </w:pPr>
  </w:p>
  <w:p w14:paraId="739D35A1" w14:textId="48058AD4" w:rsidR="00C94EB8" w:rsidRPr="005D78A6" w:rsidRDefault="00C94EB8">
    <w:pPr>
      <w:pStyle w:val="Header"/>
      <w:pBdr>
        <w:bottom w:val="single" w:sz="12" w:space="1" w:color="auto"/>
      </w:pBdr>
      <w:rPr>
        <w:b w:val="0"/>
        <w:lang w:val="en-US"/>
      </w:rPr>
    </w:pPr>
    <w:r>
      <w:tab/>
      <w:t>Federal Communications Commission</w:t>
    </w:r>
    <w:r>
      <w:tab/>
    </w:r>
    <w:r w:rsidR="00490D7D">
      <w:rPr>
        <w:spacing w:val="-2"/>
      </w:rPr>
      <w:t>DA 14-</w:t>
    </w:r>
    <w:r w:rsidR="005D78A6">
      <w:rPr>
        <w:spacing w:val="-2"/>
        <w:lang w:val="en-US"/>
      </w:rPr>
      <w:t>1284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CECB" w14:textId="77777777" w:rsidR="00C94EB8" w:rsidRDefault="00C94EB8">
    <w:pPr>
      <w:pStyle w:val="Header"/>
      <w:pBdr>
        <w:bottom w:val="single" w:sz="12" w:space="1" w:color="auto"/>
      </w:pBdr>
    </w:pPr>
  </w:p>
  <w:p w14:paraId="240902A3" w14:textId="2D125C4F" w:rsidR="00C94EB8" w:rsidRPr="005D78A6" w:rsidRDefault="00C94EB8">
    <w:pPr>
      <w:pStyle w:val="Header"/>
      <w:pBdr>
        <w:bottom w:val="single" w:sz="12" w:space="1" w:color="auto"/>
      </w:pBdr>
      <w:rPr>
        <w:b w:val="0"/>
        <w:lang w:val="en-US"/>
      </w:rPr>
    </w:pPr>
    <w:r>
      <w:tab/>
      <w:t>Federal Communications Commission</w:t>
    </w:r>
    <w:r>
      <w:tab/>
    </w:r>
    <w:r w:rsidR="00490D7D">
      <w:rPr>
        <w:spacing w:val="-2"/>
      </w:rPr>
      <w:t>DA 14-</w:t>
    </w:r>
    <w:r w:rsidR="005D78A6">
      <w:rPr>
        <w:spacing w:val="-2"/>
        <w:lang w:val="en-US"/>
      </w:rPr>
      <w:t>1284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624EB1E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90E17F6"/>
    <w:multiLevelType w:val="hybridMultilevel"/>
    <w:tmpl w:val="3398CFF2"/>
    <w:lvl w:ilvl="0" w:tplc="52C60B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1127E7E"/>
    <w:multiLevelType w:val="hybridMultilevel"/>
    <w:tmpl w:val="EDD0E9C6"/>
    <w:lvl w:ilvl="0" w:tplc="59AC8998">
      <w:start w:val="1"/>
      <w:numFmt w:val="bullet"/>
      <w:lvlText w:val=""/>
      <w:lvlJc w:val="left"/>
      <w:pPr>
        <w:tabs>
          <w:tab w:val="num" w:pos="1080"/>
        </w:tabs>
        <w:ind w:left="1080" w:hanging="360"/>
      </w:pPr>
      <w:rPr>
        <w:rFonts w:ascii="Wingdings" w:hAnsi="Wingdings" w:hint="default"/>
        <w:color w:val="auto"/>
        <w:sz w:val="16"/>
      </w:rPr>
    </w:lvl>
    <w:lvl w:ilvl="1" w:tplc="09CA0148">
      <w:start w:val="1"/>
      <w:numFmt w:val="lowerLetter"/>
      <w:lvlText w:val="%2."/>
      <w:lvlJc w:val="left"/>
      <w:pPr>
        <w:tabs>
          <w:tab w:val="num" w:pos="0"/>
        </w:tabs>
        <w:ind w:left="0" w:hanging="360"/>
      </w:pPr>
    </w:lvl>
    <w:lvl w:ilvl="2" w:tplc="A0624E66">
      <w:start w:val="1"/>
      <w:numFmt w:val="lowerRoman"/>
      <w:lvlText w:val="%3."/>
      <w:lvlJc w:val="right"/>
      <w:pPr>
        <w:tabs>
          <w:tab w:val="num" w:pos="720"/>
        </w:tabs>
        <w:ind w:left="720" w:hanging="180"/>
      </w:pPr>
    </w:lvl>
    <w:lvl w:ilvl="3" w:tplc="299A4B8C">
      <w:start w:val="1"/>
      <w:numFmt w:val="decimal"/>
      <w:lvlText w:val="%4."/>
      <w:lvlJc w:val="left"/>
      <w:pPr>
        <w:tabs>
          <w:tab w:val="num" w:pos="1440"/>
        </w:tabs>
        <w:ind w:left="1440" w:hanging="360"/>
      </w:pPr>
    </w:lvl>
    <w:lvl w:ilvl="4" w:tplc="CB1ED45E">
      <w:start w:val="1"/>
      <w:numFmt w:val="lowerLetter"/>
      <w:lvlText w:val="%5."/>
      <w:lvlJc w:val="left"/>
      <w:pPr>
        <w:tabs>
          <w:tab w:val="num" w:pos="2160"/>
        </w:tabs>
        <w:ind w:left="2160" w:hanging="360"/>
      </w:pPr>
    </w:lvl>
    <w:lvl w:ilvl="5" w:tplc="D8EC6C94">
      <w:start w:val="1"/>
      <w:numFmt w:val="lowerRoman"/>
      <w:lvlText w:val="%6."/>
      <w:lvlJc w:val="right"/>
      <w:pPr>
        <w:tabs>
          <w:tab w:val="num" w:pos="2880"/>
        </w:tabs>
        <w:ind w:left="2880" w:hanging="180"/>
      </w:pPr>
    </w:lvl>
    <w:lvl w:ilvl="6" w:tplc="E2F218B0">
      <w:start w:val="1"/>
      <w:numFmt w:val="decimal"/>
      <w:lvlText w:val="%7."/>
      <w:lvlJc w:val="left"/>
      <w:pPr>
        <w:tabs>
          <w:tab w:val="num" w:pos="3600"/>
        </w:tabs>
        <w:ind w:left="3600" w:hanging="360"/>
      </w:pPr>
    </w:lvl>
    <w:lvl w:ilvl="7" w:tplc="863C119A">
      <w:start w:val="1"/>
      <w:numFmt w:val="lowerLetter"/>
      <w:lvlText w:val="%8."/>
      <w:lvlJc w:val="left"/>
      <w:pPr>
        <w:tabs>
          <w:tab w:val="num" w:pos="4320"/>
        </w:tabs>
        <w:ind w:left="4320" w:hanging="360"/>
      </w:pPr>
    </w:lvl>
    <w:lvl w:ilvl="8" w:tplc="99FAB6E2">
      <w:start w:val="1"/>
      <w:numFmt w:val="lowerRoman"/>
      <w:lvlText w:val="%9."/>
      <w:lvlJc w:val="right"/>
      <w:pPr>
        <w:tabs>
          <w:tab w:val="num" w:pos="5040"/>
        </w:tabs>
        <w:ind w:left="5040" w:hanging="180"/>
      </w:pPr>
    </w:lvl>
  </w:abstractNum>
  <w:abstractNum w:abstractNumId="8">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5C2492D"/>
    <w:multiLevelType w:val="hybridMultilevel"/>
    <w:tmpl w:val="06589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80C3996"/>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num w:numId="1">
    <w:abstractNumId w:val="2"/>
  </w:num>
  <w:num w:numId="2">
    <w:abstractNumId w:val="11"/>
  </w:num>
  <w:num w:numId="3">
    <w:abstractNumId w:val="4"/>
  </w:num>
  <w:num w:numId="4">
    <w:abstractNumId w:val="9"/>
  </w:num>
  <w:num w:numId="5">
    <w:abstractNumId w:val="3"/>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4"/>
  </w:num>
  <w:num w:numId="12">
    <w:abstractNumId w:val="4"/>
  </w:num>
  <w:num w:numId="13">
    <w:abstractNumId w:val="5"/>
  </w:num>
  <w:num w:numId="14">
    <w:abstractNumId w:val="11"/>
  </w:num>
  <w:num w:numId="15">
    <w:abstractNumId w:val="4"/>
  </w:num>
  <w:num w:numId="16">
    <w:abstractNumId w:val="11"/>
    <w:lvlOverride w:ilvl="0">
      <w:startOverride w:val="1"/>
    </w:lvlOverride>
  </w:num>
  <w:num w:numId="17">
    <w:abstractNumId w:val="11"/>
  </w:num>
  <w:num w:numId="18">
    <w:abstractNumId w:val="4"/>
  </w:num>
  <w:num w:numId="19">
    <w:abstractNumId w:val="4"/>
  </w:num>
  <w:num w:numId="20">
    <w:abstractNumId w:val="4"/>
  </w:num>
  <w:num w:numId="21">
    <w:abstractNumId w:val="4"/>
  </w:num>
  <w:num w:numId="22">
    <w:abstractNumId w:val="4"/>
  </w:num>
  <w:num w:numId="23">
    <w:abstractNumId w:val="11"/>
  </w:num>
  <w:num w:numId="24">
    <w:abstractNumId w:val="11"/>
  </w:num>
  <w:num w:numId="25">
    <w:abstractNumId w:val="11"/>
  </w:num>
  <w:num w:numId="26">
    <w:abstractNumId w:val="6"/>
  </w:num>
  <w:num w:numId="27">
    <w:abstractNumId w:val="4"/>
  </w:num>
  <w:num w:numId="28">
    <w:abstractNumId w:val="12"/>
  </w:num>
  <w:num w:numId="29">
    <w:abstractNumId w:val="4"/>
  </w:num>
  <w:num w:numId="30">
    <w:abstractNumId w:val="4"/>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1599"/>
    <w:rsid w:val="00042435"/>
    <w:rsid w:val="0007376D"/>
    <w:rsid w:val="00097313"/>
    <w:rsid w:val="000A789A"/>
    <w:rsid w:val="000B7F58"/>
    <w:rsid w:val="000D1599"/>
    <w:rsid w:val="000F7A30"/>
    <w:rsid w:val="00150348"/>
    <w:rsid w:val="001568F4"/>
    <w:rsid w:val="00172CCB"/>
    <w:rsid w:val="00183996"/>
    <w:rsid w:val="001A646B"/>
    <w:rsid w:val="001B0022"/>
    <w:rsid w:val="001B5FE6"/>
    <w:rsid w:val="002104C0"/>
    <w:rsid w:val="00225402"/>
    <w:rsid w:val="00296C46"/>
    <w:rsid w:val="002A1FBE"/>
    <w:rsid w:val="00326F2C"/>
    <w:rsid w:val="0033232F"/>
    <w:rsid w:val="0035001A"/>
    <w:rsid w:val="00387C36"/>
    <w:rsid w:val="003A2827"/>
    <w:rsid w:val="003A42E4"/>
    <w:rsid w:val="003B6C3B"/>
    <w:rsid w:val="004503EC"/>
    <w:rsid w:val="00453EB4"/>
    <w:rsid w:val="0046552D"/>
    <w:rsid w:val="00467241"/>
    <w:rsid w:val="00490D7D"/>
    <w:rsid w:val="004B7AB8"/>
    <w:rsid w:val="004E3FE9"/>
    <w:rsid w:val="005001DC"/>
    <w:rsid w:val="005070B2"/>
    <w:rsid w:val="005303F3"/>
    <w:rsid w:val="0053102E"/>
    <w:rsid w:val="0053778A"/>
    <w:rsid w:val="005452DA"/>
    <w:rsid w:val="00564F1A"/>
    <w:rsid w:val="00577667"/>
    <w:rsid w:val="005A6D93"/>
    <w:rsid w:val="005C39B0"/>
    <w:rsid w:val="005D52E7"/>
    <w:rsid w:val="005D78A6"/>
    <w:rsid w:val="005F2201"/>
    <w:rsid w:val="00616ECD"/>
    <w:rsid w:val="00617D8F"/>
    <w:rsid w:val="00654C5E"/>
    <w:rsid w:val="006D0800"/>
    <w:rsid w:val="006D5A15"/>
    <w:rsid w:val="006E653E"/>
    <w:rsid w:val="0070548F"/>
    <w:rsid w:val="00713AA5"/>
    <w:rsid w:val="00743A76"/>
    <w:rsid w:val="007706BA"/>
    <w:rsid w:val="00774ED0"/>
    <w:rsid w:val="00784C23"/>
    <w:rsid w:val="007C7F9D"/>
    <w:rsid w:val="007D4EAD"/>
    <w:rsid w:val="007D61B9"/>
    <w:rsid w:val="007F356D"/>
    <w:rsid w:val="007F5A3D"/>
    <w:rsid w:val="00827716"/>
    <w:rsid w:val="00860742"/>
    <w:rsid w:val="00890159"/>
    <w:rsid w:val="008E3361"/>
    <w:rsid w:val="008E585E"/>
    <w:rsid w:val="00902255"/>
    <w:rsid w:val="009104F6"/>
    <w:rsid w:val="0091331B"/>
    <w:rsid w:val="00924629"/>
    <w:rsid w:val="009420AA"/>
    <w:rsid w:val="009623B2"/>
    <w:rsid w:val="00967457"/>
    <w:rsid w:val="009C069E"/>
    <w:rsid w:val="009D35E1"/>
    <w:rsid w:val="00A20933"/>
    <w:rsid w:val="00A43F62"/>
    <w:rsid w:val="00A5359E"/>
    <w:rsid w:val="00A875E9"/>
    <w:rsid w:val="00A92D70"/>
    <w:rsid w:val="00A93A51"/>
    <w:rsid w:val="00AA2906"/>
    <w:rsid w:val="00AA483E"/>
    <w:rsid w:val="00AA7506"/>
    <w:rsid w:val="00AE5408"/>
    <w:rsid w:val="00B4735B"/>
    <w:rsid w:val="00B7076D"/>
    <w:rsid w:val="00BC07DA"/>
    <w:rsid w:val="00C023BB"/>
    <w:rsid w:val="00C25119"/>
    <w:rsid w:val="00C37D5B"/>
    <w:rsid w:val="00C67259"/>
    <w:rsid w:val="00C725CC"/>
    <w:rsid w:val="00C94EB8"/>
    <w:rsid w:val="00C95A35"/>
    <w:rsid w:val="00CD5683"/>
    <w:rsid w:val="00CF435D"/>
    <w:rsid w:val="00D5797C"/>
    <w:rsid w:val="00D60EB8"/>
    <w:rsid w:val="00DC2233"/>
    <w:rsid w:val="00E026FD"/>
    <w:rsid w:val="00E34AE7"/>
    <w:rsid w:val="00E42A16"/>
    <w:rsid w:val="00E60741"/>
    <w:rsid w:val="00EA68F3"/>
    <w:rsid w:val="00EC5DEB"/>
    <w:rsid w:val="00F151CA"/>
    <w:rsid w:val="00F16D11"/>
    <w:rsid w:val="00F439DA"/>
    <w:rsid w:val="00FA4185"/>
    <w:rsid w:val="00FE4863"/>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pPr>
      <w:spacing w:after="120"/>
    </w:pPr>
  </w:style>
  <w:style w:type="character" w:styleId="FootnoteReference">
    <w:name w:val="footnote reference"/>
    <w:aliases w:val="Style 4,Style 12,(NECG) Footnote Reference,Appel note de bas de p,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2"/>
    <w:link w:val="FootnoteText"/>
    <w:rPr>
      <w:lang w:val="en-US" w:eastAsia="en-US" w:bidi="ar-SA"/>
    </w:rPr>
  </w:style>
  <w:style w:type="paragraph" w:styleId="ListParagraph">
    <w:name w:val="List Paragraph"/>
    <w:basedOn w:val="Normal"/>
    <w:qFormat/>
    <w:pPr>
      <w:widowControl/>
      <w:ind w:left="720"/>
    </w:pPr>
    <w:rPr>
      <w:snapToGrid/>
      <w:kern w:val="0"/>
      <w:szCs w:val="22"/>
    </w:rPr>
  </w:style>
  <w:style w:type="character" w:customStyle="1" w:styleId="ParaNumChar">
    <w:name w:val="ParaNum Char"/>
    <w:link w:val="ParaNum"/>
    <w:locked/>
    <w:rPr>
      <w:snapToGrid w:val="0"/>
      <w:kern w:val="28"/>
      <w:sz w:val="22"/>
      <w:lang w:val="x-none" w:eastAsia="x-none" w:bidi="ar-SA"/>
    </w:rPr>
  </w:style>
  <w:style w:type="character" w:customStyle="1" w:styleId="HeaderChar">
    <w:name w:val="Header Char"/>
    <w:link w:val="Header"/>
    <w:rPr>
      <w:b/>
      <w:snapToGrid w:val="0"/>
      <w:kern w:val="28"/>
      <w:sz w:val="22"/>
      <w:lang w:bidi="ar-SA"/>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rrfootnoteCharChar">
    <w:name w:val="rrfootnote Char Char"/>
    <w:aliases w:val="Footnote Text Char2 Char Char Char Char,Footnote Text Char1 Char2 Char Char Char Char,Footnote Text Char1 Char Char1,Footnote Text Char2,rrfootnote Char1 Char"/>
    <w:rPr>
      <w:lang w:val="en-US" w:eastAsia="en-US" w:bidi="ar-SA"/>
    </w:rPr>
  </w:style>
  <w:style w:type="character" w:customStyle="1" w:styleId="rrfootnoteChar">
    <w:name w:val="rrfootnote Char"/>
    <w:aliases w:val="rrfootnote Char Char Char Char Char,Footnote Text Char Char Char Char Char Char"/>
    <w:rPr>
      <w:spacing w:val="-2"/>
      <w:lang w:val="en-US" w:eastAsia="en-US" w:bidi="ar-SA"/>
    </w:rPr>
  </w:style>
  <w:style w:type="paragraph" w:customStyle="1" w:styleId="indent">
    <w:name w:val="indent"/>
    <w:basedOn w:val="Normal"/>
    <w:pPr>
      <w:widowControl/>
      <w:spacing w:before="100" w:beforeAutospacing="1" w:after="100" w:afterAutospacing="1"/>
    </w:pPr>
    <w:rPr>
      <w:snapToGrid/>
      <w:kern w:val="0"/>
      <w:sz w:val="24"/>
      <w:szCs w:val="24"/>
    </w:rPr>
  </w:style>
  <w:style w:type="character" w:customStyle="1" w:styleId="num">
    <w:name w:val="num"/>
  </w:style>
  <w:style w:type="paragraph" w:customStyle="1" w:styleId="casecite">
    <w:name w:val="case_cite"/>
    <w:basedOn w:val="Normal"/>
    <w:pPr>
      <w:widowControl/>
      <w:spacing w:before="100" w:beforeAutospacing="1" w:after="100" w:afterAutospacing="1"/>
    </w:pPr>
    <w:rPr>
      <w:snapToGrid/>
      <w:kern w:val="0"/>
      <w:sz w:val="24"/>
      <w:szCs w:val="24"/>
    </w:rPr>
  </w:style>
  <w:style w:type="paragraph" w:customStyle="1" w:styleId="parties">
    <w:name w:val="parties"/>
    <w:basedOn w:val="Normal"/>
    <w:pPr>
      <w:widowControl/>
      <w:spacing w:before="100" w:beforeAutospacing="1" w:after="100" w:afterAutospacing="1"/>
    </w:pPr>
    <w:rPr>
      <w:snapToGrid/>
      <w:kern w:val="0"/>
      <w:sz w:val="24"/>
      <w:szCs w:val="24"/>
    </w:rPr>
  </w:style>
  <w:style w:type="character" w:customStyle="1" w:styleId="apple-converted-space">
    <w:name w:val="apple-converted-space"/>
  </w:style>
  <w:style w:type="character" w:customStyle="1" w:styleId="starpage">
    <w:name w:val="starpage"/>
  </w:style>
  <w:style w:type="character" w:customStyle="1" w:styleId="searchterm">
    <w:name w:val="searchterm"/>
  </w:style>
  <w:style w:type="character" w:customStyle="1" w:styleId="groupheading">
    <w:name w:val="groupheading"/>
  </w:style>
  <w:style w:type="character" w:customStyle="1" w:styleId="informationalsmall">
    <w:name w:val="informationalsmall"/>
  </w:style>
  <w:style w:type="character" w:customStyle="1" w:styleId="FootnoteCharacters">
    <w:name w:val="Footnote Characters"/>
    <w:uiPriority w:val="99"/>
    <w:rPr>
      <w:rFonts w:ascii="Times New Roman" w:hAnsi="Times New Roman"/>
      <w:color w:val="auto"/>
      <w:sz w:val="20"/>
      <w:vertAlign w:val="superscript"/>
    </w:rPr>
  </w:style>
  <w:style w:type="paragraph" w:styleId="BodyText">
    <w:name w:val="Body Text"/>
    <w:basedOn w:val="Normal"/>
    <w:link w:val="BodyTextChar"/>
    <w:rsid w:val="003B6C3B"/>
    <w:pPr>
      <w:widowControl/>
      <w:tabs>
        <w:tab w:val="left" w:pos="-720"/>
      </w:tabs>
      <w:suppressAutoHyphens/>
      <w:jc w:val="both"/>
    </w:pPr>
    <w:rPr>
      <w:snapToGrid/>
      <w:spacing w:val="-3"/>
      <w:kern w:val="0"/>
      <w:sz w:val="24"/>
    </w:rPr>
  </w:style>
  <w:style w:type="character" w:customStyle="1" w:styleId="BodyTextChar">
    <w:name w:val="Body Text Char"/>
    <w:link w:val="BodyText"/>
    <w:rsid w:val="003B6C3B"/>
    <w:rPr>
      <w:spacing w:val="-3"/>
      <w:sz w:val="24"/>
      <w:lang w:bidi="ar-SA"/>
    </w:rPr>
  </w:style>
  <w:style w:type="character" w:styleId="Emphasis">
    <w:name w:val="Emphasis"/>
    <w:uiPriority w:val="20"/>
    <w:qFormat/>
    <w:rsid w:val="00654C5E"/>
    <w:rPr>
      <w:i/>
      <w:iCs/>
    </w:rPr>
  </w:style>
  <w:style w:type="character" w:customStyle="1" w:styleId="cosearchterm">
    <w:name w:val="co_searchterm"/>
    <w:rsid w:val="003A2827"/>
  </w:style>
  <w:style w:type="paragraph" w:styleId="Revision">
    <w:name w:val="Revision"/>
    <w:hidden/>
    <w:uiPriority w:val="99"/>
    <w:semiHidden/>
    <w:rsid w:val="009D35E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pPr>
      <w:spacing w:after="120"/>
    </w:pPr>
  </w:style>
  <w:style w:type="character" w:styleId="FootnoteReference">
    <w:name w:val="footnote reference"/>
    <w:aliases w:val="Style 4,Style 12,(NECG) Footnote Reference,Appel note de bas de p,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2"/>
    <w:link w:val="FootnoteText"/>
    <w:rPr>
      <w:lang w:val="en-US" w:eastAsia="en-US" w:bidi="ar-SA"/>
    </w:rPr>
  </w:style>
  <w:style w:type="paragraph" w:styleId="ListParagraph">
    <w:name w:val="List Paragraph"/>
    <w:basedOn w:val="Normal"/>
    <w:qFormat/>
    <w:pPr>
      <w:widowControl/>
      <w:ind w:left="720"/>
    </w:pPr>
    <w:rPr>
      <w:snapToGrid/>
      <w:kern w:val="0"/>
      <w:szCs w:val="22"/>
    </w:rPr>
  </w:style>
  <w:style w:type="character" w:customStyle="1" w:styleId="ParaNumChar">
    <w:name w:val="ParaNum Char"/>
    <w:link w:val="ParaNum"/>
    <w:locked/>
    <w:rPr>
      <w:snapToGrid w:val="0"/>
      <w:kern w:val="28"/>
      <w:sz w:val="22"/>
      <w:lang w:val="x-none" w:eastAsia="x-none" w:bidi="ar-SA"/>
    </w:rPr>
  </w:style>
  <w:style w:type="character" w:customStyle="1" w:styleId="HeaderChar">
    <w:name w:val="Header Char"/>
    <w:link w:val="Header"/>
    <w:rPr>
      <w:b/>
      <w:snapToGrid w:val="0"/>
      <w:kern w:val="28"/>
      <w:sz w:val="22"/>
      <w:lang w:bidi="ar-SA"/>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rrfootnoteCharChar">
    <w:name w:val="rrfootnote Char Char"/>
    <w:aliases w:val="Footnote Text Char2 Char Char Char Char,Footnote Text Char1 Char2 Char Char Char Char,Footnote Text Char1 Char Char1,Footnote Text Char2,rrfootnote Char1 Char"/>
    <w:rPr>
      <w:lang w:val="en-US" w:eastAsia="en-US" w:bidi="ar-SA"/>
    </w:rPr>
  </w:style>
  <w:style w:type="character" w:customStyle="1" w:styleId="rrfootnoteChar">
    <w:name w:val="rrfootnote Char"/>
    <w:aliases w:val="rrfootnote Char Char Char Char Char,Footnote Text Char Char Char Char Char Char"/>
    <w:rPr>
      <w:spacing w:val="-2"/>
      <w:lang w:val="en-US" w:eastAsia="en-US" w:bidi="ar-SA"/>
    </w:rPr>
  </w:style>
  <w:style w:type="paragraph" w:customStyle="1" w:styleId="indent">
    <w:name w:val="indent"/>
    <w:basedOn w:val="Normal"/>
    <w:pPr>
      <w:widowControl/>
      <w:spacing w:before="100" w:beforeAutospacing="1" w:after="100" w:afterAutospacing="1"/>
    </w:pPr>
    <w:rPr>
      <w:snapToGrid/>
      <w:kern w:val="0"/>
      <w:sz w:val="24"/>
      <w:szCs w:val="24"/>
    </w:rPr>
  </w:style>
  <w:style w:type="character" w:customStyle="1" w:styleId="num">
    <w:name w:val="num"/>
  </w:style>
  <w:style w:type="paragraph" w:customStyle="1" w:styleId="casecite">
    <w:name w:val="case_cite"/>
    <w:basedOn w:val="Normal"/>
    <w:pPr>
      <w:widowControl/>
      <w:spacing w:before="100" w:beforeAutospacing="1" w:after="100" w:afterAutospacing="1"/>
    </w:pPr>
    <w:rPr>
      <w:snapToGrid/>
      <w:kern w:val="0"/>
      <w:sz w:val="24"/>
      <w:szCs w:val="24"/>
    </w:rPr>
  </w:style>
  <w:style w:type="paragraph" w:customStyle="1" w:styleId="parties">
    <w:name w:val="parties"/>
    <w:basedOn w:val="Normal"/>
    <w:pPr>
      <w:widowControl/>
      <w:spacing w:before="100" w:beforeAutospacing="1" w:after="100" w:afterAutospacing="1"/>
    </w:pPr>
    <w:rPr>
      <w:snapToGrid/>
      <w:kern w:val="0"/>
      <w:sz w:val="24"/>
      <w:szCs w:val="24"/>
    </w:rPr>
  </w:style>
  <w:style w:type="character" w:customStyle="1" w:styleId="apple-converted-space">
    <w:name w:val="apple-converted-space"/>
  </w:style>
  <w:style w:type="character" w:customStyle="1" w:styleId="starpage">
    <w:name w:val="starpage"/>
  </w:style>
  <w:style w:type="character" w:customStyle="1" w:styleId="searchterm">
    <w:name w:val="searchterm"/>
  </w:style>
  <w:style w:type="character" w:customStyle="1" w:styleId="groupheading">
    <w:name w:val="groupheading"/>
  </w:style>
  <w:style w:type="character" w:customStyle="1" w:styleId="informationalsmall">
    <w:name w:val="informationalsmall"/>
  </w:style>
  <w:style w:type="character" w:customStyle="1" w:styleId="FootnoteCharacters">
    <w:name w:val="Footnote Characters"/>
    <w:uiPriority w:val="99"/>
    <w:rPr>
      <w:rFonts w:ascii="Times New Roman" w:hAnsi="Times New Roman"/>
      <w:color w:val="auto"/>
      <w:sz w:val="20"/>
      <w:vertAlign w:val="superscript"/>
    </w:rPr>
  </w:style>
  <w:style w:type="paragraph" w:styleId="BodyText">
    <w:name w:val="Body Text"/>
    <w:basedOn w:val="Normal"/>
    <w:link w:val="BodyTextChar"/>
    <w:rsid w:val="003B6C3B"/>
    <w:pPr>
      <w:widowControl/>
      <w:tabs>
        <w:tab w:val="left" w:pos="-720"/>
      </w:tabs>
      <w:suppressAutoHyphens/>
      <w:jc w:val="both"/>
    </w:pPr>
    <w:rPr>
      <w:snapToGrid/>
      <w:spacing w:val="-3"/>
      <w:kern w:val="0"/>
      <w:sz w:val="24"/>
    </w:rPr>
  </w:style>
  <w:style w:type="character" w:customStyle="1" w:styleId="BodyTextChar">
    <w:name w:val="Body Text Char"/>
    <w:link w:val="BodyText"/>
    <w:rsid w:val="003B6C3B"/>
    <w:rPr>
      <w:spacing w:val="-3"/>
      <w:sz w:val="24"/>
      <w:lang w:bidi="ar-SA"/>
    </w:rPr>
  </w:style>
  <w:style w:type="character" w:styleId="Emphasis">
    <w:name w:val="Emphasis"/>
    <w:uiPriority w:val="20"/>
    <w:qFormat/>
    <w:rsid w:val="00654C5E"/>
    <w:rPr>
      <w:i/>
      <w:iCs/>
    </w:rPr>
  </w:style>
  <w:style w:type="character" w:customStyle="1" w:styleId="cosearchterm">
    <w:name w:val="co_searchterm"/>
    <w:rsid w:val="003A2827"/>
  </w:style>
  <w:style w:type="paragraph" w:styleId="Revision">
    <w:name w:val="Revision"/>
    <w:hidden/>
    <w:uiPriority w:val="99"/>
    <w:semiHidden/>
    <w:rsid w:val="009D35E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6429">
      <w:bodyDiv w:val="1"/>
      <w:marLeft w:val="0"/>
      <w:marRight w:val="0"/>
      <w:marTop w:val="0"/>
      <w:marBottom w:val="0"/>
      <w:divBdr>
        <w:top w:val="none" w:sz="0" w:space="0" w:color="auto"/>
        <w:left w:val="none" w:sz="0" w:space="0" w:color="auto"/>
        <w:bottom w:val="none" w:sz="0" w:space="0" w:color="auto"/>
        <w:right w:val="none" w:sz="0" w:space="0" w:color="auto"/>
      </w:divBdr>
    </w:div>
    <w:div w:id="1015154999">
      <w:bodyDiv w:val="1"/>
      <w:marLeft w:val="0"/>
      <w:marRight w:val="0"/>
      <w:marTop w:val="0"/>
      <w:marBottom w:val="0"/>
      <w:divBdr>
        <w:top w:val="none" w:sz="0" w:space="0" w:color="auto"/>
        <w:left w:val="none" w:sz="0" w:space="0" w:color="auto"/>
        <w:bottom w:val="none" w:sz="0" w:space="0" w:color="auto"/>
        <w:right w:val="none" w:sz="0" w:space="0" w:color="auto"/>
      </w:divBdr>
      <w:divsChild>
        <w:div w:id="262809658">
          <w:marLeft w:val="0"/>
          <w:marRight w:val="0"/>
          <w:marTop w:val="0"/>
          <w:marBottom w:val="0"/>
          <w:divBdr>
            <w:top w:val="none" w:sz="0" w:space="0" w:color="auto"/>
            <w:left w:val="none" w:sz="0" w:space="0" w:color="auto"/>
            <w:bottom w:val="none" w:sz="0" w:space="0" w:color="auto"/>
            <w:right w:val="none" w:sz="0" w:space="0" w:color="auto"/>
          </w:divBdr>
          <w:divsChild>
            <w:div w:id="10565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8885">
      <w:bodyDiv w:val="1"/>
      <w:marLeft w:val="0"/>
      <w:marRight w:val="0"/>
      <w:marTop w:val="0"/>
      <w:marBottom w:val="0"/>
      <w:divBdr>
        <w:top w:val="none" w:sz="0" w:space="0" w:color="auto"/>
        <w:left w:val="none" w:sz="0" w:space="0" w:color="auto"/>
        <w:bottom w:val="none" w:sz="0" w:space="0" w:color="auto"/>
        <w:right w:val="none" w:sz="0" w:space="0" w:color="auto"/>
      </w:divBdr>
      <w:divsChild>
        <w:div w:id="512915926">
          <w:marLeft w:val="0"/>
          <w:marRight w:val="0"/>
          <w:marTop w:val="0"/>
          <w:marBottom w:val="0"/>
          <w:divBdr>
            <w:top w:val="none" w:sz="0" w:space="0" w:color="auto"/>
            <w:left w:val="none" w:sz="0" w:space="0" w:color="auto"/>
            <w:bottom w:val="none" w:sz="0" w:space="0" w:color="auto"/>
            <w:right w:val="none" w:sz="0" w:space="0" w:color="auto"/>
          </w:divBdr>
          <w:divsChild>
            <w:div w:id="1656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89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374">
          <w:marLeft w:val="0"/>
          <w:marRight w:val="0"/>
          <w:marTop w:val="0"/>
          <w:marBottom w:val="0"/>
          <w:divBdr>
            <w:top w:val="none" w:sz="0" w:space="0" w:color="auto"/>
            <w:left w:val="none" w:sz="0" w:space="0" w:color="auto"/>
            <w:bottom w:val="none" w:sz="0" w:space="0" w:color="auto"/>
            <w:right w:val="none" w:sz="0" w:space="0" w:color="auto"/>
          </w:divBdr>
          <w:divsChild>
            <w:div w:id="1079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4968">
      <w:bodyDiv w:val="1"/>
      <w:marLeft w:val="0"/>
      <w:marRight w:val="0"/>
      <w:marTop w:val="0"/>
      <w:marBottom w:val="0"/>
      <w:divBdr>
        <w:top w:val="none" w:sz="0" w:space="0" w:color="auto"/>
        <w:left w:val="none" w:sz="0" w:space="0" w:color="auto"/>
        <w:bottom w:val="none" w:sz="0" w:space="0" w:color="auto"/>
        <w:right w:val="none" w:sz="0" w:space="0" w:color="auto"/>
      </w:divBdr>
      <w:divsChild>
        <w:div w:id="1182205744">
          <w:marLeft w:val="0"/>
          <w:marRight w:val="0"/>
          <w:marTop w:val="0"/>
          <w:marBottom w:val="0"/>
          <w:divBdr>
            <w:top w:val="none" w:sz="0" w:space="0" w:color="auto"/>
            <w:left w:val="none" w:sz="0" w:space="0" w:color="auto"/>
            <w:bottom w:val="none" w:sz="0" w:space="0" w:color="auto"/>
            <w:right w:val="none" w:sz="0" w:space="0" w:color="auto"/>
          </w:divBdr>
          <w:divsChild>
            <w:div w:id="358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191">
      <w:bodyDiv w:val="1"/>
      <w:marLeft w:val="0"/>
      <w:marRight w:val="0"/>
      <w:marTop w:val="0"/>
      <w:marBottom w:val="0"/>
      <w:divBdr>
        <w:top w:val="none" w:sz="0" w:space="0" w:color="auto"/>
        <w:left w:val="none" w:sz="0" w:space="0" w:color="auto"/>
        <w:bottom w:val="none" w:sz="0" w:space="0" w:color="auto"/>
        <w:right w:val="none" w:sz="0" w:space="0" w:color="auto"/>
      </w:divBdr>
      <w:divsChild>
        <w:div w:id="1453944005">
          <w:marLeft w:val="0"/>
          <w:marRight w:val="0"/>
          <w:marTop w:val="0"/>
          <w:marBottom w:val="0"/>
          <w:divBdr>
            <w:top w:val="none" w:sz="0" w:space="0" w:color="auto"/>
            <w:left w:val="none" w:sz="0" w:space="0" w:color="auto"/>
            <w:bottom w:val="none" w:sz="0" w:space="0" w:color="auto"/>
            <w:right w:val="none" w:sz="0" w:space="0" w:color="auto"/>
          </w:divBdr>
          <w:divsChild>
            <w:div w:id="6966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6295">
      <w:bodyDiv w:val="1"/>
      <w:marLeft w:val="0"/>
      <w:marRight w:val="0"/>
      <w:marTop w:val="0"/>
      <w:marBottom w:val="0"/>
      <w:divBdr>
        <w:top w:val="none" w:sz="0" w:space="0" w:color="auto"/>
        <w:left w:val="none" w:sz="0" w:space="0" w:color="auto"/>
        <w:bottom w:val="none" w:sz="0" w:space="0" w:color="auto"/>
        <w:right w:val="none" w:sz="0" w:space="0" w:color="auto"/>
      </w:divBdr>
      <w:divsChild>
        <w:div w:id="2137134554">
          <w:marLeft w:val="0"/>
          <w:marRight w:val="0"/>
          <w:marTop w:val="0"/>
          <w:marBottom w:val="0"/>
          <w:divBdr>
            <w:top w:val="none" w:sz="0" w:space="0" w:color="auto"/>
            <w:left w:val="none" w:sz="0" w:space="0" w:color="auto"/>
            <w:bottom w:val="none" w:sz="0" w:space="0" w:color="auto"/>
            <w:right w:val="none" w:sz="0" w:space="0" w:color="auto"/>
          </w:divBdr>
          <w:divsChild>
            <w:div w:id="8595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544">
      <w:bodyDiv w:val="1"/>
      <w:marLeft w:val="0"/>
      <w:marRight w:val="0"/>
      <w:marTop w:val="0"/>
      <w:marBottom w:val="0"/>
      <w:divBdr>
        <w:top w:val="none" w:sz="0" w:space="0" w:color="auto"/>
        <w:left w:val="none" w:sz="0" w:space="0" w:color="auto"/>
        <w:bottom w:val="none" w:sz="0" w:space="0" w:color="auto"/>
        <w:right w:val="none" w:sz="0" w:space="0" w:color="auto"/>
      </w:divBdr>
      <w:divsChild>
        <w:div w:id="819738220">
          <w:marLeft w:val="0"/>
          <w:marRight w:val="0"/>
          <w:marTop w:val="0"/>
          <w:marBottom w:val="0"/>
          <w:divBdr>
            <w:top w:val="none" w:sz="0" w:space="0" w:color="auto"/>
            <w:left w:val="none" w:sz="0" w:space="0" w:color="auto"/>
            <w:bottom w:val="none" w:sz="0" w:space="0" w:color="auto"/>
            <w:right w:val="none" w:sz="0" w:space="0" w:color="auto"/>
          </w:divBdr>
          <w:divsChild>
            <w:div w:id="13292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0182">
      <w:bodyDiv w:val="1"/>
      <w:marLeft w:val="0"/>
      <w:marRight w:val="0"/>
      <w:marTop w:val="0"/>
      <w:marBottom w:val="0"/>
      <w:divBdr>
        <w:top w:val="none" w:sz="0" w:space="0" w:color="auto"/>
        <w:left w:val="none" w:sz="0" w:space="0" w:color="auto"/>
        <w:bottom w:val="none" w:sz="0" w:space="0" w:color="auto"/>
        <w:right w:val="none" w:sz="0" w:space="0" w:color="auto"/>
      </w:divBdr>
      <w:divsChild>
        <w:div w:id="636302846">
          <w:marLeft w:val="0"/>
          <w:marRight w:val="0"/>
          <w:marTop w:val="0"/>
          <w:marBottom w:val="0"/>
          <w:divBdr>
            <w:top w:val="none" w:sz="0" w:space="0" w:color="auto"/>
            <w:left w:val="none" w:sz="0" w:space="0" w:color="auto"/>
            <w:bottom w:val="none" w:sz="0" w:space="0" w:color="auto"/>
            <w:right w:val="none" w:sz="0" w:space="0" w:color="auto"/>
          </w:divBdr>
        </w:div>
        <w:div w:id="1216045278">
          <w:marLeft w:val="0"/>
          <w:marRight w:val="0"/>
          <w:marTop w:val="0"/>
          <w:marBottom w:val="0"/>
          <w:divBdr>
            <w:top w:val="none" w:sz="0" w:space="0" w:color="auto"/>
            <w:left w:val="none" w:sz="0" w:space="0" w:color="auto"/>
            <w:bottom w:val="none" w:sz="0" w:space="0" w:color="auto"/>
            <w:right w:val="none" w:sz="0" w:space="0" w:color="auto"/>
          </w:divBdr>
        </w:div>
        <w:div w:id="1447429622">
          <w:marLeft w:val="0"/>
          <w:marRight w:val="0"/>
          <w:marTop w:val="0"/>
          <w:marBottom w:val="0"/>
          <w:divBdr>
            <w:top w:val="none" w:sz="0" w:space="0" w:color="auto"/>
            <w:left w:val="none" w:sz="0" w:space="0" w:color="auto"/>
            <w:bottom w:val="none" w:sz="0" w:space="0" w:color="auto"/>
            <w:right w:val="none" w:sz="0" w:space="0" w:color="auto"/>
          </w:divBdr>
        </w:div>
      </w:divsChild>
    </w:div>
    <w:div w:id="21430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Westlaw&amp;db=0001017&amp;tc=-1&amp;rp=%2ffind%2fdefault.wl&amp;findtype=Y&amp;ordoc=2033091862&amp;serialnum=1966017707&amp;vr=2.0&amp;fn=_top&amp;sv=Split&amp;tf=-1&amp;pbc=5354F616&amp;rs=WLW14.04" TargetMode="External"/><Relationship Id="rId1" Type="http://schemas.openxmlformats.org/officeDocument/2006/relationships/hyperlink" Target="http://web2.westlaw.com/find/default.wl?mt=Westlaw&amp;db=0004493&amp;tc=-1&amp;rp=%2ffind%2fdefault.wl&amp;findtype=Y&amp;ordoc=2033091862&amp;serialnum=1994265397&amp;vr=2.0&amp;fn=_top&amp;sv=Split&amp;tf=-1&amp;pbc=5354F616&amp;rs=WLW14.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1651</Words>
  <Characters>8868</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10551</CharactersWithSpaces>
  <SharedDoc>false</SharedDoc>
  <HyperlinkBase> </HyperlinkBase>
  <HLinks>
    <vt:vector size="18" baseType="variant">
      <vt:variant>
        <vt:i4>8126550</vt:i4>
      </vt:variant>
      <vt:variant>
        <vt:i4>0</vt:i4>
      </vt:variant>
      <vt:variant>
        <vt:i4>0</vt:i4>
      </vt:variant>
      <vt:variant>
        <vt:i4>5</vt:i4>
      </vt:variant>
      <vt:variant>
        <vt:lpwstr>mailto:ARINQUIRIES@fcc.gov</vt:lpwstr>
      </vt:variant>
      <vt:variant>
        <vt:lpwstr/>
      </vt:variant>
      <vt:variant>
        <vt:i4>1507424</vt:i4>
      </vt:variant>
      <vt:variant>
        <vt:i4>3</vt:i4>
      </vt:variant>
      <vt:variant>
        <vt:i4>0</vt:i4>
      </vt:variant>
      <vt:variant>
        <vt:i4>5</vt:i4>
      </vt:variant>
      <vt:variant>
        <vt:lpwstr>http://web2.westlaw.com/find/default.wl?mt=Westlaw&amp;db=0001017&amp;tc=-1&amp;rp=%2ffind%2fdefault.wl&amp;findtype=Y&amp;ordoc=2033091862&amp;serialnum=1966017707&amp;vr=2.0&amp;fn=_top&amp;sv=Split&amp;tf=-1&amp;pbc=5354F616&amp;rs=WLW14.04</vt:lpwstr>
      </vt:variant>
      <vt:variant>
        <vt:lpwstr/>
      </vt:variant>
      <vt:variant>
        <vt:i4>1769574</vt:i4>
      </vt:variant>
      <vt:variant>
        <vt:i4>0</vt:i4>
      </vt:variant>
      <vt:variant>
        <vt:i4>0</vt:i4>
      </vt:variant>
      <vt:variant>
        <vt:i4>5</vt:i4>
      </vt:variant>
      <vt:variant>
        <vt:lpwstr>http://web2.westlaw.com/find/default.wl?mt=Westlaw&amp;db=0004493&amp;tc=-1&amp;rp=%2ffind%2fdefault.wl&amp;findtype=Y&amp;ordoc=2033091862&amp;serialnum=1994265397&amp;vr=2.0&amp;fn=_top&amp;sv=Split&amp;tf=-1&amp;pbc=5354F616&amp;rs=WLW14.04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2013-03-22T21:16:00Z</cp:lastPrinted>
  <dcterms:created xsi:type="dcterms:W3CDTF">2014-09-05T14:36:00Z</dcterms:created>
  <dcterms:modified xsi:type="dcterms:W3CDTF">2014-09-05T14:36:00Z</dcterms:modified>
  <cp:category> </cp:category>
  <cp:contentStatus> </cp:contentStatus>
</cp:coreProperties>
</file>