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F" w:rsidRPr="00A81848" w:rsidRDefault="00F845EF" w:rsidP="00C5386D">
      <w:pPr>
        <w:jc w:val="center"/>
        <w:rPr>
          <w:b/>
          <w:szCs w:val="24"/>
        </w:rPr>
      </w:pPr>
      <w:bookmarkStart w:id="0" w:name="_GoBack"/>
      <w:bookmarkEnd w:id="0"/>
      <w:r w:rsidRPr="00A81848">
        <w:rPr>
          <w:b/>
          <w:szCs w:val="24"/>
        </w:rPr>
        <w:t>Before the</w:t>
      </w:r>
    </w:p>
    <w:p w:rsidR="00F845EF" w:rsidRPr="00A81848" w:rsidRDefault="00F845EF" w:rsidP="00C5386D">
      <w:pPr>
        <w:jc w:val="center"/>
        <w:rPr>
          <w:b/>
          <w:szCs w:val="24"/>
        </w:rPr>
      </w:pPr>
      <w:r w:rsidRPr="00A81848">
        <w:rPr>
          <w:b/>
          <w:szCs w:val="24"/>
        </w:rPr>
        <w:t>Federal Communications Commission</w:t>
      </w:r>
    </w:p>
    <w:p w:rsidR="00F845EF" w:rsidRPr="00A81848" w:rsidRDefault="00F845EF">
      <w:pPr>
        <w:jc w:val="center"/>
        <w:rPr>
          <w:b/>
          <w:szCs w:val="24"/>
        </w:rPr>
      </w:pPr>
      <w:smartTag w:uri="urn:schemas-microsoft-com:office:smarttags" w:element="PersonName">
        <w:smartTag w:uri="urn:schemas-microsoft-com:office:smarttags" w:element="City">
          <w:r w:rsidRPr="00A81848">
            <w:rPr>
              <w:b/>
              <w:szCs w:val="24"/>
            </w:rPr>
            <w:t>Washington</w:t>
          </w:r>
        </w:smartTag>
        <w:r w:rsidRPr="00A81848">
          <w:rPr>
            <w:b/>
            <w:szCs w:val="24"/>
          </w:rPr>
          <w:t xml:space="preserve">, </w:t>
        </w:r>
        <w:smartTag w:uri="urn:schemas-microsoft-com:office:smarttags" w:element="State">
          <w:r w:rsidRPr="00A81848">
            <w:rPr>
              <w:b/>
              <w:szCs w:val="24"/>
            </w:rPr>
            <w:t>D.C.</w:t>
          </w:r>
        </w:smartTag>
        <w:r w:rsidRPr="00A81848">
          <w:rPr>
            <w:b/>
            <w:szCs w:val="24"/>
          </w:rPr>
          <w:t xml:space="preserve"> </w:t>
        </w:r>
        <w:smartTag w:uri="urn:schemas-microsoft-com:office:smarttags" w:element="PostalCode">
          <w:r w:rsidRPr="00A81848">
            <w:rPr>
              <w:b/>
              <w:szCs w:val="24"/>
            </w:rPr>
            <w:t>20554</w:t>
          </w:r>
        </w:smartTag>
      </w:smartTag>
    </w:p>
    <w:p w:rsidR="00F845EF" w:rsidRPr="00A81848" w:rsidRDefault="00F845EF" w:rsidP="00C4032E">
      <w:pPr>
        <w:rPr>
          <w:szCs w:val="24"/>
        </w:rPr>
      </w:pPr>
    </w:p>
    <w:p w:rsidR="00F845EF" w:rsidRPr="00A81848" w:rsidRDefault="00F845EF" w:rsidP="002D3727">
      <w:pPr>
        <w:rPr>
          <w:szCs w:val="24"/>
        </w:rPr>
      </w:pPr>
    </w:p>
    <w:tbl>
      <w:tblPr>
        <w:tblW w:w="0" w:type="auto"/>
        <w:tblLayout w:type="fixed"/>
        <w:tblLook w:val="0000" w:firstRow="0" w:lastRow="0" w:firstColumn="0" w:lastColumn="0" w:noHBand="0" w:noVBand="0"/>
      </w:tblPr>
      <w:tblGrid>
        <w:gridCol w:w="4698"/>
        <w:gridCol w:w="720"/>
        <w:gridCol w:w="4230"/>
      </w:tblGrid>
      <w:tr w:rsidR="00F845EF" w:rsidRPr="00A81848" w:rsidTr="002C214F">
        <w:trPr>
          <w:trHeight w:val="1575"/>
        </w:trPr>
        <w:tc>
          <w:tcPr>
            <w:tcW w:w="4698" w:type="dxa"/>
          </w:tcPr>
          <w:p w:rsidR="00F845EF" w:rsidRPr="00A81848" w:rsidRDefault="00F845EF">
            <w:pPr>
              <w:ind w:right="-18"/>
              <w:rPr>
                <w:szCs w:val="24"/>
              </w:rPr>
            </w:pPr>
            <w:r w:rsidRPr="00A81848">
              <w:rPr>
                <w:szCs w:val="24"/>
              </w:rPr>
              <w:t xml:space="preserve">In the </w:t>
            </w:r>
            <w:r w:rsidR="00E465D8" w:rsidRPr="00A81848">
              <w:rPr>
                <w:szCs w:val="24"/>
              </w:rPr>
              <w:t>M</w:t>
            </w:r>
            <w:r w:rsidRPr="00A81848">
              <w:rPr>
                <w:szCs w:val="24"/>
              </w:rPr>
              <w:t>atter of</w:t>
            </w:r>
          </w:p>
          <w:p w:rsidR="00F845EF" w:rsidRPr="00A81848" w:rsidRDefault="00F845EF">
            <w:pPr>
              <w:ind w:right="-18"/>
              <w:rPr>
                <w:szCs w:val="24"/>
              </w:rPr>
            </w:pPr>
          </w:p>
          <w:p w:rsidR="00E91080" w:rsidRDefault="00E91080">
            <w:pPr>
              <w:ind w:right="-18"/>
              <w:rPr>
                <w:szCs w:val="24"/>
              </w:rPr>
            </w:pPr>
            <w:r>
              <w:rPr>
                <w:szCs w:val="24"/>
              </w:rPr>
              <w:t>GS Texas Ventures, LLC</w:t>
            </w:r>
            <w:r w:rsidR="00BA0F94">
              <w:rPr>
                <w:szCs w:val="24"/>
              </w:rPr>
              <w:t xml:space="preserve"> </w:t>
            </w:r>
          </w:p>
          <w:p w:rsidR="00BA0F94" w:rsidRDefault="00BA0F94">
            <w:pPr>
              <w:ind w:right="-18"/>
              <w:rPr>
                <w:szCs w:val="24"/>
              </w:rPr>
            </w:pPr>
            <w:r>
              <w:rPr>
                <w:szCs w:val="24"/>
              </w:rPr>
              <w:t>Tariff F</w:t>
            </w:r>
            <w:r w:rsidR="00F1699C">
              <w:rPr>
                <w:szCs w:val="24"/>
              </w:rPr>
              <w:t>.</w:t>
            </w:r>
            <w:r>
              <w:rPr>
                <w:szCs w:val="24"/>
              </w:rPr>
              <w:t>C</w:t>
            </w:r>
            <w:r w:rsidR="00F1699C">
              <w:rPr>
                <w:szCs w:val="24"/>
              </w:rPr>
              <w:t>.</w:t>
            </w:r>
            <w:r>
              <w:rPr>
                <w:szCs w:val="24"/>
              </w:rPr>
              <w:t>C</w:t>
            </w:r>
            <w:r w:rsidR="00F1699C">
              <w:rPr>
                <w:szCs w:val="24"/>
              </w:rPr>
              <w:t>.</w:t>
            </w:r>
            <w:r>
              <w:rPr>
                <w:szCs w:val="24"/>
              </w:rPr>
              <w:t xml:space="preserve"> No. </w:t>
            </w:r>
            <w:r w:rsidR="00E91080">
              <w:rPr>
                <w:szCs w:val="24"/>
              </w:rPr>
              <w:t>1</w:t>
            </w:r>
            <w:r w:rsidR="006734AE">
              <w:rPr>
                <w:szCs w:val="24"/>
              </w:rPr>
              <w:t xml:space="preserve"> </w:t>
            </w:r>
          </w:p>
          <w:p w:rsidR="00BA0F94" w:rsidRDefault="00BA0F94">
            <w:pPr>
              <w:ind w:right="-18"/>
              <w:rPr>
                <w:szCs w:val="24"/>
              </w:rPr>
            </w:pPr>
          </w:p>
          <w:p w:rsidR="00BA0F94" w:rsidRPr="00A81848" w:rsidRDefault="00BA0F94">
            <w:pPr>
              <w:ind w:right="-18"/>
              <w:rPr>
                <w:szCs w:val="24"/>
              </w:rPr>
            </w:pPr>
          </w:p>
        </w:tc>
        <w:tc>
          <w:tcPr>
            <w:tcW w:w="720" w:type="dxa"/>
          </w:tcPr>
          <w:p w:rsidR="00F845EF" w:rsidRPr="00A81848" w:rsidRDefault="00F845EF">
            <w:pPr>
              <w:rPr>
                <w:b/>
                <w:szCs w:val="24"/>
              </w:rPr>
            </w:pPr>
            <w:r w:rsidRPr="00A81848">
              <w:rPr>
                <w:b/>
                <w:szCs w:val="24"/>
              </w:rPr>
              <w:t>)</w:t>
            </w:r>
          </w:p>
          <w:p w:rsidR="00F845EF" w:rsidRPr="00A81848" w:rsidRDefault="00F845EF">
            <w:pPr>
              <w:rPr>
                <w:b/>
                <w:szCs w:val="24"/>
              </w:rPr>
            </w:pPr>
            <w:r w:rsidRPr="00A81848">
              <w:rPr>
                <w:b/>
                <w:szCs w:val="24"/>
              </w:rPr>
              <w:t>)</w:t>
            </w:r>
          </w:p>
          <w:p w:rsidR="00F845EF" w:rsidRPr="00A81848" w:rsidRDefault="00F845EF">
            <w:pPr>
              <w:rPr>
                <w:b/>
                <w:szCs w:val="24"/>
              </w:rPr>
            </w:pPr>
            <w:r w:rsidRPr="00A81848">
              <w:rPr>
                <w:b/>
                <w:szCs w:val="24"/>
              </w:rPr>
              <w:t>)</w:t>
            </w:r>
          </w:p>
          <w:p w:rsidR="00F845EF" w:rsidRPr="00A81848" w:rsidRDefault="00F845EF">
            <w:pPr>
              <w:rPr>
                <w:b/>
                <w:szCs w:val="24"/>
              </w:rPr>
            </w:pPr>
            <w:r w:rsidRPr="00A81848">
              <w:rPr>
                <w:b/>
                <w:szCs w:val="24"/>
              </w:rPr>
              <w:t>)</w:t>
            </w:r>
          </w:p>
          <w:p w:rsidR="00F845EF" w:rsidRPr="00A81848" w:rsidRDefault="00F845EF">
            <w:pPr>
              <w:rPr>
                <w:b/>
                <w:szCs w:val="24"/>
              </w:rPr>
            </w:pPr>
            <w:r w:rsidRPr="00A81848">
              <w:rPr>
                <w:b/>
                <w:szCs w:val="24"/>
              </w:rPr>
              <w:t>)</w:t>
            </w:r>
          </w:p>
          <w:p w:rsidR="00BA0F94" w:rsidRDefault="00BA0F94">
            <w:pPr>
              <w:rPr>
                <w:b/>
                <w:szCs w:val="24"/>
              </w:rPr>
            </w:pPr>
          </w:p>
          <w:p w:rsidR="00F845EF" w:rsidRPr="00A81848" w:rsidRDefault="00F845EF">
            <w:pPr>
              <w:rPr>
                <w:b/>
                <w:szCs w:val="24"/>
              </w:rPr>
            </w:pPr>
          </w:p>
        </w:tc>
        <w:tc>
          <w:tcPr>
            <w:tcW w:w="4230" w:type="dxa"/>
          </w:tcPr>
          <w:p w:rsidR="00E91080" w:rsidRDefault="00E91080">
            <w:pPr>
              <w:rPr>
                <w:szCs w:val="24"/>
              </w:rPr>
            </w:pPr>
          </w:p>
          <w:p w:rsidR="00F845EF" w:rsidRDefault="00BA0F94">
            <w:pPr>
              <w:rPr>
                <w:szCs w:val="24"/>
              </w:rPr>
            </w:pPr>
            <w:r>
              <w:rPr>
                <w:szCs w:val="24"/>
              </w:rPr>
              <w:t xml:space="preserve">WCB/Pricing File No. </w:t>
            </w:r>
            <w:r w:rsidR="00E91080">
              <w:rPr>
                <w:szCs w:val="24"/>
              </w:rPr>
              <w:t>14</w:t>
            </w:r>
            <w:r w:rsidR="00E91080" w:rsidRPr="001D052E">
              <w:rPr>
                <w:szCs w:val="24"/>
              </w:rPr>
              <w:t>-</w:t>
            </w:r>
            <w:r w:rsidR="001D052E" w:rsidRPr="001D052E">
              <w:rPr>
                <w:szCs w:val="24"/>
              </w:rPr>
              <w:t>2</w:t>
            </w:r>
          </w:p>
          <w:p w:rsidR="00CB24B0" w:rsidRDefault="00CB24B0">
            <w:pPr>
              <w:rPr>
                <w:szCs w:val="24"/>
              </w:rPr>
            </w:pPr>
          </w:p>
          <w:p w:rsidR="00CB24B0" w:rsidRDefault="00CB24B0">
            <w:pPr>
              <w:rPr>
                <w:szCs w:val="24"/>
              </w:rPr>
            </w:pPr>
            <w:r>
              <w:rPr>
                <w:szCs w:val="24"/>
              </w:rPr>
              <w:t xml:space="preserve">Transmittal No. </w:t>
            </w:r>
            <w:r w:rsidR="00E91080">
              <w:rPr>
                <w:szCs w:val="24"/>
              </w:rPr>
              <w:t>1</w:t>
            </w:r>
          </w:p>
          <w:p w:rsidR="00CB24B0" w:rsidRDefault="00CB24B0">
            <w:pPr>
              <w:rPr>
                <w:szCs w:val="24"/>
              </w:rPr>
            </w:pPr>
          </w:p>
          <w:p w:rsidR="00CB24B0" w:rsidRPr="00A81848" w:rsidRDefault="00CB24B0">
            <w:pPr>
              <w:rPr>
                <w:szCs w:val="24"/>
              </w:rPr>
            </w:pPr>
          </w:p>
        </w:tc>
      </w:tr>
    </w:tbl>
    <w:p w:rsidR="00F845EF" w:rsidRPr="00A81848" w:rsidRDefault="00F845EF" w:rsidP="00C4032E">
      <w:pPr>
        <w:rPr>
          <w:szCs w:val="24"/>
        </w:rPr>
      </w:pPr>
    </w:p>
    <w:p w:rsidR="00F845EF" w:rsidRPr="00A81848" w:rsidRDefault="00F845EF" w:rsidP="000E08A6">
      <w:pPr>
        <w:spacing w:before="120"/>
        <w:jc w:val="center"/>
        <w:rPr>
          <w:b/>
          <w:szCs w:val="24"/>
        </w:rPr>
      </w:pPr>
      <w:r w:rsidRPr="00A81848">
        <w:rPr>
          <w:b/>
          <w:spacing w:val="-2"/>
          <w:szCs w:val="24"/>
        </w:rPr>
        <w:t>ORDER</w:t>
      </w:r>
    </w:p>
    <w:p w:rsidR="00A81848" w:rsidRDefault="00A81848" w:rsidP="00C4032E">
      <w:pPr>
        <w:tabs>
          <w:tab w:val="left" w:pos="5760"/>
        </w:tabs>
        <w:rPr>
          <w:szCs w:val="24"/>
        </w:rPr>
      </w:pPr>
    </w:p>
    <w:p w:rsidR="00F845EF" w:rsidRPr="00A81848" w:rsidRDefault="00F845EF" w:rsidP="002D3727">
      <w:pPr>
        <w:tabs>
          <w:tab w:val="left" w:pos="5760"/>
        </w:tabs>
        <w:rPr>
          <w:b/>
          <w:szCs w:val="24"/>
        </w:rPr>
      </w:pPr>
      <w:r w:rsidRPr="00A81848">
        <w:rPr>
          <w:b/>
          <w:szCs w:val="24"/>
        </w:rPr>
        <w:t xml:space="preserve">Adopted:  </w:t>
      </w:r>
      <w:r w:rsidR="00267F7D">
        <w:rPr>
          <w:b/>
          <w:szCs w:val="24"/>
        </w:rPr>
        <w:t>September 8, 2014</w:t>
      </w:r>
      <w:r w:rsidRPr="00A81848">
        <w:rPr>
          <w:b/>
          <w:szCs w:val="24"/>
        </w:rPr>
        <w:tab/>
      </w:r>
      <w:r w:rsidR="00A81848">
        <w:rPr>
          <w:b/>
          <w:szCs w:val="24"/>
        </w:rPr>
        <w:tab/>
      </w:r>
      <w:r w:rsidRPr="00A81848">
        <w:rPr>
          <w:b/>
          <w:szCs w:val="24"/>
        </w:rPr>
        <w:t xml:space="preserve">Released:  </w:t>
      </w:r>
      <w:r w:rsidR="00267F7D">
        <w:rPr>
          <w:b/>
          <w:szCs w:val="24"/>
        </w:rPr>
        <w:t>September 8, 2014</w:t>
      </w:r>
    </w:p>
    <w:p w:rsidR="00F845EF" w:rsidRPr="00A81848" w:rsidRDefault="00F845EF">
      <w:pPr>
        <w:tabs>
          <w:tab w:val="left" w:pos="5760"/>
        </w:tabs>
        <w:rPr>
          <w:b/>
          <w:szCs w:val="24"/>
        </w:rPr>
      </w:pPr>
    </w:p>
    <w:p w:rsidR="00F845EF" w:rsidRPr="00A81848" w:rsidRDefault="00F845EF">
      <w:pPr>
        <w:tabs>
          <w:tab w:val="left" w:pos="5760"/>
        </w:tabs>
        <w:rPr>
          <w:spacing w:val="-2"/>
          <w:szCs w:val="24"/>
        </w:rPr>
      </w:pPr>
      <w:r w:rsidRPr="00A81848">
        <w:rPr>
          <w:szCs w:val="24"/>
        </w:rPr>
        <w:t xml:space="preserve">By the </w:t>
      </w:r>
      <w:r w:rsidR="00267F7D">
        <w:rPr>
          <w:szCs w:val="24"/>
        </w:rPr>
        <w:t xml:space="preserve">Acting </w:t>
      </w:r>
      <w:r w:rsidRPr="00A81848">
        <w:rPr>
          <w:spacing w:val="-2"/>
          <w:szCs w:val="24"/>
        </w:rPr>
        <w:t xml:space="preserve">Chief, </w:t>
      </w:r>
      <w:r w:rsidR="00136407">
        <w:rPr>
          <w:spacing w:val="-2"/>
          <w:szCs w:val="24"/>
        </w:rPr>
        <w:t>Pricing Policy Division</w:t>
      </w:r>
      <w:r w:rsidRPr="00A81848">
        <w:rPr>
          <w:spacing w:val="-2"/>
          <w:szCs w:val="24"/>
        </w:rPr>
        <w:t>:</w:t>
      </w:r>
    </w:p>
    <w:p w:rsidR="00F845EF" w:rsidRPr="00A81848" w:rsidRDefault="00F845EF">
      <w:pPr>
        <w:tabs>
          <w:tab w:val="left" w:pos="5760"/>
        </w:tabs>
        <w:rPr>
          <w:spacing w:val="-2"/>
          <w:szCs w:val="24"/>
        </w:rPr>
      </w:pPr>
    </w:p>
    <w:p w:rsidR="00F845EF" w:rsidRPr="00A81848" w:rsidRDefault="00F845EF" w:rsidP="00E8142F">
      <w:pPr>
        <w:pStyle w:val="Heading1"/>
        <w:rPr>
          <w:szCs w:val="24"/>
        </w:rPr>
      </w:pPr>
      <w:r w:rsidRPr="00A81848">
        <w:rPr>
          <w:szCs w:val="24"/>
        </w:rPr>
        <w:t>INTRODUCTION</w:t>
      </w:r>
    </w:p>
    <w:p w:rsidR="00244D48" w:rsidRPr="00CE6374" w:rsidRDefault="00CB24B0" w:rsidP="00C4032E">
      <w:pPr>
        <w:pStyle w:val="ParaNum"/>
        <w:rPr>
          <w:szCs w:val="22"/>
        </w:rPr>
      </w:pPr>
      <w:r w:rsidRPr="006446D7">
        <w:rPr>
          <w:szCs w:val="22"/>
        </w:rPr>
        <w:t xml:space="preserve">On </w:t>
      </w:r>
      <w:r w:rsidR="00450EBC" w:rsidRPr="006446D7">
        <w:rPr>
          <w:szCs w:val="22"/>
        </w:rPr>
        <w:t>August 25, 2014</w:t>
      </w:r>
      <w:r w:rsidR="00CC190D" w:rsidRPr="006446D7">
        <w:rPr>
          <w:szCs w:val="22"/>
        </w:rPr>
        <w:t xml:space="preserve">, </w:t>
      </w:r>
      <w:r w:rsidR="00450EBC" w:rsidRPr="006446D7">
        <w:rPr>
          <w:szCs w:val="22"/>
        </w:rPr>
        <w:t xml:space="preserve">GS Texas Ventures, LLC (GS Texas Ventures) filed Tariff F.C.C. No. 1, </w:t>
      </w:r>
      <w:r w:rsidR="007D2A0F">
        <w:rPr>
          <w:szCs w:val="22"/>
        </w:rPr>
        <w:t>a proposed</w:t>
      </w:r>
      <w:r w:rsidR="00450EBC" w:rsidRPr="006446D7">
        <w:rPr>
          <w:szCs w:val="22"/>
        </w:rPr>
        <w:t xml:space="preserve"> tariff </w:t>
      </w:r>
      <w:r w:rsidR="006446D7" w:rsidRPr="006446D7">
        <w:rPr>
          <w:szCs w:val="22"/>
        </w:rPr>
        <w:t>for</w:t>
      </w:r>
      <w:r w:rsidR="00450EBC" w:rsidRPr="006446D7">
        <w:rPr>
          <w:szCs w:val="22"/>
        </w:rPr>
        <w:t xml:space="preserve"> </w:t>
      </w:r>
      <w:r w:rsidR="006446D7" w:rsidRPr="006446D7">
        <w:rPr>
          <w:szCs w:val="22"/>
        </w:rPr>
        <w:t>“</w:t>
      </w:r>
      <w:r w:rsidR="00450EBC" w:rsidRPr="006446D7">
        <w:rPr>
          <w:szCs w:val="22"/>
        </w:rPr>
        <w:t>the regulations, rates and charges applying to the provision of interstate</w:t>
      </w:r>
      <w:r w:rsidR="006446D7" w:rsidRPr="006446D7">
        <w:rPr>
          <w:szCs w:val="22"/>
        </w:rPr>
        <w:t xml:space="preserve"> </w:t>
      </w:r>
      <w:r w:rsidR="00450EBC" w:rsidRPr="006446D7">
        <w:rPr>
          <w:szCs w:val="22"/>
        </w:rPr>
        <w:t>Access Services</w:t>
      </w:r>
      <w:r w:rsidR="006446D7" w:rsidRPr="006446D7">
        <w:rPr>
          <w:szCs w:val="22"/>
        </w:rPr>
        <w:t xml:space="preserve"> supplied to Buyers for the origination and termination of traffic to and from Central Office codes assigned to GS Texas Ventures, LLC.</w:t>
      </w:r>
      <w:r w:rsidR="006446D7">
        <w:rPr>
          <w:szCs w:val="22"/>
        </w:rPr>
        <w:t>”</w:t>
      </w:r>
      <w:r w:rsidR="006446D7">
        <w:rPr>
          <w:rStyle w:val="FootnoteReference"/>
          <w:szCs w:val="22"/>
        </w:rPr>
        <w:footnoteReference w:id="2"/>
      </w:r>
      <w:r w:rsidR="00450EBC" w:rsidRPr="006446D7">
        <w:rPr>
          <w:szCs w:val="22"/>
        </w:rPr>
        <w:t xml:space="preserve"> </w:t>
      </w:r>
      <w:r w:rsidR="009873B1">
        <w:rPr>
          <w:szCs w:val="22"/>
        </w:rPr>
        <w:t xml:space="preserve"> The proposed tariff is scheduled to become effective on September 9, 2014.</w:t>
      </w:r>
      <w:r w:rsidR="00EA126B">
        <w:rPr>
          <w:rStyle w:val="FootnoteReference"/>
          <w:szCs w:val="22"/>
        </w:rPr>
        <w:footnoteReference w:id="3"/>
      </w:r>
      <w:r w:rsidR="00D915B6">
        <w:rPr>
          <w:szCs w:val="22"/>
        </w:rPr>
        <w:t xml:space="preserve">  Because the </w:t>
      </w:r>
      <w:r w:rsidR="007D2A0F">
        <w:rPr>
          <w:szCs w:val="22"/>
        </w:rPr>
        <w:t xml:space="preserve">proposed </w:t>
      </w:r>
      <w:r w:rsidR="00D915B6">
        <w:rPr>
          <w:szCs w:val="22"/>
        </w:rPr>
        <w:t xml:space="preserve">tariff </w:t>
      </w:r>
      <w:r w:rsidR="009031B3">
        <w:rPr>
          <w:szCs w:val="22"/>
        </w:rPr>
        <w:t>prohibits purchasers from obtaining</w:t>
      </w:r>
      <w:r w:rsidR="00CB6499">
        <w:rPr>
          <w:szCs w:val="22"/>
        </w:rPr>
        <w:t xml:space="preserve"> </w:t>
      </w:r>
      <w:r w:rsidR="009031B3">
        <w:rPr>
          <w:szCs w:val="22"/>
        </w:rPr>
        <w:t xml:space="preserve">Commission review of the tariff </w:t>
      </w:r>
      <w:r w:rsidR="00941119">
        <w:rPr>
          <w:szCs w:val="22"/>
        </w:rPr>
        <w:t xml:space="preserve">via the formal complaint process </w:t>
      </w:r>
      <w:r w:rsidR="00792F8A">
        <w:rPr>
          <w:szCs w:val="22"/>
        </w:rPr>
        <w:t xml:space="preserve">and </w:t>
      </w:r>
      <w:r w:rsidR="00264E72" w:rsidRPr="00813BB2">
        <w:rPr>
          <w:szCs w:val="22"/>
        </w:rPr>
        <w:t xml:space="preserve">violates the prohibition on </w:t>
      </w:r>
      <w:r w:rsidR="00D915B6" w:rsidRPr="00813BB2">
        <w:rPr>
          <w:szCs w:val="22"/>
        </w:rPr>
        <w:t>call bl</w:t>
      </w:r>
      <w:r w:rsidR="00264E72" w:rsidRPr="00813BB2">
        <w:rPr>
          <w:szCs w:val="22"/>
        </w:rPr>
        <w:t xml:space="preserve">ocking contained in the Commission’s </w:t>
      </w:r>
      <w:r w:rsidR="004F2F46">
        <w:rPr>
          <w:szCs w:val="22"/>
        </w:rPr>
        <w:t>orders</w:t>
      </w:r>
      <w:r w:rsidR="006E61E9">
        <w:rPr>
          <w:rStyle w:val="FootnoteReference"/>
          <w:szCs w:val="22"/>
        </w:rPr>
        <w:footnoteReference w:id="4"/>
      </w:r>
      <w:r w:rsidR="00264E72" w:rsidRPr="00813BB2">
        <w:rPr>
          <w:szCs w:val="22"/>
        </w:rPr>
        <w:t xml:space="preserve"> and the Communications Act of 1934, as amended (Act)</w:t>
      </w:r>
      <w:r w:rsidR="00D915B6" w:rsidRPr="00813BB2">
        <w:rPr>
          <w:szCs w:val="22"/>
        </w:rPr>
        <w:t>,</w:t>
      </w:r>
      <w:r w:rsidR="00D915B6">
        <w:rPr>
          <w:szCs w:val="22"/>
        </w:rPr>
        <w:t xml:space="preserve"> we reject Transmittal No. 1 as </w:t>
      </w:r>
      <w:r w:rsidR="00264E72">
        <w:rPr>
          <w:szCs w:val="22"/>
        </w:rPr>
        <w:t>patently unlawful, in violation</w:t>
      </w:r>
      <w:r w:rsidR="00D915B6">
        <w:rPr>
          <w:szCs w:val="22"/>
        </w:rPr>
        <w:t xml:space="preserve"> of </w:t>
      </w:r>
      <w:r w:rsidR="00A12E25" w:rsidRPr="00A12E25">
        <w:rPr>
          <w:szCs w:val="22"/>
        </w:rPr>
        <w:t xml:space="preserve">sections 201 and </w:t>
      </w:r>
      <w:r w:rsidR="00B61020" w:rsidRPr="00A12E25">
        <w:rPr>
          <w:szCs w:val="22"/>
        </w:rPr>
        <w:t>208</w:t>
      </w:r>
      <w:r w:rsidR="00A12E25" w:rsidRPr="00A12E25">
        <w:rPr>
          <w:szCs w:val="22"/>
        </w:rPr>
        <w:t xml:space="preserve"> of the Communications Act</w:t>
      </w:r>
      <w:r w:rsidR="009F3F22">
        <w:rPr>
          <w:szCs w:val="22"/>
        </w:rPr>
        <w:t>.</w:t>
      </w:r>
      <w:r w:rsidR="009F3F22">
        <w:rPr>
          <w:rStyle w:val="FootnoteReference"/>
          <w:szCs w:val="22"/>
        </w:rPr>
        <w:footnoteReference w:id="5"/>
      </w:r>
    </w:p>
    <w:p w:rsidR="00F650AA" w:rsidRDefault="00F650AA" w:rsidP="002D3727">
      <w:pPr>
        <w:pStyle w:val="ParaNum"/>
        <w:numPr>
          <w:ilvl w:val="0"/>
          <w:numId w:val="0"/>
        </w:numPr>
        <w:rPr>
          <w:b/>
        </w:rPr>
      </w:pPr>
      <w:r w:rsidRPr="00F650AA">
        <w:rPr>
          <w:b/>
        </w:rPr>
        <w:t>II.          BACKGROUND</w:t>
      </w:r>
    </w:p>
    <w:p w:rsidR="00305222" w:rsidRPr="00E34647" w:rsidRDefault="00305222">
      <w:pPr>
        <w:pStyle w:val="ParaNum"/>
      </w:pPr>
      <w:r>
        <w:t xml:space="preserve">GS Texas Ventures filed the above-referenced </w:t>
      </w:r>
      <w:r w:rsidR="000B37FB">
        <w:t xml:space="preserve">proposed </w:t>
      </w:r>
      <w:r>
        <w:t>tariff on August 25, 2014, to become effective on September 9, 2014.</w:t>
      </w:r>
      <w:r>
        <w:rPr>
          <w:rStyle w:val="FootnoteReference"/>
        </w:rPr>
        <w:footnoteReference w:id="6"/>
      </w:r>
      <w:r>
        <w:t xml:space="preserve">  On September 2, 2014, Sprint Communications Company, L.P. (Sprint), CenturyLink Communications, LLC (CenturyLink), and Level 3 Communications, LLC (Level 3) (together, the “Petitioners”) filed a petition to reject, or in the alternative, suspend and investigate the </w:t>
      </w:r>
      <w:r w:rsidR="00003807">
        <w:t xml:space="preserve">proposed </w:t>
      </w:r>
      <w:r>
        <w:t>GS Texas Ventures tariff filing.</w:t>
      </w:r>
      <w:r>
        <w:rPr>
          <w:rStyle w:val="FootnoteReference"/>
        </w:rPr>
        <w:footnoteReference w:id="7"/>
      </w:r>
      <w:r>
        <w:t xml:space="preserve">  The Petitioners assert that the GS Texas Ventures tariff is unlawful because it contains an arbitration provision that “attempt[s] to circumvent the Commission’s review of the lawfulness of the tariff”</w:t>
      </w:r>
      <w:r>
        <w:rPr>
          <w:rStyle w:val="FootnoteReference"/>
        </w:rPr>
        <w:footnoteReference w:id="8"/>
      </w:r>
      <w:r>
        <w:t xml:space="preserve"> and “seeks to impose an obligation on interexchange carriers . . . to </w:t>
      </w:r>
      <w:r>
        <w:lastRenderedPageBreak/>
        <w:t>violate federal law by requiring them to illegally block telephone calls if the purchaser does not consent to the terms of the tariff.”</w:t>
      </w:r>
      <w:r>
        <w:rPr>
          <w:rStyle w:val="FootnoteReference"/>
        </w:rPr>
        <w:footnoteReference w:id="9"/>
      </w:r>
    </w:p>
    <w:p w:rsidR="00CE6374" w:rsidRDefault="00305222">
      <w:pPr>
        <w:pStyle w:val="ParaNum"/>
      </w:pPr>
      <w:r>
        <w:t xml:space="preserve">Section 2.10 of the </w:t>
      </w:r>
      <w:r w:rsidR="00766BCF">
        <w:t xml:space="preserve">proposed </w:t>
      </w:r>
      <w:r>
        <w:t xml:space="preserve">tariff sets forth the rules and regulations governing billing and payment for service.  With respect to disputed charges, the </w:t>
      </w:r>
      <w:r w:rsidR="00766BCF">
        <w:t xml:space="preserve">proposed </w:t>
      </w:r>
      <w:r>
        <w:t>tariff states, in relevant part:</w:t>
      </w:r>
    </w:p>
    <w:p w:rsidR="00305222" w:rsidRDefault="00305222">
      <w:pPr>
        <w:pStyle w:val="ParaNum"/>
        <w:numPr>
          <w:ilvl w:val="0"/>
          <w:numId w:val="0"/>
        </w:numPr>
        <w:ind w:left="720" w:right="720"/>
      </w:pPr>
      <w:r>
        <w:t>All disputes between the Company and Buyer or Customer related to rates, terms and/or conditions (including collection of past due amounts) for services provided pursuant to this tariff, that cannot be settled through negotiation, shall be resolved by arbitration upon written demand of either party . . . . The arbitrator will have no authority to award punitive damages, exemplary damages, consequential damages, multiple damages, or any other damages not measured by the prevailing Party’s actual or compensatory damages, and may not, in any event, make any ruling, finding or award that does not conform to the terms and conditions of this tariff.</w:t>
      </w:r>
      <w:r w:rsidR="00796A27">
        <w:rPr>
          <w:rStyle w:val="FootnoteReference"/>
        </w:rPr>
        <w:footnoteReference w:id="10"/>
      </w:r>
    </w:p>
    <w:p w:rsidR="00230219" w:rsidRDefault="00230219">
      <w:pPr>
        <w:pStyle w:val="ParaNum"/>
        <w:numPr>
          <w:ilvl w:val="0"/>
          <w:numId w:val="0"/>
        </w:numPr>
      </w:pPr>
      <w:r>
        <w:t xml:space="preserve">Section 2.13 of the </w:t>
      </w:r>
      <w:r w:rsidR="001F0624">
        <w:t xml:space="preserve">proposed </w:t>
      </w:r>
      <w:r>
        <w:t>tariff discusses cancellation of service by the purchasers of GS Texas Ventures’ access services, and states that</w:t>
      </w:r>
      <w:r w:rsidR="00E22604">
        <w:t>:</w:t>
      </w:r>
      <w:r>
        <w:t xml:space="preserve"> </w:t>
      </w:r>
    </w:p>
    <w:p w:rsidR="00AE2EDE" w:rsidRPr="001D338C" w:rsidRDefault="00230219">
      <w:pPr>
        <w:pStyle w:val="ParaNum"/>
        <w:numPr>
          <w:ilvl w:val="0"/>
          <w:numId w:val="0"/>
        </w:numPr>
        <w:ind w:left="720" w:right="720"/>
      </w:pPr>
      <w:r>
        <w:t>Buyers seeking to cancel Service have an affirmative obligation to block traffic originating from or terminating to the Company’s Network.  By originating traffic from or terminating traffic to the Company’s Network, the Buyer will have constructively ordered the Company’s Switched Access Service.</w:t>
      </w:r>
      <w:r>
        <w:rPr>
          <w:rStyle w:val="FootnoteReference"/>
        </w:rPr>
        <w:footnoteReference w:id="11"/>
      </w:r>
    </w:p>
    <w:p w:rsidR="00F845EF" w:rsidRDefault="00F650AA">
      <w:pPr>
        <w:pStyle w:val="Heading1"/>
        <w:numPr>
          <w:ilvl w:val="0"/>
          <w:numId w:val="0"/>
        </w:numPr>
        <w:rPr>
          <w:szCs w:val="24"/>
        </w:rPr>
      </w:pPr>
      <w:r>
        <w:rPr>
          <w:szCs w:val="24"/>
        </w:rPr>
        <w:t>III.</w:t>
      </w:r>
      <w:r>
        <w:rPr>
          <w:szCs w:val="24"/>
        </w:rPr>
        <w:tab/>
      </w:r>
      <w:r w:rsidR="00CA7969">
        <w:rPr>
          <w:szCs w:val="24"/>
        </w:rPr>
        <w:t>discussion</w:t>
      </w:r>
    </w:p>
    <w:p w:rsidR="00271795" w:rsidRDefault="00CA7969">
      <w:pPr>
        <w:pStyle w:val="ParaNum"/>
      </w:pPr>
      <w:r>
        <w:t>The Commission may reject a tariff filed by a carrier if the filing is “so patently a nullity as a matter of substantive law, that administrative efficiency and justice are furthered</w:t>
      </w:r>
      <w:r w:rsidR="007226F8">
        <w:t xml:space="preserve"> by obviating any docket at the threshold rather than opening a futile docket.”</w:t>
      </w:r>
      <w:r w:rsidR="00047708">
        <w:rPr>
          <w:rStyle w:val="FootnoteReference"/>
        </w:rPr>
        <w:footnoteReference w:id="12"/>
      </w:r>
      <w:r w:rsidR="007226F8">
        <w:t xml:space="preserve">  The United States Court of Appeals for the District of Columbia Circuit has explained that the Commission has “the power and in some cases the duty” to reject a tariff that is demonstrably unlawful on its face, or that conflicts with a statute, agency regulation or order.</w:t>
      </w:r>
      <w:r w:rsidR="00047708">
        <w:rPr>
          <w:rStyle w:val="FootnoteReference"/>
        </w:rPr>
        <w:footnoteReference w:id="13"/>
      </w:r>
      <w:r w:rsidR="007226F8">
        <w:t xml:space="preserve">  Under this standard, we reject Transmittal No. </w:t>
      </w:r>
      <w:r w:rsidR="001D338C">
        <w:t>1</w:t>
      </w:r>
      <w:r w:rsidR="002C4232">
        <w:t xml:space="preserve"> because </w:t>
      </w:r>
      <w:r w:rsidR="000E48FE">
        <w:t xml:space="preserve">the </w:t>
      </w:r>
      <w:r w:rsidR="007705DD">
        <w:t xml:space="preserve">proposed </w:t>
      </w:r>
      <w:r w:rsidR="002C4232">
        <w:t xml:space="preserve">tariff </w:t>
      </w:r>
      <w:r w:rsidR="000E48FE">
        <w:t>violate</w:t>
      </w:r>
      <w:r w:rsidR="001D338C">
        <w:t>s</w:t>
      </w:r>
      <w:r w:rsidR="007226F8">
        <w:t xml:space="preserve"> </w:t>
      </w:r>
      <w:r w:rsidR="00573D5C">
        <w:t xml:space="preserve">section 201(b) </w:t>
      </w:r>
      <w:r w:rsidR="00E710F3">
        <w:t xml:space="preserve">and </w:t>
      </w:r>
      <w:r w:rsidR="00864C72">
        <w:t>s</w:t>
      </w:r>
      <w:r w:rsidR="008274B3" w:rsidRPr="006213A1">
        <w:t xml:space="preserve">ection </w:t>
      </w:r>
      <w:r w:rsidR="007B3939" w:rsidRPr="006213A1">
        <w:t xml:space="preserve">208 of the Act, </w:t>
      </w:r>
      <w:r w:rsidR="006213A1" w:rsidRPr="006213A1">
        <w:t>as well as</w:t>
      </w:r>
      <w:r w:rsidR="00A77023" w:rsidRPr="006213A1">
        <w:t xml:space="preserve"> </w:t>
      </w:r>
      <w:r w:rsidR="00883F76" w:rsidRPr="006213A1">
        <w:t xml:space="preserve">the Commission’s orders </w:t>
      </w:r>
      <w:r w:rsidR="006213A1" w:rsidRPr="006213A1">
        <w:t>that prevent carrier call blocking practices</w:t>
      </w:r>
      <w:r w:rsidR="00E54D2B" w:rsidRPr="006213A1">
        <w:t>.</w:t>
      </w:r>
      <w:r w:rsidR="00271795">
        <w:t xml:space="preserve">  </w:t>
      </w:r>
    </w:p>
    <w:p w:rsidR="00BC36EB" w:rsidRDefault="002F3E2E">
      <w:pPr>
        <w:pStyle w:val="ParaNum"/>
        <w:rPr>
          <w:rStyle w:val="documentbody"/>
        </w:rPr>
      </w:pPr>
      <w:r>
        <w:rPr>
          <w:rStyle w:val="documentbody"/>
        </w:rPr>
        <w:t xml:space="preserve">Pursuant to the Act, the Commission has the authority to review tariffs that have </w:t>
      </w:r>
      <w:r w:rsidR="008F10D1">
        <w:rPr>
          <w:rStyle w:val="documentbody"/>
        </w:rPr>
        <w:t>been filed</w:t>
      </w:r>
      <w:r>
        <w:rPr>
          <w:rStyle w:val="documentbody"/>
        </w:rPr>
        <w:t xml:space="preserve"> to ensure their compliance with </w:t>
      </w:r>
      <w:r w:rsidR="00C65017">
        <w:rPr>
          <w:rStyle w:val="documentbody"/>
        </w:rPr>
        <w:t>the Act or a rule or order of the Commission,</w:t>
      </w:r>
      <w:r w:rsidR="000764C6">
        <w:rPr>
          <w:rStyle w:val="FootnoteReference"/>
        </w:rPr>
        <w:footnoteReference w:id="14"/>
      </w:r>
      <w:r w:rsidR="00C65017">
        <w:rPr>
          <w:rStyle w:val="documentbody"/>
        </w:rPr>
        <w:t xml:space="preserve"> including the section 201(b) mandate that “[a]ll charges, practices, classifications, and regulations for and in connection with [a] communications service, shall be just and reasonable</w:t>
      </w:r>
      <w:r>
        <w:rPr>
          <w:rStyle w:val="documentbody"/>
        </w:rPr>
        <w:t>.</w:t>
      </w:r>
      <w:r w:rsidR="00C65017">
        <w:rPr>
          <w:rStyle w:val="documentbody"/>
        </w:rPr>
        <w:t>”</w:t>
      </w:r>
      <w:r w:rsidR="00C65017">
        <w:rPr>
          <w:rStyle w:val="FootnoteReference"/>
        </w:rPr>
        <w:footnoteReference w:id="15"/>
      </w:r>
      <w:r w:rsidR="00552593">
        <w:rPr>
          <w:rStyle w:val="documentbody"/>
        </w:rPr>
        <w:t xml:space="preserve">  </w:t>
      </w:r>
      <w:r w:rsidR="00897B8C">
        <w:rPr>
          <w:rStyle w:val="documentbody"/>
        </w:rPr>
        <w:t xml:space="preserve">Section 208(a) of the Act authorizes complaints by any person “complaining of anything done or omitted to be done by any common carrier </w:t>
      </w:r>
      <w:r w:rsidR="00897B8C">
        <w:rPr>
          <w:rStyle w:val="documentbody"/>
        </w:rPr>
        <w:lastRenderedPageBreak/>
        <w:t>subje</w:t>
      </w:r>
      <w:r w:rsidR="00AB448B">
        <w:rPr>
          <w:rStyle w:val="documentbody"/>
        </w:rPr>
        <w:t>ct to the provisions of the Act,</w:t>
      </w:r>
      <w:r w:rsidR="00897B8C">
        <w:rPr>
          <w:rStyle w:val="documentbody"/>
        </w:rPr>
        <w:t>”</w:t>
      </w:r>
      <w:r w:rsidR="00897B8C">
        <w:rPr>
          <w:rStyle w:val="FootnoteReference"/>
        </w:rPr>
        <w:footnoteReference w:id="16"/>
      </w:r>
      <w:r w:rsidR="00AB448B">
        <w:rPr>
          <w:rStyle w:val="documentbody"/>
        </w:rPr>
        <w:t xml:space="preserve"> and under </w:t>
      </w:r>
      <w:r w:rsidR="00864C72">
        <w:rPr>
          <w:rStyle w:val="documentbody"/>
        </w:rPr>
        <w:t>s</w:t>
      </w:r>
      <w:r w:rsidR="00AB448B">
        <w:rPr>
          <w:rStyle w:val="documentbody"/>
        </w:rPr>
        <w:t>ection 208, a party may obtain equitable relief or recover damages if it can establish that a carrier-initiated tariff violates the Act or a rule or order of the Commission.</w:t>
      </w:r>
      <w:r w:rsidR="001D42B9">
        <w:rPr>
          <w:rStyle w:val="FootnoteReference"/>
        </w:rPr>
        <w:footnoteReference w:id="17"/>
      </w:r>
      <w:r w:rsidR="008C4613">
        <w:rPr>
          <w:rStyle w:val="documentbody"/>
        </w:rPr>
        <w:t xml:space="preserve">  Thus, even LEC tariffs</w:t>
      </w:r>
      <w:r w:rsidR="003A3840">
        <w:rPr>
          <w:rStyle w:val="documentbody"/>
        </w:rPr>
        <w:t xml:space="preserve"> that take effect on seven </w:t>
      </w:r>
      <w:r w:rsidR="008C4613">
        <w:rPr>
          <w:rStyle w:val="documentbody"/>
        </w:rPr>
        <w:t>or 15 days</w:t>
      </w:r>
      <w:r w:rsidR="003A3840">
        <w:rPr>
          <w:rStyle w:val="documentbody"/>
        </w:rPr>
        <w:t>’</w:t>
      </w:r>
      <w:r w:rsidR="008C4613">
        <w:rPr>
          <w:rStyle w:val="documentbody"/>
        </w:rPr>
        <w:t xml:space="preserve"> notice and are “deemed lawful” may be subsequently challenged at th</w:t>
      </w:r>
      <w:r w:rsidR="00E25EB9">
        <w:rPr>
          <w:rStyle w:val="documentbody"/>
        </w:rPr>
        <w:t xml:space="preserve">e Commission through the </w:t>
      </w:r>
      <w:r w:rsidR="00864C72">
        <w:rPr>
          <w:rStyle w:val="documentbody"/>
        </w:rPr>
        <w:t>s</w:t>
      </w:r>
      <w:r w:rsidR="008C4613">
        <w:rPr>
          <w:rStyle w:val="documentbody"/>
        </w:rPr>
        <w:t>ection 208 complaint process.</w:t>
      </w:r>
      <w:r w:rsidR="008C4613">
        <w:rPr>
          <w:rStyle w:val="FootnoteReference"/>
        </w:rPr>
        <w:footnoteReference w:id="18"/>
      </w:r>
      <w:r w:rsidR="003A3840">
        <w:rPr>
          <w:rStyle w:val="documentbody"/>
        </w:rPr>
        <w:t xml:space="preserve">  </w:t>
      </w:r>
    </w:p>
    <w:p w:rsidR="00B87CEE" w:rsidRDefault="003A3840">
      <w:pPr>
        <w:pStyle w:val="ParaNum"/>
      </w:pPr>
      <w:r>
        <w:t>Section 2.10</w:t>
      </w:r>
      <w:r w:rsidR="003D3186">
        <w:t>.4.I</w:t>
      </w:r>
      <w:r>
        <w:t xml:space="preserve"> of GS Texas Ventures’ </w:t>
      </w:r>
      <w:r w:rsidR="00C54671">
        <w:t xml:space="preserve">proposed </w:t>
      </w:r>
      <w:r>
        <w:t>tariff contains a provision mandating that all disputes relating to rates, terms, and conditions be resolved through arbitration, and further limits the arbitrator to prescribe only those remedies that are consistent with the tariff.</w:t>
      </w:r>
      <w:r w:rsidR="00DC3058">
        <w:rPr>
          <w:rStyle w:val="FootnoteReference"/>
        </w:rPr>
        <w:footnoteReference w:id="19"/>
      </w:r>
      <w:r w:rsidR="00D3626B">
        <w:t xml:space="preserve">  </w:t>
      </w:r>
      <w:r w:rsidR="00545DC1">
        <w:t>We agree with Petitioners that, as written</w:t>
      </w:r>
      <w:r w:rsidR="008101BF">
        <w:t xml:space="preserve"> and if enforceable</w:t>
      </w:r>
      <w:r w:rsidR="00471517">
        <w:t>,</w:t>
      </w:r>
      <w:r w:rsidR="00D3626B">
        <w:t xml:space="preserve"> this language would preclude </w:t>
      </w:r>
      <w:r w:rsidR="00FC65F8">
        <w:t xml:space="preserve">parties from challenging </w:t>
      </w:r>
      <w:r w:rsidR="008274B3">
        <w:t>the</w:t>
      </w:r>
      <w:r w:rsidR="00FC65F8">
        <w:t xml:space="preserve"> </w:t>
      </w:r>
      <w:r w:rsidR="00D3626B">
        <w:t xml:space="preserve">tariff at the Commission as contemplated by the section 208 complaint process.  </w:t>
      </w:r>
      <w:r w:rsidR="008274B3">
        <w:t>Rather, once the</w:t>
      </w:r>
      <w:r w:rsidR="00FC65F8">
        <w:t xml:space="preserve"> </w:t>
      </w:r>
      <w:r w:rsidR="008C3634">
        <w:t xml:space="preserve">proposed </w:t>
      </w:r>
      <w:r w:rsidR="00FC65F8">
        <w:t xml:space="preserve">tariff has become effective and attained “deemed lawful” status, </w:t>
      </w:r>
      <w:r w:rsidR="00020FC8">
        <w:t xml:space="preserve">it purports to limit </w:t>
      </w:r>
      <w:r w:rsidR="00FC65F8">
        <w:t>parties to challeng</w:t>
      </w:r>
      <w:r w:rsidR="00020FC8">
        <w:t>ing</w:t>
      </w:r>
      <w:r w:rsidR="00FC65F8">
        <w:t xml:space="preserve"> its terms</w:t>
      </w:r>
      <w:r w:rsidR="00020FC8">
        <w:t xml:space="preserve"> solely through</w:t>
      </w:r>
      <w:r w:rsidR="00FC65F8">
        <w:t xml:space="preserve"> arbitration, without </w:t>
      </w:r>
      <w:r w:rsidR="0056259C">
        <w:t>the ability to obtain independent review of the tariff’s lawfulness by the Commission</w:t>
      </w:r>
      <w:r w:rsidR="007E46FC">
        <w:t xml:space="preserve">, including </w:t>
      </w:r>
      <w:r w:rsidR="00141655">
        <w:t xml:space="preserve">the full range of remedies </w:t>
      </w:r>
      <w:r w:rsidR="007E46FC">
        <w:t>available to the Commission under the Act</w:t>
      </w:r>
      <w:r w:rsidR="0056259C">
        <w:t>.</w:t>
      </w:r>
      <w:r w:rsidR="00497E92">
        <w:rPr>
          <w:rStyle w:val="FootnoteReference"/>
        </w:rPr>
        <w:footnoteReference w:id="20"/>
      </w:r>
      <w:r w:rsidR="00FC65F8">
        <w:t xml:space="preserve"> </w:t>
      </w:r>
      <w:r w:rsidR="004D494F">
        <w:t xml:space="preserve"> </w:t>
      </w:r>
      <w:r w:rsidR="008D13D1">
        <w:t>In</w:t>
      </w:r>
      <w:r w:rsidR="00AE2DBD">
        <w:t xml:space="preserve"> light of our finding that the</w:t>
      </w:r>
      <w:r w:rsidR="00554EA8">
        <w:t xml:space="preserve"> arbitration requirement </w:t>
      </w:r>
      <w:r w:rsidR="00AE2DBD">
        <w:t xml:space="preserve">contained in </w:t>
      </w:r>
      <w:r w:rsidR="008D13D1">
        <w:t xml:space="preserve">the </w:t>
      </w:r>
      <w:r w:rsidR="00AE2DBD">
        <w:t xml:space="preserve">proposed tariff conflicts with section 208, we further find that GS Texas </w:t>
      </w:r>
      <w:r w:rsidR="003A1EB8">
        <w:t>Ventures’</w:t>
      </w:r>
      <w:r w:rsidR="00AE2DBD">
        <w:t xml:space="preserve"> inclusion of </w:t>
      </w:r>
      <w:r w:rsidR="00883542">
        <w:t>section 2.10.4.I</w:t>
      </w:r>
      <w:r w:rsidR="00AE2DBD">
        <w:t xml:space="preserve"> in its proposed tariff is unjust and unreasonable under Section 201(b) of the Act.  </w:t>
      </w:r>
      <w:r w:rsidR="00113175">
        <w:t>Thus</w:t>
      </w:r>
      <w:r w:rsidR="003D3186">
        <w:t xml:space="preserve">, </w:t>
      </w:r>
      <w:r w:rsidR="00AE2DBD">
        <w:t>s</w:t>
      </w:r>
      <w:r w:rsidR="003D3186">
        <w:t>ection 2</w:t>
      </w:r>
      <w:r w:rsidR="00543E90">
        <w:t>.10.4.I is unlawful</w:t>
      </w:r>
      <w:r w:rsidR="003940DD">
        <w:t xml:space="preserve"> under </w:t>
      </w:r>
      <w:r w:rsidR="00492D6E">
        <w:t>s</w:t>
      </w:r>
      <w:r w:rsidR="005D75CA">
        <w:t xml:space="preserve">ection 201(b) and </w:t>
      </w:r>
      <w:r w:rsidR="00492D6E">
        <w:t>s</w:t>
      </w:r>
      <w:r w:rsidR="003940DD">
        <w:t>ection 208 of the Act</w:t>
      </w:r>
      <w:r w:rsidR="00543E90">
        <w:t>.</w:t>
      </w:r>
      <w:r w:rsidR="00B61020" w:rsidRPr="00B61020">
        <w:rPr>
          <w:rStyle w:val="FootnoteReference"/>
        </w:rPr>
        <w:t xml:space="preserve"> </w:t>
      </w:r>
    </w:p>
    <w:p w:rsidR="0011636D" w:rsidRDefault="00D47FEF">
      <w:pPr>
        <w:pStyle w:val="ParaNum"/>
      </w:pPr>
      <w:r>
        <w:t>The Commission</w:t>
      </w:r>
      <w:r w:rsidR="00B7750A">
        <w:t xml:space="preserve"> generally</w:t>
      </w:r>
      <w:r>
        <w:t xml:space="preserve"> has established that call blocking is an unjust and unreasonable practice </w:t>
      </w:r>
      <w:r w:rsidR="002561EE">
        <w:t>under section 201(b) of the Act</w:t>
      </w:r>
      <w:r w:rsidR="00932DE6">
        <w:t>, and that</w:t>
      </w:r>
      <w:r w:rsidR="001D1F62">
        <w:t>, in some instances,</w:t>
      </w:r>
      <w:r w:rsidR="00932DE6">
        <w:t xml:space="preserve"> the practice may violate a carrier’s duty under section 202 of the Act to refrain from unjust or unreasonable discrimination in practices, facilities, or services</w:t>
      </w:r>
      <w:r w:rsidR="00802BD7">
        <w:t>.</w:t>
      </w:r>
      <w:r w:rsidR="00802BD7">
        <w:rPr>
          <w:rStyle w:val="FootnoteReference"/>
        </w:rPr>
        <w:footnoteReference w:id="21"/>
      </w:r>
      <w:r w:rsidR="00802BD7">
        <w:t xml:space="preserve">  As such, </w:t>
      </w:r>
      <w:r w:rsidR="002561EE">
        <w:t>no carrier may block, choke, reduce, or restrict t</w:t>
      </w:r>
      <w:r w:rsidR="00523DA2">
        <w:t xml:space="preserve">raffic in any way, including to </w:t>
      </w:r>
      <w:r w:rsidR="002561EE">
        <w:t xml:space="preserve">avoid </w:t>
      </w:r>
      <w:r w:rsidR="001D7AD5">
        <w:t xml:space="preserve">paying </w:t>
      </w:r>
      <w:r w:rsidR="002561EE">
        <w:t>transport and termination charges.</w:t>
      </w:r>
      <w:r w:rsidR="002561EE">
        <w:rPr>
          <w:rStyle w:val="FootnoteReference"/>
        </w:rPr>
        <w:footnoteReference w:id="22"/>
      </w:r>
      <w:r w:rsidR="005C25CF">
        <w:t xml:space="preserve">  </w:t>
      </w:r>
      <w:r w:rsidR="00DC3058">
        <w:t xml:space="preserve">In this instance, section 2.13.1.B of GS Texas </w:t>
      </w:r>
      <w:r w:rsidR="00DD3D31">
        <w:t>Ventures’ proposed</w:t>
      </w:r>
      <w:r w:rsidR="00AF4FC9">
        <w:t xml:space="preserve"> </w:t>
      </w:r>
      <w:r w:rsidR="00DC3058">
        <w:t xml:space="preserve">tariff directs purchasers seeking to cancel service under the tariff to block any traffic originating from or terminating to GS Texas </w:t>
      </w:r>
      <w:r w:rsidR="00DD3D31">
        <w:t>Ventures’ network</w:t>
      </w:r>
      <w:r w:rsidR="00DC3058">
        <w:t>.</w:t>
      </w:r>
      <w:r w:rsidR="00DC3058">
        <w:rPr>
          <w:rStyle w:val="FootnoteReference"/>
        </w:rPr>
        <w:footnoteReference w:id="23"/>
      </w:r>
      <w:r w:rsidR="003D0408">
        <w:t xml:space="preserve">  </w:t>
      </w:r>
      <w:r w:rsidR="00A503B5">
        <w:t>As set forth above,</w:t>
      </w:r>
      <w:r w:rsidR="00F73A6A">
        <w:t xml:space="preserve"> it is generally impermissible for </w:t>
      </w:r>
      <w:r w:rsidR="00C95797">
        <w:t>carriers</w:t>
      </w:r>
      <w:r w:rsidR="00F73A6A">
        <w:t xml:space="preserve"> to </w:t>
      </w:r>
      <w:r w:rsidR="00254F99">
        <w:t>block originati</w:t>
      </w:r>
      <w:r w:rsidR="004940AD">
        <w:t xml:space="preserve">ng or terminating traffic, and </w:t>
      </w:r>
      <w:r w:rsidR="00254F99">
        <w:t xml:space="preserve">carriers </w:t>
      </w:r>
      <w:r w:rsidR="009060FA">
        <w:t>employing this practice</w:t>
      </w:r>
      <w:r w:rsidR="00254F99">
        <w:t xml:space="preserve"> </w:t>
      </w:r>
      <w:r w:rsidR="002C1234">
        <w:t>would</w:t>
      </w:r>
      <w:r w:rsidR="00254F99">
        <w:t xml:space="preserve"> </w:t>
      </w:r>
      <w:r w:rsidR="004940AD">
        <w:t xml:space="preserve">likely </w:t>
      </w:r>
      <w:r w:rsidR="00E54A53">
        <w:t>violate</w:t>
      </w:r>
      <w:r w:rsidR="00254F99">
        <w:t xml:space="preserve"> section 201(b) </w:t>
      </w:r>
      <w:r w:rsidR="005C6BC3">
        <w:t xml:space="preserve">of the Act </w:t>
      </w:r>
      <w:r w:rsidR="00254F99">
        <w:t>and the Commission’s call blocking orders.</w:t>
      </w:r>
      <w:r w:rsidR="008E2B91">
        <w:rPr>
          <w:rStyle w:val="FootnoteReference"/>
        </w:rPr>
        <w:footnoteReference w:id="24"/>
      </w:r>
      <w:r w:rsidR="00DC3058">
        <w:t xml:space="preserve"> </w:t>
      </w:r>
      <w:r w:rsidR="008E2B91">
        <w:t xml:space="preserve">  </w:t>
      </w:r>
      <w:r w:rsidR="00ED34B3">
        <w:t>While the Commission has allowed call blocking “under rare and limited circumstances,”</w:t>
      </w:r>
      <w:r w:rsidR="00ED34B3">
        <w:rPr>
          <w:rStyle w:val="FootnoteReference"/>
        </w:rPr>
        <w:footnoteReference w:id="25"/>
      </w:r>
      <w:r w:rsidR="00ED34B3">
        <w:t xml:space="preserve"> </w:t>
      </w:r>
      <w:r w:rsidR="00B7750A">
        <w:t xml:space="preserve">the tariff requirement would apply regardless of whether </w:t>
      </w:r>
      <w:r w:rsidR="00ED34B3">
        <w:t>such circumstances are present.</w:t>
      </w:r>
      <w:r w:rsidR="00893AD4">
        <w:t xml:space="preserve">  Accordingly, </w:t>
      </w:r>
      <w:r w:rsidR="00F6572F">
        <w:t>s</w:t>
      </w:r>
      <w:r w:rsidR="00893AD4">
        <w:t xml:space="preserve">ection 2.13.1.B of the </w:t>
      </w:r>
      <w:r w:rsidR="00A14A59">
        <w:t xml:space="preserve">proposed </w:t>
      </w:r>
      <w:r w:rsidR="00893AD4">
        <w:t>tariff is unlawful</w:t>
      </w:r>
      <w:r w:rsidR="003940DD">
        <w:t xml:space="preserve"> under </w:t>
      </w:r>
      <w:r w:rsidR="00F6572F">
        <w:t>s</w:t>
      </w:r>
      <w:r w:rsidR="003940DD">
        <w:t>ection 201(b) of the Act</w:t>
      </w:r>
      <w:r w:rsidR="00893AD4">
        <w:t>.</w:t>
      </w:r>
    </w:p>
    <w:p w:rsidR="00F845EF" w:rsidRPr="00A81848" w:rsidRDefault="001A04DB">
      <w:pPr>
        <w:pStyle w:val="Heading1"/>
        <w:numPr>
          <w:ilvl w:val="0"/>
          <w:numId w:val="0"/>
        </w:numPr>
        <w:rPr>
          <w:szCs w:val="24"/>
        </w:rPr>
      </w:pPr>
      <w:r>
        <w:rPr>
          <w:szCs w:val="24"/>
        </w:rPr>
        <w:t>IV.</w:t>
      </w:r>
      <w:r>
        <w:rPr>
          <w:szCs w:val="24"/>
        </w:rPr>
        <w:tab/>
      </w:r>
      <w:r w:rsidR="00F845EF" w:rsidRPr="00A81848">
        <w:rPr>
          <w:szCs w:val="24"/>
        </w:rPr>
        <w:t>ORDERING CLAUSES</w:t>
      </w:r>
    </w:p>
    <w:p w:rsidR="001D2F5A" w:rsidRDefault="00F845EF">
      <w:pPr>
        <w:pStyle w:val="ParaNum"/>
        <w:rPr>
          <w:szCs w:val="24"/>
        </w:rPr>
      </w:pPr>
      <w:r w:rsidRPr="00A81848">
        <w:rPr>
          <w:szCs w:val="24"/>
        </w:rPr>
        <w:t xml:space="preserve">Accordingly, IT IS ORDERED that, pursuant to sections </w:t>
      </w:r>
      <w:r w:rsidR="001D2F5A">
        <w:rPr>
          <w:szCs w:val="24"/>
        </w:rPr>
        <w:t xml:space="preserve">1, 2, 4(i), 4(j), </w:t>
      </w:r>
      <w:r w:rsidR="0031531C">
        <w:rPr>
          <w:szCs w:val="24"/>
        </w:rPr>
        <w:t>201(b), and 208</w:t>
      </w:r>
      <w:r w:rsidR="00B461A5">
        <w:rPr>
          <w:szCs w:val="24"/>
        </w:rPr>
        <w:t xml:space="preserve"> </w:t>
      </w:r>
      <w:r w:rsidR="001D2F5A">
        <w:rPr>
          <w:szCs w:val="24"/>
        </w:rPr>
        <w:t>of the Communi</w:t>
      </w:r>
      <w:r w:rsidRPr="00A81848">
        <w:rPr>
          <w:szCs w:val="24"/>
        </w:rPr>
        <w:t xml:space="preserve">cations Act of 1934, as amended, 47 U.S.C. §§ </w:t>
      </w:r>
      <w:r w:rsidR="001D2F5A">
        <w:rPr>
          <w:szCs w:val="24"/>
        </w:rPr>
        <w:t xml:space="preserve">151, 152, 154(i), </w:t>
      </w:r>
      <w:r w:rsidR="00B461A5">
        <w:rPr>
          <w:szCs w:val="24"/>
        </w:rPr>
        <w:t>1</w:t>
      </w:r>
      <w:r w:rsidR="001D2F5A">
        <w:rPr>
          <w:szCs w:val="24"/>
        </w:rPr>
        <w:t>54(j)</w:t>
      </w:r>
      <w:r w:rsidRPr="00A81848">
        <w:rPr>
          <w:szCs w:val="24"/>
        </w:rPr>
        <w:t xml:space="preserve">, </w:t>
      </w:r>
      <w:r w:rsidR="0031531C">
        <w:rPr>
          <w:szCs w:val="24"/>
        </w:rPr>
        <w:t>201(b), and 208</w:t>
      </w:r>
      <w:r w:rsidR="00B461A5">
        <w:rPr>
          <w:szCs w:val="24"/>
        </w:rPr>
        <w:t xml:space="preserve">, </w:t>
      </w:r>
      <w:r w:rsidRPr="00A81848">
        <w:rPr>
          <w:szCs w:val="24"/>
        </w:rPr>
        <w:t xml:space="preserve">and </w:t>
      </w:r>
      <w:r w:rsidR="001D2F5A">
        <w:rPr>
          <w:szCs w:val="24"/>
        </w:rPr>
        <w:t xml:space="preserve">authority delegated by sections 0.91 and 0.291 of the Commission’s rules, 47 C.F.R. §§ 0.91, 0.291, that the </w:t>
      </w:r>
      <w:r w:rsidR="00D8255F">
        <w:rPr>
          <w:szCs w:val="24"/>
        </w:rPr>
        <w:t xml:space="preserve">proposed </w:t>
      </w:r>
      <w:r w:rsidR="00883E11">
        <w:rPr>
          <w:szCs w:val="24"/>
        </w:rPr>
        <w:t>GS Texas Ventures, LLC Tariff</w:t>
      </w:r>
      <w:r w:rsidR="001D2F5A">
        <w:rPr>
          <w:szCs w:val="24"/>
        </w:rPr>
        <w:t xml:space="preserve"> F</w:t>
      </w:r>
      <w:r w:rsidR="00C81DBD">
        <w:rPr>
          <w:szCs w:val="24"/>
        </w:rPr>
        <w:t>.</w:t>
      </w:r>
      <w:r w:rsidR="001D2F5A">
        <w:rPr>
          <w:szCs w:val="24"/>
        </w:rPr>
        <w:t>C</w:t>
      </w:r>
      <w:r w:rsidR="00C81DBD">
        <w:rPr>
          <w:szCs w:val="24"/>
        </w:rPr>
        <w:t>.</w:t>
      </w:r>
      <w:r w:rsidR="001D2F5A">
        <w:rPr>
          <w:szCs w:val="24"/>
        </w:rPr>
        <w:t>C</w:t>
      </w:r>
      <w:r w:rsidR="00C81DBD">
        <w:rPr>
          <w:szCs w:val="24"/>
        </w:rPr>
        <w:t>.</w:t>
      </w:r>
      <w:r w:rsidR="001D2F5A">
        <w:rPr>
          <w:szCs w:val="24"/>
        </w:rPr>
        <w:t xml:space="preserve"> No. </w:t>
      </w:r>
      <w:r w:rsidR="00883E11">
        <w:rPr>
          <w:szCs w:val="24"/>
        </w:rPr>
        <w:t>1</w:t>
      </w:r>
      <w:r w:rsidR="006734AE">
        <w:rPr>
          <w:szCs w:val="24"/>
        </w:rPr>
        <w:t xml:space="preserve"> </w:t>
      </w:r>
      <w:r w:rsidR="001D2F5A">
        <w:rPr>
          <w:szCs w:val="24"/>
        </w:rPr>
        <w:t>contained in Transmittal No.</w:t>
      </w:r>
      <w:r w:rsidR="001E6F20">
        <w:rPr>
          <w:szCs w:val="24"/>
        </w:rPr>
        <w:t xml:space="preserve"> </w:t>
      </w:r>
      <w:r w:rsidR="00883E11">
        <w:rPr>
          <w:szCs w:val="24"/>
        </w:rPr>
        <w:t>1</w:t>
      </w:r>
      <w:r w:rsidR="001D2F5A">
        <w:rPr>
          <w:szCs w:val="24"/>
        </w:rPr>
        <w:t xml:space="preserve"> </w:t>
      </w:r>
      <w:r w:rsidR="00F22884">
        <w:rPr>
          <w:szCs w:val="24"/>
        </w:rPr>
        <w:t xml:space="preserve">IS </w:t>
      </w:r>
      <w:r w:rsidR="001D2F5A">
        <w:rPr>
          <w:szCs w:val="24"/>
        </w:rPr>
        <w:t>HEREBY REJECTED</w:t>
      </w:r>
      <w:r w:rsidR="003D66F7">
        <w:rPr>
          <w:szCs w:val="24"/>
        </w:rPr>
        <w:t>;</w:t>
      </w:r>
    </w:p>
    <w:p w:rsidR="003D66F7" w:rsidRPr="006E1C7D" w:rsidRDefault="003D66F7">
      <w:pPr>
        <w:pStyle w:val="ParaNum"/>
        <w:rPr>
          <w:szCs w:val="24"/>
        </w:rPr>
      </w:pPr>
      <w:r w:rsidRPr="00A81848">
        <w:rPr>
          <w:szCs w:val="24"/>
        </w:rPr>
        <w:t>IT IS FURTHER ORDERED that</w:t>
      </w:r>
      <w:r>
        <w:rPr>
          <w:szCs w:val="24"/>
        </w:rPr>
        <w:t xml:space="preserve">, </w:t>
      </w:r>
      <w:r w:rsidRPr="00A81848">
        <w:rPr>
          <w:szCs w:val="24"/>
        </w:rPr>
        <w:t>pursuant to sec</w:t>
      </w:r>
      <w:r>
        <w:rPr>
          <w:szCs w:val="24"/>
        </w:rPr>
        <w:t>tion 61.69 of the Commission’s rules, 47 C.F.R. § 61.69</w:t>
      </w:r>
      <w:r w:rsidR="00553C75">
        <w:rPr>
          <w:szCs w:val="24"/>
        </w:rPr>
        <w:t xml:space="preserve">, </w:t>
      </w:r>
      <w:r w:rsidR="002604F5">
        <w:rPr>
          <w:szCs w:val="24"/>
        </w:rPr>
        <w:t>GS Texas Ventures, LLC</w:t>
      </w:r>
      <w:r w:rsidR="00553C75">
        <w:rPr>
          <w:szCs w:val="24"/>
        </w:rPr>
        <w:t xml:space="preserve"> SHALL FILE </w:t>
      </w:r>
      <w:r w:rsidR="006E1C7D">
        <w:rPr>
          <w:szCs w:val="24"/>
        </w:rPr>
        <w:t xml:space="preserve">a supplement </w:t>
      </w:r>
      <w:r w:rsidR="00325FE7">
        <w:t xml:space="preserve"> </w:t>
      </w:r>
      <w:r w:rsidR="00553C75" w:rsidRPr="00D12B10">
        <w:t xml:space="preserve">within five business days from the release date of this order </w:t>
      </w:r>
      <w:r w:rsidR="006E1C7D">
        <w:t xml:space="preserve">noting that this </w:t>
      </w:r>
      <w:r w:rsidR="00D8255F">
        <w:t xml:space="preserve">proposed </w:t>
      </w:r>
      <w:r w:rsidR="006E1C7D">
        <w:t>tariff was rejected in its entirety</w:t>
      </w:r>
      <w:r w:rsidR="006219D0">
        <w:t xml:space="preserve"> by the Federal Communications Commission</w:t>
      </w:r>
      <w:r w:rsidR="00553C75">
        <w:t>.</w:t>
      </w:r>
    </w:p>
    <w:p w:rsidR="006E1C7D" w:rsidRPr="006E1C7D" w:rsidRDefault="006E1C7D">
      <w:pPr>
        <w:pStyle w:val="ParaNum"/>
        <w:rPr>
          <w:szCs w:val="24"/>
        </w:rPr>
      </w:pPr>
      <w:r>
        <w:t>IT IS FURTHER ORDERED that, the Petition of Sprint, CenturyLink, and Level 3 to Reject or to Suspend and Investigate</w:t>
      </w:r>
      <w:r w:rsidR="00A83AC9">
        <w:t xml:space="preserve"> the </w:t>
      </w:r>
      <w:r w:rsidR="00B921B3">
        <w:t xml:space="preserve">proposed </w:t>
      </w:r>
      <w:r w:rsidR="00A83AC9">
        <w:t>GS Texas Ventures, LLC FCC Tariff No. 1 contained in Transmittal No. 1 is GRANTED as indicated herein.</w:t>
      </w:r>
    </w:p>
    <w:p w:rsidR="006E1C7D" w:rsidRDefault="006E1C7D">
      <w:pPr>
        <w:pStyle w:val="ParaNum"/>
        <w:numPr>
          <w:ilvl w:val="0"/>
          <w:numId w:val="0"/>
        </w:numPr>
        <w:ind w:left="720"/>
        <w:rPr>
          <w:szCs w:val="24"/>
        </w:rPr>
      </w:pPr>
    </w:p>
    <w:p w:rsidR="00063493" w:rsidRDefault="00063493">
      <w:pPr>
        <w:pStyle w:val="ParaNum"/>
        <w:numPr>
          <w:ilvl w:val="0"/>
          <w:numId w:val="0"/>
        </w:numPr>
        <w:rPr>
          <w:szCs w:val="24"/>
        </w:rPr>
      </w:pPr>
    </w:p>
    <w:p w:rsidR="00C35AB5" w:rsidRDefault="00C35AB5">
      <w:pPr>
        <w:pStyle w:val="ParaNum"/>
        <w:numPr>
          <w:ilvl w:val="0"/>
          <w:numId w:val="0"/>
        </w:numPr>
        <w:rPr>
          <w:szCs w:val="24"/>
        </w:rPr>
      </w:pPr>
    </w:p>
    <w:p w:rsidR="00F845EF" w:rsidRPr="00A81848" w:rsidRDefault="00F845EF">
      <w:pPr>
        <w:pStyle w:val="ParaNum"/>
        <w:numPr>
          <w:ilvl w:val="0"/>
          <w:numId w:val="0"/>
        </w:numPr>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t>FEDERAL COMMUNICATIONS COMMISSION</w:t>
      </w:r>
      <w:r w:rsidRPr="00A81848">
        <w:rPr>
          <w:szCs w:val="24"/>
        </w:rPr>
        <w:tab/>
      </w:r>
    </w:p>
    <w:p w:rsidR="00F845EF" w:rsidRDefault="00F845EF">
      <w:pPr>
        <w:pStyle w:val="ParaNum"/>
        <w:numPr>
          <w:ilvl w:val="0"/>
          <w:numId w:val="0"/>
        </w:numPr>
        <w:spacing w:after="0"/>
        <w:rPr>
          <w:szCs w:val="24"/>
        </w:rPr>
      </w:pPr>
      <w:r w:rsidRPr="00A81848">
        <w:rPr>
          <w:szCs w:val="24"/>
        </w:rPr>
        <w:tab/>
      </w:r>
      <w:r w:rsidRPr="00A81848">
        <w:rPr>
          <w:szCs w:val="24"/>
        </w:rPr>
        <w:tab/>
      </w:r>
    </w:p>
    <w:p w:rsidR="00B461A5" w:rsidRPr="00A81848" w:rsidRDefault="00B461A5">
      <w:pPr>
        <w:pStyle w:val="ParaNum"/>
        <w:numPr>
          <w:ilvl w:val="0"/>
          <w:numId w:val="0"/>
        </w:numPr>
        <w:spacing w:after="0"/>
        <w:rPr>
          <w:szCs w:val="24"/>
        </w:rPr>
      </w:pPr>
    </w:p>
    <w:p w:rsidR="00B461A5" w:rsidRDefault="00B461A5">
      <w:pPr>
        <w:pStyle w:val="ParaNum"/>
        <w:numPr>
          <w:ilvl w:val="0"/>
          <w:numId w:val="0"/>
        </w:numPr>
        <w:spacing w:after="0"/>
        <w:rPr>
          <w:szCs w:val="24"/>
        </w:rPr>
      </w:pPr>
    </w:p>
    <w:p w:rsidR="00F845EF" w:rsidRPr="00A81848"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7B0291">
        <w:rPr>
          <w:szCs w:val="24"/>
        </w:rPr>
        <w:t>Pamela</w:t>
      </w:r>
      <w:r w:rsidR="00077F20">
        <w:rPr>
          <w:szCs w:val="24"/>
        </w:rPr>
        <w:t xml:space="preserve"> S.</w:t>
      </w:r>
      <w:r w:rsidR="007B0291">
        <w:rPr>
          <w:szCs w:val="24"/>
        </w:rPr>
        <w:t xml:space="preserve"> Arluk</w:t>
      </w:r>
    </w:p>
    <w:p w:rsidR="00136407" w:rsidRDefault="00F845EF">
      <w:pPr>
        <w:pStyle w:val="ParaNum"/>
        <w:numPr>
          <w:ilvl w:val="0"/>
          <w:numId w:val="0"/>
        </w:numPr>
        <w:spacing w:after="0"/>
        <w:rPr>
          <w:szCs w:val="24"/>
        </w:rPr>
      </w:pPr>
      <w:r w:rsidRPr="00A81848">
        <w:rPr>
          <w:szCs w:val="24"/>
        </w:rPr>
        <w:tab/>
      </w:r>
      <w:r w:rsidRPr="00A81848">
        <w:rPr>
          <w:szCs w:val="24"/>
        </w:rPr>
        <w:tab/>
      </w:r>
      <w:r w:rsidRPr="00A81848">
        <w:rPr>
          <w:szCs w:val="24"/>
        </w:rPr>
        <w:tab/>
      </w:r>
      <w:r w:rsidRPr="00A81848">
        <w:rPr>
          <w:szCs w:val="24"/>
        </w:rPr>
        <w:tab/>
      </w:r>
      <w:r w:rsidRPr="00A81848">
        <w:rPr>
          <w:szCs w:val="24"/>
        </w:rPr>
        <w:tab/>
      </w:r>
      <w:r w:rsidR="007B0291">
        <w:rPr>
          <w:szCs w:val="24"/>
        </w:rPr>
        <w:t xml:space="preserve">Acting </w:t>
      </w:r>
      <w:r w:rsidRPr="00A81848">
        <w:rPr>
          <w:szCs w:val="24"/>
        </w:rPr>
        <w:t xml:space="preserve">Chief, </w:t>
      </w:r>
      <w:r w:rsidR="00136407">
        <w:rPr>
          <w:szCs w:val="24"/>
        </w:rPr>
        <w:t>Pricing Policy Division</w:t>
      </w:r>
    </w:p>
    <w:p w:rsidR="00F845EF" w:rsidRPr="00A81848" w:rsidRDefault="00136407">
      <w:pPr>
        <w:pStyle w:val="ParaNum"/>
        <w:numPr>
          <w:ilvl w:val="0"/>
          <w:numId w:val="0"/>
        </w:numPr>
        <w:spacing w:after="0"/>
        <w:rPr>
          <w:szCs w:val="24"/>
        </w:rPr>
      </w:pPr>
      <w:r>
        <w:rPr>
          <w:szCs w:val="24"/>
        </w:rPr>
        <w:tab/>
      </w:r>
      <w:r>
        <w:rPr>
          <w:szCs w:val="24"/>
        </w:rPr>
        <w:tab/>
      </w:r>
      <w:r>
        <w:rPr>
          <w:szCs w:val="24"/>
        </w:rPr>
        <w:tab/>
      </w:r>
      <w:r>
        <w:rPr>
          <w:szCs w:val="24"/>
        </w:rPr>
        <w:tab/>
      </w:r>
      <w:r>
        <w:rPr>
          <w:szCs w:val="24"/>
        </w:rPr>
        <w:tab/>
      </w:r>
      <w:r w:rsidR="00F845EF" w:rsidRPr="00A81848">
        <w:rPr>
          <w:szCs w:val="24"/>
        </w:rPr>
        <w:t>Wireline Competition Bureau</w:t>
      </w:r>
    </w:p>
    <w:p w:rsidR="00701A97" w:rsidRPr="00A81848" w:rsidRDefault="00701A97"/>
    <w:sectPr w:rsidR="00701A97" w:rsidRPr="00A818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48" w:rsidRDefault="00B63248">
      <w:r>
        <w:separator/>
      </w:r>
    </w:p>
  </w:endnote>
  <w:endnote w:type="continuationSeparator" w:id="0">
    <w:p w:rsidR="00B63248" w:rsidRDefault="00B6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42" w:rsidRDefault="007A1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Default="006E1ECD">
    <w:pPr>
      <w:pStyle w:val="Footer"/>
      <w:jc w:val="center"/>
    </w:pPr>
    <w:r>
      <w:rPr>
        <w:rStyle w:val="PageNumber"/>
      </w:rPr>
      <w:fldChar w:fldCharType="begin"/>
    </w:r>
    <w:r>
      <w:rPr>
        <w:rStyle w:val="PageNumber"/>
      </w:rPr>
      <w:instrText xml:space="preserve"> PAGE </w:instrText>
    </w:r>
    <w:r>
      <w:rPr>
        <w:rStyle w:val="PageNumber"/>
      </w:rPr>
      <w:fldChar w:fldCharType="separate"/>
    </w:r>
    <w:r w:rsidR="00EE35B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42" w:rsidRDefault="007A1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48" w:rsidRDefault="00B63248">
      <w:r>
        <w:separator/>
      </w:r>
    </w:p>
  </w:footnote>
  <w:footnote w:type="continuationSeparator" w:id="0">
    <w:p w:rsidR="00B63248" w:rsidRDefault="00B63248">
      <w:pPr>
        <w:rPr>
          <w:sz w:val="20"/>
        </w:rPr>
      </w:pPr>
      <w:r>
        <w:rPr>
          <w:sz w:val="20"/>
        </w:rPr>
        <w:t>______________________________</w:t>
      </w:r>
    </w:p>
    <w:p w:rsidR="00B63248" w:rsidRPr="00325FE7" w:rsidRDefault="00B63248">
      <w:pPr>
        <w:rPr>
          <w:sz w:val="20"/>
        </w:rPr>
      </w:pPr>
      <w:r w:rsidRPr="00325FE7">
        <w:rPr>
          <w:sz w:val="20"/>
        </w:rPr>
        <w:t>(continued from previous page . . . )</w:t>
      </w:r>
    </w:p>
  </w:footnote>
  <w:footnote w:type="continuationNotice" w:id="1">
    <w:p w:rsidR="00B63248" w:rsidRDefault="00B63248" w:rsidP="00325FE7">
      <w:pPr>
        <w:jc w:val="right"/>
      </w:pPr>
      <w:r>
        <w:t>(</w:t>
      </w:r>
      <w:r w:rsidRPr="00325FE7">
        <w:rPr>
          <w:sz w:val="20"/>
        </w:rPr>
        <w:t>continued . . .</w:t>
      </w:r>
      <w:r>
        <w:t xml:space="preserve"> )</w:t>
      </w:r>
    </w:p>
  </w:footnote>
  <w:footnote w:id="2">
    <w:p w:rsidR="006446D7" w:rsidRPr="006446D7" w:rsidRDefault="006446D7" w:rsidP="00C4032E">
      <w:pPr>
        <w:pStyle w:val="FootnoteText"/>
      </w:pPr>
      <w:r>
        <w:rPr>
          <w:rStyle w:val="FootnoteReference"/>
        </w:rPr>
        <w:footnoteRef/>
      </w:r>
      <w:r>
        <w:t xml:space="preserve"> GS Texas Ventures, LLC Tariff F.C.C. No. 1, Application of Tariff</w:t>
      </w:r>
      <w:r w:rsidR="009873B1">
        <w:t xml:space="preserve"> (filed Aug. 25, 2014)</w:t>
      </w:r>
      <w:r w:rsidR="00EA126B">
        <w:t xml:space="preserve"> (Tariff)</w:t>
      </w:r>
      <w:r>
        <w:t xml:space="preserve">; </w:t>
      </w:r>
      <w:r>
        <w:rPr>
          <w:i/>
        </w:rPr>
        <w:t>see</w:t>
      </w:r>
      <w:r>
        <w:t xml:space="preserve"> Letter from Patrick Phipps, QSI Consulting, Inc., to Marlene Dortch, Secretary, Federal Communications Commission, Transmittal No. 1</w:t>
      </w:r>
      <w:r w:rsidR="005E7AF6">
        <w:t xml:space="preserve"> (filed Aug. 25, 2014)</w:t>
      </w:r>
      <w:r w:rsidR="00EA126B">
        <w:t xml:space="preserve"> (Transmittal Letter)</w:t>
      </w:r>
      <w:r w:rsidR="005E7AF6">
        <w:t>.</w:t>
      </w:r>
    </w:p>
  </w:footnote>
  <w:footnote w:id="3">
    <w:p w:rsidR="00EA126B" w:rsidRDefault="00EA126B" w:rsidP="002D3727">
      <w:pPr>
        <w:pStyle w:val="FootnoteText"/>
      </w:pPr>
      <w:r>
        <w:rPr>
          <w:rStyle w:val="FootnoteReference"/>
        </w:rPr>
        <w:footnoteRef/>
      </w:r>
      <w:r>
        <w:t xml:space="preserve"> </w:t>
      </w:r>
      <w:r w:rsidR="00283D70">
        <w:t>Transmittal Letter.</w:t>
      </w:r>
    </w:p>
  </w:footnote>
  <w:footnote w:id="4">
    <w:p w:rsidR="006E61E9" w:rsidRPr="006E61E9" w:rsidRDefault="006E61E9">
      <w:pPr>
        <w:pStyle w:val="FootnoteText"/>
      </w:pPr>
      <w:r>
        <w:rPr>
          <w:rStyle w:val="FootnoteReference"/>
        </w:rPr>
        <w:footnoteRef/>
      </w:r>
      <w:r>
        <w:t xml:space="preserve"> </w:t>
      </w:r>
      <w:r>
        <w:rPr>
          <w:i/>
        </w:rPr>
        <w:t xml:space="preserve">See </w:t>
      </w:r>
      <w:r w:rsidR="00186A47">
        <w:rPr>
          <w:i/>
        </w:rPr>
        <w:t xml:space="preserve">infra </w:t>
      </w:r>
      <w:r w:rsidR="002A64C5">
        <w:t>note 20</w:t>
      </w:r>
      <w:r>
        <w:t>.</w:t>
      </w:r>
    </w:p>
  </w:footnote>
  <w:footnote w:id="5">
    <w:p w:rsidR="009F3F22" w:rsidRDefault="009F3F22" w:rsidP="009775E5">
      <w:pPr>
        <w:pStyle w:val="FootnoteText"/>
      </w:pPr>
      <w:r>
        <w:rPr>
          <w:rStyle w:val="FootnoteReference"/>
        </w:rPr>
        <w:footnoteRef/>
      </w:r>
      <w:r>
        <w:t xml:space="preserve"> </w:t>
      </w:r>
      <w:r w:rsidR="00941119">
        <w:t>47 U.S.C. § 201(b), 208.</w:t>
      </w:r>
    </w:p>
  </w:footnote>
  <w:footnote w:id="6">
    <w:p w:rsidR="00305222" w:rsidRDefault="00305222" w:rsidP="009775E5">
      <w:pPr>
        <w:pStyle w:val="FootnoteText"/>
      </w:pPr>
      <w:r>
        <w:rPr>
          <w:rStyle w:val="FootnoteReference"/>
        </w:rPr>
        <w:footnoteRef/>
      </w:r>
      <w:r>
        <w:t xml:space="preserve"> Transmittal Letter.</w:t>
      </w:r>
    </w:p>
  </w:footnote>
  <w:footnote w:id="7">
    <w:p w:rsidR="00305222" w:rsidRDefault="00305222" w:rsidP="009775E5">
      <w:pPr>
        <w:pStyle w:val="FootnoteText"/>
      </w:pPr>
      <w:r>
        <w:rPr>
          <w:rStyle w:val="FootnoteReference"/>
        </w:rPr>
        <w:footnoteRef/>
      </w:r>
      <w:r>
        <w:t xml:space="preserve"> Petition of Sprint, CenturyLink, and Level 3 to Reject or to Suspend and Investigate (filed Sept. 2, 2014) (Petition).</w:t>
      </w:r>
    </w:p>
  </w:footnote>
  <w:footnote w:id="8">
    <w:p w:rsidR="00305222" w:rsidRPr="000F23AE" w:rsidRDefault="00305222" w:rsidP="009775E5">
      <w:pPr>
        <w:pStyle w:val="ParaNum"/>
        <w:numPr>
          <w:ilvl w:val="0"/>
          <w:numId w:val="0"/>
        </w:numPr>
        <w:rPr>
          <w:b/>
          <w:sz w:val="20"/>
        </w:rPr>
      </w:pPr>
      <w:r w:rsidRPr="000F23AE">
        <w:rPr>
          <w:rStyle w:val="FootnoteReference"/>
        </w:rPr>
        <w:footnoteRef/>
      </w:r>
      <w:r w:rsidRPr="000F23AE">
        <w:rPr>
          <w:sz w:val="20"/>
        </w:rPr>
        <w:t xml:space="preserve"> Petitioners contend that the arbitration provision at issue would “preclude those companies that [GS Texas Ventures] claims are purchasers of services under the tariff . . . from invoking their statutory rights under Title II of the Communications Act” and “seeks to deprive the Commission of its essential role under Sections 201 and 203.”</w:t>
      </w:r>
      <w:r>
        <w:rPr>
          <w:sz w:val="20"/>
        </w:rPr>
        <w:t xml:space="preserve">  Petition at 1.</w:t>
      </w:r>
    </w:p>
  </w:footnote>
  <w:footnote w:id="9">
    <w:p w:rsidR="00305222" w:rsidRPr="00AE2EDE" w:rsidRDefault="00305222" w:rsidP="009775E5">
      <w:pPr>
        <w:pStyle w:val="FootnoteText"/>
      </w:pPr>
      <w:r>
        <w:rPr>
          <w:rStyle w:val="FootnoteReference"/>
        </w:rPr>
        <w:footnoteRef/>
      </w:r>
      <w:r>
        <w:t xml:space="preserve"> </w:t>
      </w:r>
      <w:r>
        <w:rPr>
          <w:i/>
        </w:rPr>
        <w:t>Id.</w:t>
      </w:r>
    </w:p>
  </w:footnote>
  <w:footnote w:id="10">
    <w:p w:rsidR="00796A27" w:rsidRDefault="00796A27" w:rsidP="009775E5">
      <w:pPr>
        <w:pStyle w:val="FootnoteText"/>
      </w:pPr>
      <w:r>
        <w:rPr>
          <w:rStyle w:val="FootnoteReference"/>
        </w:rPr>
        <w:footnoteRef/>
      </w:r>
      <w:r>
        <w:t xml:space="preserve"> Tariff at Section 2.10.4.I.</w:t>
      </w:r>
    </w:p>
  </w:footnote>
  <w:footnote w:id="11">
    <w:p w:rsidR="00230219" w:rsidRDefault="00230219" w:rsidP="009775E5">
      <w:pPr>
        <w:pStyle w:val="FootnoteText"/>
      </w:pPr>
      <w:r>
        <w:rPr>
          <w:rStyle w:val="FootnoteReference"/>
        </w:rPr>
        <w:footnoteRef/>
      </w:r>
      <w:r>
        <w:t xml:space="preserve"> Tariff at Section 2.13.1.B.</w:t>
      </w:r>
    </w:p>
  </w:footnote>
  <w:footnote w:id="12">
    <w:p w:rsidR="006E1ECD" w:rsidRDefault="006E1ECD" w:rsidP="009775E5">
      <w:pPr>
        <w:pStyle w:val="FootnoteText"/>
      </w:pPr>
      <w:r>
        <w:rPr>
          <w:rStyle w:val="FootnoteReference"/>
        </w:rPr>
        <w:footnoteRef/>
      </w:r>
      <w:r>
        <w:t xml:space="preserve"> </w:t>
      </w:r>
      <w:r w:rsidRPr="00047708">
        <w:rPr>
          <w:i/>
        </w:rPr>
        <w:t>Municipal Light Bds. v. FPC</w:t>
      </w:r>
      <w:r>
        <w:t xml:space="preserve">, 450 F.2d 1341, 1346 (D.C. Cir. 1971); </w:t>
      </w:r>
      <w:r w:rsidRPr="00047708">
        <w:rPr>
          <w:i/>
        </w:rPr>
        <w:t>cert denied</w:t>
      </w:r>
      <w:r>
        <w:t xml:space="preserve">, 405 U.S. 989 (1972); </w:t>
      </w:r>
      <w:r w:rsidRPr="00047708">
        <w:rPr>
          <w:i/>
        </w:rPr>
        <w:t>see also</w:t>
      </w:r>
      <w:r>
        <w:t xml:space="preserve"> </w:t>
      </w:r>
      <w:r w:rsidRPr="00047708">
        <w:rPr>
          <w:i/>
        </w:rPr>
        <w:t>Capital Network Sys., Inc. v. FCC</w:t>
      </w:r>
      <w:r>
        <w:t xml:space="preserve">, 28 F.3d 201, 204 (D.C. Cir. 1994); </w:t>
      </w:r>
      <w:r w:rsidRPr="00047708">
        <w:rPr>
          <w:i/>
        </w:rPr>
        <w:t xml:space="preserve">American Broadcasting Cos. </w:t>
      </w:r>
      <w:r>
        <w:rPr>
          <w:i/>
        </w:rPr>
        <w:t>v</w:t>
      </w:r>
      <w:r w:rsidRPr="00047708">
        <w:rPr>
          <w:i/>
        </w:rPr>
        <w:t>. FCC</w:t>
      </w:r>
      <w:r>
        <w:t xml:space="preserve">, 663 F.2d 133, 138 (D.C. Cir. 1980). </w:t>
      </w:r>
    </w:p>
  </w:footnote>
  <w:footnote w:id="13">
    <w:p w:rsidR="006E1ECD" w:rsidRDefault="006E1ECD" w:rsidP="009775E5">
      <w:pPr>
        <w:pStyle w:val="FootnoteText"/>
      </w:pPr>
      <w:r>
        <w:rPr>
          <w:rStyle w:val="FootnoteReference"/>
        </w:rPr>
        <w:footnoteRef/>
      </w:r>
      <w:r>
        <w:t xml:space="preserve"> </w:t>
      </w:r>
      <w:r w:rsidRPr="00047708">
        <w:rPr>
          <w:i/>
        </w:rPr>
        <w:t>Associated Press v. FCC</w:t>
      </w:r>
      <w:r>
        <w:t>, 448 F.2d 1095, 1103 (D.C. Cir. 1971).</w:t>
      </w:r>
    </w:p>
  </w:footnote>
  <w:footnote w:id="14">
    <w:p w:rsidR="000764C6" w:rsidRDefault="000764C6">
      <w:pPr>
        <w:pStyle w:val="FootnoteText"/>
      </w:pPr>
      <w:r>
        <w:rPr>
          <w:rStyle w:val="FootnoteReference"/>
        </w:rPr>
        <w:footnoteRef/>
      </w:r>
      <w:r>
        <w:t xml:space="preserve"> 47 U.S.C. § 204.</w:t>
      </w:r>
    </w:p>
  </w:footnote>
  <w:footnote w:id="15">
    <w:p w:rsidR="00C65017" w:rsidRDefault="00C65017" w:rsidP="009775E5">
      <w:pPr>
        <w:pStyle w:val="FootnoteText"/>
      </w:pPr>
      <w:r>
        <w:rPr>
          <w:rStyle w:val="FootnoteReference"/>
        </w:rPr>
        <w:footnoteRef/>
      </w:r>
      <w:r>
        <w:t xml:space="preserve"> </w:t>
      </w:r>
      <w:r w:rsidR="002F3E2E">
        <w:t>47 U.S.C. § 201(b).</w:t>
      </w:r>
    </w:p>
  </w:footnote>
  <w:footnote w:id="16">
    <w:p w:rsidR="00897B8C" w:rsidRDefault="00897B8C" w:rsidP="009775E5">
      <w:pPr>
        <w:pStyle w:val="FootnoteText"/>
      </w:pPr>
      <w:r>
        <w:rPr>
          <w:rStyle w:val="FootnoteReference"/>
        </w:rPr>
        <w:footnoteRef/>
      </w:r>
      <w:r>
        <w:t xml:space="preserve"> 47 U.S.C. § 208(a).</w:t>
      </w:r>
    </w:p>
  </w:footnote>
  <w:footnote w:id="17">
    <w:p w:rsidR="001D42B9" w:rsidRPr="001D42B9" w:rsidRDefault="001D42B9" w:rsidP="009775E5">
      <w:pPr>
        <w:pStyle w:val="FootnoteText"/>
        <w:rPr>
          <w:i/>
        </w:rPr>
      </w:pPr>
      <w:r>
        <w:rPr>
          <w:rStyle w:val="FootnoteReference"/>
        </w:rPr>
        <w:footnoteRef/>
      </w:r>
      <w:r w:rsidR="002F1DEC">
        <w:t xml:space="preserve"> </w:t>
      </w:r>
      <w:r w:rsidR="002F1DEC">
        <w:rPr>
          <w:i/>
        </w:rPr>
        <w:t>See, e</w:t>
      </w:r>
      <w:r>
        <w:rPr>
          <w:i/>
        </w:rPr>
        <w:t>.g.</w:t>
      </w:r>
      <w:r>
        <w:t xml:space="preserve">, </w:t>
      </w:r>
      <w:r w:rsidRPr="00065AE4">
        <w:rPr>
          <w:i/>
        </w:rPr>
        <w:t>Bell Atlantic Telephone Companies Tariff F.C.C. No. 1 Application for Review</w:t>
      </w:r>
      <w:r>
        <w:t>, Transmittal Nos. 185 and 204, Memorandum Opinion and Order, 8 FCC Rcd 2732, 2733 n.8 (1993).</w:t>
      </w:r>
    </w:p>
  </w:footnote>
  <w:footnote w:id="18">
    <w:p w:rsidR="008C4613" w:rsidRPr="008C4613" w:rsidRDefault="008C4613" w:rsidP="009775E5">
      <w:pPr>
        <w:pStyle w:val="FootnoteText"/>
        <w:rPr>
          <w:i/>
        </w:rPr>
      </w:pPr>
      <w:r>
        <w:rPr>
          <w:rStyle w:val="FootnoteReference"/>
        </w:rPr>
        <w:footnoteRef/>
      </w:r>
      <w:r>
        <w:t xml:space="preserve"> </w:t>
      </w:r>
      <w:r>
        <w:rPr>
          <w:i/>
        </w:rPr>
        <w:t xml:space="preserve">See </w:t>
      </w:r>
      <w:r w:rsidRPr="00065AE4">
        <w:rPr>
          <w:i/>
        </w:rPr>
        <w:t>Implementation of Section 402(b)(1)(A) of the Telecommunications Act of 1996</w:t>
      </w:r>
      <w:r>
        <w:t>, Order, CC Docket No. 96-187, 12 FCC Rcd 2170, 2175-76, 2180-84, paras. 18-23 (1997).</w:t>
      </w:r>
    </w:p>
  </w:footnote>
  <w:footnote w:id="19">
    <w:p w:rsidR="00DC3058" w:rsidRDefault="00DC3058" w:rsidP="009775E5">
      <w:pPr>
        <w:pStyle w:val="FootnoteText"/>
      </w:pPr>
      <w:r>
        <w:rPr>
          <w:rStyle w:val="FootnoteReference"/>
        </w:rPr>
        <w:footnoteRef/>
      </w:r>
      <w:r>
        <w:t xml:space="preserve"> </w:t>
      </w:r>
      <w:r>
        <w:rPr>
          <w:i/>
        </w:rPr>
        <w:t xml:space="preserve">See </w:t>
      </w:r>
      <w:r>
        <w:t>Tariff at Section 2.10.4.I.</w:t>
      </w:r>
    </w:p>
  </w:footnote>
  <w:footnote w:id="20">
    <w:p w:rsidR="00497E92" w:rsidRDefault="00497E92" w:rsidP="00E8142F">
      <w:pPr>
        <w:pStyle w:val="FootnoteText"/>
      </w:pPr>
      <w:r>
        <w:rPr>
          <w:rStyle w:val="FootnoteReference"/>
        </w:rPr>
        <w:footnoteRef/>
      </w:r>
      <w:r>
        <w:t xml:space="preserve"> Tariffs that are lawful at the time that they are filed may subsequently become unlawful based on particular circumstances.  </w:t>
      </w:r>
      <w:r w:rsidR="00390D40">
        <w:t xml:space="preserve">For example, as the Petitioners </w:t>
      </w:r>
      <w:r w:rsidR="00114DB3">
        <w:t xml:space="preserve">observe, the tariff </w:t>
      </w:r>
      <w:r w:rsidR="00403F1B">
        <w:t xml:space="preserve">filings </w:t>
      </w:r>
      <w:r w:rsidR="00114DB3">
        <w:t xml:space="preserve">of a competitive local exchange carrier (CLEC) </w:t>
      </w:r>
      <w:r w:rsidR="00403F1B">
        <w:t xml:space="preserve">could become void if the CLEC </w:t>
      </w:r>
      <w:r w:rsidR="00114DB3">
        <w:t>engages in access stimulation and exceeds the benchmarked rate</w:t>
      </w:r>
      <w:r w:rsidR="00403F1B">
        <w:t xml:space="preserve">.  Petition at 5, 7; </w:t>
      </w:r>
      <w:r w:rsidR="00403F1B">
        <w:rPr>
          <w:i/>
        </w:rPr>
        <w:t>see</w:t>
      </w:r>
      <w:r w:rsidR="00114DB3">
        <w:t xml:space="preserve"> </w:t>
      </w:r>
      <w:r w:rsidR="00403F1B">
        <w:t>47 C.F.R. § 61.26(g).</w:t>
      </w:r>
    </w:p>
  </w:footnote>
  <w:footnote w:id="21">
    <w:p w:rsidR="00802BD7" w:rsidRPr="00F67BFA" w:rsidRDefault="00802BD7" w:rsidP="00C4032E">
      <w:pPr>
        <w:pStyle w:val="FootnoteText"/>
      </w:pPr>
      <w:r>
        <w:rPr>
          <w:rStyle w:val="FootnoteReference"/>
        </w:rPr>
        <w:footnoteRef/>
      </w:r>
      <w:r>
        <w:t xml:space="preserve"> </w:t>
      </w:r>
      <w:r>
        <w:rPr>
          <w:i/>
        </w:rPr>
        <w:t xml:space="preserve">Rural Call </w:t>
      </w:r>
      <w:r w:rsidRPr="002561EE">
        <w:rPr>
          <w:i/>
        </w:rPr>
        <w:t>Completion</w:t>
      </w:r>
      <w:r>
        <w:t xml:space="preserve">, WC Docket No. 13-39, Report and Order and Further Notice of Proposed Rulemaking, 28 FCC Rcd 16154, </w:t>
      </w:r>
      <w:r w:rsidR="00C710FE">
        <w:t xml:space="preserve">16155-56, </w:t>
      </w:r>
      <w:r>
        <w:t xml:space="preserve">16169, </w:t>
      </w:r>
      <w:r w:rsidRPr="002561EE">
        <w:t>Para</w:t>
      </w:r>
      <w:r w:rsidR="00C710FE">
        <w:t>s</w:t>
      </w:r>
      <w:r>
        <w:t xml:space="preserve">. </w:t>
      </w:r>
      <w:r w:rsidR="00C710FE">
        <w:t xml:space="preserve">3, </w:t>
      </w:r>
      <w:r>
        <w:t>29 (2013)</w:t>
      </w:r>
      <w:r w:rsidR="00760030">
        <w:t xml:space="preserve"> (Rural Call Completion Order)</w:t>
      </w:r>
      <w:r w:rsidR="00F67BFA">
        <w:t xml:space="preserve">; </w:t>
      </w:r>
      <w:r w:rsidR="00F67BFA">
        <w:rPr>
          <w:i/>
        </w:rPr>
        <w:t>Developing an Unified Intercarrier Compensation Regime</w:t>
      </w:r>
      <w:r w:rsidR="00F67BFA">
        <w:t xml:space="preserve">, CC Docket No. 01-92; </w:t>
      </w:r>
      <w:r w:rsidR="00F67BFA">
        <w:rPr>
          <w:i/>
        </w:rPr>
        <w:t>Establishing Just and Reasonable Rates for Local Exchange Carriers</w:t>
      </w:r>
      <w:r w:rsidR="00F67BFA">
        <w:t>, WC Docket No. 07-135, Declaratory Ruling, 27 FCC Rcd 1351 (Wireline Comp. Bur. 2012)</w:t>
      </w:r>
      <w:r w:rsidR="00760030">
        <w:t xml:space="preserve"> </w:t>
      </w:r>
      <w:r w:rsidR="00DC3058">
        <w:t xml:space="preserve">(noting that </w:t>
      </w:r>
      <w:r w:rsidR="00DC3058">
        <w:rPr>
          <w:rStyle w:val="documentbody"/>
        </w:rPr>
        <w:t>it may be a violation of section 202 to provide discriminatory service with respect to calls placed to rural areas)</w:t>
      </w:r>
      <w:r w:rsidR="00DC3058">
        <w:t xml:space="preserve"> </w:t>
      </w:r>
      <w:r w:rsidR="00760030">
        <w:t>(2012 Declaratory Ruling)</w:t>
      </w:r>
      <w:r w:rsidR="00F67BFA">
        <w:t xml:space="preserve">; </w:t>
      </w:r>
      <w:r w:rsidR="001D1F62">
        <w:rPr>
          <w:szCs w:val="22"/>
        </w:rPr>
        <w:t xml:space="preserve">Connect America Fund </w:t>
      </w:r>
      <w:r w:rsidR="001D1F62">
        <w:rPr>
          <w:i/>
          <w:szCs w:val="22"/>
        </w:rPr>
        <w:t>et al.</w:t>
      </w:r>
      <w:r w:rsidR="001D1F62">
        <w:rPr>
          <w:szCs w:val="22"/>
        </w:rPr>
        <w:t>, WC Docket No. 10-90 et al., Report and Order and Further Notice of Proposed Rulemaking, 26 FCC Rcd 17663, 18028-29, para. 973 (2011) (</w:t>
      </w:r>
      <w:r w:rsidR="001D1F62">
        <w:rPr>
          <w:i/>
          <w:szCs w:val="22"/>
        </w:rPr>
        <w:t>USF/ICC Transformation Order</w:t>
      </w:r>
      <w:r w:rsidR="001D1F62">
        <w:rPr>
          <w:szCs w:val="22"/>
        </w:rPr>
        <w:t xml:space="preserve">), </w:t>
      </w:r>
      <w:r w:rsidR="001D1F62">
        <w:rPr>
          <w:i/>
          <w:szCs w:val="22"/>
        </w:rPr>
        <w:t>pets. For review denied sub nom.</w:t>
      </w:r>
      <w:r w:rsidR="001D1F62">
        <w:rPr>
          <w:szCs w:val="22"/>
        </w:rPr>
        <w:t xml:space="preserve"> </w:t>
      </w:r>
      <w:r w:rsidR="001D1F62">
        <w:rPr>
          <w:i/>
          <w:szCs w:val="22"/>
        </w:rPr>
        <w:t>In re FCC 11-161</w:t>
      </w:r>
      <w:r w:rsidR="001D1F62">
        <w:rPr>
          <w:szCs w:val="22"/>
        </w:rPr>
        <w:t>, 753 F.3d 1015 (10</w:t>
      </w:r>
      <w:r w:rsidR="001D1F62" w:rsidRPr="00F67BFA">
        <w:rPr>
          <w:szCs w:val="22"/>
        </w:rPr>
        <w:t>th</w:t>
      </w:r>
      <w:r w:rsidR="001D1F62">
        <w:rPr>
          <w:szCs w:val="22"/>
        </w:rPr>
        <w:t xml:space="preserve"> Cir. May 23, 2014); </w:t>
      </w:r>
      <w:r w:rsidR="00F67BFA">
        <w:rPr>
          <w:i/>
        </w:rPr>
        <w:t>Establishing Just and Reasonable Rates for Local Exchange Carriers</w:t>
      </w:r>
      <w:r w:rsidR="00F67BFA">
        <w:t>, WC Docket No. 07-135, Declaratory Ruling, 22 FCC Rcd 11629 (Wireline Comp. Bur. 2007)</w:t>
      </w:r>
      <w:r w:rsidR="00760030">
        <w:t xml:space="preserve"> (2007 Declaratory Ruling)</w:t>
      </w:r>
      <w:r w:rsidR="00F67BFA">
        <w:t xml:space="preserve">.  </w:t>
      </w:r>
    </w:p>
  </w:footnote>
  <w:footnote w:id="22">
    <w:p w:rsidR="002561EE" w:rsidRPr="00F67BFA" w:rsidRDefault="002561EE" w:rsidP="002D3727">
      <w:pPr>
        <w:pStyle w:val="FootnoteText"/>
      </w:pPr>
      <w:r>
        <w:rPr>
          <w:rStyle w:val="FootnoteReference"/>
        </w:rPr>
        <w:footnoteRef/>
      </w:r>
      <w:r>
        <w:t xml:space="preserve"> </w:t>
      </w:r>
      <w:r w:rsidR="0035408E">
        <w:rPr>
          <w:i/>
        </w:rPr>
        <w:t>Rural Call Completion Order</w:t>
      </w:r>
      <w:r w:rsidR="00523DA2">
        <w:t>, 28 FCC Rcd at 16169, para. 29</w:t>
      </w:r>
      <w:r w:rsidR="0035408E">
        <w:t xml:space="preserve">; </w:t>
      </w:r>
      <w:r w:rsidR="0035408E">
        <w:rPr>
          <w:i/>
        </w:rPr>
        <w:t>2012 Declaratory Ruling</w:t>
      </w:r>
      <w:r w:rsidR="00523DA2">
        <w:t>, 27 FCC Rcd at 1352, para</w:t>
      </w:r>
      <w:r w:rsidR="0078540E">
        <w:t>s</w:t>
      </w:r>
      <w:r w:rsidR="00523DA2">
        <w:t xml:space="preserve">. </w:t>
      </w:r>
      <w:r w:rsidR="007C50F5">
        <w:t>3-</w:t>
      </w:r>
      <w:r w:rsidR="00523DA2">
        <w:t>4</w:t>
      </w:r>
      <w:r w:rsidR="0035408E">
        <w:t xml:space="preserve">; </w:t>
      </w:r>
      <w:r w:rsidR="0035408E">
        <w:rPr>
          <w:i/>
        </w:rPr>
        <w:t>2007 Declaratory Ruling</w:t>
      </w:r>
      <w:r w:rsidR="007C50F5">
        <w:t>, 22 FCC Rcd at 11631-32, paras. 6-7</w:t>
      </w:r>
      <w:r w:rsidR="0035408E">
        <w:t>.</w:t>
      </w:r>
      <w:r w:rsidR="00F67BFA">
        <w:t xml:space="preserve">  In the </w:t>
      </w:r>
      <w:r w:rsidR="00F67BFA">
        <w:rPr>
          <w:i/>
        </w:rPr>
        <w:t>USF/ICC Transformation Order</w:t>
      </w:r>
      <w:r w:rsidR="00F67BFA">
        <w:t xml:space="preserve">, the Commission extended its </w:t>
      </w:r>
      <w:r w:rsidR="00F67BFA" w:rsidRPr="005577AD">
        <w:rPr>
          <w:szCs w:val="22"/>
        </w:rPr>
        <w:t>longstanding prohibition on call blocking to providers of interconnected and one-way VoIP service.</w:t>
      </w:r>
      <w:r w:rsidR="00F67BFA">
        <w:rPr>
          <w:szCs w:val="22"/>
        </w:rPr>
        <w:t xml:space="preserve">  </w:t>
      </w:r>
      <w:r w:rsidR="001D1F62" w:rsidRPr="00323350">
        <w:rPr>
          <w:i/>
          <w:szCs w:val="22"/>
        </w:rPr>
        <w:t>USF/ICC Transformation Order</w:t>
      </w:r>
      <w:r w:rsidR="001D1F62">
        <w:rPr>
          <w:szCs w:val="22"/>
        </w:rPr>
        <w:t xml:space="preserve">, </w:t>
      </w:r>
      <w:r w:rsidR="00C846C8">
        <w:rPr>
          <w:szCs w:val="22"/>
        </w:rPr>
        <w:t xml:space="preserve">26 FCC </w:t>
      </w:r>
      <w:r w:rsidR="001D1F62">
        <w:rPr>
          <w:szCs w:val="22"/>
        </w:rPr>
        <w:t>Rcd at</w:t>
      </w:r>
      <w:r w:rsidR="00C846C8">
        <w:rPr>
          <w:szCs w:val="22"/>
        </w:rPr>
        <w:t xml:space="preserve"> 18028-29</w:t>
      </w:r>
      <w:r w:rsidR="00F67BFA">
        <w:rPr>
          <w:szCs w:val="22"/>
        </w:rPr>
        <w:t>, paras.</w:t>
      </w:r>
      <w:r w:rsidR="00C846C8">
        <w:rPr>
          <w:szCs w:val="22"/>
        </w:rPr>
        <w:t xml:space="preserve"> 973-74</w:t>
      </w:r>
      <w:r w:rsidR="001D1F62">
        <w:rPr>
          <w:szCs w:val="22"/>
        </w:rPr>
        <w:t>.</w:t>
      </w:r>
    </w:p>
  </w:footnote>
  <w:footnote w:id="23">
    <w:p w:rsidR="00DC3058" w:rsidRDefault="00DC3058">
      <w:pPr>
        <w:pStyle w:val="FootnoteText"/>
      </w:pPr>
      <w:r>
        <w:rPr>
          <w:rStyle w:val="FootnoteReference"/>
        </w:rPr>
        <w:footnoteRef/>
      </w:r>
      <w:r>
        <w:t xml:space="preserve"> </w:t>
      </w:r>
      <w:r>
        <w:rPr>
          <w:i/>
        </w:rPr>
        <w:t xml:space="preserve">See </w:t>
      </w:r>
      <w:r>
        <w:t>Tariff at Section 2.13.1.B.</w:t>
      </w:r>
    </w:p>
  </w:footnote>
  <w:footnote w:id="24">
    <w:p w:rsidR="008E2B91" w:rsidRDefault="008E2B91">
      <w:pPr>
        <w:pStyle w:val="FootnoteText"/>
      </w:pPr>
      <w:r>
        <w:rPr>
          <w:rStyle w:val="FootnoteReference"/>
        </w:rPr>
        <w:footnoteRef/>
      </w:r>
      <w:r>
        <w:t xml:space="preserve"> While there may be ambiguity in how purchasers would apply the language of Section 2.10.4.I</w:t>
      </w:r>
      <w:r w:rsidR="002C1234">
        <w:t xml:space="preserve"> to avoid constructive ordering, we find that</w:t>
      </w:r>
      <w:r w:rsidR="00254276">
        <w:t>, on its face,</w:t>
      </w:r>
      <w:r w:rsidR="002C1234">
        <w:t xml:space="preserve"> the call blocking language in Section 2.10.4.I is unambiguous</w:t>
      </w:r>
      <w:r w:rsidR="00B60CB0">
        <w:t xml:space="preserve"> and therefore unlawful</w:t>
      </w:r>
      <w:r w:rsidR="002C1234">
        <w:t>.</w:t>
      </w:r>
    </w:p>
  </w:footnote>
  <w:footnote w:id="25">
    <w:p w:rsidR="00ED34B3" w:rsidRPr="003E233A" w:rsidRDefault="00ED34B3">
      <w:pPr>
        <w:pStyle w:val="FootnoteText"/>
      </w:pPr>
      <w:r>
        <w:rPr>
          <w:rStyle w:val="FootnoteReference"/>
        </w:rPr>
        <w:footnoteRef/>
      </w:r>
      <w:r>
        <w:t xml:space="preserve"> </w:t>
      </w:r>
      <w:r>
        <w:rPr>
          <w:i/>
        </w:rPr>
        <w:t>Policies and Rules Concerning Operator Services</w:t>
      </w:r>
      <w:r w:rsidR="00BC254D">
        <w:rPr>
          <w:i/>
        </w:rPr>
        <w:t>; Amendment of Policies and Rules Concerning Operator Service Providers and Aggregators; Petition for Declaratory Ruling of Securus Technologies, Inc.</w:t>
      </w:r>
      <w:r>
        <w:t xml:space="preserve">, </w:t>
      </w:r>
      <w:r w:rsidR="00D90DA9">
        <w:t xml:space="preserve">CC Docket Nos. 90-313 and 94-158, WC Docket No. 09-144, Declaratory Ruling and Order, 28 FCC Rcd 13913, 13917, </w:t>
      </w:r>
      <w:r>
        <w:t>para. 9 &amp; n.33</w:t>
      </w:r>
      <w:r w:rsidR="00D90DA9">
        <w:t xml:space="preserve"> (Wireline Comp. Bur. 2013) (noting that, for example, </w:t>
      </w:r>
      <w:r w:rsidR="00D90DA9">
        <w:rPr>
          <w:rStyle w:val="documentbody"/>
        </w:rPr>
        <w:t xml:space="preserve">the Commission </w:t>
      </w:r>
      <w:r w:rsidR="00291F0D">
        <w:rPr>
          <w:rStyle w:val="documentbody"/>
        </w:rPr>
        <w:t xml:space="preserve">previously </w:t>
      </w:r>
      <w:r w:rsidR="00D90DA9">
        <w:rPr>
          <w:rStyle w:val="documentbody"/>
        </w:rPr>
        <w:t>concluded that it was reasonable for AT&amp;T to block calls to a chat line that was engaged in an arbitrage scheme with a competitive access provider to artificially inflate the access fees charged to AT&amp;T).</w:t>
      </w:r>
      <w:r w:rsidR="003E233A">
        <w:rPr>
          <w:rStyle w:val="documentbody"/>
        </w:rPr>
        <w:t xml:space="preserve">  Additionally, the prohibition on call blocking has “no effect on the right of individual end users to choose to block incoming calls from unwanted callers.”  </w:t>
      </w:r>
      <w:r w:rsidR="003E233A">
        <w:rPr>
          <w:rStyle w:val="documentbody"/>
          <w:i/>
        </w:rPr>
        <w:t>2007 Declaratory Ruling</w:t>
      </w:r>
      <w:r w:rsidR="003E233A">
        <w:rPr>
          <w:rStyle w:val="documentbody"/>
        </w:rPr>
        <w:t>, 22 FCC Rcd at 11632 n.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42" w:rsidRDefault="007A1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pPr>
      <w:pStyle w:val="Header"/>
      <w:rPr>
        <w:b w:val="0"/>
        <w:szCs w:val="24"/>
      </w:rPr>
    </w:pPr>
    <w:r w:rsidRPr="00CA6FDE">
      <w:rPr>
        <w:sz w:val="24"/>
        <w:szCs w:val="24"/>
      </w:rPr>
      <w:tab/>
    </w:r>
    <w:r w:rsidRPr="00A81848">
      <w:rPr>
        <w:szCs w:val="24"/>
      </w:rPr>
      <w:t>Federal Communications Commission</w:t>
    </w:r>
    <w:r w:rsidRPr="00A81848">
      <w:rPr>
        <w:szCs w:val="24"/>
      </w:rPr>
      <w:tab/>
      <w:t xml:space="preserve">DA </w:t>
    </w:r>
    <w:r w:rsidR="00267F7D">
      <w:rPr>
        <w:szCs w:val="24"/>
      </w:rPr>
      <w:t>14-</w:t>
    </w:r>
    <w:r w:rsidR="007F1AFD">
      <w:rPr>
        <w:szCs w:val="24"/>
      </w:rPr>
      <w:t>1294</w:t>
    </w:r>
    <w:r w:rsidRPr="00A81848">
      <w:rPr>
        <w:szCs w:val="24"/>
      </w:rPr>
      <w:t xml:space="preserve"> </w:t>
    </w:r>
  </w:p>
  <w:p w:rsidR="006E1ECD" w:rsidRDefault="00C645BA">
    <w:pPr>
      <w:pStyle w:val="Header"/>
    </w:pPr>
    <w:r>
      <w:rPr>
        <w:noProof/>
      </w:rPr>
      <mc:AlternateContent>
        <mc:Choice Requires="wps">
          <w:drawing>
            <wp:anchor distT="0" distB="0" distL="114300" distR="114300" simplePos="0" relativeHeight="251658240" behindDoc="0" locked="0" layoutInCell="0" allowOverlap="1" wp14:anchorId="372CEA8B" wp14:editId="512EAD3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E1ECD" w:rsidRDefault="006E1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D" w:rsidRPr="00A81848" w:rsidRDefault="006E1ECD" w:rsidP="00CC190D">
    <w:pPr>
      <w:pStyle w:val="Header"/>
      <w:rPr>
        <w:b w:val="0"/>
        <w:szCs w:val="24"/>
      </w:rPr>
    </w:pPr>
    <w:r w:rsidRPr="00B12E9C">
      <w:rPr>
        <w:sz w:val="24"/>
        <w:szCs w:val="24"/>
      </w:rPr>
      <w:tab/>
    </w:r>
    <w:r w:rsidRPr="00A81848">
      <w:rPr>
        <w:szCs w:val="24"/>
      </w:rPr>
      <w:t>Federal Communications Commission</w:t>
    </w:r>
    <w:r>
      <w:rPr>
        <w:szCs w:val="24"/>
      </w:rPr>
      <w:tab/>
      <w:t xml:space="preserve">DA </w:t>
    </w:r>
    <w:r w:rsidR="00267F7D">
      <w:rPr>
        <w:szCs w:val="24"/>
      </w:rPr>
      <w:t>14-</w:t>
    </w:r>
    <w:r w:rsidR="009629E9">
      <w:rPr>
        <w:szCs w:val="24"/>
      </w:rPr>
      <w:t>1294</w:t>
    </w:r>
  </w:p>
  <w:p w:rsidR="006E1ECD" w:rsidRDefault="00C645BA">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5"/>
  </w:num>
  <w:num w:numId="3">
    <w:abstractNumId w:val="3"/>
  </w:num>
  <w:num w:numId="4">
    <w:abstractNumId w:val="0"/>
  </w:num>
  <w:num w:numId="5">
    <w:abstractNumId w:val="5"/>
  </w:num>
  <w:num w:numId="6">
    <w:abstractNumId w:val="5"/>
  </w:num>
  <w:num w:numId="7">
    <w:abstractNumId w:val="5"/>
    <w:lvlOverride w:ilvl="0">
      <w:startOverride w:val="1"/>
    </w:lvlOverride>
  </w:num>
  <w:num w:numId="8">
    <w:abstractNumId w:val="5"/>
  </w:num>
  <w:num w:numId="9">
    <w:abstractNumId w:val="5"/>
    <w:lvlOverride w:ilvl="0">
      <w:startOverride w:val="1"/>
    </w:lvlOverride>
  </w:num>
  <w:num w:numId="10">
    <w:abstractNumId w:val="2"/>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312F"/>
    <w:rsid w:val="00003807"/>
    <w:rsid w:val="00011754"/>
    <w:rsid w:val="00020FC8"/>
    <w:rsid w:val="00033188"/>
    <w:rsid w:val="00047708"/>
    <w:rsid w:val="00063493"/>
    <w:rsid w:val="000652E6"/>
    <w:rsid w:val="00065AE4"/>
    <w:rsid w:val="000764C6"/>
    <w:rsid w:val="00077F20"/>
    <w:rsid w:val="00083006"/>
    <w:rsid w:val="00083A82"/>
    <w:rsid w:val="00085533"/>
    <w:rsid w:val="000877E9"/>
    <w:rsid w:val="00096387"/>
    <w:rsid w:val="000B37FB"/>
    <w:rsid w:val="000E08A6"/>
    <w:rsid w:val="000E48FE"/>
    <w:rsid w:val="000F23AE"/>
    <w:rsid w:val="000F4189"/>
    <w:rsid w:val="00113175"/>
    <w:rsid w:val="00114DB3"/>
    <w:rsid w:val="0011636D"/>
    <w:rsid w:val="00133E6F"/>
    <w:rsid w:val="00136407"/>
    <w:rsid w:val="00141655"/>
    <w:rsid w:val="00146303"/>
    <w:rsid w:val="00186A47"/>
    <w:rsid w:val="0019383C"/>
    <w:rsid w:val="00195076"/>
    <w:rsid w:val="001A04DB"/>
    <w:rsid w:val="001B12D3"/>
    <w:rsid w:val="001B2E20"/>
    <w:rsid w:val="001B6E15"/>
    <w:rsid w:val="001D052E"/>
    <w:rsid w:val="001D0FDB"/>
    <w:rsid w:val="001D1F62"/>
    <w:rsid w:val="001D2F5A"/>
    <w:rsid w:val="001D338C"/>
    <w:rsid w:val="001D42B9"/>
    <w:rsid w:val="001D73CD"/>
    <w:rsid w:val="001D7AD5"/>
    <w:rsid w:val="001E6F20"/>
    <w:rsid w:val="001F0624"/>
    <w:rsid w:val="00210EAD"/>
    <w:rsid w:val="00230219"/>
    <w:rsid w:val="00236559"/>
    <w:rsid w:val="00244D48"/>
    <w:rsid w:val="00253C52"/>
    <w:rsid w:val="00254276"/>
    <w:rsid w:val="00254F99"/>
    <w:rsid w:val="002561EE"/>
    <w:rsid w:val="002604F5"/>
    <w:rsid w:val="00260925"/>
    <w:rsid w:val="002637FD"/>
    <w:rsid w:val="00264E72"/>
    <w:rsid w:val="00267F7D"/>
    <w:rsid w:val="00271795"/>
    <w:rsid w:val="002763AF"/>
    <w:rsid w:val="00283D70"/>
    <w:rsid w:val="00291184"/>
    <w:rsid w:val="00291F0D"/>
    <w:rsid w:val="002A06F5"/>
    <w:rsid w:val="002A64C5"/>
    <w:rsid w:val="002B0750"/>
    <w:rsid w:val="002C1234"/>
    <w:rsid w:val="002C214F"/>
    <w:rsid w:val="002C4232"/>
    <w:rsid w:val="002C5F76"/>
    <w:rsid w:val="002D3727"/>
    <w:rsid w:val="002E0E30"/>
    <w:rsid w:val="002E5AFB"/>
    <w:rsid w:val="002F1DEC"/>
    <w:rsid w:val="002F240F"/>
    <w:rsid w:val="002F3E2E"/>
    <w:rsid w:val="002F6D3C"/>
    <w:rsid w:val="00305222"/>
    <w:rsid w:val="0031531C"/>
    <w:rsid w:val="00323350"/>
    <w:rsid w:val="00325FE7"/>
    <w:rsid w:val="0033026F"/>
    <w:rsid w:val="0035408E"/>
    <w:rsid w:val="0036406D"/>
    <w:rsid w:val="00390D40"/>
    <w:rsid w:val="003940DD"/>
    <w:rsid w:val="003A1EB8"/>
    <w:rsid w:val="003A3840"/>
    <w:rsid w:val="003A68B9"/>
    <w:rsid w:val="003B7494"/>
    <w:rsid w:val="003B7902"/>
    <w:rsid w:val="003C6230"/>
    <w:rsid w:val="003D0408"/>
    <w:rsid w:val="003D3186"/>
    <w:rsid w:val="003D66F7"/>
    <w:rsid w:val="003E233A"/>
    <w:rsid w:val="00403076"/>
    <w:rsid w:val="00403F1B"/>
    <w:rsid w:val="0040603B"/>
    <w:rsid w:val="00423B8B"/>
    <w:rsid w:val="00431A34"/>
    <w:rsid w:val="00433790"/>
    <w:rsid w:val="00444020"/>
    <w:rsid w:val="00450EBC"/>
    <w:rsid w:val="00456EC4"/>
    <w:rsid w:val="00461DA9"/>
    <w:rsid w:val="00471517"/>
    <w:rsid w:val="00492D6E"/>
    <w:rsid w:val="004940AD"/>
    <w:rsid w:val="00497E92"/>
    <w:rsid w:val="004A13AB"/>
    <w:rsid w:val="004A3C42"/>
    <w:rsid w:val="004B1954"/>
    <w:rsid w:val="004D494F"/>
    <w:rsid w:val="004F2F46"/>
    <w:rsid w:val="004F6D5E"/>
    <w:rsid w:val="00503980"/>
    <w:rsid w:val="00504552"/>
    <w:rsid w:val="00504D2C"/>
    <w:rsid w:val="0052119E"/>
    <w:rsid w:val="00523DA2"/>
    <w:rsid w:val="005242CA"/>
    <w:rsid w:val="00540E7C"/>
    <w:rsid w:val="00543E90"/>
    <w:rsid w:val="00545DC1"/>
    <w:rsid w:val="00547BC7"/>
    <w:rsid w:val="00550487"/>
    <w:rsid w:val="00550D3E"/>
    <w:rsid w:val="00552593"/>
    <w:rsid w:val="00553C75"/>
    <w:rsid w:val="00554EA8"/>
    <w:rsid w:val="00561AC4"/>
    <w:rsid w:val="0056259C"/>
    <w:rsid w:val="0056518C"/>
    <w:rsid w:val="005662CA"/>
    <w:rsid w:val="00573D5C"/>
    <w:rsid w:val="005A571D"/>
    <w:rsid w:val="005C25CF"/>
    <w:rsid w:val="005C694B"/>
    <w:rsid w:val="005C6BC3"/>
    <w:rsid w:val="005D75CA"/>
    <w:rsid w:val="005E4A08"/>
    <w:rsid w:val="005E7AF6"/>
    <w:rsid w:val="005F484C"/>
    <w:rsid w:val="005F7E35"/>
    <w:rsid w:val="0060371A"/>
    <w:rsid w:val="00603B67"/>
    <w:rsid w:val="00607D85"/>
    <w:rsid w:val="006142F2"/>
    <w:rsid w:val="006213A1"/>
    <w:rsid w:val="006219D0"/>
    <w:rsid w:val="006446D7"/>
    <w:rsid w:val="006734AE"/>
    <w:rsid w:val="00694DBC"/>
    <w:rsid w:val="00696888"/>
    <w:rsid w:val="006B5241"/>
    <w:rsid w:val="006B5542"/>
    <w:rsid w:val="006C06E6"/>
    <w:rsid w:val="006C39E9"/>
    <w:rsid w:val="006E1C7D"/>
    <w:rsid w:val="006E1ECD"/>
    <w:rsid w:val="006E61E9"/>
    <w:rsid w:val="006F7F1B"/>
    <w:rsid w:val="00701A97"/>
    <w:rsid w:val="007023B8"/>
    <w:rsid w:val="0070432F"/>
    <w:rsid w:val="007226F8"/>
    <w:rsid w:val="00726BA7"/>
    <w:rsid w:val="0075091B"/>
    <w:rsid w:val="0075605C"/>
    <w:rsid w:val="00760030"/>
    <w:rsid w:val="007609EF"/>
    <w:rsid w:val="007632ED"/>
    <w:rsid w:val="00766BCF"/>
    <w:rsid w:val="007705DD"/>
    <w:rsid w:val="00773DCD"/>
    <w:rsid w:val="0078540E"/>
    <w:rsid w:val="00792F8A"/>
    <w:rsid w:val="00796A27"/>
    <w:rsid w:val="007A1842"/>
    <w:rsid w:val="007A3034"/>
    <w:rsid w:val="007B0291"/>
    <w:rsid w:val="007B3939"/>
    <w:rsid w:val="007C50F5"/>
    <w:rsid w:val="007C5357"/>
    <w:rsid w:val="007D2A0F"/>
    <w:rsid w:val="007E4056"/>
    <w:rsid w:val="007E46FC"/>
    <w:rsid w:val="007E5B15"/>
    <w:rsid w:val="007E64D1"/>
    <w:rsid w:val="007F1AFD"/>
    <w:rsid w:val="007F6C20"/>
    <w:rsid w:val="00802BD7"/>
    <w:rsid w:val="008101BF"/>
    <w:rsid w:val="00810501"/>
    <w:rsid w:val="00813BB2"/>
    <w:rsid w:val="0082161D"/>
    <w:rsid w:val="008274B3"/>
    <w:rsid w:val="00842D31"/>
    <w:rsid w:val="00846873"/>
    <w:rsid w:val="00851E83"/>
    <w:rsid w:val="008600E0"/>
    <w:rsid w:val="00864C72"/>
    <w:rsid w:val="0087262E"/>
    <w:rsid w:val="00883542"/>
    <w:rsid w:val="00883E11"/>
    <w:rsid w:val="00883F76"/>
    <w:rsid w:val="00893AD4"/>
    <w:rsid w:val="00895D79"/>
    <w:rsid w:val="00897B8C"/>
    <w:rsid w:val="008A453C"/>
    <w:rsid w:val="008C0228"/>
    <w:rsid w:val="008C2F3A"/>
    <w:rsid w:val="008C3634"/>
    <w:rsid w:val="008C4613"/>
    <w:rsid w:val="008D13D1"/>
    <w:rsid w:val="008E2B91"/>
    <w:rsid w:val="008F10D1"/>
    <w:rsid w:val="009005A8"/>
    <w:rsid w:val="009019C5"/>
    <w:rsid w:val="009031B3"/>
    <w:rsid w:val="009060FA"/>
    <w:rsid w:val="00906C9D"/>
    <w:rsid w:val="00932DE6"/>
    <w:rsid w:val="00940768"/>
    <w:rsid w:val="00941119"/>
    <w:rsid w:val="009511CE"/>
    <w:rsid w:val="00953C83"/>
    <w:rsid w:val="009629E9"/>
    <w:rsid w:val="009775E5"/>
    <w:rsid w:val="009873B1"/>
    <w:rsid w:val="00997CAA"/>
    <w:rsid w:val="009B492E"/>
    <w:rsid w:val="009E23A0"/>
    <w:rsid w:val="009E7CF4"/>
    <w:rsid w:val="009F3F22"/>
    <w:rsid w:val="00A0155C"/>
    <w:rsid w:val="00A033FA"/>
    <w:rsid w:val="00A12E25"/>
    <w:rsid w:val="00A146E9"/>
    <w:rsid w:val="00A14A59"/>
    <w:rsid w:val="00A14F28"/>
    <w:rsid w:val="00A23E4F"/>
    <w:rsid w:val="00A270ED"/>
    <w:rsid w:val="00A41076"/>
    <w:rsid w:val="00A503B5"/>
    <w:rsid w:val="00A518AA"/>
    <w:rsid w:val="00A564C1"/>
    <w:rsid w:val="00A57A33"/>
    <w:rsid w:val="00A64C18"/>
    <w:rsid w:val="00A77023"/>
    <w:rsid w:val="00A81848"/>
    <w:rsid w:val="00A83AC9"/>
    <w:rsid w:val="00A949C1"/>
    <w:rsid w:val="00A97B6E"/>
    <w:rsid w:val="00AA482D"/>
    <w:rsid w:val="00AB1B04"/>
    <w:rsid w:val="00AB448B"/>
    <w:rsid w:val="00AE2DBD"/>
    <w:rsid w:val="00AE2EDE"/>
    <w:rsid w:val="00AF2D59"/>
    <w:rsid w:val="00AF3B15"/>
    <w:rsid w:val="00AF4FC9"/>
    <w:rsid w:val="00B02094"/>
    <w:rsid w:val="00B070FE"/>
    <w:rsid w:val="00B1719C"/>
    <w:rsid w:val="00B26C8E"/>
    <w:rsid w:val="00B461A5"/>
    <w:rsid w:val="00B60CB0"/>
    <w:rsid w:val="00B61020"/>
    <w:rsid w:val="00B61D8D"/>
    <w:rsid w:val="00B63248"/>
    <w:rsid w:val="00B71346"/>
    <w:rsid w:val="00B7750A"/>
    <w:rsid w:val="00B81EB1"/>
    <w:rsid w:val="00B87CEE"/>
    <w:rsid w:val="00B921B3"/>
    <w:rsid w:val="00B97898"/>
    <w:rsid w:val="00BA0F94"/>
    <w:rsid w:val="00BC0F42"/>
    <w:rsid w:val="00BC254D"/>
    <w:rsid w:val="00BC2F19"/>
    <w:rsid w:val="00BC36EB"/>
    <w:rsid w:val="00BD4D2A"/>
    <w:rsid w:val="00BD725D"/>
    <w:rsid w:val="00BF2A5D"/>
    <w:rsid w:val="00C22B45"/>
    <w:rsid w:val="00C26395"/>
    <w:rsid w:val="00C27E2A"/>
    <w:rsid w:val="00C337D9"/>
    <w:rsid w:val="00C35AB5"/>
    <w:rsid w:val="00C4032E"/>
    <w:rsid w:val="00C47BDC"/>
    <w:rsid w:val="00C506A9"/>
    <w:rsid w:val="00C51981"/>
    <w:rsid w:val="00C5386D"/>
    <w:rsid w:val="00C54671"/>
    <w:rsid w:val="00C60995"/>
    <w:rsid w:val="00C61873"/>
    <w:rsid w:val="00C62A5A"/>
    <w:rsid w:val="00C645BA"/>
    <w:rsid w:val="00C65017"/>
    <w:rsid w:val="00C7081D"/>
    <w:rsid w:val="00C710FE"/>
    <w:rsid w:val="00C81DBD"/>
    <w:rsid w:val="00C846C8"/>
    <w:rsid w:val="00C95797"/>
    <w:rsid w:val="00C97FEB"/>
    <w:rsid w:val="00CA5D02"/>
    <w:rsid w:val="00CA7969"/>
    <w:rsid w:val="00CB24B0"/>
    <w:rsid w:val="00CB6499"/>
    <w:rsid w:val="00CC190D"/>
    <w:rsid w:val="00CC5173"/>
    <w:rsid w:val="00CD18EC"/>
    <w:rsid w:val="00CE6374"/>
    <w:rsid w:val="00CF3BE6"/>
    <w:rsid w:val="00D01517"/>
    <w:rsid w:val="00D04739"/>
    <w:rsid w:val="00D2165A"/>
    <w:rsid w:val="00D232EA"/>
    <w:rsid w:val="00D3626B"/>
    <w:rsid w:val="00D47FEF"/>
    <w:rsid w:val="00D55516"/>
    <w:rsid w:val="00D8255F"/>
    <w:rsid w:val="00D827B2"/>
    <w:rsid w:val="00D90DA9"/>
    <w:rsid w:val="00D915B6"/>
    <w:rsid w:val="00D93910"/>
    <w:rsid w:val="00DA155A"/>
    <w:rsid w:val="00DB5E6D"/>
    <w:rsid w:val="00DC3058"/>
    <w:rsid w:val="00DD0E8E"/>
    <w:rsid w:val="00DD3D31"/>
    <w:rsid w:val="00DD4620"/>
    <w:rsid w:val="00E061DB"/>
    <w:rsid w:val="00E22604"/>
    <w:rsid w:val="00E25EB9"/>
    <w:rsid w:val="00E30BFA"/>
    <w:rsid w:val="00E34647"/>
    <w:rsid w:val="00E4627C"/>
    <w:rsid w:val="00E465D8"/>
    <w:rsid w:val="00E5211C"/>
    <w:rsid w:val="00E54A53"/>
    <w:rsid w:val="00E54D2B"/>
    <w:rsid w:val="00E710F3"/>
    <w:rsid w:val="00E755AD"/>
    <w:rsid w:val="00E8142F"/>
    <w:rsid w:val="00E91080"/>
    <w:rsid w:val="00E94FC3"/>
    <w:rsid w:val="00EA126B"/>
    <w:rsid w:val="00ED34B3"/>
    <w:rsid w:val="00EE342D"/>
    <w:rsid w:val="00EE35B6"/>
    <w:rsid w:val="00EF239F"/>
    <w:rsid w:val="00F000E6"/>
    <w:rsid w:val="00F10E86"/>
    <w:rsid w:val="00F1260D"/>
    <w:rsid w:val="00F15E42"/>
    <w:rsid w:val="00F1699C"/>
    <w:rsid w:val="00F22884"/>
    <w:rsid w:val="00F2502D"/>
    <w:rsid w:val="00F25169"/>
    <w:rsid w:val="00F57A51"/>
    <w:rsid w:val="00F650AA"/>
    <w:rsid w:val="00F6572F"/>
    <w:rsid w:val="00F67BFA"/>
    <w:rsid w:val="00F73A6A"/>
    <w:rsid w:val="00F82A20"/>
    <w:rsid w:val="00F845EF"/>
    <w:rsid w:val="00F857DB"/>
    <w:rsid w:val="00F87C26"/>
    <w:rsid w:val="00FC2AEB"/>
    <w:rsid w:val="00FC65F8"/>
    <w:rsid w:val="00FD2670"/>
    <w:rsid w:val="00F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B6"/>
    <w:pPr>
      <w:widowControl w:val="0"/>
    </w:pPr>
    <w:rPr>
      <w:snapToGrid w:val="0"/>
      <w:kern w:val="28"/>
      <w:sz w:val="22"/>
    </w:rPr>
  </w:style>
  <w:style w:type="paragraph" w:styleId="Heading1">
    <w:name w:val="heading 1"/>
    <w:basedOn w:val="Normal"/>
    <w:next w:val="ParaNum"/>
    <w:qFormat/>
    <w:rsid w:val="00EE35B6"/>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35B6"/>
    <w:pPr>
      <w:keepNext/>
      <w:numPr>
        <w:ilvl w:val="1"/>
        <w:numId w:val="12"/>
      </w:numPr>
      <w:spacing w:after="120"/>
      <w:outlineLvl w:val="1"/>
    </w:pPr>
    <w:rPr>
      <w:b/>
    </w:rPr>
  </w:style>
  <w:style w:type="paragraph" w:styleId="Heading3">
    <w:name w:val="heading 3"/>
    <w:basedOn w:val="Normal"/>
    <w:next w:val="ParaNum"/>
    <w:qFormat/>
    <w:rsid w:val="00EE35B6"/>
    <w:pPr>
      <w:keepNext/>
      <w:numPr>
        <w:ilvl w:val="2"/>
        <w:numId w:val="12"/>
      </w:numPr>
      <w:tabs>
        <w:tab w:val="left" w:pos="2160"/>
      </w:tabs>
      <w:spacing w:after="120"/>
      <w:outlineLvl w:val="2"/>
    </w:pPr>
    <w:rPr>
      <w:b/>
    </w:rPr>
  </w:style>
  <w:style w:type="paragraph" w:styleId="Heading4">
    <w:name w:val="heading 4"/>
    <w:basedOn w:val="Normal"/>
    <w:next w:val="ParaNum"/>
    <w:qFormat/>
    <w:rsid w:val="00EE35B6"/>
    <w:pPr>
      <w:keepNext/>
      <w:numPr>
        <w:ilvl w:val="3"/>
        <w:numId w:val="12"/>
      </w:numPr>
      <w:tabs>
        <w:tab w:val="left" w:pos="2880"/>
      </w:tabs>
      <w:spacing w:after="120"/>
      <w:outlineLvl w:val="3"/>
    </w:pPr>
    <w:rPr>
      <w:b/>
    </w:rPr>
  </w:style>
  <w:style w:type="paragraph" w:styleId="Heading5">
    <w:name w:val="heading 5"/>
    <w:basedOn w:val="Normal"/>
    <w:next w:val="ParaNum"/>
    <w:qFormat/>
    <w:rsid w:val="00EE35B6"/>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EE35B6"/>
    <w:pPr>
      <w:numPr>
        <w:ilvl w:val="5"/>
        <w:numId w:val="12"/>
      </w:numPr>
      <w:tabs>
        <w:tab w:val="left" w:pos="4320"/>
      </w:tabs>
      <w:spacing w:after="120"/>
      <w:outlineLvl w:val="5"/>
    </w:pPr>
    <w:rPr>
      <w:b/>
    </w:rPr>
  </w:style>
  <w:style w:type="paragraph" w:styleId="Heading7">
    <w:name w:val="heading 7"/>
    <w:basedOn w:val="Normal"/>
    <w:next w:val="ParaNum"/>
    <w:qFormat/>
    <w:rsid w:val="00EE35B6"/>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EE35B6"/>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EE35B6"/>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35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5B6"/>
  </w:style>
  <w:style w:type="paragraph" w:customStyle="1" w:styleId="ParaNum">
    <w:name w:val="ParaNum"/>
    <w:basedOn w:val="Normal"/>
    <w:rsid w:val="00EE35B6"/>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EE35B6"/>
    <w:pPr>
      <w:spacing w:after="120"/>
    </w:pPr>
  </w:style>
  <w:style w:type="character" w:styleId="FootnoteReference">
    <w:name w:val="footnote reference"/>
    <w:rsid w:val="00EE35B6"/>
    <w:rPr>
      <w:rFonts w:ascii="Times New Roman" w:hAnsi="Times New Roman"/>
      <w:dstrike w:val="0"/>
      <w:color w:val="auto"/>
      <w:sz w:val="20"/>
      <w:vertAlign w:val="superscript"/>
    </w:rPr>
  </w:style>
  <w:style w:type="paragraph" w:styleId="Header">
    <w:name w:val="header"/>
    <w:basedOn w:val="Normal"/>
    <w:autoRedefine/>
    <w:rsid w:val="00EE35B6"/>
    <w:pPr>
      <w:tabs>
        <w:tab w:val="center" w:pos="4680"/>
        <w:tab w:val="right" w:pos="9360"/>
      </w:tabs>
    </w:pPr>
    <w:rPr>
      <w:b/>
    </w:rPr>
  </w:style>
  <w:style w:type="paragraph" w:styleId="Footer">
    <w:name w:val="footer"/>
    <w:basedOn w:val="Normal"/>
    <w:rsid w:val="00EE35B6"/>
    <w:pPr>
      <w:tabs>
        <w:tab w:val="center" w:pos="4320"/>
        <w:tab w:val="right" w:pos="8640"/>
      </w:tabs>
    </w:pPr>
  </w:style>
  <w:style w:type="character" w:styleId="PageNumber">
    <w:name w:val="page number"/>
    <w:basedOn w:val="DefaultParagraphFont"/>
    <w:rsid w:val="00EE35B6"/>
  </w:style>
  <w:style w:type="character" w:styleId="EndnoteReference">
    <w:name w:val="endnote reference"/>
    <w:semiHidden/>
    <w:rsid w:val="00EE35B6"/>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EE35B6"/>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EE35B6"/>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EE35B6"/>
    <w:pPr>
      <w:tabs>
        <w:tab w:val="left" w:pos="360"/>
        <w:tab w:val="right" w:leader="dot" w:pos="9360"/>
      </w:tabs>
      <w:suppressAutoHyphens/>
      <w:ind w:left="360" w:right="720" w:hanging="360"/>
    </w:pPr>
    <w:rPr>
      <w:caps/>
      <w:noProof/>
    </w:rPr>
  </w:style>
  <w:style w:type="paragraph" w:styleId="TOC2">
    <w:name w:val="toc 2"/>
    <w:basedOn w:val="Normal"/>
    <w:next w:val="Normal"/>
    <w:rsid w:val="00EE35B6"/>
    <w:pPr>
      <w:tabs>
        <w:tab w:val="left" w:pos="720"/>
        <w:tab w:val="right" w:leader="dot" w:pos="9360"/>
      </w:tabs>
      <w:suppressAutoHyphens/>
      <w:ind w:left="720" w:right="720" w:hanging="360"/>
    </w:pPr>
    <w:rPr>
      <w:noProof/>
    </w:rPr>
  </w:style>
  <w:style w:type="paragraph" w:styleId="TOC3">
    <w:name w:val="toc 3"/>
    <w:basedOn w:val="Normal"/>
    <w:next w:val="Normal"/>
    <w:rsid w:val="00EE35B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E35B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E35B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E35B6"/>
    <w:pPr>
      <w:tabs>
        <w:tab w:val="left" w:pos="2160"/>
        <w:tab w:val="right" w:leader="dot" w:pos="9360"/>
      </w:tabs>
      <w:suppressAutoHyphens/>
      <w:ind w:left="2160" w:hanging="360"/>
    </w:pPr>
    <w:rPr>
      <w:noProof/>
    </w:rPr>
  </w:style>
  <w:style w:type="paragraph" w:styleId="TOC7">
    <w:name w:val="toc 7"/>
    <w:basedOn w:val="Normal"/>
    <w:next w:val="Normal"/>
    <w:autoRedefine/>
    <w:rsid w:val="00EE35B6"/>
    <w:pPr>
      <w:tabs>
        <w:tab w:val="left" w:pos="2520"/>
        <w:tab w:val="right" w:leader="dot" w:pos="9360"/>
      </w:tabs>
      <w:suppressAutoHyphens/>
      <w:ind w:left="2520" w:hanging="360"/>
    </w:pPr>
    <w:rPr>
      <w:noProof/>
    </w:rPr>
  </w:style>
  <w:style w:type="paragraph" w:styleId="TOC8">
    <w:name w:val="toc 8"/>
    <w:basedOn w:val="Normal"/>
    <w:next w:val="Normal"/>
    <w:autoRedefine/>
    <w:rsid w:val="00EE35B6"/>
    <w:pPr>
      <w:tabs>
        <w:tab w:val="left" w:pos="2880"/>
        <w:tab w:val="right" w:leader="dot" w:pos="9360"/>
      </w:tabs>
      <w:suppressAutoHyphens/>
      <w:ind w:left="2880" w:hanging="360"/>
    </w:pPr>
    <w:rPr>
      <w:noProof/>
    </w:rPr>
  </w:style>
  <w:style w:type="paragraph" w:styleId="TOC9">
    <w:name w:val="toc 9"/>
    <w:basedOn w:val="Normal"/>
    <w:next w:val="Normal"/>
    <w:autoRedefine/>
    <w:rsid w:val="00EE35B6"/>
    <w:pPr>
      <w:tabs>
        <w:tab w:val="left" w:pos="3240"/>
        <w:tab w:val="right" w:leader="dot" w:pos="9360"/>
      </w:tabs>
      <w:suppressAutoHyphens/>
      <w:ind w:left="3240" w:hanging="360"/>
    </w:pPr>
    <w:rPr>
      <w:noProof/>
    </w:rPr>
  </w:style>
  <w:style w:type="paragraph" w:styleId="TOAHeading">
    <w:name w:val="toa heading"/>
    <w:basedOn w:val="Normal"/>
    <w:next w:val="Normal"/>
    <w:rsid w:val="00EE35B6"/>
    <w:pPr>
      <w:tabs>
        <w:tab w:val="right" w:pos="9360"/>
      </w:tabs>
      <w:suppressAutoHyphens/>
    </w:pPr>
  </w:style>
  <w:style w:type="character" w:customStyle="1" w:styleId="EquationCaption">
    <w:name w:val="_Equation Caption"/>
    <w:rsid w:val="00EE35B6"/>
  </w:style>
  <w:style w:type="paragraph" w:styleId="BlockText">
    <w:name w:val="Block Text"/>
    <w:basedOn w:val="Normal"/>
    <w:rsid w:val="00EE35B6"/>
    <w:pPr>
      <w:spacing w:after="240"/>
      <w:ind w:left="1440" w:right="1440"/>
    </w:pPr>
  </w:style>
  <w:style w:type="paragraph" w:customStyle="1" w:styleId="Paratitle">
    <w:name w:val="Para title"/>
    <w:basedOn w:val="Normal"/>
    <w:rsid w:val="00EE35B6"/>
    <w:pPr>
      <w:tabs>
        <w:tab w:val="center" w:pos="9270"/>
      </w:tabs>
      <w:spacing w:after="240"/>
    </w:pPr>
    <w:rPr>
      <w:spacing w:val="-2"/>
    </w:rPr>
  </w:style>
  <w:style w:type="paragraph" w:customStyle="1" w:styleId="Bullet">
    <w:name w:val="Bullet"/>
    <w:basedOn w:val="Normal"/>
    <w:rsid w:val="00EE35B6"/>
    <w:pPr>
      <w:tabs>
        <w:tab w:val="left" w:pos="2160"/>
      </w:tabs>
      <w:spacing w:after="220"/>
      <w:ind w:left="2160" w:hanging="720"/>
    </w:pPr>
  </w:style>
  <w:style w:type="paragraph" w:customStyle="1" w:styleId="TableFormat">
    <w:name w:val="TableFormat"/>
    <w:basedOn w:val="Bullet"/>
    <w:rsid w:val="00EE35B6"/>
    <w:pPr>
      <w:tabs>
        <w:tab w:val="clear" w:pos="2160"/>
        <w:tab w:val="left" w:pos="5040"/>
      </w:tabs>
      <w:ind w:left="5040" w:hanging="3600"/>
    </w:pPr>
  </w:style>
  <w:style w:type="paragraph" w:customStyle="1" w:styleId="TOCTitle">
    <w:name w:val="TOC Title"/>
    <w:basedOn w:val="Normal"/>
    <w:rsid w:val="00EE35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35B6"/>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5B6"/>
    <w:pPr>
      <w:widowControl w:val="0"/>
    </w:pPr>
    <w:rPr>
      <w:snapToGrid w:val="0"/>
      <w:kern w:val="28"/>
      <w:sz w:val="22"/>
    </w:rPr>
  </w:style>
  <w:style w:type="paragraph" w:styleId="Heading1">
    <w:name w:val="heading 1"/>
    <w:basedOn w:val="Normal"/>
    <w:next w:val="ParaNum"/>
    <w:qFormat/>
    <w:rsid w:val="00EE35B6"/>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E35B6"/>
    <w:pPr>
      <w:keepNext/>
      <w:numPr>
        <w:ilvl w:val="1"/>
        <w:numId w:val="12"/>
      </w:numPr>
      <w:spacing w:after="120"/>
      <w:outlineLvl w:val="1"/>
    </w:pPr>
    <w:rPr>
      <w:b/>
    </w:rPr>
  </w:style>
  <w:style w:type="paragraph" w:styleId="Heading3">
    <w:name w:val="heading 3"/>
    <w:basedOn w:val="Normal"/>
    <w:next w:val="ParaNum"/>
    <w:qFormat/>
    <w:rsid w:val="00EE35B6"/>
    <w:pPr>
      <w:keepNext/>
      <w:numPr>
        <w:ilvl w:val="2"/>
        <w:numId w:val="12"/>
      </w:numPr>
      <w:tabs>
        <w:tab w:val="left" w:pos="2160"/>
      </w:tabs>
      <w:spacing w:after="120"/>
      <w:outlineLvl w:val="2"/>
    </w:pPr>
    <w:rPr>
      <w:b/>
    </w:rPr>
  </w:style>
  <w:style w:type="paragraph" w:styleId="Heading4">
    <w:name w:val="heading 4"/>
    <w:basedOn w:val="Normal"/>
    <w:next w:val="ParaNum"/>
    <w:qFormat/>
    <w:rsid w:val="00EE35B6"/>
    <w:pPr>
      <w:keepNext/>
      <w:numPr>
        <w:ilvl w:val="3"/>
        <w:numId w:val="12"/>
      </w:numPr>
      <w:tabs>
        <w:tab w:val="left" w:pos="2880"/>
      </w:tabs>
      <w:spacing w:after="120"/>
      <w:outlineLvl w:val="3"/>
    </w:pPr>
    <w:rPr>
      <w:b/>
    </w:rPr>
  </w:style>
  <w:style w:type="paragraph" w:styleId="Heading5">
    <w:name w:val="heading 5"/>
    <w:basedOn w:val="Normal"/>
    <w:next w:val="ParaNum"/>
    <w:qFormat/>
    <w:rsid w:val="00EE35B6"/>
    <w:pPr>
      <w:keepNext/>
      <w:numPr>
        <w:ilvl w:val="4"/>
        <w:numId w:val="12"/>
      </w:numPr>
      <w:tabs>
        <w:tab w:val="left" w:pos="3600"/>
      </w:tabs>
      <w:suppressAutoHyphens/>
      <w:spacing w:after="120"/>
      <w:outlineLvl w:val="4"/>
    </w:pPr>
    <w:rPr>
      <w:b/>
    </w:rPr>
  </w:style>
  <w:style w:type="paragraph" w:styleId="Heading6">
    <w:name w:val="heading 6"/>
    <w:basedOn w:val="Normal"/>
    <w:next w:val="ParaNum"/>
    <w:qFormat/>
    <w:rsid w:val="00EE35B6"/>
    <w:pPr>
      <w:numPr>
        <w:ilvl w:val="5"/>
        <w:numId w:val="12"/>
      </w:numPr>
      <w:tabs>
        <w:tab w:val="left" w:pos="4320"/>
      </w:tabs>
      <w:spacing w:after="120"/>
      <w:outlineLvl w:val="5"/>
    </w:pPr>
    <w:rPr>
      <w:b/>
    </w:rPr>
  </w:style>
  <w:style w:type="paragraph" w:styleId="Heading7">
    <w:name w:val="heading 7"/>
    <w:basedOn w:val="Normal"/>
    <w:next w:val="ParaNum"/>
    <w:qFormat/>
    <w:rsid w:val="00EE35B6"/>
    <w:pPr>
      <w:numPr>
        <w:ilvl w:val="6"/>
        <w:numId w:val="12"/>
      </w:numPr>
      <w:tabs>
        <w:tab w:val="left" w:pos="5040"/>
      </w:tabs>
      <w:spacing w:after="120"/>
      <w:ind w:left="5040" w:hanging="720"/>
      <w:outlineLvl w:val="6"/>
    </w:pPr>
    <w:rPr>
      <w:b/>
    </w:rPr>
  </w:style>
  <w:style w:type="paragraph" w:styleId="Heading8">
    <w:name w:val="heading 8"/>
    <w:basedOn w:val="Normal"/>
    <w:next w:val="ParaNum"/>
    <w:qFormat/>
    <w:rsid w:val="00EE35B6"/>
    <w:pPr>
      <w:numPr>
        <w:ilvl w:val="7"/>
        <w:numId w:val="12"/>
      </w:numPr>
      <w:tabs>
        <w:tab w:val="clear" w:pos="5400"/>
        <w:tab w:val="left" w:pos="5760"/>
      </w:tabs>
      <w:spacing w:after="120"/>
      <w:ind w:left="5760" w:hanging="720"/>
      <w:outlineLvl w:val="7"/>
    </w:pPr>
    <w:rPr>
      <w:b/>
    </w:rPr>
  </w:style>
  <w:style w:type="paragraph" w:styleId="Heading9">
    <w:name w:val="heading 9"/>
    <w:basedOn w:val="Normal"/>
    <w:next w:val="ParaNum"/>
    <w:qFormat/>
    <w:rsid w:val="00EE35B6"/>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E35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5B6"/>
  </w:style>
  <w:style w:type="paragraph" w:customStyle="1" w:styleId="ParaNum">
    <w:name w:val="ParaNum"/>
    <w:basedOn w:val="Normal"/>
    <w:rsid w:val="00EE35B6"/>
    <w:pPr>
      <w:numPr>
        <w:numId w:val="11"/>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EE35B6"/>
    <w:pPr>
      <w:spacing w:after="120"/>
    </w:pPr>
  </w:style>
  <w:style w:type="character" w:styleId="FootnoteReference">
    <w:name w:val="footnote reference"/>
    <w:rsid w:val="00EE35B6"/>
    <w:rPr>
      <w:rFonts w:ascii="Times New Roman" w:hAnsi="Times New Roman"/>
      <w:dstrike w:val="0"/>
      <w:color w:val="auto"/>
      <w:sz w:val="20"/>
      <w:vertAlign w:val="superscript"/>
    </w:rPr>
  </w:style>
  <w:style w:type="paragraph" w:styleId="Header">
    <w:name w:val="header"/>
    <w:basedOn w:val="Normal"/>
    <w:autoRedefine/>
    <w:rsid w:val="00EE35B6"/>
    <w:pPr>
      <w:tabs>
        <w:tab w:val="center" w:pos="4680"/>
        <w:tab w:val="right" w:pos="9360"/>
      </w:tabs>
    </w:pPr>
    <w:rPr>
      <w:b/>
    </w:rPr>
  </w:style>
  <w:style w:type="paragraph" w:styleId="Footer">
    <w:name w:val="footer"/>
    <w:basedOn w:val="Normal"/>
    <w:rsid w:val="00EE35B6"/>
    <w:pPr>
      <w:tabs>
        <w:tab w:val="center" w:pos="4320"/>
        <w:tab w:val="right" w:pos="8640"/>
      </w:tabs>
    </w:pPr>
  </w:style>
  <w:style w:type="character" w:styleId="PageNumber">
    <w:name w:val="page number"/>
    <w:basedOn w:val="DefaultParagraphFont"/>
    <w:rsid w:val="00EE35B6"/>
  </w:style>
  <w:style w:type="character" w:styleId="EndnoteReference">
    <w:name w:val="endnote reference"/>
    <w:semiHidden/>
    <w:rsid w:val="00EE35B6"/>
    <w:rPr>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271795"/>
  </w:style>
  <w:style w:type="paragraph" w:styleId="BalloonText">
    <w:name w:val="Balloon Text"/>
    <w:basedOn w:val="Normal"/>
    <w:semiHidden/>
    <w:rsid w:val="000E48FE"/>
    <w:rPr>
      <w:rFonts w:ascii="Tahoma" w:hAnsi="Tahoma" w:cs="Tahoma"/>
      <w:sz w:val="16"/>
      <w:szCs w:val="16"/>
    </w:rPr>
  </w:style>
  <w:style w:type="paragraph" w:styleId="DocumentMap">
    <w:name w:val="Document Map"/>
    <w:basedOn w:val="Normal"/>
    <w:semiHidden/>
    <w:rsid w:val="00553C75"/>
    <w:pPr>
      <w:numPr>
        <w:numId w:val="4"/>
      </w:numPr>
      <w:shd w:val="clear" w:color="auto" w:fill="000080"/>
      <w:tabs>
        <w:tab w:val="clear" w:pos="1080"/>
      </w:tabs>
      <w:ind w:firstLine="0"/>
    </w:pPr>
    <w:rPr>
      <w:rFonts w:ascii="Tahoma" w:hAnsi="Tahoma"/>
      <w:snapToGrid/>
      <w:sz w:val="24"/>
    </w:rPr>
  </w:style>
  <w:style w:type="character" w:customStyle="1" w:styleId="documentbody">
    <w:name w:val="documentbody"/>
    <w:basedOn w:val="DefaultParagraphFont"/>
    <w:rsid w:val="001B6E15"/>
  </w:style>
  <w:style w:type="character" w:customStyle="1" w:styleId="searchterm">
    <w:name w:val="searchterm"/>
    <w:basedOn w:val="DefaultParagraphFont"/>
    <w:rsid w:val="001B6E15"/>
  </w:style>
  <w:style w:type="character" w:customStyle="1" w:styleId="informationalsmall">
    <w:name w:val="informationalsmall"/>
    <w:basedOn w:val="DefaultParagraphFont"/>
    <w:rsid w:val="001B6E15"/>
  </w:style>
  <w:style w:type="character" w:styleId="Hyperlink">
    <w:name w:val="Hyperlink"/>
    <w:rsid w:val="00EE35B6"/>
    <w:rPr>
      <w:color w:val="0000FF"/>
      <w:u w:val="single"/>
    </w:rPr>
  </w:style>
  <w:style w:type="character" w:customStyle="1" w:styleId="bestsection">
    <w:name w:val="bestsection"/>
    <w:basedOn w:val="DefaultParagraphFont"/>
    <w:rsid w:val="00BC36EB"/>
  </w:style>
  <w:style w:type="character" w:styleId="CommentReference">
    <w:name w:val="annotation reference"/>
    <w:basedOn w:val="DefaultParagraphFont"/>
    <w:rsid w:val="00F57A51"/>
    <w:rPr>
      <w:sz w:val="16"/>
      <w:szCs w:val="16"/>
    </w:rPr>
  </w:style>
  <w:style w:type="paragraph" w:styleId="CommentText">
    <w:name w:val="annotation text"/>
    <w:basedOn w:val="Normal"/>
    <w:link w:val="CommentTextChar"/>
    <w:rsid w:val="00F57A51"/>
    <w:rPr>
      <w:sz w:val="20"/>
    </w:rPr>
  </w:style>
  <w:style w:type="character" w:customStyle="1" w:styleId="CommentTextChar">
    <w:name w:val="Comment Text Char"/>
    <w:basedOn w:val="DefaultParagraphFont"/>
    <w:link w:val="CommentText"/>
    <w:rsid w:val="00F57A51"/>
  </w:style>
  <w:style w:type="paragraph" w:styleId="CommentSubject">
    <w:name w:val="annotation subject"/>
    <w:basedOn w:val="CommentText"/>
    <w:next w:val="CommentText"/>
    <w:link w:val="CommentSubjectChar"/>
    <w:rsid w:val="00F57A51"/>
    <w:rPr>
      <w:b/>
      <w:bCs/>
    </w:rPr>
  </w:style>
  <w:style w:type="character" w:customStyle="1" w:styleId="CommentSubjectChar">
    <w:name w:val="Comment Subject Char"/>
    <w:basedOn w:val="CommentTextChar"/>
    <w:link w:val="CommentSubject"/>
    <w:rsid w:val="00F57A51"/>
    <w:rPr>
      <w:b/>
      <w:bCs/>
    </w:rPr>
  </w:style>
  <w:style w:type="paragraph" w:styleId="EndnoteText">
    <w:name w:val="endnote text"/>
    <w:basedOn w:val="Normal"/>
    <w:link w:val="EndnoteTextChar"/>
    <w:rsid w:val="00EE35B6"/>
    <w:rPr>
      <w:sz w:val="20"/>
    </w:rPr>
  </w:style>
  <w:style w:type="character" w:customStyle="1" w:styleId="EndnoteTextChar">
    <w:name w:val="Endnote Text Char"/>
    <w:basedOn w:val="DefaultParagraphFont"/>
    <w:link w:val="EndnoteText"/>
    <w:rsid w:val="00E8142F"/>
    <w:rPr>
      <w:snapToGrid w:val="0"/>
      <w:kern w:val="28"/>
    </w:rPr>
  </w:style>
  <w:style w:type="paragraph" w:styleId="TOC1">
    <w:name w:val="toc 1"/>
    <w:basedOn w:val="Normal"/>
    <w:next w:val="Normal"/>
    <w:rsid w:val="00EE35B6"/>
    <w:pPr>
      <w:tabs>
        <w:tab w:val="left" w:pos="360"/>
        <w:tab w:val="right" w:leader="dot" w:pos="9360"/>
      </w:tabs>
      <w:suppressAutoHyphens/>
      <w:ind w:left="360" w:right="720" w:hanging="360"/>
    </w:pPr>
    <w:rPr>
      <w:caps/>
      <w:noProof/>
    </w:rPr>
  </w:style>
  <w:style w:type="paragraph" w:styleId="TOC2">
    <w:name w:val="toc 2"/>
    <w:basedOn w:val="Normal"/>
    <w:next w:val="Normal"/>
    <w:rsid w:val="00EE35B6"/>
    <w:pPr>
      <w:tabs>
        <w:tab w:val="left" w:pos="720"/>
        <w:tab w:val="right" w:leader="dot" w:pos="9360"/>
      </w:tabs>
      <w:suppressAutoHyphens/>
      <w:ind w:left="720" w:right="720" w:hanging="360"/>
    </w:pPr>
    <w:rPr>
      <w:noProof/>
    </w:rPr>
  </w:style>
  <w:style w:type="paragraph" w:styleId="TOC3">
    <w:name w:val="toc 3"/>
    <w:basedOn w:val="Normal"/>
    <w:next w:val="Normal"/>
    <w:rsid w:val="00EE35B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E35B6"/>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E35B6"/>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E35B6"/>
    <w:pPr>
      <w:tabs>
        <w:tab w:val="left" w:pos="2160"/>
        <w:tab w:val="right" w:leader="dot" w:pos="9360"/>
      </w:tabs>
      <w:suppressAutoHyphens/>
      <w:ind w:left="2160" w:hanging="360"/>
    </w:pPr>
    <w:rPr>
      <w:noProof/>
    </w:rPr>
  </w:style>
  <w:style w:type="paragraph" w:styleId="TOC7">
    <w:name w:val="toc 7"/>
    <w:basedOn w:val="Normal"/>
    <w:next w:val="Normal"/>
    <w:autoRedefine/>
    <w:rsid w:val="00EE35B6"/>
    <w:pPr>
      <w:tabs>
        <w:tab w:val="left" w:pos="2520"/>
        <w:tab w:val="right" w:leader="dot" w:pos="9360"/>
      </w:tabs>
      <w:suppressAutoHyphens/>
      <w:ind w:left="2520" w:hanging="360"/>
    </w:pPr>
    <w:rPr>
      <w:noProof/>
    </w:rPr>
  </w:style>
  <w:style w:type="paragraph" w:styleId="TOC8">
    <w:name w:val="toc 8"/>
    <w:basedOn w:val="Normal"/>
    <w:next w:val="Normal"/>
    <w:autoRedefine/>
    <w:rsid w:val="00EE35B6"/>
    <w:pPr>
      <w:tabs>
        <w:tab w:val="left" w:pos="2880"/>
        <w:tab w:val="right" w:leader="dot" w:pos="9360"/>
      </w:tabs>
      <w:suppressAutoHyphens/>
      <w:ind w:left="2880" w:hanging="360"/>
    </w:pPr>
    <w:rPr>
      <w:noProof/>
    </w:rPr>
  </w:style>
  <w:style w:type="paragraph" w:styleId="TOC9">
    <w:name w:val="toc 9"/>
    <w:basedOn w:val="Normal"/>
    <w:next w:val="Normal"/>
    <w:autoRedefine/>
    <w:rsid w:val="00EE35B6"/>
    <w:pPr>
      <w:tabs>
        <w:tab w:val="left" w:pos="3240"/>
        <w:tab w:val="right" w:leader="dot" w:pos="9360"/>
      </w:tabs>
      <w:suppressAutoHyphens/>
      <w:ind w:left="3240" w:hanging="360"/>
    </w:pPr>
    <w:rPr>
      <w:noProof/>
    </w:rPr>
  </w:style>
  <w:style w:type="paragraph" w:styleId="TOAHeading">
    <w:name w:val="toa heading"/>
    <w:basedOn w:val="Normal"/>
    <w:next w:val="Normal"/>
    <w:rsid w:val="00EE35B6"/>
    <w:pPr>
      <w:tabs>
        <w:tab w:val="right" w:pos="9360"/>
      </w:tabs>
      <w:suppressAutoHyphens/>
    </w:pPr>
  </w:style>
  <w:style w:type="character" w:customStyle="1" w:styleId="EquationCaption">
    <w:name w:val="_Equation Caption"/>
    <w:rsid w:val="00EE35B6"/>
  </w:style>
  <w:style w:type="paragraph" w:styleId="BlockText">
    <w:name w:val="Block Text"/>
    <w:basedOn w:val="Normal"/>
    <w:rsid w:val="00EE35B6"/>
    <w:pPr>
      <w:spacing w:after="240"/>
      <w:ind w:left="1440" w:right="1440"/>
    </w:pPr>
  </w:style>
  <w:style w:type="paragraph" w:customStyle="1" w:styleId="Paratitle">
    <w:name w:val="Para title"/>
    <w:basedOn w:val="Normal"/>
    <w:rsid w:val="00EE35B6"/>
    <w:pPr>
      <w:tabs>
        <w:tab w:val="center" w:pos="9270"/>
      </w:tabs>
      <w:spacing w:after="240"/>
    </w:pPr>
    <w:rPr>
      <w:spacing w:val="-2"/>
    </w:rPr>
  </w:style>
  <w:style w:type="paragraph" w:customStyle="1" w:styleId="Bullet">
    <w:name w:val="Bullet"/>
    <w:basedOn w:val="Normal"/>
    <w:rsid w:val="00EE35B6"/>
    <w:pPr>
      <w:tabs>
        <w:tab w:val="left" w:pos="2160"/>
      </w:tabs>
      <w:spacing w:after="220"/>
      <w:ind w:left="2160" w:hanging="720"/>
    </w:pPr>
  </w:style>
  <w:style w:type="paragraph" w:customStyle="1" w:styleId="TableFormat">
    <w:name w:val="TableFormat"/>
    <w:basedOn w:val="Bullet"/>
    <w:rsid w:val="00EE35B6"/>
    <w:pPr>
      <w:tabs>
        <w:tab w:val="clear" w:pos="2160"/>
        <w:tab w:val="left" w:pos="5040"/>
      </w:tabs>
      <w:ind w:left="5040" w:hanging="3600"/>
    </w:pPr>
  </w:style>
  <w:style w:type="paragraph" w:customStyle="1" w:styleId="TOCTitle">
    <w:name w:val="TOC Title"/>
    <w:basedOn w:val="Normal"/>
    <w:rsid w:val="00EE35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E35B6"/>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1321</Words>
  <Characters>7109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2014-09-08T19:09:00Z</dcterms:created>
  <dcterms:modified xsi:type="dcterms:W3CDTF">2014-09-08T19:09:00Z</dcterms:modified>
  <cp:category> </cp:category>
  <cp:contentStatus> </cp:contentStatus>
</cp:coreProperties>
</file>