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EC" w:rsidRDefault="00353CEC">
      <w:pPr>
        <w:pStyle w:val="Header"/>
        <w:tabs>
          <w:tab w:val="clear" w:pos="4320"/>
          <w:tab w:val="clear" w:pos="8640"/>
        </w:tabs>
        <w:sectPr w:rsidR="00353CE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353CEC" w:rsidRDefault="00353CEC">
      <w:pPr>
        <w:jc w:val="right"/>
        <w:rPr>
          <w:b/>
          <w:szCs w:val="22"/>
        </w:rPr>
      </w:pPr>
      <w:r>
        <w:rPr>
          <w:b/>
          <w:szCs w:val="22"/>
        </w:rPr>
        <w:lastRenderedPageBreak/>
        <w:t>DA 1</w:t>
      </w:r>
      <w:r w:rsidR="00FF58B3">
        <w:rPr>
          <w:b/>
          <w:szCs w:val="22"/>
        </w:rPr>
        <w:t>4</w:t>
      </w:r>
      <w:r>
        <w:rPr>
          <w:b/>
          <w:szCs w:val="22"/>
        </w:rPr>
        <w:t>-</w:t>
      </w:r>
      <w:r w:rsidR="00272588">
        <w:rPr>
          <w:b/>
          <w:szCs w:val="22"/>
        </w:rPr>
        <w:t>1308</w:t>
      </w:r>
    </w:p>
    <w:p w:rsidR="00353CEC" w:rsidRDefault="00353CEC">
      <w:pPr>
        <w:jc w:val="right"/>
        <w:rPr>
          <w:b/>
          <w:szCs w:val="22"/>
        </w:rPr>
      </w:pPr>
      <w:r>
        <w:rPr>
          <w:b/>
          <w:szCs w:val="22"/>
        </w:rPr>
        <w:t xml:space="preserve">Released:  </w:t>
      </w:r>
      <w:r w:rsidR="00FF58B3">
        <w:rPr>
          <w:b/>
          <w:szCs w:val="22"/>
        </w:rPr>
        <w:t xml:space="preserve">September </w:t>
      </w:r>
      <w:r w:rsidR="00272588">
        <w:rPr>
          <w:b/>
          <w:szCs w:val="22"/>
        </w:rPr>
        <w:t>10</w:t>
      </w:r>
      <w:r>
        <w:rPr>
          <w:b/>
          <w:szCs w:val="22"/>
        </w:rPr>
        <w:t>, 201</w:t>
      </w:r>
      <w:r w:rsidR="00272588">
        <w:rPr>
          <w:b/>
          <w:szCs w:val="22"/>
        </w:rPr>
        <w:t>4</w:t>
      </w:r>
    </w:p>
    <w:p w:rsidR="00353CEC" w:rsidRDefault="00353CEC">
      <w:pPr>
        <w:jc w:val="right"/>
        <w:rPr>
          <w:szCs w:val="22"/>
        </w:rPr>
      </w:pPr>
    </w:p>
    <w:p w:rsidR="00353CEC" w:rsidRDefault="00353CEC">
      <w:pPr>
        <w:jc w:val="center"/>
        <w:rPr>
          <w:b/>
          <w:szCs w:val="22"/>
        </w:rPr>
      </w:pPr>
      <w:r>
        <w:rPr>
          <w:b/>
          <w:szCs w:val="22"/>
        </w:rPr>
        <w:t xml:space="preserve">Office of Engineering and Technology Announces the Approval of </w:t>
      </w:r>
    </w:p>
    <w:p w:rsidR="00353CEC" w:rsidRDefault="00353CEC">
      <w:pPr>
        <w:spacing w:after="240"/>
        <w:jc w:val="center"/>
        <w:rPr>
          <w:b/>
          <w:szCs w:val="22"/>
        </w:rPr>
      </w:pPr>
      <w:r>
        <w:rPr>
          <w:b/>
          <w:szCs w:val="22"/>
        </w:rPr>
        <w:t>Google, Inc.’s TV Bands Database System for Operation</w:t>
      </w:r>
    </w:p>
    <w:p w:rsidR="00353CEC" w:rsidRDefault="00353CEC">
      <w:pPr>
        <w:spacing w:after="240"/>
        <w:jc w:val="center"/>
        <w:rPr>
          <w:b/>
          <w:szCs w:val="22"/>
        </w:rPr>
      </w:pPr>
      <w:r>
        <w:rPr>
          <w:b/>
          <w:szCs w:val="22"/>
        </w:rPr>
        <w:t>ET Docket No. 04-186</w:t>
      </w:r>
    </w:p>
    <w:p w:rsidR="00FF58B3" w:rsidRDefault="00353CEC">
      <w:pPr>
        <w:rPr>
          <w:szCs w:val="22"/>
        </w:rPr>
      </w:pPr>
      <w:r>
        <w:rPr>
          <w:szCs w:val="22"/>
        </w:rPr>
        <w:tab/>
        <w:t>The Commission’s Office of Engineering and Technology (OET) announces that it has granted approval for Google, Inc. to operate</w:t>
      </w:r>
      <w:r w:rsidR="00FF58B3">
        <w:rPr>
          <w:szCs w:val="22"/>
        </w:rPr>
        <w:t xml:space="preserve"> its “TV bands database system” with new procedures for registration of certain protected facilities.  The Google database system’s new registration procedures, which were developed by Google itself, replace th</w:t>
      </w:r>
      <w:r w:rsidR="00116DDD">
        <w:rPr>
          <w:szCs w:val="22"/>
        </w:rPr>
        <w:t>at</w:t>
      </w:r>
      <w:r w:rsidR="00FF58B3">
        <w:rPr>
          <w:szCs w:val="22"/>
        </w:rPr>
        <w:t xml:space="preserve"> database system’s current reliance on the </w:t>
      </w:r>
      <w:r w:rsidR="001E0F4C">
        <w:rPr>
          <w:szCs w:val="22"/>
        </w:rPr>
        <w:t xml:space="preserve">procedures for registering protected facilities of another TVWS </w:t>
      </w:r>
      <w:r w:rsidR="00FF58B3">
        <w:rPr>
          <w:szCs w:val="22"/>
        </w:rPr>
        <w:t>database system.</w:t>
      </w:r>
    </w:p>
    <w:p w:rsidR="00353CEC" w:rsidRDefault="00353CEC">
      <w:pPr>
        <w:rPr>
          <w:szCs w:val="22"/>
        </w:rPr>
      </w:pPr>
    </w:p>
    <w:p w:rsidR="00353CEC" w:rsidRDefault="00353CEC">
      <w:pPr>
        <w:spacing w:after="240"/>
        <w:rPr>
          <w:szCs w:val="22"/>
        </w:rPr>
      </w:pPr>
      <w:r>
        <w:rPr>
          <w:szCs w:val="22"/>
        </w:rPr>
        <w:tab/>
        <w:t xml:space="preserve">The Commission’s Part 15 rules (47 C.F.R. § 15.701 </w:t>
      </w:r>
      <w:r>
        <w:rPr>
          <w:i/>
          <w:szCs w:val="22"/>
        </w:rPr>
        <w:t>et seq</w:t>
      </w:r>
      <w:r>
        <w:rPr>
          <w:szCs w:val="22"/>
        </w:rPr>
        <w:t>.) require that unlicensed TV radio devices operating on TV white spaces (TVBDs) contact an authorized database system to obtain a list of channels that are available for their operation (</w:t>
      </w:r>
      <w:r>
        <w:rPr>
          <w:i/>
          <w:szCs w:val="22"/>
        </w:rPr>
        <w:t xml:space="preserve">i.e. </w:t>
      </w:r>
      <w:r>
        <w:rPr>
          <w:szCs w:val="22"/>
        </w:rPr>
        <w:t xml:space="preserve">channels not occupied by authorized radio services) at their individual locations and operate only on those channels.  These devices are required to provide their geographic locations by means of a secure Internet connection to a TV bands database system authorized by the Commission.  When a device provides its location to a database, the database will then return a list of channels available for operation by the device at that location.  </w:t>
      </w:r>
    </w:p>
    <w:p w:rsidR="00353CEC" w:rsidRDefault="00353CEC">
      <w:pPr>
        <w:spacing w:after="240"/>
        <w:rPr>
          <w:szCs w:val="22"/>
        </w:rPr>
      </w:pPr>
      <w:r>
        <w:rPr>
          <w:szCs w:val="22"/>
        </w:rPr>
        <w:tab/>
        <w:t>The FCC rules require that TV bands database systems protect the following radio services: 1) broadcast television stations (including full power, TV translator, low power TV, and Class A stations); 2) fixed broadcast auxiliary service (BAS) links (regular licensed and temporary); 3) receive sites (and received channels) of TV translator, low power TV, and Class A TV stations and multichannel video programming distributors (MVPDs); 4) private land mobile and commercial mobile radio service operations; 5) offshore radio telephone service operations; 6) radio astronomy operations at specific sites; and 7) low power auxiliary service operations (principally licensed and certain approved unlicensed wireless microphone venue sites).  Except for MVPD receive sites, sites where licensed wireless microphones are used, approved unlicensed wireless microphone venues and temporary broadcast auxiliary facilities, the necessary protection data will either be extracted by Google from the Commission’s databases or are specified in the rules.  Operators of facilities for which information is contained in the Commission’s records or provided in the rules do not need to take any action to obtain protection from TV bands devices.</w:t>
      </w:r>
    </w:p>
    <w:p w:rsidR="00353CEC" w:rsidRDefault="00353CEC" w:rsidP="00272588">
      <w:pPr>
        <w:ind w:firstLine="720"/>
        <w:rPr>
          <w:szCs w:val="22"/>
        </w:rPr>
      </w:pPr>
      <w:r>
        <w:rPr>
          <w:szCs w:val="22"/>
        </w:rPr>
        <w:t xml:space="preserve">Operators of </w:t>
      </w:r>
      <w:r w:rsidR="00B51631">
        <w:rPr>
          <w:szCs w:val="22"/>
        </w:rPr>
        <w:t>multiple video program distributor (</w:t>
      </w:r>
      <w:r>
        <w:rPr>
          <w:szCs w:val="22"/>
        </w:rPr>
        <w:t>MVPD</w:t>
      </w:r>
      <w:r w:rsidR="00B51631">
        <w:rPr>
          <w:szCs w:val="22"/>
        </w:rPr>
        <w:t>)</w:t>
      </w:r>
      <w:r>
        <w:rPr>
          <w:szCs w:val="22"/>
        </w:rPr>
        <w:t xml:space="preserve"> receive sites, </w:t>
      </w:r>
      <w:r w:rsidR="00B51631">
        <w:rPr>
          <w:szCs w:val="22"/>
        </w:rPr>
        <w:t xml:space="preserve">users of low power auxiliary devices (principally </w:t>
      </w:r>
      <w:r>
        <w:rPr>
          <w:szCs w:val="22"/>
        </w:rPr>
        <w:t>wireless microphones</w:t>
      </w:r>
      <w:r w:rsidR="00B51631">
        <w:rPr>
          <w:szCs w:val="22"/>
        </w:rPr>
        <w:t>)</w:t>
      </w:r>
      <w:r>
        <w:rPr>
          <w:szCs w:val="22"/>
        </w:rPr>
        <w:t xml:space="preserve">, and operators of temporary BAS links must specifically register their sites to receive protection from TV bands devices.  As required under the rules, Google is providing facilities for registering for these operations through its TVWS database system website at: </w:t>
      </w:r>
      <w:hyperlink r:id="rId14" w:history="1">
        <w:r>
          <w:rPr>
            <w:rStyle w:val="Hyperlink"/>
            <w:szCs w:val="22"/>
          </w:rPr>
          <w:t>http://www.google.org/spectrum/whitespace/index.html</w:t>
        </w:r>
      </w:hyperlink>
      <w:hyperlink w:history="1"/>
      <w:r>
        <w:rPr>
          <w:szCs w:val="22"/>
        </w:rPr>
        <w:t xml:space="preserve">.  The rules also provide that responsible parties may request that the Commission approve protection at venues where unlicensed </w:t>
      </w:r>
      <w:r>
        <w:rPr>
          <w:szCs w:val="22"/>
        </w:rPr>
        <w:lastRenderedPageBreak/>
        <w:t>wireless microphones are used.  Such approvals will allow parties to register for protection of unlicensed wireless microphone operations from TVBDs at the venues.  Requests for approval of protection of wireless microphones at venues will be made available for public comment, and the Commission will subsequently review them for approval.  All registrations entered with a given TV bands database will be communicated to the other TV bands database(s) so that registrations will not need to be entered in multiple databases.  Currently, the Commission has also approved the Spectrum Bridge, Inc.</w:t>
      </w:r>
      <w:r w:rsidR="00FF58B3">
        <w:rPr>
          <w:szCs w:val="22"/>
        </w:rPr>
        <w:t>, iconnectiv</w:t>
      </w:r>
      <w:r>
        <w:rPr>
          <w:szCs w:val="22"/>
        </w:rPr>
        <w:t>,</w:t>
      </w:r>
      <w:r w:rsidR="00FF58B3">
        <w:rPr>
          <w:szCs w:val="22"/>
        </w:rPr>
        <w:t xml:space="preserve"> and Keybridge Global, LLC</w:t>
      </w:r>
      <w:r>
        <w:rPr>
          <w:szCs w:val="22"/>
        </w:rPr>
        <w:t>. TV bands database systems for operation.</w:t>
      </w:r>
    </w:p>
    <w:p w:rsidR="00353CEC" w:rsidRDefault="00353CEC">
      <w:pPr>
        <w:rPr>
          <w:szCs w:val="22"/>
        </w:rPr>
      </w:pPr>
    </w:p>
    <w:p w:rsidR="00353CEC" w:rsidRDefault="00353CEC">
      <w:pPr>
        <w:suppressAutoHyphens/>
        <w:ind w:firstLine="720"/>
        <w:rPr>
          <w:szCs w:val="22"/>
        </w:rPr>
      </w:pPr>
      <w:r>
        <w:rPr>
          <w:szCs w:val="22"/>
        </w:rPr>
        <w:t>Questions regarding this Public Notice may be directed to Alan Stillwell at (202) 418-2470 or Hugh L. Van Tuyl at (202) 418-7506.</w:t>
      </w:r>
    </w:p>
    <w:p w:rsidR="00353CEC" w:rsidRDefault="00353CEC">
      <w:pPr>
        <w:suppressAutoHyphens/>
        <w:ind w:firstLine="720"/>
        <w:rPr>
          <w:szCs w:val="22"/>
        </w:rPr>
      </w:pPr>
    </w:p>
    <w:p w:rsidR="00353CEC" w:rsidRDefault="00353CEC">
      <w:pPr>
        <w:suppressAutoHyphens/>
        <w:ind w:firstLine="720"/>
        <w:rPr>
          <w:szCs w:val="22"/>
        </w:rPr>
      </w:pPr>
      <w:r>
        <w:rPr>
          <w:szCs w:val="22"/>
        </w:rPr>
        <w:t>By the Chief, Office of Engineering and Technology.</w:t>
      </w:r>
    </w:p>
    <w:p w:rsidR="00353CEC" w:rsidRDefault="00353CEC">
      <w:pPr>
        <w:suppressAutoHyphens/>
        <w:ind w:firstLine="720"/>
        <w:rPr>
          <w:szCs w:val="22"/>
        </w:rPr>
      </w:pPr>
    </w:p>
    <w:p w:rsidR="00353CEC" w:rsidRDefault="00353CEC">
      <w:pPr>
        <w:suppressAutoHyphens/>
        <w:ind w:firstLine="720"/>
        <w:rPr>
          <w:szCs w:val="22"/>
        </w:rPr>
      </w:pPr>
    </w:p>
    <w:p w:rsidR="00353CEC" w:rsidRDefault="00353CEC">
      <w:pPr>
        <w:spacing w:before="120" w:after="240"/>
        <w:jc w:val="center"/>
        <w:rPr>
          <w:szCs w:val="22"/>
        </w:rPr>
      </w:pPr>
      <w:r>
        <w:rPr>
          <w:szCs w:val="22"/>
        </w:rPr>
        <w:t>-FCC-</w:t>
      </w:r>
    </w:p>
    <w:p w:rsidR="00353CEC" w:rsidRDefault="00353CEC">
      <w:pPr>
        <w:spacing w:before="120" w:after="240"/>
        <w:rPr>
          <w:szCs w:val="22"/>
        </w:rPr>
      </w:pPr>
    </w:p>
    <w:sectPr w:rsidR="00353CEC">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5B7" w:rsidRDefault="001455B7">
      <w:r>
        <w:separator/>
      </w:r>
    </w:p>
  </w:endnote>
  <w:endnote w:type="continuationSeparator" w:id="0">
    <w:p w:rsidR="001455B7" w:rsidRDefault="0014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DB" w:rsidRDefault="00B60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DB" w:rsidRDefault="00B60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DB" w:rsidRDefault="00B60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5B7" w:rsidRDefault="001455B7">
      <w:r>
        <w:separator/>
      </w:r>
    </w:p>
  </w:footnote>
  <w:footnote w:type="continuationSeparator" w:id="0">
    <w:p w:rsidR="001455B7" w:rsidRDefault="0014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DB" w:rsidRDefault="00B60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DB" w:rsidRDefault="00B60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CEC" w:rsidRDefault="0027258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CEC" w:rsidRDefault="00353CEC">
                          <w:pPr>
                            <w:rPr>
                              <w:rFonts w:ascii="Arial" w:hAnsi="Arial"/>
                              <w:b/>
                            </w:rPr>
                          </w:pPr>
                          <w:r>
                            <w:rPr>
                              <w:rFonts w:ascii="Arial" w:hAnsi="Arial"/>
                              <w:b/>
                            </w:rPr>
                            <w:t>Federal Communications Commission</w:t>
                          </w:r>
                        </w:p>
                        <w:p w:rsidR="00353CEC" w:rsidRDefault="00353C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53CEC" w:rsidRDefault="00353CE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353CEC" w:rsidRDefault="00353CEC">
                    <w:pPr>
                      <w:rPr>
                        <w:rFonts w:ascii="Arial" w:hAnsi="Arial"/>
                        <w:b/>
                      </w:rPr>
                    </w:pPr>
                    <w:r>
                      <w:rPr>
                        <w:rFonts w:ascii="Arial" w:hAnsi="Arial"/>
                        <w:b/>
                      </w:rPr>
                      <w:t>Federal Communications Commission</w:t>
                    </w:r>
                  </w:p>
                  <w:p w:rsidR="00353CEC" w:rsidRDefault="00353C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53CEC" w:rsidRDefault="00353CEC">
                    <w:pPr>
                      <w:rPr>
                        <w:rFonts w:ascii="Arial" w:hAnsi="Arial"/>
                        <w:sz w:val="24"/>
                      </w:rPr>
                    </w:pPr>
                    <w:r>
                      <w:rPr>
                        <w:rFonts w:ascii="Arial" w:hAnsi="Arial"/>
                        <w:b/>
                      </w:rPr>
                      <w:t>Washington, D.C. 20554</w:t>
                    </w:r>
                  </w:p>
                </w:txbxContent>
              </v:textbox>
            </v:shape>
          </w:pict>
        </mc:Fallback>
      </mc:AlternateContent>
    </w:r>
    <w:r w:rsidR="00353CEC">
      <w:rPr>
        <w:rFonts w:ascii="News Gothic MT" w:hAnsi="News Gothic MT"/>
        <w:b/>
        <w:kern w:val="28"/>
        <w:sz w:val="96"/>
      </w:rPr>
      <w:t>PUBLIC NOTICE</w:t>
    </w:r>
  </w:p>
  <w:p w:rsidR="00353CEC" w:rsidRDefault="0027258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CEC" w:rsidRDefault="00353CEC">
                          <w:pPr>
                            <w:spacing w:before="40"/>
                            <w:jc w:val="right"/>
                            <w:rPr>
                              <w:rFonts w:ascii="Arial" w:hAnsi="Arial"/>
                              <w:b/>
                              <w:sz w:val="16"/>
                            </w:rPr>
                          </w:pPr>
                          <w:r>
                            <w:rPr>
                              <w:rFonts w:ascii="Arial" w:hAnsi="Arial"/>
                              <w:b/>
                              <w:sz w:val="16"/>
                            </w:rPr>
                            <w:t>News Media Information 202 / 418-0500</w:t>
                          </w:r>
                        </w:p>
                        <w:p w:rsidR="00353CEC" w:rsidRDefault="00353CE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53CEC" w:rsidRDefault="00353CEC">
                          <w:pPr>
                            <w:jc w:val="right"/>
                            <w:rPr>
                              <w:rFonts w:ascii="Arial" w:hAnsi="Arial"/>
                              <w:b/>
                              <w:sz w:val="16"/>
                            </w:rPr>
                          </w:pPr>
                          <w:r>
                            <w:rPr>
                              <w:rFonts w:ascii="Arial" w:hAnsi="Arial"/>
                              <w:b/>
                              <w:sz w:val="16"/>
                            </w:rPr>
                            <w:t>TTY: 1-888-835-5322</w:t>
                          </w:r>
                        </w:p>
                        <w:p w:rsidR="00353CEC" w:rsidRDefault="00353CE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353CEC" w:rsidRDefault="00353CEC">
                    <w:pPr>
                      <w:spacing w:before="40"/>
                      <w:jc w:val="right"/>
                      <w:rPr>
                        <w:rFonts w:ascii="Arial" w:hAnsi="Arial"/>
                        <w:b/>
                        <w:sz w:val="16"/>
                      </w:rPr>
                    </w:pPr>
                    <w:r>
                      <w:rPr>
                        <w:rFonts w:ascii="Arial" w:hAnsi="Arial"/>
                        <w:b/>
                        <w:sz w:val="16"/>
                      </w:rPr>
                      <w:t>News Media Information 202 / 418-0500</w:t>
                    </w:r>
                  </w:p>
                  <w:p w:rsidR="00353CEC" w:rsidRDefault="00353CE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53CEC" w:rsidRDefault="00353CEC">
                    <w:pPr>
                      <w:jc w:val="right"/>
                      <w:rPr>
                        <w:rFonts w:ascii="Arial" w:hAnsi="Arial"/>
                        <w:b/>
                        <w:sz w:val="16"/>
                      </w:rPr>
                    </w:pPr>
                    <w:r>
                      <w:rPr>
                        <w:rFonts w:ascii="Arial" w:hAnsi="Arial"/>
                        <w:b/>
                        <w:sz w:val="16"/>
                      </w:rPr>
                      <w:t>TTY: 1-888-835-5322</w:t>
                    </w:r>
                  </w:p>
                  <w:p w:rsidR="00353CEC" w:rsidRDefault="00353CEC">
                    <w:pPr>
                      <w:jc w:val="right"/>
                    </w:pPr>
                  </w:p>
                </w:txbxContent>
              </v:textbox>
            </v:shape>
          </w:pict>
        </mc:Fallback>
      </mc:AlternateContent>
    </w:r>
  </w:p>
  <w:p w:rsidR="00353CEC" w:rsidRDefault="00353CE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FD"/>
    <w:rsid w:val="00116DDD"/>
    <w:rsid w:val="001455B7"/>
    <w:rsid w:val="001A1CFE"/>
    <w:rsid w:val="001E0F4C"/>
    <w:rsid w:val="00272588"/>
    <w:rsid w:val="00353CEC"/>
    <w:rsid w:val="00383526"/>
    <w:rsid w:val="005A390F"/>
    <w:rsid w:val="00711449"/>
    <w:rsid w:val="008B0E8A"/>
    <w:rsid w:val="00954BCC"/>
    <w:rsid w:val="00B418FD"/>
    <w:rsid w:val="00B51631"/>
    <w:rsid w:val="00B60CDB"/>
    <w:rsid w:val="00C81E7E"/>
    <w:rsid w:val="00D3023B"/>
    <w:rsid w:val="00F63DB1"/>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link w:val="BalloonTextChar"/>
    <w:rsid w:val="008B0E8A"/>
    <w:rPr>
      <w:rFonts w:ascii="Tahoma" w:hAnsi="Tahoma" w:cs="Tahoma"/>
      <w:sz w:val="16"/>
      <w:szCs w:val="16"/>
    </w:rPr>
  </w:style>
  <w:style w:type="character" w:customStyle="1" w:styleId="BalloonTextChar">
    <w:name w:val="Balloon Text Char"/>
    <w:link w:val="BalloonText"/>
    <w:rsid w:val="008B0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link w:val="BalloonTextChar"/>
    <w:rsid w:val="008B0E8A"/>
    <w:rPr>
      <w:rFonts w:ascii="Tahoma" w:hAnsi="Tahoma" w:cs="Tahoma"/>
      <w:sz w:val="16"/>
      <w:szCs w:val="16"/>
    </w:rPr>
  </w:style>
  <w:style w:type="character" w:customStyle="1" w:styleId="BalloonTextChar">
    <w:name w:val="Balloon Text Char"/>
    <w:link w:val="BalloonText"/>
    <w:rsid w:val="008B0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oogle.org/spectrum/whitespace/index.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3421</Characters>
  <Application>Microsoft Office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4012</CharactersWithSpaces>
  <SharedDoc>false</SharedDoc>
  <HyperlinkBase> </HyperlinkBase>
  <HLinks>
    <vt:vector size="12" baseType="variant">
      <vt:variant>
        <vt:i4>262153</vt:i4>
      </vt:variant>
      <vt:variant>
        <vt:i4>3</vt:i4>
      </vt:variant>
      <vt:variant>
        <vt:i4>0</vt:i4>
      </vt:variant>
      <vt:variant>
        <vt:i4>5</vt:i4>
      </vt:variant>
      <vt:variant>
        <vt:lpwstr>http:///</vt:lpwstr>
      </vt:variant>
      <vt:variant>
        <vt:lpwstr/>
      </vt:variant>
      <vt:variant>
        <vt:i4>4849686</vt:i4>
      </vt:variant>
      <vt:variant>
        <vt:i4>0</vt:i4>
      </vt:variant>
      <vt:variant>
        <vt:i4>0</vt:i4>
      </vt:variant>
      <vt:variant>
        <vt:i4>5</vt:i4>
      </vt:variant>
      <vt:variant>
        <vt:lpwstr>http://www.google.org/spectrum/whitespace/index.html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2012-03-27T10:33:00Z</cp:lastPrinted>
  <dcterms:created xsi:type="dcterms:W3CDTF">2014-09-10T13:29:00Z</dcterms:created>
  <dcterms:modified xsi:type="dcterms:W3CDTF">2014-09-10T13:29:00Z</dcterms:modified>
  <cp:category> </cp:category>
  <cp:contentStatus> </cp:contentStatus>
</cp:coreProperties>
</file>