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9C" w:rsidRPr="0072046B" w:rsidRDefault="00B56C65" w:rsidP="0072046B">
      <w:pPr>
        <w:ind w:left="5760" w:firstLine="720"/>
        <w:rPr>
          <w:rFonts w:ascii="CG Times" w:hAnsi="CG Times"/>
          <w:b/>
          <w:sz w:val="22"/>
          <w:szCs w:val="22"/>
        </w:rPr>
      </w:pPr>
      <w:bookmarkStart w:id="0" w:name="_GoBack"/>
      <w:bookmarkEnd w:id="0"/>
      <w:r w:rsidRPr="0072046B">
        <w:rPr>
          <w:rFonts w:ascii="CG Times" w:hAnsi="CG Times"/>
          <w:b/>
          <w:sz w:val="22"/>
          <w:szCs w:val="22"/>
        </w:rPr>
        <w:t>DA 14</w:t>
      </w:r>
      <w:r w:rsidR="00E7519C" w:rsidRPr="0072046B">
        <w:rPr>
          <w:rFonts w:ascii="CG Times" w:hAnsi="CG Times"/>
          <w:b/>
          <w:sz w:val="22"/>
          <w:szCs w:val="22"/>
        </w:rPr>
        <w:t>-</w:t>
      </w:r>
      <w:r w:rsidR="0072046B">
        <w:rPr>
          <w:rFonts w:ascii="CG Times" w:hAnsi="CG Times"/>
          <w:b/>
          <w:sz w:val="22"/>
          <w:szCs w:val="22"/>
        </w:rPr>
        <w:t>1326</w:t>
      </w:r>
    </w:p>
    <w:p w:rsidR="00E7519C" w:rsidRPr="0072046B" w:rsidRDefault="00E7519C" w:rsidP="0072046B">
      <w:pPr>
        <w:ind w:left="5760" w:firstLine="720"/>
        <w:rPr>
          <w:rFonts w:ascii="CG Times" w:hAnsi="CG Times"/>
          <w:b/>
          <w:sz w:val="22"/>
          <w:szCs w:val="22"/>
        </w:rPr>
      </w:pPr>
      <w:r w:rsidRPr="0072046B">
        <w:rPr>
          <w:rFonts w:ascii="CG Times" w:hAnsi="CG Times"/>
          <w:b/>
          <w:sz w:val="22"/>
          <w:szCs w:val="22"/>
        </w:rPr>
        <w:t>Released:</w:t>
      </w:r>
      <w:r w:rsidR="0072046B">
        <w:rPr>
          <w:rFonts w:ascii="CG Times" w:hAnsi="CG Times"/>
          <w:b/>
          <w:sz w:val="22"/>
          <w:szCs w:val="22"/>
        </w:rPr>
        <w:t xml:space="preserve"> September 16, 2014</w:t>
      </w:r>
    </w:p>
    <w:p w:rsidR="008331FA" w:rsidRPr="001D4353" w:rsidRDefault="008331FA" w:rsidP="00E7519C">
      <w:pPr>
        <w:ind w:left="7200"/>
        <w:rPr>
          <w:rFonts w:ascii="CG Times" w:hAnsi="CG Times"/>
          <w:sz w:val="22"/>
          <w:szCs w:val="22"/>
        </w:rPr>
      </w:pPr>
    </w:p>
    <w:p w:rsidR="00A32A59" w:rsidRDefault="000D135A" w:rsidP="00A32A59">
      <w:pPr>
        <w:suppressAutoHyphens/>
        <w:spacing w:line="240" w:lineRule="atLeast"/>
        <w:rPr>
          <w:sz w:val="22"/>
          <w:szCs w:val="22"/>
        </w:rPr>
      </w:pPr>
      <w:r>
        <w:rPr>
          <w:sz w:val="22"/>
          <w:szCs w:val="22"/>
        </w:rPr>
        <w:t xml:space="preserve">Channel 49 Acquisition Corporation </w:t>
      </w:r>
    </w:p>
    <w:p w:rsidR="000D135A" w:rsidRDefault="00A86F80" w:rsidP="00A32A59">
      <w:pPr>
        <w:suppressAutoHyphens/>
        <w:spacing w:line="240" w:lineRule="atLeast"/>
        <w:rPr>
          <w:sz w:val="22"/>
          <w:szCs w:val="22"/>
        </w:rPr>
      </w:pPr>
      <w:r>
        <w:rPr>
          <w:sz w:val="22"/>
          <w:szCs w:val="22"/>
        </w:rPr>
        <w:t>c/o Brooks, Pierce, et</w:t>
      </w:r>
      <w:r w:rsidR="000D135A">
        <w:rPr>
          <w:sz w:val="22"/>
          <w:szCs w:val="22"/>
        </w:rPr>
        <w:t xml:space="preserve"> al. </w:t>
      </w:r>
    </w:p>
    <w:p w:rsidR="00A32A59" w:rsidRDefault="00A32A59" w:rsidP="006E4831">
      <w:pPr>
        <w:suppressAutoHyphens/>
        <w:spacing w:line="240" w:lineRule="atLeast"/>
        <w:rPr>
          <w:sz w:val="22"/>
          <w:szCs w:val="22"/>
        </w:rPr>
      </w:pPr>
      <w:r>
        <w:rPr>
          <w:sz w:val="22"/>
          <w:szCs w:val="22"/>
        </w:rPr>
        <w:t xml:space="preserve">P.O. Box </w:t>
      </w:r>
      <w:r w:rsidR="000D135A">
        <w:rPr>
          <w:sz w:val="22"/>
          <w:szCs w:val="22"/>
        </w:rPr>
        <w:t>1800</w:t>
      </w:r>
    </w:p>
    <w:p w:rsidR="00A32A59" w:rsidRDefault="000D135A" w:rsidP="00A32A59">
      <w:pPr>
        <w:suppressAutoHyphens/>
        <w:spacing w:line="240" w:lineRule="atLeast"/>
        <w:rPr>
          <w:sz w:val="22"/>
          <w:szCs w:val="22"/>
        </w:rPr>
      </w:pPr>
      <w:r>
        <w:rPr>
          <w:sz w:val="22"/>
          <w:szCs w:val="22"/>
        </w:rPr>
        <w:t>Raleigh, NC 27602</w:t>
      </w:r>
    </w:p>
    <w:p w:rsidR="00A86F80" w:rsidRPr="00A86F80" w:rsidRDefault="00A86F80" w:rsidP="00A32A59">
      <w:pPr>
        <w:suppressAutoHyphens/>
        <w:spacing w:line="240" w:lineRule="atLeast"/>
        <w:rPr>
          <w:i/>
          <w:sz w:val="22"/>
          <w:szCs w:val="22"/>
        </w:rPr>
      </w:pPr>
      <w:r w:rsidRPr="00A86F80">
        <w:rPr>
          <w:i/>
          <w:sz w:val="22"/>
          <w:szCs w:val="22"/>
        </w:rPr>
        <w:t>Attention Mark J. Prak</w:t>
      </w:r>
    </w:p>
    <w:p w:rsidR="00A32A59" w:rsidRDefault="00A32A59" w:rsidP="00A32A59">
      <w:pPr>
        <w:suppressAutoHyphens/>
        <w:spacing w:line="240" w:lineRule="atLeast"/>
        <w:rPr>
          <w:sz w:val="22"/>
          <w:szCs w:val="22"/>
        </w:rPr>
      </w:pPr>
    </w:p>
    <w:p w:rsidR="00892D66" w:rsidRDefault="00892D66" w:rsidP="006E4831">
      <w:pPr>
        <w:suppressAutoHyphens/>
        <w:spacing w:line="240" w:lineRule="atLeast"/>
        <w:ind w:left="5040" w:firstLine="720"/>
        <w:rPr>
          <w:sz w:val="22"/>
          <w:szCs w:val="22"/>
        </w:rPr>
      </w:pPr>
      <w:r>
        <w:rPr>
          <w:sz w:val="22"/>
          <w:szCs w:val="22"/>
        </w:rPr>
        <w:t>Re:</w:t>
      </w:r>
      <w:r>
        <w:rPr>
          <w:sz w:val="22"/>
          <w:szCs w:val="22"/>
        </w:rPr>
        <w:tab/>
      </w:r>
      <w:r w:rsidR="000D135A">
        <w:rPr>
          <w:sz w:val="22"/>
          <w:szCs w:val="22"/>
        </w:rPr>
        <w:t>KTEN(TV)</w:t>
      </w:r>
    </w:p>
    <w:p w:rsidR="00A32A59" w:rsidRPr="009145CD" w:rsidRDefault="000D135A" w:rsidP="00A86F80">
      <w:pPr>
        <w:suppressAutoHyphens/>
        <w:spacing w:line="240" w:lineRule="atLeast"/>
        <w:ind w:left="5760" w:firstLine="720"/>
        <w:rPr>
          <w:sz w:val="22"/>
          <w:szCs w:val="22"/>
        </w:rPr>
      </w:pPr>
      <w:r>
        <w:rPr>
          <w:sz w:val="22"/>
          <w:szCs w:val="22"/>
        </w:rPr>
        <w:t xml:space="preserve">Ada, Oklahoma </w:t>
      </w:r>
    </w:p>
    <w:p w:rsidR="00A32A59" w:rsidRPr="009145CD" w:rsidRDefault="00A32A59" w:rsidP="00A32A59">
      <w:pPr>
        <w:suppressAutoHyphens/>
        <w:spacing w:line="240" w:lineRule="atLeast"/>
        <w:ind w:left="4320" w:hanging="660"/>
        <w:rPr>
          <w:sz w:val="22"/>
          <w:szCs w:val="22"/>
        </w:rPr>
      </w:pPr>
      <w:r>
        <w:rPr>
          <w:sz w:val="22"/>
          <w:szCs w:val="22"/>
        </w:rPr>
        <w:tab/>
      </w:r>
      <w:r>
        <w:rPr>
          <w:sz w:val="22"/>
          <w:szCs w:val="22"/>
        </w:rPr>
        <w:tab/>
      </w:r>
      <w:r>
        <w:rPr>
          <w:sz w:val="22"/>
          <w:szCs w:val="22"/>
        </w:rPr>
        <w:tab/>
      </w:r>
      <w:r w:rsidR="00A86F80">
        <w:rPr>
          <w:sz w:val="22"/>
          <w:szCs w:val="22"/>
        </w:rPr>
        <w:tab/>
      </w:r>
      <w:r>
        <w:rPr>
          <w:sz w:val="22"/>
          <w:szCs w:val="22"/>
        </w:rPr>
        <w:t xml:space="preserve">Facility ID No. </w:t>
      </w:r>
      <w:r w:rsidR="000D135A">
        <w:rPr>
          <w:sz w:val="22"/>
          <w:szCs w:val="22"/>
        </w:rPr>
        <w:t>35666</w:t>
      </w:r>
    </w:p>
    <w:p w:rsidR="00A32A59" w:rsidRPr="009145CD" w:rsidRDefault="00A32A59" w:rsidP="00A32A59">
      <w:pPr>
        <w:suppressAutoHyphens/>
        <w:spacing w:line="240" w:lineRule="atLeast"/>
        <w:ind w:left="4320" w:hanging="660"/>
        <w:rPr>
          <w:sz w:val="22"/>
          <w:szCs w:val="22"/>
        </w:rPr>
      </w:pPr>
      <w:r w:rsidRPr="009145CD">
        <w:rPr>
          <w:sz w:val="22"/>
          <w:szCs w:val="22"/>
        </w:rPr>
        <w:tab/>
      </w:r>
      <w:r>
        <w:rPr>
          <w:sz w:val="22"/>
          <w:szCs w:val="22"/>
        </w:rPr>
        <w:tab/>
      </w:r>
      <w:r>
        <w:rPr>
          <w:sz w:val="22"/>
          <w:szCs w:val="22"/>
        </w:rPr>
        <w:tab/>
      </w:r>
      <w:r w:rsidR="00A86F80">
        <w:rPr>
          <w:sz w:val="22"/>
          <w:szCs w:val="22"/>
        </w:rPr>
        <w:tab/>
      </w:r>
      <w:r w:rsidR="000D135A">
        <w:rPr>
          <w:sz w:val="22"/>
          <w:szCs w:val="22"/>
        </w:rPr>
        <w:t>FRN: 0003755279</w:t>
      </w:r>
    </w:p>
    <w:p w:rsidR="00961661" w:rsidRDefault="00961661" w:rsidP="00760806">
      <w:pPr>
        <w:pStyle w:val="BodyTextIndent"/>
        <w:ind w:left="0" w:firstLine="0"/>
        <w:rPr>
          <w:rFonts w:ascii="Times New Roman" w:hAnsi="Times New Roman"/>
          <w:sz w:val="22"/>
          <w:szCs w:val="22"/>
        </w:rPr>
      </w:pPr>
    </w:p>
    <w:p w:rsidR="00B31D4D" w:rsidRPr="009145CD" w:rsidRDefault="00B31D4D" w:rsidP="00760806">
      <w:pPr>
        <w:pStyle w:val="BodyTextIndent"/>
        <w:ind w:left="0" w:firstLine="0"/>
        <w:rPr>
          <w:rFonts w:ascii="Times New Roman" w:hAnsi="Times New Roman"/>
          <w:sz w:val="22"/>
          <w:szCs w:val="22"/>
        </w:rPr>
      </w:pPr>
      <w:r w:rsidRPr="009145CD">
        <w:rPr>
          <w:rFonts w:ascii="Times New Roman" w:hAnsi="Times New Roman"/>
          <w:sz w:val="22"/>
          <w:szCs w:val="22"/>
        </w:rPr>
        <w:t>Dear</w:t>
      </w:r>
      <w:r w:rsidR="008B3FB9" w:rsidRPr="009145CD">
        <w:rPr>
          <w:rFonts w:ascii="Times New Roman" w:hAnsi="Times New Roman"/>
          <w:sz w:val="22"/>
          <w:szCs w:val="22"/>
        </w:rPr>
        <w:t xml:space="preserve"> </w:t>
      </w:r>
      <w:r w:rsidR="00322882">
        <w:rPr>
          <w:rFonts w:ascii="Times New Roman" w:hAnsi="Times New Roman"/>
          <w:sz w:val="22"/>
          <w:szCs w:val="22"/>
        </w:rPr>
        <w:t>Licensee</w:t>
      </w:r>
      <w:r w:rsidR="00FC47D7" w:rsidRPr="009145CD">
        <w:rPr>
          <w:rFonts w:ascii="Times New Roman" w:hAnsi="Times New Roman"/>
          <w:sz w:val="22"/>
          <w:szCs w:val="22"/>
        </w:rPr>
        <w:t>:</w:t>
      </w:r>
    </w:p>
    <w:p w:rsidR="00B31D4D" w:rsidRPr="009145CD" w:rsidRDefault="00B31D4D">
      <w:pPr>
        <w:jc w:val="both"/>
        <w:rPr>
          <w:sz w:val="22"/>
          <w:szCs w:val="22"/>
        </w:rPr>
      </w:pPr>
    </w:p>
    <w:p w:rsidR="0097671B" w:rsidRDefault="00322882" w:rsidP="0097671B">
      <w:pPr>
        <w:spacing w:after="240"/>
        <w:ind w:firstLine="720"/>
        <w:jc w:val="both"/>
        <w:rPr>
          <w:sz w:val="22"/>
          <w:szCs w:val="22"/>
        </w:rPr>
      </w:pPr>
      <w:r>
        <w:rPr>
          <w:sz w:val="22"/>
          <w:szCs w:val="22"/>
        </w:rPr>
        <w:t>This letter</w:t>
      </w:r>
      <w:r w:rsidR="0097671B">
        <w:rPr>
          <w:sz w:val="22"/>
          <w:szCs w:val="22"/>
        </w:rPr>
        <w:t xml:space="preserve"> refers to your license renewal application for</w:t>
      </w:r>
      <w:r>
        <w:rPr>
          <w:sz w:val="22"/>
          <w:szCs w:val="22"/>
        </w:rPr>
        <w:t xml:space="preserve"> </w:t>
      </w:r>
      <w:r w:rsidR="000D135A">
        <w:rPr>
          <w:sz w:val="22"/>
          <w:szCs w:val="22"/>
        </w:rPr>
        <w:t>KTEN</w:t>
      </w:r>
      <w:r w:rsidR="00E029D3">
        <w:rPr>
          <w:sz w:val="22"/>
          <w:szCs w:val="22"/>
        </w:rPr>
        <w:t>(TV)</w:t>
      </w:r>
      <w:r w:rsidR="00B71FA8">
        <w:rPr>
          <w:sz w:val="22"/>
          <w:szCs w:val="22"/>
        </w:rPr>
        <w:t xml:space="preserve">, </w:t>
      </w:r>
      <w:r w:rsidR="000D135A">
        <w:rPr>
          <w:sz w:val="22"/>
          <w:szCs w:val="22"/>
        </w:rPr>
        <w:t xml:space="preserve">Ada, Oklahoma </w:t>
      </w:r>
      <w:r>
        <w:rPr>
          <w:sz w:val="22"/>
          <w:szCs w:val="22"/>
        </w:rPr>
        <w:t>(the “Station”)</w:t>
      </w:r>
      <w:r w:rsidR="00B71FA8">
        <w:rPr>
          <w:sz w:val="22"/>
          <w:szCs w:val="22"/>
        </w:rPr>
        <w:t>,</w:t>
      </w:r>
      <w:r w:rsidR="0000108B">
        <w:rPr>
          <w:rStyle w:val="FootnoteReference"/>
          <w:sz w:val="22"/>
          <w:szCs w:val="22"/>
        </w:rPr>
        <w:footnoteReference w:id="2"/>
      </w:r>
      <w:r w:rsidR="0097671B">
        <w:rPr>
          <w:sz w:val="22"/>
          <w:szCs w:val="22"/>
        </w:rPr>
        <w:t xml:space="preserve"> and </w:t>
      </w:r>
      <w:r w:rsidR="0000108B">
        <w:rPr>
          <w:sz w:val="22"/>
          <w:szCs w:val="22"/>
        </w:rPr>
        <w:t xml:space="preserve">hereby </w:t>
      </w:r>
      <w:r w:rsidR="0097671B">
        <w:rPr>
          <w:sz w:val="22"/>
          <w:szCs w:val="22"/>
        </w:rPr>
        <w:t>admonishes the Station</w:t>
      </w:r>
      <w:r>
        <w:rPr>
          <w:sz w:val="22"/>
          <w:szCs w:val="22"/>
        </w:rPr>
        <w:t xml:space="preserve"> for its failure to comply with the limits on commercial matter in children’s programming</w:t>
      </w:r>
      <w:r w:rsidR="00A659A3" w:rsidRPr="009145CD">
        <w:rPr>
          <w:sz w:val="22"/>
          <w:szCs w:val="22"/>
        </w:rPr>
        <w:t>.</w:t>
      </w:r>
    </w:p>
    <w:p w:rsidR="00B71FA8" w:rsidRDefault="00B71FA8" w:rsidP="00B71FA8">
      <w:pPr>
        <w:spacing w:after="240"/>
        <w:ind w:firstLine="720"/>
        <w:jc w:val="both"/>
        <w:rPr>
          <w:sz w:val="22"/>
          <w:szCs w:val="22"/>
          <w:vertAlign w:val="superscript"/>
        </w:rPr>
      </w:pPr>
      <w:r w:rsidRPr="0097671B">
        <w:rPr>
          <w:sz w:val="22"/>
          <w:szCs w:val="22"/>
        </w:rPr>
        <w:t xml:space="preserve">In the Children's Television Act of 1990, Pub. L. No. 101-437, 104 Stat. 996-1000, </w:t>
      </w:r>
      <w:r w:rsidRPr="0097671B">
        <w:rPr>
          <w:i/>
          <w:iCs/>
          <w:sz w:val="22"/>
          <w:szCs w:val="22"/>
        </w:rPr>
        <w:t>codified at</w:t>
      </w:r>
      <w:r w:rsidRPr="0097671B">
        <w:rPr>
          <w:sz w:val="22"/>
          <w:szCs w:val="22"/>
        </w:rPr>
        <w:t xml:space="preserve"> 47 U.S.C. Sections 303a, 303b and 394, Congress directed the Commission to adopt rules, </w:t>
      </w:r>
      <w:r w:rsidRPr="0097671B">
        <w:rPr>
          <w:i/>
          <w:iCs/>
          <w:sz w:val="22"/>
          <w:szCs w:val="22"/>
        </w:rPr>
        <w:t>inter alia,</w:t>
      </w:r>
      <w:r w:rsidRPr="0097671B">
        <w:rPr>
          <w:sz w:val="22"/>
          <w:szCs w:val="22"/>
        </w:rPr>
        <w:t xml:space="preserve"> limiting the number of minutes of commercial matter that television stations may air during children's programming, and to consider in its review of television license renewals the extent to which the licensee has compli</w:t>
      </w:r>
      <w:r>
        <w:rPr>
          <w:sz w:val="22"/>
          <w:szCs w:val="22"/>
        </w:rPr>
        <w:t xml:space="preserve">ed with such commercial limits.  </w:t>
      </w:r>
      <w:r w:rsidRPr="0097671B">
        <w:rPr>
          <w:sz w:val="22"/>
          <w:szCs w:val="22"/>
        </w:rPr>
        <w:t>Pursuant to this statutory mandate, the Commission adopted Section 73.670 of the Rules, 47 C.F.R. § 73.670, which limits the amount of commercial matter which may be aired during children's programming to 10.5 minutes per hour on weekends and 1</w:t>
      </w:r>
      <w:r>
        <w:rPr>
          <w:sz w:val="22"/>
          <w:szCs w:val="22"/>
        </w:rPr>
        <w:t xml:space="preserve">2 minutes per hour on weekdays.  </w:t>
      </w:r>
      <w:r w:rsidRPr="0097671B">
        <w:rPr>
          <w:sz w:val="22"/>
          <w:szCs w:val="22"/>
        </w:rPr>
        <w:t>The Commission also reaffirmed and clarified its long-standing policy agains</w:t>
      </w:r>
      <w:r>
        <w:rPr>
          <w:sz w:val="22"/>
          <w:szCs w:val="22"/>
        </w:rPr>
        <w:t xml:space="preserve">t “program-length commercials.”  </w:t>
      </w:r>
      <w:r w:rsidRPr="0097671B">
        <w:rPr>
          <w:sz w:val="22"/>
          <w:szCs w:val="22"/>
        </w:rPr>
        <w:t>The Commission defined a “program-length commercial” as “a program associated with a product, in which commercials for that product are aired,” and stated that the entire duration of any program-length commercial would be counted as commercial matter for the purpose of the children's television commercial limits.</w:t>
      </w:r>
      <w:bookmarkStart w:id="1" w:name="FN[FN1]"/>
      <w:bookmarkEnd w:id="1"/>
      <w:r>
        <w:rPr>
          <w:rStyle w:val="FootnoteReference"/>
          <w:sz w:val="22"/>
          <w:szCs w:val="22"/>
        </w:rPr>
        <w:footnoteReference w:id="3"/>
      </w:r>
      <w:r>
        <w:rPr>
          <w:sz w:val="22"/>
          <w:szCs w:val="22"/>
        </w:rPr>
        <w:t xml:space="preserve">  </w:t>
      </w:r>
      <w:r w:rsidRPr="0097671B">
        <w:rPr>
          <w:sz w:val="22"/>
          <w:szCs w:val="22"/>
        </w:rPr>
        <w:t>The commercial limitations became effective on January 1, 1992.</w:t>
      </w:r>
      <w:bookmarkStart w:id="2" w:name="FN[FN2]"/>
      <w:bookmarkEnd w:id="2"/>
      <w:r>
        <w:rPr>
          <w:rStyle w:val="FootnoteReference"/>
          <w:sz w:val="22"/>
          <w:szCs w:val="22"/>
        </w:rPr>
        <w:footnoteReference w:id="4"/>
      </w:r>
    </w:p>
    <w:p w:rsidR="00B71FA8" w:rsidRDefault="00D366B1" w:rsidP="00745EA7">
      <w:pPr>
        <w:spacing w:after="240"/>
        <w:ind w:firstLine="720"/>
        <w:jc w:val="both"/>
        <w:rPr>
          <w:color w:val="000000"/>
          <w:sz w:val="22"/>
          <w:szCs w:val="22"/>
        </w:rPr>
      </w:pPr>
      <w:r>
        <w:rPr>
          <w:color w:val="000000"/>
          <w:sz w:val="22"/>
          <w:szCs w:val="22"/>
        </w:rPr>
        <w:t xml:space="preserve">On </w:t>
      </w:r>
      <w:r w:rsidR="000D135A">
        <w:rPr>
          <w:color w:val="000000"/>
          <w:sz w:val="22"/>
          <w:szCs w:val="22"/>
        </w:rPr>
        <w:t>January 31, 2014,</w:t>
      </w:r>
      <w:r w:rsidR="0097671B" w:rsidRPr="0000108B">
        <w:rPr>
          <w:color w:val="000000"/>
          <w:sz w:val="22"/>
          <w:szCs w:val="22"/>
        </w:rPr>
        <w:t xml:space="preserve"> you filed the above-referenced license renewal application for </w:t>
      </w:r>
      <w:r w:rsidR="0000108B">
        <w:rPr>
          <w:color w:val="000000"/>
          <w:sz w:val="22"/>
          <w:szCs w:val="22"/>
        </w:rPr>
        <w:t>the Station</w:t>
      </w:r>
      <w:r w:rsidR="006B0810">
        <w:rPr>
          <w:color w:val="000000"/>
          <w:sz w:val="22"/>
          <w:szCs w:val="22"/>
        </w:rPr>
        <w:t xml:space="preserve">.  </w:t>
      </w:r>
      <w:r w:rsidR="0097671B" w:rsidRPr="0000108B">
        <w:rPr>
          <w:color w:val="000000"/>
          <w:sz w:val="22"/>
          <w:szCs w:val="22"/>
        </w:rPr>
        <w:t xml:space="preserve">In response to Section IV, Question 5 </w:t>
      </w:r>
      <w:r w:rsidR="0000108B">
        <w:rPr>
          <w:color w:val="000000"/>
          <w:sz w:val="22"/>
          <w:szCs w:val="22"/>
        </w:rPr>
        <w:t xml:space="preserve">of that application, you </w:t>
      </w:r>
      <w:r w:rsidR="00A10CDB">
        <w:rPr>
          <w:color w:val="000000"/>
          <w:sz w:val="22"/>
          <w:szCs w:val="22"/>
        </w:rPr>
        <w:t>attached an exhibit which</w:t>
      </w:r>
      <w:r w:rsidR="004C05FB">
        <w:rPr>
          <w:color w:val="000000"/>
          <w:sz w:val="22"/>
          <w:szCs w:val="22"/>
        </w:rPr>
        <w:t xml:space="preserve"> </w:t>
      </w:r>
      <w:r w:rsidR="00D541B0">
        <w:rPr>
          <w:color w:val="000000"/>
          <w:sz w:val="22"/>
          <w:szCs w:val="22"/>
        </w:rPr>
        <w:t xml:space="preserve">admitted to </w:t>
      </w:r>
      <w:r w:rsidR="00745EA7">
        <w:rPr>
          <w:color w:val="000000"/>
          <w:sz w:val="22"/>
          <w:szCs w:val="22"/>
        </w:rPr>
        <w:t>a potential violation</w:t>
      </w:r>
      <w:r w:rsidR="00D541B0">
        <w:rPr>
          <w:color w:val="000000"/>
          <w:sz w:val="22"/>
          <w:szCs w:val="22"/>
        </w:rPr>
        <w:t xml:space="preserve"> of </w:t>
      </w:r>
      <w:r w:rsidR="00B71FA8">
        <w:rPr>
          <w:color w:val="000000"/>
          <w:sz w:val="22"/>
          <w:szCs w:val="22"/>
        </w:rPr>
        <w:t>the Commission’s</w:t>
      </w:r>
      <w:r w:rsidR="00D541B0">
        <w:rPr>
          <w:color w:val="000000"/>
          <w:sz w:val="22"/>
          <w:szCs w:val="22"/>
        </w:rPr>
        <w:t xml:space="preserve"> commercial </w:t>
      </w:r>
      <w:r w:rsidR="00B71FA8">
        <w:rPr>
          <w:color w:val="000000"/>
          <w:sz w:val="22"/>
          <w:szCs w:val="22"/>
        </w:rPr>
        <w:t>limit rules that occurred during the children’s program “Xiaolin Showdown</w:t>
      </w:r>
      <w:r w:rsidR="00D541B0">
        <w:rPr>
          <w:color w:val="000000"/>
          <w:sz w:val="22"/>
          <w:szCs w:val="22"/>
        </w:rPr>
        <w:t>.</w:t>
      </w:r>
      <w:r w:rsidR="00B71FA8">
        <w:rPr>
          <w:color w:val="000000"/>
          <w:sz w:val="22"/>
          <w:szCs w:val="22"/>
        </w:rPr>
        <w:t>”</w:t>
      </w:r>
      <w:r w:rsidR="00D541B0">
        <w:rPr>
          <w:color w:val="000000"/>
          <w:sz w:val="22"/>
          <w:szCs w:val="22"/>
        </w:rPr>
        <w:t xml:space="preserve">  </w:t>
      </w:r>
      <w:r w:rsidR="000D135A">
        <w:rPr>
          <w:color w:val="000000"/>
          <w:sz w:val="22"/>
          <w:szCs w:val="22"/>
        </w:rPr>
        <w:t xml:space="preserve">You also </w:t>
      </w:r>
      <w:r w:rsidR="00B71FA8">
        <w:rPr>
          <w:color w:val="000000"/>
          <w:sz w:val="22"/>
          <w:szCs w:val="22"/>
        </w:rPr>
        <w:t>admitted to</w:t>
      </w:r>
      <w:r w:rsidR="00745EA7">
        <w:rPr>
          <w:color w:val="000000"/>
          <w:sz w:val="22"/>
          <w:szCs w:val="22"/>
        </w:rPr>
        <w:t xml:space="preserve"> a second </w:t>
      </w:r>
      <w:r w:rsidR="00E31CEF">
        <w:rPr>
          <w:color w:val="000000"/>
          <w:sz w:val="22"/>
          <w:szCs w:val="22"/>
        </w:rPr>
        <w:t xml:space="preserve">potential </w:t>
      </w:r>
      <w:r w:rsidR="00B71FA8">
        <w:rPr>
          <w:color w:val="000000"/>
          <w:sz w:val="22"/>
          <w:szCs w:val="22"/>
        </w:rPr>
        <w:t xml:space="preserve">violation of the Commission’s commercial </w:t>
      </w:r>
      <w:r w:rsidR="00745EA7">
        <w:rPr>
          <w:color w:val="000000"/>
          <w:sz w:val="22"/>
          <w:szCs w:val="22"/>
        </w:rPr>
        <w:t xml:space="preserve">limit </w:t>
      </w:r>
      <w:r w:rsidR="00B71FA8">
        <w:rPr>
          <w:color w:val="000000"/>
          <w:sz w:val="22"/>
          <w:szCs w:val="22"/>
        </w:rPr>
        <w:t>rules during the children’s program “LazyTown</w:t>
      </w:r>
      <w:r w:rsidR="00745EA7">
        <w:rPr>
          <w:color w:val="000000"/>
          <w:sz w:val="22"/>
          <w:szCs w:val="22"/>
        </w:rPr>
        <w:t>.</w:t>
      </w:r>
      <w:r w:rsidR="00B71FA8">
        <w:rPr>
          <w:color w:val="000000"/>
          <w:sz w:val="22"/>
          <w:szCs w:val="22"/>
        </w:rPr>
        <w:t>”</w:t>
      </w:r>
      <w:r w:rsidR="00745EA7">
        <w:rPr>
          <w:color w:val="000000"/>
          <w:sz w:val="22"/>
          <w:szCs w:val="22"/>
        </w:rPr>
        <w:t xml:space="preserve">  </w:t>
      </w:r>
    </w:p>
    <w:p w:rsidR="00745EA7" w:rsidRDefault="00D541B0" w:rsidP="00745EA7">
      <w:pPr>
        <w:spacing w:after="240"/>
        <w:ind w:firstLine="720"/>
        <w:jc w:val="both"/>
        <w:rPr>
          <w:rFonts w:ascii="Verdana" w:hAnsi="Verdana"/>
          <w:color w:val="000000"/>
          <w:sz w:val="19"/>
          <w:szCs w:val="19"/>
        </w:rPr>
      </w:pPr>
      <w:r>
        <w:rPr>
          <w:color w:val="000000"/>
          <w:sz w:val="22"/>
          <w:szCs w:val="22"/>
        </w:rPr>
        <w:lastRenderedPageBreak/>
        <w:t xml:space="preserve">First, the </w:t>
      </w:r>
      <w:r w:rsidR="006E4831">
        <w:rPr>
          <w:color w:val="000000"/>
          <w:sz w:val="22"/>
          <w:szCs w:val="22"/>
        </w:rPr>
        <w:t>Station references</w:t>
      </w:r>
      <w:r w:rsidR="000D135A">
        <w:rPr>
          <w:color w:val="000000"/>
          <w:sz w:val="22"/>
          <w:szCs w:val="22"/>
        </w:rPr>
        <w:t xml:space="preserve"> </w:t>
      </w:r>
      <w:r w:rsidR="006E4831">
        <w:rPr>
          <w:color w:val="000000"/>
          <w:sz w:val="22"/>
          <w:szCs w:val="22"/>
        </w:rPr>
        <w:t>an explanation provided in its</w:t>
      </w:r>
      <w:r w:rsidR="000D135A">
        <w:rPr>
          <w:color w:val="000000"/>
          <w:sz w:val="22"/>
          <w:szCs w:val="22"/>
        </w:rPr>
        <w:t xml:space="preserve"> fourth quarter 2006 </w:t>
      </w:r>
      <w:r w:rsidR="000D69A1">
        <w:rPr>
          <w:color w:val="000000"/>
          <w:sz w:val="22"/>
          <w:szCs w:val="22"/>
        </w:rPr>
        <w:t xml:space="preserve">children’s commercial time limit certification </w:t>
      </w:r>
      <w:r w:rsidR="00C00A4F">
        <w:rPr>
          <w:color w:val="000000"/>
          <w:sz w:val="22"/>
          <w:szCs w:val="22"/>
        </w:rPr>
        <w:t>(“</w:t>
      </w:r>
      <w:r w:rsidR="006E4831">
        <w:rPr>
          <w:color w:val="000000"/>
          <w:sz w:val="22"/>
          <w:szCs w:val="22"/>
        </w:rPr>
        <w:t>certification”) concerning a potential violation of the Commission’s commercial limit rules</w:t>
      </w:r>
      <w:r w:rsidR="00C00A4F">
        <w:rPr>
          <w:color w:val="000000"/>
          <w:sz w:val="22"/>
          <w:szCs w:val="22"/>
        </w:rPr>
        <w:t>.</w:t>
      </w:r>
      <w:r w:rsidR="006E4831">
        <w:rPr>
          <w:rStyle w:val="FootnoteReference"/>
          <w:color w:val="000000"/>
          <w:sz w:val="22"/>
          <w:szCs w:val="22"/>
        </w:rPr>
        <w:footnoteReference w:id="5"/>
      </w:r>
      <w:r w:rsidR="00C915C4" w:rsidRPr="00C915C4">
        <w:rPr>
          <w:rStyle w:val="FootnoteReference"/>
          <w:color w:val="000000"/>
          <w:sz w:val="22"/>
          <w:szCs w:val="22"/>
        </w:rPr>
        <w:t xml:space="preserve"> </w:t>
      </w:r>
      <w:r w:rsidR="006E4831">
        <w:rPr>
          <w:color w:val="000000"/>
          <w:sz w:val="22"/>
          <w:szCs w:val="22"/>
        </w:rPr>
        <w:t xml:space="preserve"> </w:t>
      </w:r>
      <w:r w:rsidR="00C00A4F">
        <w:rPr>
          <w:color w:val="000000"/>
          <w:sz w:val="22"/>
          <w:szCs w:val="22"/>
        </w:rPr>
        <w:t xml:space="preserve">In </w:t>
      </w:r>
      <w:r w:rsidR="006E4831">
        <w:rPr>
          <w:color w:val="000000"/>
          <w:sz w:val="22"/>
          <w:szCs w:val="22"/>
        </w:rPr>
        <w:t>the certification</w:t>
      </w:r>
      <w:r w:rsidR="00875EA3">
        <w:rPr>
          <w:color w:val="000000"/>
          <w:sz w:val="22"/>
          <w:szCs w:val="22"/>
        </w:rPr>
        <w:t>,</w:t>
      </w:r>
      <w:r w:rsidR="00C00A4F">
        <w:rPr>
          <w:color w:val="000000"/>
          <w:sz w:val="22"/>
          <w:szCs w:val="22"/>
        </w:rPr>
        <w:t xml:space="preserve"> </w:t>
      </w:r>
      <w:r w:rsidR="00A86F80">
        <w:rPr>
          <w:color w:val="000000"/>
          <w:sz w:val="22"/>
          <w:szCs w:val="22"/>
        </w:rPr>
        <w:t xml:space="preserve">the Station admits that on December 23, 2006, it aired a commercial (for Post Cereal’s Cocoa Pebbles) during the “Xiaolin Showdown” program that </w:t>
      </w:r>
      <w:r w:rsidR="000D135A">
        <w:rPr>
          <w:color w:val="000000"/>
          <w:sz w:val="22"/>
          <w:szCs w:val="22"/>
        </w:rPr>
        <w:t xml:space="preserve">contained </w:t>
      </w:r>
      <w:r w:rsidR="00A86F80">
        <w:rPr>
          <w:color w:val="000000"/>
          <w:sz w:val="22"/>
          <w:szCs w:val="22"/>
        </w:rPr>
        <w:t>“</w:t>
      </w:r>
      <w:r w:rsidR="000D135A">
        <w:rPr>
          <w:color w:val="000000"/>
          <w:sz w:val="22"/>
          <w:szCs w:val="22"/>
        </w:rPr>
        <w:t>glimpses</w:t>
      </w:r>
      <w:r w:rsidR="000D69A1">
        <w:rPr>
          <w:color w:val="000000"/>
          <w:sz w:val="22"/>
          <w:szCs w:val="22"/>
        </w:rPr>
        <w:t>”</w:t>
      </w:r>
      <w:r w:rsidR="000D135A">
        <w:rPr>
          <w:color w:val="000000"/>
          <w:sz w:val="22"/>
          <w:szCs w:val="22"/>
        </w:rPr>
        <w:t xml:space="preserve"> of characters from the program </w:t>
      </w:r>
      <w:r w:rsidR="000D69A1">
        <w:rPr>
          <w:color w:val="000000"/>
          <w:sz w:val="22"/>
          <w:szCs w:val="22"/>
        </w:rPr>
        <w:t>“</w:t>
      </w:r>
      <w:r w:rsidR="000D135A">
        <w:rPr>
          <w:color w:val="000000"/>
          <w:sz w:val="22"/>
          <w:szCs w:val="22"/>
        </w:rPr>
        <w:t xml:space="preserve">on </w:t>
      </w:r>
      <w:r w:rsidR="000D69A1">
        <w:rPr>
          <w:color w:val="000000"/>
          <w:sz w:val="22"/>
          <w:szCs w:val="22"/>
        </w:rPr>
        <w:t>a small portion of the</w:t>
      </w:r>
      <w:r w:rsidR="000D135A">
        <w:rPr>
          <w:color w:val="000000"/>
          <w:sz w:val="22"/>
          <w:szCs w:val="22"/>
        </w:rPr>
        <w:t xml:space="preserve"> screen.</w:t>
      </w:r>
      <w:r w:rsidR="000D69A1">
        <w:rPr>
          <w:color w:val="000000"/>
          <w:sz w:val="22"/>
          <w:szCs w:val="22"/>
        </w:rPr>
        <w:t>”</w:t>
      </w:r>
      <w:r w:rsidR="000D135A">
        <w:rPr>
          <w:color w:val="000000"/>
          <w:sz w:val="22"/>
          <w:szCs w:val="22"/>
        </w:rPr>
        <w:t xml:space="preserve">  </w:t>
      </w:r>
      <w:r w:rsidR="000D69A1">
        <w:rPr>
          <w:color w:val="000000"/>
          <w:sz w:val="22"/>
          <w:szCs w:val="22"/>
        </w:rPr>
        <w:t xml:space="preserve">The </w:t>
      </w:r>
      <w:r w:rsidR="00A86F80">
        <w:rPr>
          <w:color w:val="000000"/>
          <w:sz w:val="22"/>
          <w:szCs w:val="22"/>
        </w:rPr>
        <w:t xml:space="preserve">certification </w:t>
      </w:r>
      <w:r w:rsidR="00C00A4F">
        <w:rPr>
          <w:color w:val="000000"/>
          <w:sz w:val="22"/>
          <w:szCs w:val="22"/>
        </w:rPr>
        <w:t>describes</w:t>
      </w:r>
      <w:r w:rsidR="000D69A1">
        <w:rPr>
          <w:color w:val="000000"/>
          <w:sz w:val="22"/>
          <w:szCs w:val="22"/>
        </w:rPr>
        <w:t xml:space="preserve"> the images </w:t>
      </w:r>
      <w:r w:rsidR="00C00A4F">
        <w:rPr>
          <w:color w:val="000000"/>
          <w:sz w:val="22"/>
          <w:szCs w:val="22"/>
        </w:rPr>
        <w:t xml:space="preserve">of the characters as </w:t>
      </w:r>
      <w:r w:rsidR="00745EA7">
        <w:rPr>
          <w:color w:val="000000"/>
          <w:sz w:val="22"/>
          <w:szCs w:val="22"/>
        </w:rPr>
        <w:t xml:space="preserve">“small, fleeting, and confined to a small area of the picture.”  </w:t>
      </w:r>
      <w:r w:rsidR="00875EA3">
        <w:rPr>
          <w:color w:val="000000"/>
          <w:sz w:val="22"/>
          <w:szCs w:val="22"/>
        </w:rPr>
        <w:t>T</w:t>
      </w:r>
      <w:r w:rsidR="006E4831">
        <w:rPr>
          <w:color w:val="000000"/>
          <w:sz w:val="22"/>
          <w:szCs w:val="22"/>
        </w:rPr>
        <w:t xml:space="preserve">he Station </w:t>
      </w:r>
      <w:r w:rsidR="00875EA3">
        <w:rPr>
          <w:color w:val="000000"/>
          <w:sz w:val="22"/>
          <w:szCs w:val="22"/>
        </w:rPr>
        <w:t xml:space="preserve">states that </w:t>
      </w:r>
      <w:r w:rsidR="006E4831">
        <w:rPr>
          <w:color w:val="000000"/>
          <w:sz w:val="22"/>
          <w:szCs w:val="22"/>
        </w:rPr>
        <w:t>t</w:t>
      </w:r>
      <w:r w:rsidR="00C00A4F">
        <w:rPr>
          <w:color w:val="000000"/>
          <w:sz w:val="22"/>
          <w:szCs w:val="22"/>
        </w:rPr>
        <w:t xml:space="preserve">he incident was reported to </w:t>
      </w:r>
      <w:r w:rsidR="006E4831">
        <w:rPr>
          <w:color w:val="000000"/>
          <w:sz w:val="22"/>
          <w:szCs w:val="22"/>
        </w:rPr>
        <w:t>it in</w:t>
      </w:r>
      <w:r w:rsidR="00C00A4F">
        <w:rPr>
          <w:color w:val="000000"/>
          <w:sz w:val="22"/>
          <w:szCs w:val="22"/>
        </w:rPr>
        <w:t xml:space="preserve"> a communication from the CW Network, which acknowledged that “the </w:t>
      </w:r>
      <w:r w:rsidR="00745EA7">
        <w:rPr>
          <w:color w:val="000000"/>
          <w:sz w:val="22"/>
          <w:szCs w:val="22"/>
        </w:rPr>
        <w:t xml:space="preserve">technology used </w:t>
      </w:r>
      <w:r w:rsidR="00C00A4F">
        <w:rPr>
          <w:color w:val="000000"/>
          <w:sz w:val="22"/>
          <w:szCs w:val="22"/>
        </w:rPr>
        <w:t>by the CW Network to</w:t>
      </w:r>
      <w:r w:rsidR="00745EA7">
        <w:rPr>
          <w:color w:val="000000"/>
          <w:sz w:val="22"/>
          <w:szCs w:val="22"/>
        </w:rPr>
        <w:t xml:space="preserve"> review children’s commercials prior to air proved inadequate.</w:t>
      </w:r>
      <w:r w:rsidR="00C00A4F">
        <w:rPr>
          <w:color w:val="000000"/>
          <w:sz w:val="22"/>
          <w:szCs w:val="22"/>
        </w:rPr>
        <w:t>”</w:t>
      </w:r>
      <w:r w:rsidR="00745EA7">
        <w:rPr>
          <w:color w:val="000000"/>
          <w:sz w:val="22"/>
          <w:szCs w:val="22"/>
        </w:rPr>
        <w:t xml:space="preserve">  The </w:t>
      </w:r>
      <w:r w:rsidR="00C00A4F">
        <w:rPr>
          <w:color w:val="000000"/>
          <w:sz w:val="22"/>
          <w:szCs w:val="22"/>
        </w:rPr>
        <w:t>communication</w:t>
      </w:r>
      <w:r w:rsidR="00745EA7">
        <w:rPr>
          <w:color w:val="000000"/>
          <w:sz w:val="22"/>
          <w:szCs w:val="22"/>
        </w:rPr>
        <w:t xml:space="preserve"> describe</w:t>
      </w:r>
      <w:r w:rsidR="00C00A4F">
        <w:rPr>
          <w:color w:val="000000"/>
          <w:sz w:val="22"/>
          <w:szCs w:val="22"/>
        </w:rPr>
        <w:t>d</w:t>
      </w:r>
      <w:r w:rsidR="00745EA7">
        <w:rPr>
          <w:color w:val="000000"/>
          <w:sz w:val="22"/>
          <w:szCs w:val="22"/>
        </w:rPr>
        <w:t xml:space="preserve"> th</w:t>
      </w:r>
      <w:r w:rsidR="00C00A4F">
        <w:rPr>
          <w:color w:val="000000"/>
          <w:sz w:val="22"/>
          <w:szCs w:val="22"/>
        </w:rPr>
        <w:t>e</w:t>
      </w:r>
      <w:r w:rsidR="00745EA7">
        <w:rPr>
          <w:color w:val="000000"/>
          <w:sz w:val="22"/>
          <w:szCs w:val="22"/>
        </w:rPr>
        <w:t xml:space="preserve"> commercial as “an apparent violation of the FCC’s children’s advertising rules.” </w:t>
      </w:r>
      <w:r w:rsidR="00C915C4">
        <w:rPr>
          <w:color w:val="000000"/>
          <w:sz w:val="22"/>
          <w:szCs w:val="22"/>
        </w:rPr>
        <w:t>A few weeks after the incident, the CW Network advised the Station that it had undertaken efforts “to avoid repetition of this regrettable error.”</w:t>
      </w:r>
      <w:r w:rsidR="006E4831" w:rsidRPr="006E4831">
        <w:rPr>
          <w:rStyle w:val="FootnoteReference"/>
          <w:color w:val="000000"/>
          <w:sz w:val="22"/>
          <w:szCs w:val="22"/>
        </w:rPr>
        <w:t xml:space="preserve"> </w:t>
      </w:r>
      <w:r w:rsidR="006E4831">
        <w:rPr>
          <w:rStyle w:val="FootnoteReference"/>
          <w:color w:val="000000"/>
          <w:sz w:val="22"/>
          <w:szCs w:val="22"/>
        </w:rPr>
        <w:footnoteReference w:id="6"/>
      </w:r>
    </w:p>
    <w:p w:rsidR="00745EA7" w:rsidRDefault="00745EA7" w:rsidP="00745EA7">
      <w:pPr>
        <w:spacing w:after="240"/>
        <w:ind w:firstLine="720"/>
        <w:jc w:val="both"/>
        <w:rPr>
          <w:color w:val="000000"/>
          <w:sz w:val="22"/>
          <w:szCs w:val="22"/>
        </w:rPr>
      </w:pPr>
      <w:r>
        <w:rPr>
          <w:color w:val="000000"/>
          <w:sz w:val="22"/>
          <w:szCs w:val="22"/>
        </w:rPr>
        <w:t>Based on t</w:t>
      </w:r>
      <w:r w:rsidRPr="005F4174">
        <w:rPr>
          <w:color w:val="000000"/>
          <w:sz w:val="22"/>
          <w:szCs w:val="22"/>
        </w:rPr>
        <w:t xml:space="preserve">he </w:t>
      </w:r>
      <w:r w:rsidR="00C00A4F">
        <w:rPr>
          <w:color w:val="000000"/>
          <w:sz w:val="22"/>
          <w:szCs w:val="22"/>
        </w:rPr>
        <w:t xml:space="preserve">Station’s description </w:t>
      </w:r>
      <w:r w:rsidR="006E4831">
        <w:rPr>
          <w:color w:val="000000"/>
          <w:sz w:val="22"/>
          <w:szCs w:val="22"/>
        </w:rPr>
        <w:t>in its commercial limit certification</w:t>
      </w:r>
      <w:r w:rsidRPr="005F4174">
        <w:rPr>
          <w:color w:val="000000"/>
          <w:sz w:val="22"/>
          <w:szCs w:val="22"/>
        </w:rPr>
        <w:t>, it appears that this incident is a</w:t>
      </w:r>
      <w:r>
        <w:rPr>
          <w:color w:val="000000"/>
          <w:sz w:val="22"/>
          <w:szCs w:val="22"/>
        </w:rPr>
        <w:t>n example of “host-selling.</w:t>
      </w:r>
      <w:r w:rsidRPr="005F4174">
        <w:rPr>
          <w:color w:val="000000"/>
          <w:sz w:val="22"/>
          <w:szCs w:val="22"/>
        </w:rPr>
        <w:t>”</w:t>
      </w:r>
      <w:r>
        <w:rPr>
          <w:color w:val="000000"/>
          <w:sz w:val="22"/>
          <w:szCs w:val="22"/>
        </w:rPr>
        <w:t xml:space="preserve">  Host-selling </w:t>
      </w:r>
      <w:r w:rsidRPr="005F4174">
        <w:rPr>
          <w:color w:val="000000"/>
          <w:sz w:val="22"/>
          <w:szCs w:val="22"/>
        </w:rPr>
        <w:t xml:space="preserve">involves program-related characters promoting any </w:t>
      </w:r>
      <w:r>
        <w:rPr>
          <w:color w:val="000000"/>
          <w:sz w:val="22"/>
          <w:szCs w:val="22"/>
        </w:rPr>
        <w:t xml:space="preserve">product during the </w:t>
      </w:r>
      <w:r w:rsidRPr="005F4174">
        <w:rPr>
          <w:color w:val="000000"/>
          <w:sz w:val="22"/>
          <w:szCs w:val="22"/>
        </w:rPr>
        <w:t>program</w:t>
      </w:r>
      <w:bookmarkStart w:id="3" w:name="FN[FN9]"/>
      <w:bookmarkEnd w:id="3"/>
      <w:r>
        <w:rPr>
          <w:color w:val="000000"/>
          <w:sz w:val="22"/>
          <w:szCs w:val="22"/>
        </w:rPr>
        <w:t xml:space="preserve"> in question</w:t>
      </w:r>
      <w:r w:rsidRPr="005F4174">
        <w:rPr>
          <w:color w:val="000000"/>
          <w:sz w:val="22"/>
          <w:szCs w:val="22"/>
        </w:rPr>
        <w:t xml:space="preserve"> and is a practice that the Commission has denounced because it takes unfair advantage of the trust that children place in </w:t>
      </w:r>
      <w:r>
        <w:rPr>
          <w:color w:val="000000"/>
          <w:sz w:val="22"/>
          <w:szCs w:val="22"/>
        </w:rPr>
        <w:t xml:space="preserve">such </w:t>
      </w:r>
      <w:r w:rsidRPr="005F4174">
        <w:rPr>
          <w:color w:val="000000"/>
          <w:sz w:val="22"/>
          <w:szCs w:val="22"/>
        </w:rPr>
        <w:t>characters</w:t>
      </w:r>
      <w:bookmarkStart w:id="4" w:name="FN[FN10]"/>
      <w:bookmarkEnd w:id="4"/>
      <w:r>
        <w:rPr>
          <w:color w:val="000000"/>
          <w:sz w:val="22"/>
          <w:szCs w:val="22"/>
        </w:rPr>
        <w:t>.</w:t>
      </w:r>
      <w:r>
        <w:rPr>
          <w:rStyle w:val="FootnoteReference"/>
          <w:color w:val="000000"/>
          <w:sz w:val="22"/>
          <w:szCs w:val="22"/>
        </w:rPr>
        <w:footnoteReference w:id="7"/>
      </w:r>
      <w:r w:rsidRPr="005F4174">
        <w:rPr>
          <w:color w:val="000000"/>
          <w:sz w:val="22"/>
          <w:szCs w:val="22"/>
        </w:rPr>
        <w:t xml:space="preserve"> </w:t>
      </w:r>
      <w:r>
        <w:rPr>
          <w:color w:val="000000"/>
          <w:sz w:val="22"/>
          <w:szCs w:val="22"/>
        </w:rPr>
        <w:t xml:space="preserve"> </w:t>
      </w:r>
      <w:r w:rsidRPr="005F4174">
        <w:rPr>
          <w:color w:val="000000"/>
          <w:sz w:val="22"/>
          <w:szCs w:val="22"/>
        </w:rPr>
        <w:t>In this regard, the Commission has stated that “host-selling encompasses any character endorsement - not just direct vocal appeals - that has the effect of confusing a child viewer from distinguishing between program and non-program material.”</w:t>
      </w:r>
      <w:bookmarkStart w:id="5" w:name="FN[FN11]"/>
      <w:bookmarkEnd w:id="5"/>
      <w:r>
        <w:rPr>
          <w:rStyle w:val="FootnoteReference"/>
          <w:color w:val="000000"/>
          <w:sz w:val="22"/>
          <w:szCs w:val="22"/>
        </w:rPr>
        <w:footnoteReference w:id="8"/>
      </w:r>
      <w:r>
        <w:rPr>
          <w:color w:val="000000"/>
          <w:sz w:val="22"/>
          <w:szCs w:val="22"/>
          <w:vertAlign w:val="superscript"/>
        </w:rPr>
        <w:t xml:space="preserve"> </w:t>
      </w:r>
      <w:r>
        <w:rPr>
          <w:color w:val="000000"/>
          <w:sz w:val="22"/>
          <w:szCs w:val="22"/>
        </w:rPr>
        <w:t xml:space="preserve"> </w:t>
      </w:r>
      <w:r w:rsidRPr="005F4174">
        <w:rPr>
          <w:color w:val="000000"/>
          <w:sz w:val="22"/>
          <w:szCs w:val="22"/>
        </w:rPr>
        <w:t>For example, the Commission has determined that “advertisements featuring the same type of animation that is regularly featured in the accompanying program constitutes host-selling.</w:t>
      </w:r>
      <w:bookmarkStart w:id="6" w:name="FN[FN12]"/>
      <w:bookmarkEnd w:id="6"/>
      <w:r>
        <w:rPr>
          <w:color w:val="000000"/>
          <w:sz w:val="22"/>
          <w:szCs w:val="22"/>
        </w:rPr>
        <w:t>”</w:t>
      </w:r>
      <w:r>
        <w:rPr>
          <w:rStyle w:val="FootnoteReference"/>
          <w:color w:val="000000"/>
          <w:sz w:val="22"/>
          <w:szCs w:val="22"/>
        </w:rPr>
        <w:footnoteReference w:id="9"/>
      </w:r>
      <w:r>
        <w:rPr>
          <w:color w:val="000000"/>
          <w:sz w:val="22"/>
          <w:szCs w:val="22"/>
        </w:rPr>
        <w:t xml:space="preserve">  </w:t>
      </w:r>
      <w:r w:rsidRPr="005F4174">
        <w:rPr>
          <w:color w:val="000000"/>
          <w:sz w:val="22"/>
          <w:szCs w:val="22"/>
        </w:rPr>
        <w:t>Based on the information before us, we believe the commercial broadcast on December 23, 2006, violated the Commission's host-selling policy.</w:t>
      </w:r>
      <w:r w:rsidR="00C00A4F">
        <w:rPr>
          <w:color w:val="000000"/>
          <w:sz w:val="22"/>
          <w:szCs w:val="22"/>
        </w:rPr>
        <w:t xml:space="preserve">  </w:t>
      </w:r>
    </w:p>
    <w:p w:rsidR="00745EA7" w:rsidRPr="005D445A" w:rsidRDefault="00104B57" w:rsidP="008331FA">
      <w:pPr>
        <w:autoSpaceDE w:val="0"/>
        <w:autoSpaceDN w:val="0"/>
        <w:adjustRightInd w:val="0"/>
        <w:spacing w:after="240"/>
        <w:ind w:firstLine="720"/>
        <w:jc w:val="both"/>
        <w:rPr>
          <w:color w:val="000000"/>
          <w:sz w:val="22"/>
          <w:szCs w:val="22"/>
        </w:rPr>
      </w:pPr>
      <w:r w:rsidRPr="0037692A">
        <w:rPr>
          <w:color w:val="000000"/>
          <w:sz w:val="22"/>
          <w:szCs w:val="22"/>
        </w:rPr>
        <w:t xml:space="preserve">Second, the Station admits that </w:t>
      </w:r>
      <w:r w:rsidR="00745EA7" w:rsidRPr="005D445A">
        <w:rPr>
          <w:color w:val="000000"/>
          <w:sz w:val="22"/>
          <w:szCs w:val="22"/>
        </w:rPr>
        <w:t>on October 12, 2013, the Station aired the URL address for the website “www.lazytown.com,” (</w:t>
      </w:r>
      <w:r w:rsidR="00745EA7" w:rsidRPr="002043E8">
        <w:rPr>
          <w:i/>
          <w:color w:val="000000"/>
          <w:sz w:val="22"/>
          <w:szCs w:val="22"/>
        </w:rPr>
        <w:t>last visited</w:t>
      </w:r>
      <w:r w:rsidR="00745EA7" w:rsidRPr="005D445A">
        <w:rPr>
          <w:color w:val="000000"/>
          <w:sz w:val="22"/>
          <w:szCs w:val="22"/>
        </w:rPr>
        <w:t xml:space="preserve"> </w:t>
      </w:r>
      <w:r w:rsidR="00745EA7">
        <w:rPr>
          <w:color w:val="000000"/>
          <w:sz w:val="22"/>
          <w:szCs w:val="22"/>
        </w:rPr>
        <w:t>Jul</w:t>
      </w:r>
      <w:r w:rsidR="00745EA7" w:rsidRPr="005D445A">
        <w:rPr>
          <w:color w:val="000000"/>
          <w:sz w:val="22"/>
          <w:szCs w:val="22"/>
        </w:rPr>
        <w:t xml:space="preserve">. </w:t>
      </w:r>
      <w:r w:rsidR="00745EA7">
        <w:rPr>
          <w:color w:val="000000"/>
          <w:sz w:val="22"/>
          <w:szCs w:val="22"/>
        </w:rPr>
        <w:t>2</w:t>
      </w:r>
      <w:r w:rsidR="00745EA7" w:rsidRPr="005D445A">
        <w:rPr>
          <w:color w:val="000000"/>
          <w:sz w:val="22"/>
          <w:szCs w:val="22"/>
        </w:rPr>
        <w:t>, 2014) which appeared during the closing credits of the NBC Network supplied children’s program “LazyTown.”</w:t>
      </w:r>
      <w:r w:rsidR="00745EA7" w:rsidRPr="005D445A">
        <w:rPr>
          <w:rStyle w:val="FootnoteReference"/>
          <w:color w:val="000000"/>
          <w:sz w:val="22"/>
          <w:szCs w:val="22"/>
        </w:rPr>
        <w:footnoteReference w:id="10"/>
      </w:r>
      <w:r w:rsidR="00745EA7" w:rsidRPr="005D445A">
        <w:rPr>
          <w:color w:val="000000"/>
          <w:sz w:val="22"/>
          <w:szCs w:val="22"/>
        </w:rPr>
        <w:t xml:space="preserve">  The inclusion of the website address is described by a NBC Network communication sent to the Station as being “inadvertently included” and “fleeting.”  NBC Network goes on to describe the precautions it takes to avoid such incidents and states that it is working “to develop and implement additional procedures to minimize the possibility of a re-occurren</w:t>
      </w:r>
      <w:r w:rsidR="008331FA">
        <w:rPr>
          <w:color w:val="000000"/>
          <w:sz w:val="22"/>
          <w:szCs w:val="22"/>
        </w:rPr>
        <w:t xml:space="preserve">ce of this isolated incident.”  </w:t>
      </w:r>
      <w:r w:rsidR="00745EA7" w:rsidRPr="005D445A">
        <w:rPr>
          <w:color w:val="000000"/>
          <w:sz w:val="22"/>
          <w:szCs w:val="22"/>
        </w:rPr>
        <w:t xml:space="preserve">You argue that because the website address was displayed for an “exceedingly short duration” and would not have been “discernible to a reasonable child viewer,” the display was not a violation of the rules or was, at most, a </w:t>
      </w:r>
      <w:r w:rsidR="00745EA7" w:rsidRPr="005D445A">
        <w:rPr>
          <w:i/>
          <w:color w:val="000000"/>
          <w:sz w:val="22"/>
          <w:szCs w:val="22"/>
        </w:rPr>
        <w:t>de minimis</w:t>
      </w:r>
      <w:r w:rsidR="00745EA7" w:rsidRPr="005D445A">
        <w:rPr>
          <w:color w:val="000000"/>
          <w:sz w:val="22"/>
          <w:szCs w:val="22"/>
        </w:rPr>
        <w:t xml:space="preserve"> violation.  You request that, if the Commission finds the display of the website address to be other than a </w:t>
      </w:r>
      <w:r w:rsidR="00745EA7" w:rsidRPr="005D445A">
        <w:rPr>
          <w:i/>
          <w:color w:val="000000"/>
          <w:sz w:val="22"/>
          <w:szCs w:val="22"/>
        </w:rPr>
        <w:t>de minimis</w:t>
      </w:r>
      <w:r w:rsidR="00745EA7" w:rsidRPr="005D445A">
        <w:rPr>
          <w:color w:val="000000"/>
          <w:sz w:val="22"/>
          <w:szCs w:val="22"/>
        </w:rPr>
        <w:t xml:space="preserve"> violation of Section </w:t>
      </w:r>
      <w:r w:rsidR="00745EA7" w:rsidRPr="005D445A">
        <w:rPr>
          <w:color w:val="000000"/>
          <w:sz w:val="22"/>
          <w:szCs w:val="22"/>
        </w:rPr>
        <w:lastRenderedPageBreak/>
        <w:t xml:space="preserve">73.760, the violation </w:t>
      </w:r>
      <w:r w:rsidR="00745EA7">
        <w:rPr>
          <w:color w:val="000000"/>
          <w:sz w:val="22"/>
          <w:szCs w:val="22"/>
        </w:rPr>
        <w:t>should be treated in a similar manner to recent</w:t>
      </w:r>
      <w:r w:rsidR="00745EA7" w:rsidRPr="005D445A">
        <w:rPr>
          <w:color w:val="000000"/>
          <w:sz w:val="22"/>
          <w:szCs w:val="22"/>
        </w:rPr>
        <w:t xml:space="preserve"> “host-selling” violation</w:t>
      </w:r>
      <w:r w:rsidR="00745EA7">
        <w:rPr>
          <w:color w:val="000000"/>
          <w:sz w:val="22"/>
          <w:szCs w:val="22"/>
        </w:rPr>
        <w:t>s</w:t>
      </w:r>
      <w:r w:rsidR="00745EA7" w:rsidRPr="005D445A">
        <w:rPr>
          <w:color w:val="000000"/>
          <w:sz w:val="22"/>
          <w:szCs w:val="22"/>
        </w:rPr>
        <w:t xml:space="preserve">, </w:t>
      </w:r>
      <w:r w:rsidR="00745EA7">
        <w:rPr>
          <w:color w:val="000000"/>
          <w:sz w:val="22"/>
          <w:szCs w:val="22"/>
        </w:rPr>
        <w:t>which resulted in</w:t>
      </w:r>
      <w:r w:rsidR="00745EA7" w:rsidRPr="005D445A">
        <w:rPr>
          <w:color w:val="000000"/>
          <w:sz w:val="22"/>
          <w:szCs w:val="22"/>
        </w:rPr>
        <w:t xml:space="preserve"> </w:t>
      </w:r>
      <w:r w:rsidR="00745EA7">
        <w:rPr>
          <w:color w:val="000000"/>
          <w:sz w:val="22"/>
          <w:szCs w:val="22"/>
        </w:rPr>
        <w:t xml:space="preserve">the </w:t>
      </w:r>
      <w:r w:rsidR="00745EA7" w:rsidRPr="005D445A">
        <w:rPr>
          <w:color w:val="000000"/>
          <w:sz w:val="22"/>
          <w:szCs w:val="22"/>
        </w:rPr>
        <w:t>sanction of an admonishment</w:t>
      </w:r>
      <w:r w:rsidR="00745EA7">
        <w:rPr>
          <w:color w:val="000000"/>
          <w:sz w:val="22"/>
          <w:szCs w:val="22"/>
        </w:rPr>
        <w:t>.</w:t>
      </w:r>
      <w:r w:rsidR="00745EA7" w:rsidRPr="005D445A">
        <w:rPr>
          <w:rStyle w:val="FootnoteReference"/>
          <w:color w:val="000000"/>
          <w:sz w:val="22"/>
          <w:szCs w:val="22"/>
        </w:rPr>
        <w:footnoteReference w:id="11"/>
      </w:r>
    </w:p>
    <w:p w:rsidR="008F10CD" w:rsidRPr="005D445A" w:rsidRDefault="008F10CD" w:rsidP="008F10CD">
      <w:pPr>
        <w:spacing w:after="240"/>
        <w:ind w:firstLine="720"/>
        <w:jc w:val="both"/>
        <w:rPr>
          <w:sz w:val="22"/>
          <w:szCs w:val="22"/>
        </w:rPr>
      </w:pPr>
      <w:r w:rsidRPr="005D445A">
        <w:rPr>
          <w:sz w:val="22"/>
          <w:szCs w:val="22"/>
        </w:rPr>
        <w:t xml:space="preserve">In furtherance of the CTA’s underlying purpose to protect children from excessive and inappropriate commercial messages, </w:t>
      </w:r>
      <w:r w:rsidRPr="005D445A">
        <w:rPr>
          <w:rStyle w:val="FootnoteReference"/>
          <w:sz w:val="22"/>
          <w:szCs w:val="22"/>
        </w:rPr>
        <w:t xml:space="preserve"> </w:t>
      </w:r>
      <w:r w:rsidRPr="005D445A">
        <w:rPr>
          <w:sz w:val="22"/>
          <w:szCs w:val="22"/>
        </w:rPr>
        <w:t>the Commission adopted the website address rules.</w:t>
      </w:r>
      <w:r w:rsidRPr="005D445A">
        <w:rPr>
          <w:rStyle w:val="FootnoteReference"/>
          <w:sz w:val="22"/>
          <w:szCs w:val="22"/>
        </w:rPr>
        <w:footnoteReference w:id="12"/>
      </w:r>
      <w:r w:rsidRPr="005D445A">
        <w:rPr>
          <w:sz w:val="22"/>
          <w:szCs w:val="22"/>
        </w:rPr>
        <w:t xml:space="preserve">  The website address rules restrict the display of Internet web addresses during children’s programming directed at children ages 12 and under.</w:t>
      </w:r>
      <w:r w:rsidRPr="005D445A">
        <w:rPr>
          <w:rStyle w:val="FootnoteReference"/>
          <w:sz w:val="22"/>
          <w:szCs w:val="22"/>
        </w:rPr>
        <w:footnoteReference w:id="13"/>
      </w:r>
      <w:r w:rsidRPr="005D445A">
        <w:rPr>
          <w:sz w:val="22"/>
          <w:szCs w:val="22"/>
        </w:rPr>
        <w:t xml:space="preserve">   Specifically, Section 73.670(b) permits the display of Internet website addresses during program material or promotional material not counted as commercial time only if:  (1) the website offers a substantial amount of </w:t>
      </w:r>
      <w:r w:rsidRPr="005D445A">
        <w:rPr>
          <w:i/>
          <w:iCs/>
          <w:sz w:val="22"/>
          <w:szCs w:val="22"/>
        </w:rPr>
        <w:t xml:space="preserve">bona fide </w:t>
      </w:r>
      <w:r w:rsidRPr="005D445A">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5D445A">
        <w:rPr>
          <w:i/>
          <w:iCs/>
          <w:sz w:val="22"/>
          <w:szCs w:val="22"/>
        </w:rPr>
        <w:t>e.g.</w:t>
      </w:r>
      <w:r w:rsidRPr="005D445A">
        <w:rPr>
          <w:sz w:val="22"/>
          <w:szCs w:val="22"/>
        </w:rPr>
        <w:t>, contains no links labeled “store” and no links to another page with commercial material).</w:t>
      </w:r>
      <w:r w:rsidRPr="005D445A">
        <w:rPr>
          <w:rStyle w:val="FootnoteReference"/>
          <w:sz w:val="22"/>
          <w:szCs w:val="22"/>
        </w:rPr>
        <w:footnoteReference w:id="14"/>
      </w:r>
      <w:r w:rsidRPr="005D445A">
        <w:rPr>
          <w:sz w:val="22"/>
          <w:szCs w:val="22"/>
        </w:rPr>
        <w:t xml:space="preserve">  </w:t>
      </w:r>
    </w:p>
    <w:p w:rsidR="00745EA7" w:rsidRPr="005D445A" w:rsidRDefault="00745EA7" w:rsidP="00745EA7">
      <w:pPr>
        <w:autoSpaceDE w:val="0"/>
        <w:autoSpaceDN w:val="0"/>
        <w:adjustRightInd w:val="0"/>
        <w:spacing w:after="240"/>
        <w:ind w:firstLine="720"/>
        <w:jc w:val="both"/>
        <w:rPr>
          <w:color w:val="010101"/>
          <w:sz w:val="22"/>
          <w:szCs w:val="22"/>
        </w:rPr>
      </w:pPr>
      <w:r w:rsidRPr="005D445A">
        <w:rPr>
          <w:color w:val="010101"/>
          <w:sz w:val="22"/>
          <w:szCs w:val="22"/>
        </w:rPr>
        <w:t xml:space="preserve">Even though the website address was displayed for only a short duration (estimated at less than one-half of one second), the display of a website address during program material, for any period of time, that does not comply with the four-prong test is a violation of </w:t>
      </w:r>
      <w:r w:rsidRPr="005D445A">
        <w:rPr>
          <w:color w:val="000000"/>
          <w:sz w:val="22"/>
          <w:szCs w:val="22"/>
        </w:rPr>
        <w:t>Section 73.670(b)</w:t>
      </w:r>
      <w:r w:rsidRPr="005D445A">
        <w:rPr>
          <w:color w:val="010101"/>
          <w:sz w:val="22"/>
          <w:szCs w:val="22"/>
        </w:rPr>
        <w:t>.    No evidence has been provided demonstrating that the website complies with the four-prong test and upon examination of the website we conclude that it does not comply.   In particular, the website does not meet the fourth prong of the test because the top of the homepage of the website contains content of a commercial nature in the form of a link labeled “</w:t>
      </w:r>
      <w:r>
        <w:rPr>
          <w:color w:val="010101"/>
          <w:sz w:val="22"/>
          <w:szCs w:val="22"/>
        </w:rPr>
        <w:t>shop.</w:t>
      </w:r>
      <w:r w:rsidRPr="005D445A">
        <w:rPr>
          <w:color w:val="010101"/>
          <w:sz w:val="22"/>
          <w:szCs w:val="22"/>
        </w:rPr>
        <w:t>”</w:t>
      </w:r>
      <w:r>
        <w:rPr>
          <w:color w:val="010101"/>
          <w:sz w:val="22"/>
          <w:szCs w:val="22"/>
        </w:rPr>
        <w:t xml:space="preserve">  </w:t>
      </w:r>
      <w:r w:rsidRPr="005D445A">
        <w:rPr>
          <w:color w:val="010101"/>
          <w:sz w:val="22"/>
          <w:szCs w:val="22"/>
        </w:rPr>
        <w:t>Furthermore, while you state that the website address was only displayed during the closing credits, the Commission has specifically stated that</w:t>
      </w:r>
      <w:r w:rsidRPr="005D445A">
        <w:rPr>
          <w:sz w:val="22"/>
          <w:szCs w:val="22"/>
        </w:rPr>
        <w:t xml:space="preserve"> closing credits are considered to be part of </w:t>
      </w:r>
      <w:r w:rsidRPr="005D445A">
        <w:rPr>
          <w:color w:val="010101"/>
          <w:sz w:val="22"/>
          <w:szCs w:val="22"/>
        </w:rPr>
        <w:t>the television programming material and are subject to the website address rule.</w:t>
      </w:r>
      <w:r w:rsidRPr="005D445A">
        <w:rPr>
          <w:rStyle w:val="FootnoteReference"/>
          <w:color w:val="010101"/>
          <w:sz w:val="22"/>
          <w:szCs w:val="22"/>
        </w:rPr>
        <w:footnoteReference w:id="15"/>
      </w:r>
      <w:r w:rsidRPr="005D445A">
        <w:rPr>
          <w:color w:val="010101"/>
          <w:sz w:val="22"/>
          <w:szCs w:val="22"/>
        </w:rPr>
        <w:t xml:space="preserve"> </w:t>
      </w:r>
    </w:p>
    <w:p w:rsidR="00745EA7" w:rsidRPr="005D445A" w:rsidRDefault="00745EA7" w:rsidP="00745EA7">
      <w:pPr>
        <w:autoSpaceDE w:val="0"/>
        <w:autoSpaceDN w:val="0"/>
        <w:adjustRightInd w:val="0"/>
        <w:spacing w:after="240"/>
        <w:ind w:firstLine="720"/>
        <w:jc w:val="both"/>
        <w:rPr>
          <w:color w:val="010101"/>
          <w:sz w:val="22"/>
          <w:szCs w:val="22"/>
        </w:rPr>
      </w:pPr>
      <w:r w:rsidRPr="005D445A">
        <w:rPr>
          <w:sz w:val="22"/>
          <w:szCs w:val="22"/>
        </w:rPr>
        <w:t xml:space="preserve">We note that </w:t>
      </w:r>
      <w:r>
        <w:rPr>
          <w:sz w:val="22"/>
          <w:szCs w:val="22"/>
        </w:rPr>
        <w:t xml:space="preserve">in both </w:t>
      </w:r>
      <w:r w:rsidR="00E31CEF">
        <w:rPr>
          <w:sz w:val="22"/>
          <w:szCs w:val="22"/>
        </w:rPr>
        <w:t>instances discussed above,</w:t>
      </w:r>
      <w:r w:rsidRPr="005D445A">
        <w:rPr>
          <w:sz w:val="22"/>
          <w:szCs w:val="22"/>
        </w:rPr>
        <w:t xml:space="preserve"> the commercial matter may have been inserted into the program by the Station’s television </w:t>
      </w:r>
      <w:r w:rsidR="00E31CEF" w:rsidRPr="005D445A">
        <w:rPr>
          <w:sz w:val="22"/>
          <w:szCs w:val="22"/>
        </w:rPr>
        <w:t>network;</w:t>
      </w:r>
      <w:r w:rsidRPr="005D445A">
        <w:rPr>
          <w:sz w:val="22"/>
          <w:szCs w:val="22"/>
        </w:rPr>
        <w:t xml:space="preserve"> this does not relieve the Station of responsibility for the violations.  In this regard, the Commission has consistently held that reliance on a program’s source or producer for compliance with our children's television rules and</w:t>
      </w:r>
      <w:r w:rsidRPr="005D445A">
        <w:rPr>
          <w:color w:val="000000"/>
          <w:sz w:val="22"/>
          <w:szCs w:val="22"/>
        </w:rPr>
        <w:t xml:space="preserve"> policies will not excuse or mitigate violations which do occur.</w:t>
      </w:r>
      <w:r w:rsidRPr="005D445A">
        <w:rPr>
          <w:rStyle w:val="FootnoteReference"/>
          <w:color w:val="000000"/>
          <w:sz w:val="22"/>
          <w:szCs w:val="22"/>
        </w:rPr>
        <w:footnoteReference w:id="16"/>
      </w:r>
      <w:bookmarkStart w:id="7" w:name="sp_999_3"/>
      <w:bookmarkStart w:id="8" w:name="SDU_3"/>
      <w:r w:rsidRPr="005D445A">
        <w:rPr>
          <w:color w:val="000000"/>
          <w:sz w:val="22"/>
          <w:szCs w:val="22"/>
        </w:rPr>
        <w:t xml:space="preserve">  Although corrective actions may have been taken to prevent future violations, this does not relieve the Station from liability for violations which have already occurred.</w:t>
      </w:r>
      <w:r w:rsidRPr="005D445A">
        <w:rPr>
          <w:rStyle w:val="FootnoteReference"/>
          <w:color w:val="000000"/>
          <w:sz w:val="22"/>
          <w:szCs w:val="22"/>
        </w:rPr>
        <w:footnoteReference w:id="17"/>
      </w:r>
      <w:r w:rsidRPr="005D445A">
        <w:rPr>
          <w:color w:val="000000"/>
          <w:sz w:val="22"/>
          <w:szCs w:val="22"/>
        </w:rPr>
        <w:t xml:space="preserve">  </w:t>
      </w:r>
    </w:p>
    <w:p w:rsidR="00745EA7" w:rsidRPr="005D445A" w:rsidRDefault="00745EA7" w:rsidP="00745EA7">
      <w:pPr>
        <w:autoSpaceDE w:val="0"/>
        <w:autoSpaceDN w:val="0"/>
        <w:adjustRightInd w:val="0"/>
        <w:spacing w:after="240"/>
        <w:ind w:firstLine="720"/>
        <w:jc w:val="both"/>
        <w:rPr>
          <w:color w:val="000000"/>
          <w:sz w:val="22"/>
          <w:szCs w:val="22"/>
        </w:rPr>
      </w:pPr>
      <w:r w:rsidRPr="005D445A">
        <w:rPr>
          <w:color w:val="000000"/>
          <w:sz w:val="22"/>
          <w:szCs w:val="22"/>
        </w:rPr>
        <w:t xml:space="preserve">Although we consider any violation of our rules limiting the amount of </w:t>
      </w:r>
      <w:bookmarkStart w:id="9" w:name="SR;1315"/>
      <w:bookmarkEnd w:id="9"/>
      <w:r w:rsidRPr="005D445A">
        <w:rPr>
          <w:color w:val="000000"/>
          <w:sz w:val="22"/>
          <w:szCs w:val="22"/>
        </w:rPr>
        <w:t>commercial matter in</w:t>
      </w:r>
      <w:bookmarkStart w:id="10" w:name="SR;1318"/>
      <w:bookmarkStart w:id="11" w:name="SR;1319"/>
      <w:bookmarkEnd w:id="10"/>
      <w:bookmarkEnd w:id="11"/>
      <w:r w:rsidRPr="005D445A">
        <w:rPr>
          <w:color w:val="000000"/>
          <w:sz w:val="22"/>
          <w:szCs w:val="22"/>
        </w:rPr>
        <w:t xml:space="preserve"> children’s programming to be significant, the violation described in your license renewal application appears to have been an isolated occurrence.  While we do not rule out more severe sanctions for a similar violation of this nature in the future, we have determined that an admonition is appropriate at this time.  Therefore, based upon the facts and circumstances before us, w</w:t>
      </w:r>
      <w:bookmarkStart w:id="12" w:name="SR;1376"/>
      <w:bookmarkEnd w:id="12"/>
      <w:r w:rsidRPr="005D445A">
        <w:rPr>
          <w:color w:val="000000"/>
          <w:sz w:val="22"/>
          <w:szCs w:val="22"/>
        </w:rPr>
        <w:t xml:space="preserve">e </w:t>
      </w:r>
      <w:r w:rsidRPr="005D445A">
        <w:rPr>
          <w:b/>
          <w:color w:val="000000"/>
          <w:sz w:val="22"/>
          <w:szCs w:val="22"/>
        </w:rPr>
        <w:t>ADMONISH</w:t>
      </w:r>
      <w:r w:rsidRPr="005D445A">
        <w:rPr>
          <w:color w:val="000000"/>
          <w:sz w:val="22"/>
          <w:szCs w:val="22"/>
        </w:rPr>
        <w:t xml:space="preserve"> you for the violation of Section 73.670</w:t>
      </w:r>
      <w:r>
        <w:rPr>
          <w:color w:val="000000"/>
          <w:sz w:val="22"/>
          <w:szCs w:val="22"/>
        </w:rPr>
        <w:t xml:space="preserve"> </w:t>
      </w:r>
      <w:r w:rsidRPr="005D445A">
        <w:rPr>
          <w:color w:val="000000"/>
          <w:sz w:val="22"/>
          <w:szCs w:val="22"/>
        </w:rPr>
        <w:t>of the Commission’s rules</w:t>
      </w:r>
      <w:r>
        <w:rPr>
          <w:color w:val="000000"/>
          <w:sz w:val="22"/>
          <w:szCs w:val="22"/>
        </w:rPr>
        <w:t xml:space="preserve"> </w:t>
      </w:r>
      <w:r w:rsidRPr="00D95A81">
        <w:rPr>
          <w:color w:val="000000"/>
          <w:sz w:val="22"/>
          <w:szCs w:val="22"/>
        </w:rPr>
        <w:t xml:space="preserve">and </w:t>
      </w:r>
      <w:r>
        <w:rPr>
          <w:color w:val="000000"/>
          <w:sz w:val="22"/>
          <w:szCs w:val="22"/>
        </w:rPr>
        <w:t>host-selling policy</w:t>
      </w:r>
      <w:r w:rsidRPr="005D445A">
        <w:rPr>
          <w:color w:val="000000"/>
          <w:sz w:val="22"/>
          <w:szCs w:val="22"/>
        </w:rPr>
        <w:t>.  We remind you that the Commission expects all commercial television licensees to comply with the limits o</w:t>
      </w:r>
      <w:bookmarkStart w:id="13" w:name="SR;1416"/>
      <w:bookmarkEnd w:id="13"/>
      <w:r w:rsidRPr="005D445A">
        <w:rPr>
          <w:color w:val="000000"/>
          <w:sz w:val="22"/>
          <w:szCs w:val="22"/>
        </w:rPr>
        <w:t xml:space="preserve">n commercial matter, including </w:t>
      </w:r>
      <w:r w:rsidR="005A452A">
        <w:rPr>
          <w:color w:val="000000"/>
          <w:sz w:val="22"/>
          <w:szCs w:val="22"/>
        </w:rPr>
        <w:t>restrictions on the</w:t>
      </w:r>
      <w:r w:rsidRPr="005D445A">
        <w:rPr>
          <w:color w:val="000000"/>
          <w:sz w:val="22"/>
          <w:szCs w:val="22"/>
        </w:rPr>
        <w:t xml:space="preserve"> display of website addresses</w:t>
      </w:r>
      <w:r w:rsidR="00B71FA8">
        <w:rPr>
          <w:color w:val="000000"/>
          <w:sz w:val="22"/>
          <w:szCs w:val="22"/>
        </w:rPr>
        <w:t xml:space="preserve"> and host-selling</w:t>
      </w:r>
      <w:r w:rsidRPr="005D445A">
        <w:rPr>
          <w:color w:val="000000"/>
          <w:sz w:val="22"/>
          <w:szCs w:val="22"/>
        </w:rPr>
        <w:t>, during children’s programming.</w:t>
      </w:r>
      <w:bookmarkStart w:id="14" w:name="SR;1419"/>
      <w:bookmarkStart w:id="15" w:name="SR;1420"/>
      <w:bookmarkStart w:id="16" w:name="sp_1511_11971"/>
      <w:bookmarkStart w:id="17" w:name="SDU_11971"/>
      <w:bookmarkStart w:id="18" w:name="citeas((Cite_as:_22_F.C.C.R._11968,_*119"/>
      <w:bookmarkEnd w:id="7"/>
      <w:bookmarkEnd w:id="8"/>
      <w:bookmarkEnd w:id="14"/>
      <w:bookmarkEnd w:id="15"/>
      <w:bookmarkEnd w:id="16"/>
      <w:bookmarkEnd w:id="17"/>
      <w:bookmarkEnd w:id="18"/>
    </w:p>
    <w:p w:rsidR="00745EA7" w:rsidRPr="005D445A" w:rsidRDefault="00745EA7" w:rsidP="00745EA7">
      <w:pPr>
        <w:ind w:firstLine="720"/>
        <w:jc w:val="both"/>
        <w:rPr>
          <w:color w:val="000000"/>
          <w:sz w:val="22"/>
          <w:szCs w:val="22"/>
        </w:rPr>
      </w:pPr>
      <w:r w:rsidRPr="005D445A">
        <w:rPr>
          <w:color w:val="000000"/>
          <w:sz w:val="22"/>
          <w:szCs w:val="22"/>
        </w:rPr>
        <w:t xml:space="preserve">Accordingly, </w:t>
      </w:r>
      <w:r w:rsidRPr="005D445A">
        <w:rPr>
          <w:b/>
          <w:color w:val="000000"/>
          <w:sz w:val="22"/>
          <w:szCs w:val="22"/>
        </w:rPr>
        <w:t>IT IS ORDERED</w:t>
      </w:r>
      <w:r w:rsidRPr="005D445A">
        <w:rPr>
          <w:color w:val="000000"/>
          <w:sz w:val="22"/>
          <w:szCs w:val="22"/>
        </w:rPr>
        <w:t xml:space="preserve"> that, a copy of this Letter shall be sent by First Class and Certified Mail, Return Receipt Requested to the licensee at the address listed above.</w:t>
      </w:r>
      <w:r w:rsidRPr="005D445A">
        <w:rPr>
          <w:color w:val="000000"/>
          <w:sz w:val="22"/>
          <w:szCs w:val="22"/>
        </w:rPr>
        <w:br/>
      </w:r>
    </w:p>
    <w:p w:rsidR="00745EA7" w:rsidRPr="005D445A" w:rsidRDefault="00745EA7" w:rsidP="00745EA7">
      <w:pPr>
        <w:ind w:firstLine="720"/>
        <w:jc w:val="both"/>
        <w:rPr>
          <w:color w:val="000000"/>
          <w:sz w:val="22"/>
          <w:szCs w:val="22"/>
        </w:rPr>
      </w:pPr>
    </w:p>
    <w:p w:rsidR="00745EA7" w:rsidRPr="005D445A" w:rsidRDefault="00745EA7" w:rsidP="00745EA7">
      <w:pPr>
        <w:rPr>
          <w:sz w:val="22"/>
          <w:szCs w:val="22"/>
        </w:rPr>
      </w:pPr>
      <w:r w:rsidRPr="005D445A">
        <w:rPr>
          <w:spacing w:val="-2"/>
          <w:sz w:val="22"/>
          <w:szCs w:val="22"/>
        </w:rPr>
        <w:t xml:space="preserve"> </w:t>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t>Sincerely,</w:t>
      </w:r>
    </w:p>
    <w:p w:rsidR="00745EA7" w:rsidRPr="005D445A" w:rsidRDefault="00745EA7" w:rsidP="00745EA7">
      <w:pPr>
        <w:rPr>
          <w:sz w:val="22"/>
          <w:szCs w:val="22"/>
        </w:rPr>
      </w:pPr>
    </w:p>
    <w:p w:rsidR="00745EA7" w:rsidRPr="005D445A" w:rsidRDefault="00745EA7" w:rsidP="00745EA7">
      <w:pPr>
        <w:rPr>
          <w:sz w:val="22"/>
          <w:szCs w:val="22"/>
        </w:rPr>
      </w:pPr>
    </w:p>
    <w:p w:rsidR="00745EA7" w:rsidRPr="005D445A" w:rsidRDefault="00745EA7" w:rsidP="00745EA7">
      <w:pPr>
        <w:rPr>
          <w:sz w:val="22"/>
          <w:szCs w:val="22"/>
        </w:rPr>
      </w:pP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t>Barbara A. Kreisman</w:t>
      </w:r>
    </w:p>
    <w:p w:rsidR="00745EA7" w:rsidRPr="005D445A" w:rsidRDefault="00745EA7" w:rsidP="00745EA7">
      <w:pPr>
        <w:rPr>
          <w:sz w:val="22"/>
          <w:szCs w:val="22"/>
        </w:rPr>
      </w:pPr>
      <w:r w:rsidRPr="005D445A">
        <w:rPr>
          <w:sz w:val="22"/>
          <w:szCs w:val="22"/>
        </w:rPr>
        <w:tab/>
        <w:t xml:space="preserve">        </w:t>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t>Chief, Video Division</w:t>
      </w:r>
    </w:p>
    <w:p w:rsidR="00CB4582" w:rsidRPr="00422878" w:rsidRDefault="00745EA7" w:rsidP="00792A7E">
      <w:pPr>
        <w:rPr>
          <w:sz w:val="22"/>
          <w:szCs w:val="22"/>
        </w:rPr>
      </w:pPr>
      <w:r w:rsidRPr="005D445A">
        <w:rPr>
          <w:sz w:val="22"/>
          <w:szCs w:val="22"/>
        </w:rPr>
        <w:tab/>
        <w:t xml:space="preserve">         </w:t>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r>
      <w:r w:rsidRPr="005D445A">
        <w:rPr>
          <w:sz w:val="22"/>
          <w:szCs w:val="22"/>
        </w:rPr>
        <w:tab/>
        <w:t>Media B</w:t>
      </w:r>
      <w:r w:rsidR="00A86F80">
        <w:rPr>
          <w:sz w:val="22"/>
          <w:szCs w:val="22"/>
        </w:rPr>
        <w:t>ureau</w:t>
      </w:r>
      <w:r w:rsidR="00CB4582" w:rsidRPr="00422878">
        <w:rPr>
          <w:sz w:val="22"/>
          <w:szCs w:val="22"/>
        </w:rPr>
        <w:t xml:space="preserve"> </w:t>
      </w:r>
    </w:p>
    <w:sectPr w:rsidR="00CB4582" w:rsidRPr="00422878" w:rsidSect="001366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ED" w:rsidRDefault="009A6DED">
      <w:r>
        <w:separator/>
      </w:r>
    </w:p>
  </w:endnote>
  <w:endnote w:type="continuationSeparator" w:id="0">
    <w:p w:rsidR="009A6DED" w:rsidRDefault="009A6DED">
      <w:r>
        <w:continuationSeparator/>
      </w:r>
    </w:p>
  </w:endnote>
  <w:endnote w:type="continuationNotice" w:id="1">
    <w:p w:rsidR="009A6DED" w:rsidRDefault="009A6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72" w:rsidRDefault="00D46F72" w:rsidP="00672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F72" w:rsidRDefault="00D46F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72" w:rsidRDefault="00D46F72" w:rsidP="00672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159">
      <w:rPr>
        <w:rStyle w:val="PageNumber"/>
        <w:noProof/>
      </w:rPr>
      <w:t>2</w:t>
    </w:r>
    <w:r>
      <w:rPr>
        <w:rStyle w:val="PageNumber"/>
      </w:rPr>
      <w:fldChar w:fldCharType="end"/>
    </w:r>
  </w:p>
  <w:p w:rsidR="00D46F72" w:rsidRDefault="00D46F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8" w:rsidRDefault="00D96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ED" w:rsidRDefault="009A6DED">
      <w:r>
        <w:separator/>
      </w:r>
    </w:p>
  </w:footnote>
  <w:footnote w:type="continuationSeparator" w:id="0">
    <w:p w:rsidR="009A6DED" w:rsidRDefault="009A6DED">
      <w:r>
        <w:continuationSeparator/>
      </w:r>
    </w:p>
  </w:footnote>
  <w:footnote w:type="continuationNotice" w:id="1">
    <w:p w:rsidR="009A6DED" w:rsidRDefault="009A6DED"/>
  </w:footnote>
  <w:footnote w:id="2">
    <w:p w:rsidR="00D46F72" w:rsidRPr="00D95A81" w:rsidRDefault="00D46F72" w:rsidP="00A86F80">
      <w:pPr>
        <w:pStyle w:val="FootnoteText"/>
        <w:spacing w:after="120"/>
        <w:jc w:val="both"/>
      </w:pPr>
      <w:r w:rsidRPr="00D95A81">
        <w:rPr>
          <w:rStyle w:val="FootnoteReference"/>
        </w:rPr>
        <w:footnoteRef/>
      </w:r>
      <w:r>
        <w:t xml:space="preserve"> File No. BRCDT-</w:t>
      </w:r>
      <w:r w:rsidR="000D135A">
        <w:t>20140131ACQ</w:t>
      </w:r>
      <w:r>
        <w:t xml:space="preserve"> (“</w:t>
      </w:r>
      <w:r w:rsidR="000D135A">
        <w:rPr>
          <w:i/>
        </w:rPr>
        <w:t>KTEN</w:t>
      </w:r>
      <w:r w:rsidRPr="00D5454D">
        <w:rPr>
          <w:i/>
        </w:rPr>
        <w:t xml:space="preserve"> Renewal</w:t>
      </w:r>
      <w:r>
        <w:t>”).</w:t>
      </w:r>
    </w:p>
  </w:footnote>
  <w:footnote w:id="3">
    <w:p w:rsidR="00D46F72" w:rsidRPr="00D95A81" w:rsidRDefault="00D46F72" w:rsidP="00A86F80">
      <w:pPr>
        <w:pStyle w:val="FootnoteText"/>
        <w:spacing w:after="120"/>
        <w:jc w:val="both"/>
      </w:pPr>
      <w:r w:rsidRPr="00D95A81">
        <w:rPr>
          <w:rStyle w:val="FootnoteReference"/>
        </w:rPr>
        <w:footnoteRef/>
      </w:r>
      <w:r w:rsidRPr="00D95A81">
        <w:t xml:space="preserve"> </w:t>
      </w:r>
      <w:r w:rsidRPr="00D95A81">
        <w:rPr>
          <w:i/>
        </w:rPr>
        <w:t>Children’s Television Programming</w:t>
      </w:r>
      <w:r w:rsidRPr="00D95A81">
        <w:t xml:space="preserve">, </w:t>
      </w:r>
      <w:r>
        <w:t xml:space="preserve">MM Docket Nos. 90-570 and 83-670, </w:t>
      </w:r>
      <w:r w:rsidRPr="00D95A81">
        <w:t>Report and Order, 6 FCC Rcd 2111, 2</w:t>
      </w:r>
      <w:r>
        <w:t>1</w:t>
      </w:r>
      <w:r w:rsidRPr="00D95A81">
        <w:t>18,</w:t>
      </w:r>
      <w:r>
        <w:t xml:space="preserve"> ¶ 44</w:t>
      </w:r>
      <w:r w:rsidRPr="00D95A81">
        <w:t xml:space="preserve"> </w:t>
      </w:r>
      <w:r w:rsidRPr="00D95A81">
        <w:rPr>
          <w:i/>
        </w:rPr>
        <w:t>recon. granted in part</w:t>
      </w:r>
      <w:r w:rsidRPr="00D95A81">
        <w:t>, 6 FCC Rcd 5093, 5098</w:t>
      </w:r>
      <w:r>
        <w:t>, ¶ 28</w:t>
      </w:r>
      <w:r w:rsidRPr="00D95A81">
        <w:t xml:space="preserve"> (1991).</w:t>
      </w:r>
    </w:p>
  </w:footnote>
  <w:footnote w:id="4">
    <w:p w:rsidR="00D46F72" w:rsidRPr="00D95A81" w:rsidRDefault="00D46F72" w:rsidP="00A86F80">
      <w:pPr>
        <w:pStyle w:val="FootnoteText"/>
        <w:spacing w:after="120"/>
        <w:jc w:val="both"/>
      </w:pPr>
      <w:r w:rsidRPr="00D95A81">
        <w:rPr>
          <w:rStyle w:val="FootnoteReference"/>
        </w:rPr>
        <w:footnoteRef/>
      </w:r>
      <w:r w:rsidRPr="00D95A81">
        <w:t xml:space="preserve"> </w:t>
      </w:r>
      <w:r w:rsidRPr="00D95A81">
        <w:rPr>
          <w:i/>
        </w:rPr>
        <w:t>Children’s Television Programming</w:t>
      </w:r>
      <w:r w:rsidRPr="00D95A81">
        <w:t xml:space="preserve">, </w:t>
      </w:r>
      <w:r>
        <w:t xml:space="preserve">MM Docket Nos. 90-570 and 83-670, Order, </w:t>
      </w:r>
      <w:r w:rsidRPr="00D95A81">
        <w:t>6 FCC Rcd 5529 (1991).</w:t>
      </w:r>
    </w:p>
  </w:footnote>
  <w:footnote w:id="5">
    <w:p w:rsidR="006E4831" w:rsidRDefault="006E4831" w:rsidP="003D76A4">
      <w:pPr>
        <w:pStyle w:val="FootnoteText"/>
        <w:spacing w:after="120"/>
        <w:jc w:val="both"/>
      </w:pPr>
      <w:r>
        <w:rPr>
          <w:rStyle w:val="FootnoteReference"/>
        </w:rPr>
        <w:footnoteRef/>
      </w:r>
      <w:r>
        <w:t xml:space="preserve"> </w:t>
      </w:r>
      <w:r w:rsidRPr="007C07DB">
        <w:rPr>
          <w:i/>
        </w:rPr>
        <w:t>KTEN Renewal</w:t>
      </w:r>
      <w:r>
        <w:t>, Attachment 22 (Children’s Programmi</w:t>
      </w:r>
      <w:r w:rsidR="007C07DB">
        <w:t>ng Commercial Limitations) at p.</w:t>
      </w:r>
      <w:r>
        <w:t xml:space="preserve"> 3.</w:t>
      </w:r>
    </w:p>
  </w:footnote>
  <w:footnote w:id="6">
    <w:p w:rsidR="006E4831" w:rsidRDefault="006E4831" w:rsidP="003D76A4">
      <w:pPr>
        <w:pStyle w:val="FootnoteText"/>
        <w:spacing w:after="120"/>
      </w:pPr>
      <w:r>
        <w:rPr>
          <w:rStyle w:val="FootnoteReference"/>
        </w:rPr>
        <w:footnoteRef/>
      </w:r>
      <w:r>
        <w:t xml:space="preserve"> Fourth Quarter 2006 Certification of Commercial Material in Children’s Television Programs, Electronic Public File of Station KTEN(TV), pg. 5-6 (Jan. 2, 2007)</w:t>
      </w:r>
      <w:r w:rsidR="003D76A4">
        <w:t xml:space="preserve">, </w:t>
      </w:r>
      <w:r w:rsidR="003D76A4" w:rsidRPr="003D76A4">
        <w:rPr>
          <w:i/>
        </w:rPr>
        <w:t xml:space="preserve">available </w:t>
      </w:r>
      <w:r w:rsidRPr="003D76A4">
        <w:rPr>
          <w:i/>
        </w:rPr>
        <w:t xml:space="preserve">at </w:t>
      </w:r>
      <w:hyperlink r:id="rId1" w:history="1">
        <w:r w:rsidR="003D76A4" w:rsidRPr="003D76A4">
          <w:rPr>
            <w:rStyle w:val="Hyperlink"/>
            <w:color w:val="000000" w:themeColor="text1"/>
            <w:u w:val="none"/>
          </w:rPr>
          <w:t>https://stations.fcc.gov/station-profile/kten/more-public-files/browse-%3erecords_concerning_commercial_limits_in_childrens_programs</w:t>
        </w:r>
      </w:hyperlink>
      <w:r w:rsidR="003D76A4">
        <w:t xml:space="preserve"> (follow “2006”</w:t>
      </w:r>
      <w:r>
        <w:t xml:space="preserve"> </w:t>
      </w:r>
      <w:r w:rsidR="003D76A4">
        <w:t>hyperlink</w:t>
      </w:r>
      <w:r>
        <w:t xml:space="preserve">; </w:t>
      </w:r>
      <w:r w:rsidR="003D76A4">
        <w:t>then select</w:t>
      </w:r>
      <w:r>
        <w:t xml:space="preserve"> </w:t>
      </w:r>
      <w:r w:rsidR="00952D51">
        <w:t>“</w:t>
      </w:r>
      <w:r>
        <w:t>Certifications 4Q 2006</w:t>
      </w:r>
      <w:r w:rsidR="00952D51">
        <w:t>”</w:t>
      </w:r>
      <w:r w:rsidR="003D76A4">
        <w:t xml:space="preserve"> </w:t>
      </w:r>
      <w:r>
        <w:t>).</w:t>
      </w:r>
    </w:p>
  </w:footnote>
  <w:footnote w:id="7">
    <w:p w:rsidR="00D46F72" w:rsidRPr="00D95A81" w:rsidRDefault="00D46F72" w:rsidP="003D76A4">
      <w:pPr>
        <w:pStyle w:val="FootnoteText"/>
        <w:spacing w:after="120"/>
        <w:jc w:val="both"/>
      </w:pPr>
      <w:r w:rsidRPr="00D95A81">
        <w:rPr>
          <w:rStyle w:val="FootnoteReference"/>
        </w:rPr>
        <w:footnoteRef/>
      </w:r>
      <w:r w:rsidRPr="00D95A81">
        <w:t xml:space="preserve"> </w:t>
      </w:r>
      <w:r w:rsidRPr="00D95A81">
        <w:rPr>
          <w:i/>
        </w:rPr>
        <w:t>WVTV Licensee, Inc.</w:t>
      </w:r>
      <w:r w:rsidRPr="00D95A81">
        <w:t>, Forfeiture Order, 25 FCC Rcd 3741, 3743</w:t>
      </w:r>
      <w:r>
        <w:t>, ¶ 12</w:t>
      </w:r>
      <w:r w:rsidRPr="00D95A81">
        <w:t xml:space="preserve"> (</w:t>
      </w:r>
      <w:r>
        <w:t xml:space="preserve">Vid. Div. </w:t>
      </w:r>
      <w:r w:rsidRPr="00D95A81">
        <w:t>2010)</w:t>
      </w:r>
      <w:r>
        <w:t>.</w:t>
      </w:r>
    </w:p>
  </w:footnote>
  <w:footnote w:id="8">
    <w:p w:rsidR="00D46F72" w:rsidRPr="00D95A81" w:rsidRDefault="00D46F72" w:rsidP="003D76A4">
      <w:pPr>
        <w:pStyle w:val="FootnoteText"/>
        <w:spacing w:after="120"/>
        <w:jc w:val="both"/>
      </w:pPr>
      <w:r w:rsidRPr="00D95A81">
        <w:rPr>
          <w:rStyle w:val="FootnoteReference"/>
        </w:rPr>
        <w:footnoteRef/>
      </w:r>
      <w:r w:rsidRPr="00D95A81">
        <w:t xml:space="preserve"> </w:t>
      </w:r>
      <w:r w:rsidRPr="0097671B">
        <w:rPr>
          <w:i/>
          <w:iCs/>
          <w:color w:val="000000"/>
        </w:rPr>
        <w:t>WHYY, Inc.</w:t>
      </w:r>
      <w:r w:rsidRPr="00D95A81">
        <w:rPr>
          <w:i/>
          <w:iCs/>
          <w:color w:val="000000"/>
        </w:rPr>
        <w:t xml:space="preserve">, </w:t>
      </w:r>
      <w:r w:rsidRPr="0039093B">
        <w:rPr>
          <w:iCs/>
          <w:color w:val="000000"/>
        </w:rPr>
        <w:t>Admonishment</w:t>
      </w:r>
      <w:r>
        <w:rPr>
          <w:i/>
          <w:iCs/>
          <w:color w:val="000000"/>
        </w:rPr>
        <w:t xml:space="preserve"> </w:t>
      </w:r>
      <w:r w:rsidRPr="00D95A81">
        <w:rPr>
          <w:iCs/>
          <w:color w:val="000000"/>
        </w:rPr>
        <w:t>Letter,</w:t>
      </w:r>
      <w:r w:rsidRPr="00D95A81">
        <w:rPr>
          <w:i/>
          <w:iCs/>
          <w:color w:val="000000"/>
        </w:rPr>
        <w:t xml:space="preserve"> </w:t>
      </w:r>
      <w:r w:rsidRPr="0097671B">
        <w:t>7 FCC Rcd 7123 (</w:t>
      </w:r>
      <w:r>
        <w:t xml:space="preserve">MMB </w:t>
      </w:r>
      <w:r w:rsidRPr="0097671B">
        <w:t>1992)</w:t>
      </w:r>
      <w:r w:rsidRPr="00D95A81">
        <w:t>.</w:t>
      </w:r>
    </w:p>
  </w:footnote>
  <w:footnote w:id="9">
    <w:p w:rsidR="00D46F72" w:rsidRPr="00A35CFE" w:rsidRDefault="00D46F72" w:rsidP="003D76A4">
      <w:pPr>
        <w:pStyle w:val="FootnoteText"/>
        <w:spacing w:after="120"/>
        <w:jc w:val="both"/>
      </w:pPr>
      <w:r w:rsidRPr="00D95A81">
        <w:rPr>
          <w:rStyle w:val="FootnoteReference"/>
        </w:rPr>
        <w:footnoteRef/>
      </w:r>
      <w:r w:rsidRPr="00D95A81">
        <w:t xml:space="preserve"> </w:t>
      </w:r>
      <w:r w:rsidRPr="000D1461">
        <w:t>Id.</w:t>
      </w:r>
      <w:r>
        <w:t xml:space="preserve"> at ¶ 2</w:t>
      </w:r>
      <w:r>
        <w:rPr>
          <w:i/>
        </w:rPr>
        <w:t xml:space="preserve"> (citing KCOP Television, Inc.</w:t>
      </w:r>
      <w:r w:rsidRPr="000D1461">
        <w:t>,</w:t>
      </w:r>
      <w:r>
        <w:t xml:space="preserve"> Admonishment Letter</w:t>
      </w:r>
      <w:r w:rsidRPr="000D1461">
        <w:t xml:space="preserve"> (MMB</w:t>
      </w:r>
      <w:r>
        <w:t>,</w:t>
      </w:r>
      <w:r w:rsidRPr="000D1461">
        <w:t xml:space="preserve"> rel. May 15, 1989)</w:t>
      </w:r>
      <w:r>
        <w:t>)</w:t>
      </w:r>
      <w:r w:rsidRPr="000D1461">
        <w:t>.</w:t>
      </w:r>
    </w:p>
  </w:footnote>
  <w:footnote w:id="10">
    <w:p w:rsidR="00D46F72" w:rsidRPr="00807875" w:rsidRDefault="00D46F72" w:rsidP="003D76A4">
      <w:pPr>
        <w:pStyle w:val="FootnoteText"/>
        <w:keepLines/>
        <w:spacing w:after="120"/>
        <w:jc w:val="both"/>
      </w:pPr>
      <w:r w:rsidRPr="00807875">
        <w:rPr>
          <w:rStyle w:val="FootnoteReference"/>
        </w:rPr>
        <w:footnoteRef/>
      </w:r>
      <w:r w:rsidRPr="00807875">
        <w:t xml:space="preserve"> </w:t>
      </w:r>
      <w:r w:rsidR="00A86F80" w:rsidRPr="007C07DB">
        <w:rPr>
          <w:i/>
        </w:rPr>
        <w:t>KTEN Renewal</w:t>
      </w:r>
      <w:r w:rsidR="00A86F80">
        <w:t>, Attachment 22 (Children’s Programm</w:t>
      </w:r>
      <w:r w:rsidR="007C07DB">
        <w:t>ing Commercial Limitations) at</w:t>
      </w:r>
      <w:r w:rsidR="00A86F80">
        <w:t xml:space="preserve"> </w:t>
      </w:r>
      <w:r w:rsidR="007C07DB">
        <w:t xml:space="preserve">pp. </w:t>
      </w:r>
      <w:r w:rsidR="00A86F80">
        <w:t>1-2.</w:t>
      </w:r>
    </w:p>
  </w:footnote>
  <w:footnote w:id="11">
    <w:p w:rsidR="00D46F72" w:rsidRPr="00807875" w:rsidRDefault="00D46F72" w:rsidP="00A86F80">
      <w:pPr>
        <w:autoSpaceDE w:val="0"/>
        <w:autoSpaceDN w:val="0"/>
        <w:adjustRightInd w:val="0"/>
        <w:spacing w:after="120"/>
        <w:jc w:val="both"/>
        <w:rPr>
          <w:i/>
          <w:iCs/>
        </w:rPr>
      </w:pPr>
      <w:r w:rsidRPr="00807875">
        <w:rPr>
          <w:rStyle w:val="FootnoteReference"/>
        </w:rPr>
        <w:footnoteRef/>
      </w:r>
      <w:r w:rsidRPr="00807875">
        <w:t xml:space="preserve"> </w:t>
      </w:r>
      <w:r w:rsidRPr="00807875">
        <w:rPr>
          <w:i/>
        </w:rPr>
        <w:t>Id.</w:t>
      </w:r>
      <w:r>
        <w:t xml:space="preserve"> at p. 2 </w:t>
      </w:r>
      <w:r w:rsidRPr="00807875">
        <w:t xml:space="preserve">(citing </w:t>
      </w:r>
      <w:r w:rsidRPr="00807875">
        <w:rPr>
          <w:i/>
          <w:iCs/>
        </w:rPr>
        <w:t>see, e.g.</w:t>
      </w:r>
      <w:r w:rsidRPr="00807875">
        <w:t xml:space="preserve">, </w:t>
      </w:r>
      <w:r w:rsidRPr="00807875">
        <w:rPr>
          <w:i/>
          <w:iCs/>
        </w:rPr>
        <w:t>Winston Broadcasting Network, Inc.</w:t>
      </w:r>
      <w:r w:rsidRPr="00807875">
        <w:t xml:space="preserve">, </w:t>
      </w:r>
      <w:r>
        <w:t xml:space="preserve">Admonishment </w:t>
      </w:r>
      <w:r w:rsidRPr="00807875">
        <w:t xml:space="preserve">Letter, </w:t>
      </w:r>
      <w:r>
        <w:t xml:space="preserve">28 FCC Rcd 15627 </w:t>
      </w:r>
      <w:r w:rsidRPr="00807875">
        <w:t>(</w:t>
      </w:r>
      <w:r>
        <w:t xml:space="preserve">Vid. Div. </w:t>
      </w:r>
      <w:r w:rsidRPr="00807875">
        <w:t>2013)</w:t>
      </w:r>
      <w:r>
        <w:t xml:space="preserve"> </w:t>
      </w:r>
      <w:r w:rsidRPr="00807875">
        <w:t>(admonishing television station in</w:t>
      </w:r>
      <w:r w:rsidRPr="00807875">
        <w:rPr>
          <w:i/>
          <w:iCs/>
        </w:rPr>
        <w:t xml:space="preserve"> </w:t>
      </w:r>
      <w:r w:rsidRPr="00807875">
        <w:t xml:space="preserve">connection with the Xiaolin Showdown incident); </w:t>
      </w:r>
      <w:r w:rsidRPr="00807875">
        <w:rPr>
          <w:i/>
          <w:iCs/>
        </w:rPr>
        <w:t>WAOW-WYOW Television, Inc.</w:t>
      </w:r>
      <w:r w:rsidRPr="00807875">
        <w:t xml:space="preserve">, </w:t>
      </w:r>
      <w:r>
        <w:t xml:space="preserve">Admonishment </w:t>
      </w:r>
      <w:r w:rsidRPr="00807875">
        <w:t xml:space="preserve">Letter, </w:t>
      </w:r>
      <w:r>
        <w:t>29 FCC Rcd 133</w:t>
      </w:r>
      <w:r w:rsidRPr="00807875">
        <w:rPr>
          <w:i/>
          <w:iCs/>
        </w:rPr>
        <w:t xml:space="preserve"> </w:t>
      </w:r>
      <w:r w:rsidRPr="00807875">
        <w:t>(</w:t>
      </w:r>
      <w:r>
        <w:t>Vid. Div.</w:t>
      </w:r>
      <w:r w:rsidRPr="00807875">
        <w:t xml:space="preserve"> 2014) (same)).</w:t>
      </w:r>
    </w:p>
  </w:footnote>
  <w:footnote w:id="12">
    <w:p w:rsidR="00D46F72" w:rsidRPr="00205327" w:rsidRDefault="00D46F72" w:rsidP="00A86F80">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see also 47 C.F.R. §73.670(b), (c), and (d).</w:t>
      </w:r>
      <w:r w:rsidRPr="00205327">
        <w:t xml:space="preserve"> </w:t>
      </w:r>
    </w:p>
  </w:footnote>
  <w:footnote w:id="13">
    <w:p w:rsidR="00D46F72" w:rsidRPr="00205327" w:rsidRDefault="00D46F72" w:rsidP="00A86F80">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14">
    <w:p w:rsidR="00D46F72" w:rsidRPr="00807875" w:rsidRDefault="00D46F72" w:rsidP="00A86F80">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15">
    <w:p w:rsidR="00D46F72" w:rsidRPr="00205327" w:rsidRDefault="00D46F72" w:rsidP="00A86F80">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6">
    <w:p w:rsidR="00D46F72" w:rsidRPr="00205327" w:rsidRDefault="00D46F72" w:rsidP="00A86F80">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10 FCC</w:t>
      </w:r>
      <w:r>
        <w:t xml:space="preserve"> Rcd</w:t>
      </w:r>
      <w:r w:rsidRPr="00205327">
        <w:t xml:space="preserve"> 8905 (</w:t>
      </w:r>
      <w:r>
        <w:t xml:space="preserve">MMB </w:t>
      </w:r>
      <w:r w:rsidRPr="00205327">
        <w:t>1995)</w:t>
      </w:r>
      <w:r>
        <w:t>.</w:t>
      </w:r>
    </w:p>
  </w:footnote>
  <w:footnote w:id="17">
    <w:p w:rsidR="00D46F72" w:rsidRPr="00205327" w:rsidRDefault="00D46F72" w:rsidP="00A86F80">
      <w:pPr>
        <w:pStyle w:val="FootnoteText"/>
        <w:keepLines/>
        <w:spacing w:after="120"/>
        <w:jc w:val="both"/>
      </w:pPr>
      <w:r w:rsidRPr="00205327">
        <w:rPr>
          <w:rStyle w:val="FootnoteReference"/>
        </w:rPr>
        <w:footnoteRef/>
      </w:r>
      <w:r w:rsidRPr="00205327">
        <w:t xml:space="preserve"> </w:t>
      </w:r>
      <w:r w:rsidRPr="00205327">
        <w:rPr>
          <w:i/>
        </w:rPr>
        <w:t>See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8" w:rsidRDefault="00D9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A8" w:rsidRDefault="00D96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72" w:rsidRDefault="00A40159">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2281090" r:id="rId2"/>
      </w:pict>
    </w:r>
    <w:r w:rsidR="00D46F72">
      <w:rPr>
        <w:rFonts w:ascii="CG Times (W1)" w:hAnsi="CG Times (W1)"/>
        <w:sz w:val="28"/>
      </w:rPr>
      <w:t>Federal Communications Commission</w:t>
    </w:r>
  </w:p>
  <w:p w:rsidR="00D46F72" w:rsidRDefault="00D46F72">
    <w:pPr>
      <w:jc w:val="center"/>
      <w:rPr>
        <w:rFonts w:ascii="CG Times (W1)" w:hAnsi="CG Times (W1)"/>
        <w:sz w:val="28"/>
      </w:rP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D46F72" w:rsidRDefault="00D46F72" w:rsidP="00E749F5">
    <w:pPr>
      <w:rPr>
        <w:rFonts w:ascii="CG Times (W1)" w:hAnsi="CG Times (W1)"/>
        <w:sz w:val="28"/>
      </w:rPr>
    </w:pPr>
  </w:p>
  <w:p w:rsidR="00D46F72" w:rsidRDefault="007E5E9F">
    <w:pPr>
      <w:pStyle w:val="Header"/>
      <w:tabs>
        <w:tab w:val="clear" w:pos="4320"/>
      </w:tabs>
      <w:jc w:val="center"/>
      <w:rPr>
        <w:sz w:val="22"/>
      </w:rPr>
    </w:pPr>
    <w:r>
      <w:rPr>
        <w:sz w:val="22"/>
      </w:rPr>
      <w:t>September</w:t>
    </w:r>
    <w:r w:rsidR="00D46F72">
      <w:rPr>
        <w:sz w:val="22"/>
      </w:rPr>
      <w:t xml:space="preserve"> </w:t>
    </w:r>
    <w:r w:rsidR="0072046B">
      <w:rPr>
        <w:sz w:val="22"/>
      </w:rPr>
      <w:t>16</w:t>
    </w:r>
    <w:r w:rsidR="00D46F72">
      <w:rPr>
        <w:sz w:val="22"/>
      </w:rPr>
      <w:t>, 2014</w:t>
    </w:r>
  </w:p>
  <w:p w:rsidR="00D46F72" w:rsidRDefault="00D46F72">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D0C"/>
    <w:multiLevelType w:val="hybridMultilevel"/>
    <w:tmpl w:val="3E0EEDF0"/>
    <w:lvl w:ilvl="0" w:tplc="6728D9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DE6A5C"/>
    <w:multiLevelType w:val="hybridMultilevel"/>
    <w:tmpl w:val="C75CB916"/>
    <w:lvl w:ilvl="0" w:tplc="50A67C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182925"/>
    <w:multiLevelType w:val="singleLevel"/>
    <w:tmpl w:val="CE483826"/>
    <w:lvl w:ilvl="0">
      <w:start w:val="1"/>
      <w:numFmt w:val="decimal"/>
      <w:pStyle w:val="ParaNum"/>
      <w:lvlText w:val="%1."/>
      <w:lvlJc w:val="left"/>
      <w:pPr>
        <w:tabs>
          <w:tab w:val="num" w:pos="1260"/>
        </w:tabs>
        <w:ind w:left="180" w:firstLine="720"/>
      </w:pPr>
      <w:rPr>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632"/>
    <w:rsid w:val="0000108B"/>
    <w:rsid w:val="00006A9B"/>
    <w:rsid w:val="000118A1"/>
    <w:rsid w:val="00012F84"/>
    <w:rsid w:val="00033259"/>
    <w:rsid w:val="00062B45"/>
    <w:rsid w:val="000728A0"/>
    <w:rsid w:val="00072C55"/>
    <w:rsid w:val="00090422"/>
    <w:rsid w:val="00092BA5"/>
    <w:rsid w:val="00093B7C"/>
    <w:rsid w:val="000A470B"/>
    <w:rsid w:val="000D135A"/>
    <w:rsid w:val="000D69A1"/>
    <w:rsid w:val="000E0443"/>
    <w:rsid w:val="000E1905"/>
    <w:rsid w:val="000E4D2B"/>
    <w:rsid w:val="00104B57"/>
    <w:rsid w:val="0011563A"/>
    <w:rsid w:val="001249F3"/>
    <w:rsid w:val="0013012E"/>
    <w:rsid w:val="00135AFA"/>
    <w:rsid w:val="0013666C"/>
    <w:rsid w:val="00153FAD"/>
    <w:rsid w:val="00161E2B"/>
    <w:rsid w:val="00196E7E"/>
    <w:rsid w:val="001A6AAA"/>
    <w:rsid w:val="001B14B9"/>
    <w:rsid w:val="001C32B2"/>
    <w:rsid w:val="001D1DFF"/>
    <w:rsid w:val="0020374C"/>
    <w:rsid w:val="0024340B"/>
    <w:rsid w:val="00253728"/>
    <w:rsid w:val="00254E35"/>
    <w:rsid w:val="00275988"/>
    <w:rsid w:val="00294DBF"/>
    <w:rsid w:val="002B1C90"/>
    <w:rsid w:val="002E7632"/>
    <w:rsid w:val="00303D16"/>
    <w:rsid w:val="00322882"/>
    <w:rsid w:val="00324690"/>
    <w:rsid w:val="00331647"/>
    <w:rsid w:val="00332762"/>
    <w:rsid w:val="003367E9"/>
    <w:rsid w:val="00336F20"/>
    <w:rsid w:val="0034246B"/>
    <w:rsid w:val="00360E59"/>
    <w:rsid w:val="00371D15"/>
    <w:rsid w:val="0037692A"/>
    <w:rsid w:val="0038546F"/>
    <w:rsid w:val="00386D32"/>
    <w:rsid w:val="0039585A"/>
    <w:rsid w:val="003D3904"/>
    <w:rsid w:val="003D4B01"/>
    <w:rsid w:val="003D76A4"/>
    <w:rsid w:val="003E2136"/>
    <w:rsid w:val="003E549F"/>
    <w:rsid w:val="00421F9D"/>
    <w:rsid w:val="00422878"/>
    <w:rsid w:val="00430F77"/>
    <w:rsid w:val="00435E83"/>
    <w:rsid w:val="004506A2"/>
    <w:rsid w:val="00453D80"/>
    <w:rsid w:val="00453E0F"/>
    <w:rsid w:val="0046281B"/>
    <w:rsid w:val="004649AA"/>
    <w:rsid w:val="00486E0F"/>
    <w:rsid w:val="004914ED"/>
    <w:rsid w:val="004928BE"/>
    <w:rsid w:val="004A20BE"/>
    <w:rsid w:val="004B7151"/>
    <w:rsid w:val="004C05FB"/>
    <w:rsid w:val="004C37AD"/>
    <w:rsid w:val="004D4A8D"/>
    <w:rsid w:val="004F6310"/>
    <w:rsid w:val="005004DB"/>
    <w:rsid w:val="00516488"/>
    <w:rsid w:val="00526FE6"/>
    <w:rsid w:val="00531CF4"/>
    <w:rsid w:val="00556552"/>
    <w:rsid w:val="00562404"/>
    <w:rsid w:val="0056371F"/>
    <w:rsid w:val="005640CB"/>
    <w:rsid w:val="00564632"/>
    <w:rsid w:val="005823D6"/>
    <w:rsid w:val="005A452A"/>
    <w:rsid w:val="005C200D"/>
    <w:rsid w:val="005D4D1C"/>
    <w:rsid w:val="005F4174"/>
    <w:rsid w:val="006028F9"/>
    <w:rsid w:val="00613486"/>
    <w:rsid w:val="00641116"/>
    <w:rsid w:val="006536C8"/>
    <w:rsid w:val="006575B9"/>
    <w:rsid w:val="00671807"/>
    <w:rsid w:val="00672994"/>
    <w:rsid w:val="006742A0"/>
    <w:rsid w:val="00677763"/>
    <w:rsid w:val="00681118"/>
    <w:rsid w:val="00681FE4"/>
    <w:rsid w:val="006900B8"/>
    <w:rsid w:val="006942EF"/>
    <w:rsid w:val="006B0810"/>
    <w:rsid w:val="006E422C"/>
    <w:rsid w:val="006E4831"/>
    <w:rsid w:val="00704516"/>
    <w:rsid w:val="00706898"/>
    <w:rsid w:val="0072046B"/>
    <w:rsid w:val="00736DD8"/>
    <w:rsid w:val="00745EA7"/>
    <w:rsid w:val="00747182"/>
    <w:rsid w:val="00760806"/>
    <w:rsid w:val="00762A86"/>
    <w:rsid w:val="007712FA"/>
    <w:rsid w:val="00775C94"/>
    <w:rsid w:val="00777865"/>
    <w:rsid w:val="0078660A"/>
    <w:rsid w:val="00792A7E"/>
    <w:rsid w:val="0079636D"/>
    <w:rsid w:val="007C07DB"/>
    <w:rsid w:val="007C10BF"/>
    <w:rsid w:val="007C2677"/>
    <w:rsid w:val="007D27CE"/>
    <w:rsid w:val="007E5E9F"/>
    <w:rsid w:val="007E6F22"/>
    <w:rsid w:val="00810882"/>
    <w:rsid w:val="00812D36"/>
    <w:rsid w:val="00825C33"/>
    <w:rsid w:val="008331FA"/>
    <w:rsid w:val="008431F1"/>
    <w:rsid w:val="00845E0F"/>
    <w:rsid w:val="008515D2"/>
    <w:rsid w:val="00862809"/>
    <w:rsid w:val="008662B5"/>
    <w:rsid w:val="00875EA3"/>
    <w:rsid w:val="00892D66"/>
    <w:rsid w:val="008A6157"/>
    <w:rsid w:val="008B2B09"/>
    <w:rsid w:val="008B3FB9"/>
    <w:rsid w:val="008C0881"/>
    <w:rsid w:val="008E66BE"/>
    <w:rsid w:val="008F10CD"/>
    <w:rsid w:val="008F2D85"/>
    <w:rsid w:val="008F5821"/>
    <w:rsid w:val="00901901"/>
    <w:rsid w:val="00903DB9"/>
    <w:rsid w:val="009145CD"/>
    <w:rsid w:val="00915C74"/>
    <w:rsid w:val="0094546E"/>
    <w:rsid w:val="00947CB7"/>
    <w:rsid w:val="00952D51"/>
    <w:rsid w:val="00961661"/>
    <w:rsid w:val="0097671B"/>
    <w:rsid w:val="0098227C"/>
    <w:rsid w:val="00994EFE"/>
    <w:rsid w:val="0099550E"/>
    <w:rsid w:val="009969D6"/>
    <w:rsid w:val="00997B76"/>
    <w:rsid w:val="009A0090"/>
    <w:rsid w:val="009A364B"/>
    <w:rsid w:val="009A6DED"/>
    <w:rsid w:val="009A7018"/>
    <w:rsid w:val="009B1CFE"/>
    <w:rsid w:val="009B2742"/>
    <w:rsid w:val="009D5979"/>
    <w:rsid w:val="00A033EA"/>
    <w:rsid w:val="00A10659"/>
    <w:rsid w:val="00A10CDB"/>
    <w:rsid w:val="00A16378"/>
    <w:rsid w:val="00A3236F"/>
    <w:rsid w:val="00A32A59"/>
    <w:rsid w:val="00A40159"/>
    <w:rsid w:val="00A57EE8"/>
    <w:rsid w:val="00A60910"/>
    <w:rsid w:val="00A642A5"/>
    <w:rsid w:val="00A659A3"/>
    <w:rsid w:val="00A701AF"/>
    <w:rsid w:val="00A86F80"/>
    <w:rsid w:val="00AA0F80"/>
    <w:rsid w:val="00AB56D3"/>
    <w:rsid w:val="00AD1704"/>
    <w:rsid w:val="00AD18AF"/>
    <w:rsid w:val="00AD1A39"/>
    <w:rsid w:val="00AE007F"/>
    <w:rsid w:val="00AE0CED"/>
    <w:rsid w:val="00AE44EF"/>
    <w:rsid w:val="00AE5055"/>
    <w:rsid w:val="00AE70B6"/>
    <w:rsid w:val="00AF0867"/>
    <w:rsid w:val="00B11302"/>
    <w:rsid w:val="00B22E0B"/>
    <w:rsid w:val="00B31D4D"/>
    <w:rsid w:val="00B37603"/>
    <w:rsid w:val="00B4343D"/>
    <w:rsid w:val="00B4443D"/>
    <w:rsid w:val="00B56C65"/>
    <w:rsid w:val="00B62DB2"/>
    <w:rsid w:val="00B63602"/>
    <w:rsid w:val="00B715BA"/>
    <w:rsid w:val="00B71FA8"/>
    <w:rsid w:val="00B73774"/>
    <w:rsid w:val="00B73A98"/>
    <w:rsid w:val="00B77FFD"/>
    <w:rsid w:val="00B80454"/>
    <w:rsid w:val="00BA6230"/>
    <w:rsid w:val="00BC56E3"/>
    <w:rsid w:val="00BD5A93"/>
    <w:rsid w:val="00C00A4F"/>
    <w:rsid w:val="00C01C15"/>
    <w:rsid w:val="00C036C0"/>
    <w:rsid w:val="00C06E73"/>
    <w:rsid w:val="00C0707C"/>
    <w:rsid w:val="00C15EA9"/>
    <w:rsid w:val="00C20EA1"/>
    <w:rsid w:val="00C273A3"/>
    <w:rsid w:val="00C46785"/>
    <w:rsid w:val="00C54AB0"/>
    <w:rsid w:val="00C552F0"/>
    <w:rsid w:val="00C61EC6"/>
    <w:rsid w:val="00C64A4A"/>
    <w:rsid w:val="00C671DB"/>
    <w:rsid w:val="00C71BC3"/>
    <w:rsid w:val="00C915C4"/>
    <w:rsid w:val="00CA3A14"/>
    <w:rsid w:val="00CB0BB8"/>
    <w:rsid w:val="00CB368A"/>
    <w:rsid w:val="00CB4582"/>
    <w:rsid w:val="00CC5178"/>
    <w:rsid w:val="00CC5FDB"/>
    <w:rsid w:val="00CD367B"/>
    <w:rsid w:val="00CE2DCE"/>
    <w:rsid w:val="00CF19A4"/>
    <w:rsid w:val="00D1664A"/>
    <w:rsid w:val="00D16940"/>
    <w:rsid w:val="00D2017D"/>
    <w:rsid w:val="00D22416"/>
    <w:rsid w:val="00D366B1"/>
    <w:rsid w:val="00D464E5"/>
    <w:rsid w:val="00D46F72"/>
    <w:rsid w:val="00D541B0"/>
    <w:rsid w:val="00D575C8"/>
    <w:rsid w:val="00D70A94"/>
    <w:rsid w:val="00D768C4"/>
    <w:rsid w:val="00D85AEE"/>
    <w:rsid w:val="00D93857"/>
    <w:rsid w:val="00D95A81"/>
    <w:rsid w:val="00D966A8"/>
    <w:rsid w:val="00DA75AB"/>
    <w:rsid w:val="00DB37BD"/>
    <w:rsid w:val="00DD3F12"/>
    <w:rsid w:val="00DD5F00"/>
    <w:rsid w:val="00DD6E46"/>
    <w:rsid w:val="00DE270B"/>
    <w:rsid w:val="00DF4FBD"/>
    <w:rsid w:val="00E029D3"/>
    <w:rsid w:val="00E16AC0"/>
    <w:rsid w:val="00E279D8"/>
    <w:rsid w:val="00E31CEF"/>
    <w:rsid w:val="00E54BDD"/>
    <w:rsid w:val="00E5655B"/>
    <w:rsid w:val="00E609E4"/>
    <w:rsid w:val="00E6148E"/>
    <w:rsid w:val="00E66696"/>
    <w:rsid w:val="00E749F5"/>
    <w:rsid w:val="00E7519C"/>
    <w:rsid w:val="00E843A3"/>
    <w:rsid w:val="00EA228D"/>
    <w:rsid w:val="00EB0219"/>
    <w:rsid w:val="00EB769C"/>
    <w:rsid w:val="00ED15AA"/>
    <w:rsid w:val="00EF3101"/>
    <w:rsid w:val="00EF628B"/>
    <w:rsid w:val="00EF6F7D"/>
    <w:rsid w:val="00F11B4D"/>
    <w:rsid w:val="00F1218E"/>
    <w:rsid w:val="00F25B96"/>
    <w:rsid w:val="00F31DD7"/>
    <w:rsid w:val="00F44360"/>
    <w:rsid w:val="00F46EAA"/>
    <w:rsid w:val="00F47A24"/>
    <w:rsid w:val="00F55B61"/>
    <w:rsid w:val="00F63189"/>
    <w:rsid w:val="00F72802"/>
    <w:rsid w:val="00F87210"/>
    <w:rsid w:val="00F9199A"/>
    <w:rsid w:val="00F9467D"/>
    <w:rsid w:val="00FA2A8B"/>
    <w:rsid w:val="00FB660B"/>
    <w:rsid w:val="00FC47D7"/>
    <w:rsid w:val="00FD0267"/>
    <w:rsid w:val="00FE1462"/>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Garamond" w:hAnsi="Garamond"/>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4320"/>
        <w:tab w:val="left" w:pos="5040"/>
      </w:tabs>
      <w:ind w:left="5040" w:hanging="5040"/>
      <w:jc w:val="both"/>
    </w:pPr>
    <w:rPr>
      <w:rFonts w:ascii="CG Times" w:hAnsi="CG Times"/>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2">
    <w:name w:val="Body Text Indent 2"/>
    <w:basedOn w:val="Normal"/>
    <w:pPr>
      <w:ind w:firstLine="720"/>
    </w:pPr>
    <w:rPr>
      <w:sz w:val="24"/>
    </w:rPr>
  </w:style>
  <w:style w:type="character" w:styleId="PageNumber">
    <w:name w:val="page number"/>
    <w:basedOn w:val="DefaultParagraphFont"/>
  </w:style>
  <w:style w:type="paragraph" w:customStyle="1" w:styleId="factsbody">
    <w:name w:val="factsbody"/>
    <w:basedOn w:val="Normal"/>
    <w:rsid w:val="0099550E"/>
    <w:pPr>
      <w:spacing w:before="100" w:beforeAutospacing="1" w:after="100" w:afterAutospacing="1"/>
    </w:pPr>
    <w:rPr>
      <w:rFonts w:ascii="Arial" w:hAnsi="Arial" w:cs="Arial"/>
      <w:color w:val="000000"/>
      <w:sz w:val="22"/>
      <w:szCs w:val="22"/>
    </w:rPr>
  </w:style>
  <w:style w:type="paragraph" w:styleId="BalloonText">
    <w:name w:val="Balloon Text"/>
    <w:basedOn w:val="Normal"/>
    <w:semiHidden/>
    <w:rsid w:val="00775C94"/>
    <w:rPr>
      <w:rFonts w:ascii="Tahoma" w:hAnsi="Tahoma" w:cs="Tahoma"/>
      <w:sz w:val="16"/>
      <w:szCs w:val="16"/>
    </w:rPr>
  </w:style>
  <w:style w:type="character" w:styleId="Hyperlink">
    <w:name w:val="Hyperlink"/>
    <w:rsid w:val="00531CF4"/>
    <w:rPr>
      <w:color w:val="0000FF"/>
      <w:u w:val="single"/>
    </w:rPr>
  </w:style>
  <w:style w:type="character" w:customStyle="1" w:styleId="documentbody1">
    <w:name w:val="documentbody1"/>
    <w:rsid w:val="00531CF4"/>
    <w:rPr>
      <w:rFonts w:ascii="Verdana" w:hAnsi="Verdana" w:hint="default"/>
      <w:sz w:val="19"/>
      <w:szCs w:val="19"/>
    </w:rPr>
  </w:style>
  <w:style w:type="character" w:customStyle="1" w:styleId="starpage1">
    <w:name w:val="starpage1"/>
    <w:rsid w:val="00531CF4"/>
    <w:rPr>
      <w:b/>
      <w:bCs/>
      <w:i/>
      <w:iCs/>
      <w:color w:val="800080"/>
    </w:rPr>
  </w:style>
  <w:style w:type="character" w:customStyle="1" w:styleId="searchterm1">
    <w:name w:val="searchterm1"/>
    <w:rsid w:val="00531CF4"/>
    <w:rPr>
      <w:b/>
      <w:bCs/>
      <w:shd w:val="clear" w:color="auto" w:fill="FFFF00"/>
    </w:rPr>
  </w:style>
  <w:style w:type="character" w:customStyle="1" w:styleId="FootnoteTextChar">
    <w:name w:val="Footnote Text Char"/>
    <w:link w:val="FootnoteText"/>
    <w:semiHidden/>
    <w:rsid w:val="000118A1"/>
  </w:style>
  <w:style w:type="paragraph" w:customStyle="1" w:styleId="ParaNum">
    <w:name w:val="ParaNum"/>
    <w:basedOn w:val="Normal"/>
    <w:rsid w:val="00A659A3"/>
    <w:pPr>
      <w:widowControl w:val="0"/>
      <w:numPr>
        <w:numId w:val="3"/>
      </w:numPr>
      <w:spacing w:after="220"/>
      <w:jc w:val="both"/>
    </w:pPr>
    <w:rPr>
      <w:snapToGrid w:val="0"/>
      <w:kern w:val="28"/>
      <w:sz w:val="22"/>
    </w:rPr>
  </w:style>
  <w:style w:type="character" w:styleId="CommentReference">
    <w:name w:val="annotation reference"/>
    <w:rsid w:val="009A364B"/>
    <w:rPr>
      <w:sz w:val="16"/>
      <w:szCs w:val="16"/>
    </w:rPr>
  </w:style>
  <w:style w:type="paragraph" w:styleId="CommentText">
    <w:name w:val="annotation text"/>
    <w:basedOn w:val="Normal"/>
    <w:link w:val="CommentTextChar"/>
    <w:rsid w:val="009A364B"/>
  </w:style>
  <w:style w:type="character" w:customStyle="1" w:styleId="CommentTextChar">
    <w:name w:val="Comment Text Char"/>
    <w:basedOn w:val="DefaultParagraphFont"/>
    <w:link w:val="CommentText"/>
    <w:rsid w:val="009A364B"/>
  </w:style>
  <w:style w:type="paragraph" w:styleId="CommentSubject">
    <w:name w:val="annotation subject"/>
    <w:basedOn w:val="CommentText"/>
    <w:next w:val="CommentText"/>
    <w:link w:val="CommentSubjectChar"/>
    <w:rsid w:val="009A364B"/>
    <w:rPr>
      <w:b/>
      <w:bCs/>
    </w:rPr>
  </w:style>
  <w:style w:type="character" w:customStyle="1" w:styleId="CommentSubjectChar">
    <w:name w:val="Comment Subject Char"/>
    <w:link w:val="CommentSubject"/>
    <w:rsid w:val="009A364B"/>
    <w:rPr>
      <w:b/>
      <w:bCs/>
    </w:rPr>
  </w:style>
  <w:style w:type="character" w:styleId="FollowedHyperlink">
    <w:name w:val="FollowedHyperlink"/>
    <w:basedOn w:val="DefaultParagraphFont"/>
    <w:rsid w:val="003D7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Garamond" w:hAnsi="Garamond"/>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4320"/>
        <w:tab w:val="left" w:pos="5040"/>
      </w:tabs>
      <w:ind w:left="5040" w:hanging="5040"/>
      <w:jc w:val="both"/>
    </w:pPr>
    <w:rPr>
      <w:rFonts w:ascii="CG Times" w:hAnsi="CG Times"/>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AHeading">
    <w:name w:val="toa heading"/>
    <w:basedOn w:val="Normal"/>
    <w:next w:val="Normal"/>
    <w:semiHidden/>
    <w:pPr>
      <w:widowControl w:val="0"/>
      <w:tabs>
        <w:tab w:val="right" w:pos="9360"/>
      </w:tabs>
      <w:suppressAutoHyphens/>
      <w:jc w:val="both"/>
    </w:pPr>
    <w:rPr>
      <w:snapToGrid w:val="0"/>
      <w:kern w:val="28"/>
      <w:sz w:val="22"/>
    </w:rPr>
  </w:style>
  <w:style w:type="paragraph" w:styleId="BodyTextIndent2">
    <w:name w:val="Body Text Indent 2"/>
    <w:basedOn w:val="Normal"/>
    <w:pPr>
      <w:ind w:firstLine="720"/>
    </w:pPr>
    <w:rPr>
      <w:sz w:val="24"/>
    </w:rPr>
  </w:style>
  <w:style w:type="character" w:styleId="PageNumber">
    <w:name w:val="page number"/>
    <w:basedOn w:val="DefaultParagraphFont"/>
  </w:style>
  <w:style w:type="paragraph" w:customStyle="1" w:styleId="factsbody">
    <w:name w:val="factsbody"/>
    <w:basedOn w:val="Normal"/>
    <w:rsid w:val="0099550E"/>
    <w:pPr>
      <w:spacing w:before="100" w:beforeAutospacing="1" w:after="100" w:afterAutospacing="1"/>
    </w:pPr>
    <w:rPr>
      <w:rFonts w:ascii="Arial" w:hAnsi="Arial" w:cs="Arial"/>
      <w:color w:val="000000"/>
      <w:sz w:val="22"/>
      <w:szCs w:val="22"/>
    </w:rPr>
  </w:style>
  <w:style w:type="paragraph" w:styleId="BalloonText">
    <w:name w:val="Balloon Text"/>
    <w:basedOn w:val="Normal"/>
    <w:semiHidden/>
    <w:rsid w:val="00775C94"/>
    <w:rPr>
      <w:rFonts w:ascii="Tahoma" w:hAnsi="Tahoma" w:cs="Tahoma"/>
      <w:sz w:val="16"/>
      <w:szCs w:val="16"/>
    </w:rPr>
  </w:style>
  <w:style w:type="character" w:styleId="Hyperlink">
    <w:name w:val="Hyperlink"/>
    <w:rsid w:val="00531CF4"/>
    <w:rPr>
      <w:color w:val="0000FF"/>
      <w:u w:val="single"/>
    </w:rPr>
  </w:style>
  <w:style w:type="character" w:customStyle="1" w:styleId="documentbody1">
    <w:name w:val="documentbody1"/>
    <w:rsid w:val="00531CF4"/>
    <w:rPr>
      <w:rFonts w:ascii="Verdana" w:hAnsi="Verdana" w:hint="default"/>
      <w:sz w:val="19"/>
      <w:szCs w:val="19"/>
    </w:rPr>
  </w:style>
  <w:style w:type="character" w:customStyle="1" w:styleId="starpage1">
    <w:name w:val="starpage1"/>
    <w:rsid w:val="00531CF4"/>
    <w:rPr>
      <w:b/>
      <w:bCs/>
      <w:i/>
      <w:iCs/>
      <w:color w:val="800080"/>
    </w:rPr>
  </w:style>
  <w:style w:type="character" w:customStyle="1" w:styleId="searchterm1">
    <w:name w:val="searchterm1"/>
    <w:rsid w:val="00531CF4"/>
    <w:rPr>
      <w:b/>
      <w:bCs/>
      <w:shd w:val="clear" w:color="auto" w:fill="FFFF00"/>
    </w:rPr>
  </w:style>
  <w:style w:type="character" w:customStyle="1" w:styleId="FootnoteTextChar">
    <w:name w:val="Footnote Text Char"/>
    <w:link w:val="FootnoteText"/>
    <w:semiHidden/>
    <w:rsid w:val="000118A1"/>
  </w:style>
  <w:style w:type="paragraph" w:customStyle="1" w:styleId="ParaNum">
    <w:name w:val="ParaNum"/>
    <w:basedOn w:val="Normal"/>
    <w:rsid w:val="00A659A3"/>
    <w:pPr>
      <w:widowControl w:val="0"/>
      <w:numPr>
        <w:numId w:val="3"/>
      </w:numPr>
      <w:spacing w:after="220"/>
      <w:jc w:val="both"/>
    </w:pPr>
    <w:rPr>
      <w:snapToGrid w:val="0"/>
      <w:kern w:val="28"/>
      <w:sz w:val="22"/>
    </w:rPr>
  </w:style>
  <w:style w:type="character" w:styleId="CommentReference">
    <w:name w:val="annotation reference"/>
    <w:rsid w:val="009A364B"/>
    <w:rPr>
      <w:sz w:val="16"/>
      <w:szCs w:val="16"/>
    </w:rPr>
  </w:style>
  <w:style w:type="paragraph" w:styleId="CommentText">
    <w:name w:val="annotation text"/>
    <w:basedOn w:val="Normal"/>
    <w:link w:val="CommentTextChar"/>
    <w:rsid w:val="009A364B"/>
  </w:style>
  <w:style w:type="character" w:customStyle="1" w:styleId="CommentTextChar">
    <w:name w:val="Comment Text Char"/>
    <w:basedOn w:val="DefaultParagraphFont"/>
    <w:link w:val="CommentText"/>
    <w:rsid w:val="009A364B"/>
  </w:style>
  <w:style w:type="paragraph" w:styleId="CommentSubject">
    <w:name w:val="annotation subject"/>
    <w:basedOn w:val="CommentText"/>
    <w:next w:val="CommentText"/>
    <w:link w:val="CommentSubjectChar"/>
    <w:rsid w:val="009A364B"/>
    <w:rPr>
      <w:b/>
      <w:bCs/>
    </w:rPr>
  </w:style>
  <w:style w:type="character" w:customStyle="1" w:styleId="CommentSubjectChar">
    <w:name w:val="Comment Subject Char"/>
    <w:link w:val="CommentSubject"/>
    <w:rsid w:val="009A364B"/>
    <w:rPr>
      <w:b/>
      <w:bCs/>
    </w:rPr>
  </w:style>
  <w:style w:type="character" w:styleId="FollowedHyperlink">
    <w:name w:val="FollowedHyperlink"/>
    <w:basedOn w:val="DefaultParagraphFont"/>
    <w:rsid w:val="003D7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3245">
      <w:bodyDiv w:val="1"/>
      <w:marLeft w:val="30"/>
      <w:marRight w:val="30"/>
      <w:marTop w:val="30"/>
      <w:marBottom w:val="30"/>
      <w:divBdr>
        <w:top w:val="none" w:sz="0" w:space="0" w:color="auto"/>
        <w:left w:val="none" w:sz="0" w:space="0" w:color="auto"/>
        <w:bottom w:val="none" w:sz="0" w:space="0" w:color="auto"/>
        <w:right w:val="none" w:sz="0" w:space="0" w:color="auto"/>
      </w:divBdr>
      <w:divsChild>
        <w:div w:id="1535145152">
          <w:marLeft w:val="0"/>
          <w:marRight w:val="0"/>
          <w:marTop w:val="0"/>
          <w:marBottom w:val="0"/>
          <w:divBdr>
            <w:top w:val="none" w:sz="0" w:space="0" w:color="auto"/>
            <w:left w:val="none" w:sz="0" w:space="0" w:color="auto"/>
            <w:bottom w:val="none" w:sz="0" w:space="0" w:color="auto"/>
            <w:right w:val="none" w:sz="0" w:space="0" w:color="auto"/>
          </w:divBdr>
          <w:divsChild>
            <w:div w:id="1769814096">
              <w:marLeft w:val="45"/>
              <w:marRight w:val="45"/>
              <w:marTop w:val="45"/>
              <w:marBottom w:val="45"/>
              <w:divBdr>
                <w:top w:val="none" w:sz="0" w:space="0" w:color="auto"/>
                <w:left w:val="none" w:sz="0" w:space="0" w:color="auto"/>
                <w:bottom w:val="none" w:sz="0" w:space="0" w:color="auto"/>
                <w:right w:val="none" w:sz="0" w:space="0" w:color="auto"/>
              </w:divBdr>
              <w:divsChild>
                <w:div w:id="227419815">
                  <w:marLeft w:val="0"/>
                  <w:marRight w:val="0"/>
                  <w:marTop w:val="0"/>
                  <w:marBottom w:val="0"/>
                  <w:divBdr>
                    <w:top w:val="none" w:sz="0" w:space="0" w:color="auto"/>
                    <w:left w:val="none" w:sz="0" w:space="0" w:color="auto"/>
                    <w:bottom w:val="none" w:sz="0" w:space="0" w:color="auto"/>
                    <w:right w:val="none" w:sz="0" w:space="0" w:color="auto"/>
                  </w:divBdr>
                  <w:divsChild>
                    <w:div w:id="10716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7934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86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06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7766419">
      <w:bodyDiv w:val="1"/>
      <w:marLeft w:val="30"/>
      <w:marRight w:val="30"/>
      <w:marTop w:val="30"/>
      <w:marBottom w:val="30"/>
      <w:divBdr>
        <w:top w:val="none" w:sz="0" w:space="0" w:color="auto"/>
        <w:left w:val="none" w:sz="0" w:space="0" w:color="auto"/>
        <w:bottom w:val="none" w:sz="0" w:space="0" w:color="auto"/>
        <w:right w:val="none" w:sz="0" w:space="0" w:color="auto"/>
      </w:divBdr>
      <w:divsChild>
        <w:div w:id="1359741174">
          <w:marLeft w:val="0"/>
          <w:marRight w:val="0"/>
          <w:marTop w:val="0"/>
          <w:marBottom w:val="0"/>
          <w:divBdr>
            <w:top w:val="none" w:sz="0" w:space="0" w:color="auto"/>
            <w:left w:val="none" w:sz="0" w:space="0" w:color="auto"/>
            <w:bottom w:val="none" w:sz="0" w:space="0" w:color="auto"/>
            <w:right w:val="none" w:sz="0" w:space="0" w:color="auto"/>
          </w:divBdr>
          <w:divsChild>
            <w:div w:id="133569513">
              <w:marLeft w:val="45"/>
              <w:marRight w:val="45"/>
              <w:marTop w:val="45"/>
              <w:marBottom w:val="45"/>
              <w:divBdr>
                <w:top w:val="none" w:sz="0" w:space="0" w:color="auto"/>
                <w:left w:val="none" w:sz="0" w:space="0" w:color="auto"/>
                <w:bottom w:val="none" w:sz="0" w:space="0" w:color="auto"/>
                <w:right w:val="none" w:sz="0" w:space="0" w:color="auto"/>
              </w:divBdr>
              <w:divsChild>
                <w:div w:id="525289490">
                  <w:marLeft w:val="0"/>
                  <w:marRight w:val="0"/>
                  <w:marTop w:val="0"/>
                  <w:marBottom w:val="0"/>
                  <w:divBdr>
                    <w:top w:val="none" w:sz="0" w:space="0" w:color="auto"/>
                    <w:left w:val="none" w:sz="0" w:space="0" w:color="auto"/>
                    <w:bottom w:val="none" w:sz="0" w:space="0" w:color="auto"/>
                    <w:right w:val="none" w:sz="0" w:space="0" w:color="auto"/>
                  </w:divBdr>
                  <w:divsChild>
                    <w:div w:id="107631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80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1966604">
      <w:bodyDiv w:val="1"/>
      <w:marLeft w:val="0"/>
      <w:marRight w:val="0"/>
      <w:marTop w:val="0"/>
      <w:marBottom w:val="0"/>
      <w:divBdr>
        <w:top w:val="none" w:sz="0" w:space="0" w:color="auto"/>
        <w:left w:val="none" w:sz="0" w:space="0" w:color="auto"/>
        <w:bottom w:val="none" w:sz="0" w:space="0" w:color="auto"/>
        <w:right w:val="none" w:sz="0" w:space="0" w:color="auto"/>
      </w:divBdr>
    </w:div>
    <w:div w:id="1801999848">
      <w:bodyDiv w:val="1"/>
      <w:marLeft w:val="30"/>
      <w:marRight w:val="30"/>
      <w:marTop w:val="30"/>
      <w:marBottom w:val="30"/>
      <w:divBdr>
        <w:top w:val="none" w:sz="0" w:space="0" w:color="auto"/>
        <w:left w:val="none" w:sz="0" w:space="0" w:color="auto"/>
        <w:bottom w:val="none" w:sz="0" w:space="0" w:color="auto"/>
        <w:right w:val="none" w:sz="0" w:space="0" w:color="auto"/>
      </w:divBdr>
      <w:divsChild>
        <w:div w:id="1376930203">
          <w:marLeft w:val="0"/>
          <w:marRight w:val="0"/>
          <w:marTop w:val="0"/>
          <w:marBottom w:val="0"/>
          <w:divBdr>
            <w:top w:val="none" w:sz="0" w:space="0" w:color="auto"/>
            <w:left w:val="none" w:sz="0" w:space="0" w:color="auto"/>
            <w:bottom w:val="none" w:sz="0" w:space="0" w:color="auto"/>
            <w:right w:val="none" w:sz="0" w:space="0" w:color="auto"/>
          </w:divBdr>
          <w:divsChild>
            <w:div w:id="1037587157">
              <w:marLeft w:val="45"/>
              <w:marRight w:val="45"/>
              <w:marTop w:val="45"/>
              <w:marBottom w:val="45"/>
              <w:divBdr>
                <w:top w:val="none" w:sz="0" w:space="0" w:color="auto"/>
                <w:left w:val="none" w:sz="0" w:space="0" w:color="auto"/>
                <w:bottom w:val="none" w:sz="0" w:space="0" w:color="auto"/>
                <w:right w:val="none" w:sz="0" w:space="0" w:color="auto"/>
              </w:divBdr>
              <w:divsChild>
                <w:div w:id="2002266950">
                  <w:marLeft w:val="0"/>
                  <w:marRight w:val="0"/>
                  <w:marTop w:val="0"/>
                  <w:marBottom w:val="0"/>
                  <w:divBdr>
                    <w:top w:val="none" w:sz="0" w:space="0" w:color="auto"/>
                    <w:left w:val="none" w:sz="0" w:space="0" w:color="auto"/>
                    <w:bottom w:val="none" w:sz="0" w:space="0" w:color="auto"/>
                    <w:right w:val="none" w:sz="0" w:space="0" w:color="auto"/>
                  </w:divBdr>
                  <w:divsChild>
                    <w:div w:id="489754214">
                      <w:marLeft w:val="0"/>
                      <w:marRight w:val="0"/>
                      <w:marTop w:val="0"/>
                      <w:marBottom w:val="0"/>
                      <w:divBdr>
                        <w:top w:val="none" w:sz="0" w:space="0" w:color="auto"/>
                        <w:left w:val="none" w:sz="0" w:space="0" w:color="auto"/>
                        <w:bottom w:val="none" w:sz="0" w:space="0" w:color="auto"/>
                        <w:right w:val="none" w:sz="0" w:space="0" w:color="auto"/>
                      </w:divBdr>
                    </w:div>
                    <w:div w:id="16880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tions.fcc.gov/station-profile/kten/more-public-files/browse-%3erecords_concerning_commercial_limits_in_childrens_programs"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Letter</Template>
  <TotalTime>0</TotalTime>
  <Pages>3</Pages>
  <Words>1366</Words>
  <Characters>7636</Characters>
  <Application>Microsoft Office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WTVA, Inc</vt:lpstr>
    </vt:vector>
  </TitlesOfParts>
  <Manager/>
  <Company/>
  <LinksUpToDate>false</LinksUpToDate>
  <CharactersWithSpaces>9082</CharactersWithSpaces>
  <SharedDoc>false</SharedDoc>
  <HyperlinkBase> </HyperlinkBase>
  <HLinks>
    <vt:vector size="6" baseType="variant">
      <vt:variant>
        <vt:i4>4259912</vt:i4>
      </vt:variant>
      <vt:variant>
        <vt:i4>0</vt:i4>
      </vt:variant>
      <vt:variant>
        <vt:i4>0</vt:i4>
      </vt:variant>
      <vt:variant>
        <vt:i4>5</vt:i4>
      </vt:variant>
      <vt:variant>
        <vt:lpwstr>https://stations.fcc.gov/station-profile/kten/more-public-files/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2014-09-15T14:08:00Z</cp:lastPrinted>
  <dcterms:created xsi:type="dcterms:W3CDTF">2014-09-15T14:12:00Z</dcterms:created>
  <dcterms:modified xsi:type="dcterms:W3CDTF">2014-09-15T14:12:00Z</dcterms:modified>
  <cp:category> </cp:category>
  <cp:contentStatus> </cp:contentStatus>
</cp:coreProperties>
</file>