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93" w:rsidRPr="00C04C44" w:rsidRDefault="00596393" w:rsidP="00596393">
      <w:pPr>
        <w:jc w:val="right"/>
        <w:rPr>
          <w:b/>
          <w:sz w:val="22"/>
          <w:szCs w:val="22"/>
        </w:rPr>
      </w:pPr>
      <w:bookmarkStart w:id="0" w:name="_GoBack"/>
      <w:bookmarkEnd w:id="0"/>
      <w:r>
        <w:rPr>
          <w:sz w:val="22"/>
          <w:szCs w:val="22"/>
        </w:rPr>
        <w:tab/>
      </w:r>
      <w:r w:rsidRPr="00C04C44">
        <w:rPr>
          <w:b/>
          <w:sz w:val="22"/>
          <w:szCs w:val="22"/>
        </w:rPr>
        <w:t>DA 14-</w:t>
      </w:r>
      <w:r w:rsidR="00C04C44" w:rsidRPr="00C04C44">
        <w:rPr>
          <w:b/>
          <w:sz w:val="22"/>
          <w:szCs w:val="22"/>
        </w:rPr>
        <w:t>1338</w:t>
      </w:r>
    </w:p>
    <w:p w:rsidR="00596393" w:rsidRDefault="00596393" w:rsidP="00596393">
      <w:pPr>
        <w:rPr>
          <w:sz w:val="22"/>
          <w:szCs w:val="22"/>
        </w:rPr>
      </w:pPr>
    </w:p>
    <w:p w:rsidR="00596393" w:rsidRDefault="00596393" w:rsidP="00596393">
      <w:pPr>
        <w:rPr>
          <w:sz w:val="22"/>
          <w:szCs w:val="22"/>
        </w:rPr>
      </w:pPr>
    </w:p>
    <w:p w:rsidR="00596393" w:rsidRDefault="00596393" w:rsidP="00596393">
      <w:pPr>
        <w:rPr>
          <w:i/>
          <w:sz w:val="22"/>
          <w:szCs w:val="22"/>
        </w:rPr>
      </w:pPr>
      <w:r>
        <w:rPr>
          <w:i/>
          <w:sz w:val="22"/>
          <w:szCs w:val="22"/>
        </w:rPr>
        <w:t>Via Electronic Mail and First-Class Mail</w:t>
      </w:r>
    </w:p>
    <w:p w:rsidR="00596393" w:rsidRDefault="00596393" w:rsidP="00596393">
      <w:pPr>
        <w:rPr>
          <w:sz w:val="22"/>
          <w:szCs w:val="22"/>
        </w:rPr>
      </w:pPr>
    </w:p>
    <w:p w:rsidR="00596393" w:rsidRDefault="00596393" w:rsidP="00596393">
      <w:pPr>
        <w:rPr>
          <w:sz w:val="22"/>
          <w:szCs w:val="22"/>
        </w:rPr>
      </w:pPr>
    </w:p>
    <w:p w:rsidR="00596393" w:rsidRDefault="00596393" w:rsidP="00596393">
      <w:pPr>
        <w:rPr>
          <w:sz w:val="22"/>
          <w:szCs w:val="22"/>
        </w:rPr>
      </w:pPr>
      <w:r>
        <w:rPr>
          <w:sz w:val="22"/>
          <w:szCs w:val="22"/>
        </w:rPr>
        <w:t>Craig J. Brown</w:t>
      </w:r>
    </w:p>
    <w:p w:rsidR="00596393" w:rsidRDefault="00596393" w:rsidP="00596393">
      <w:pPr>
        <w:rPr>
          <w:sz w:val="22"/>
          <w:szCs w:val="22"/>
        </w:rPr>
      </w:pPr>
      <w:r>
        <w:rPr>
          <w:sz w:val="22"/>
          <w:szCs w:val="22"/>
        </w:rPr>
        <w:t>Senior Associate General Counsel</w:t>
      </w:r>
    </w:p>
    <w:p w:rsidR="00596393" w:rsidRDefault="00596393" w:rsidP="00596393">
      <w:pPr>
        <w:rPr>
          <w:sz w:val="22"/>
          <w:szCs w:val="22"/>
        </w:rPr>
      </w:pPr>
      <w:r>
        <w:rPr>
          <w:sz w:val="22"/>
          <w:szCs w:val="22"/>
        </w:rPr>
        <w:t>CenturyLink, Inc.</w:t>
      </w:r>
    </w:p>
    <w:p w:rsidR="00596393" w:rsidRDefault="00596393" w:rsidP="00596393">
      <w:pPr>
        <w:rPr>
          <w:sz w:val="22"/>
          <w:szCs w:val="22"/>
        </w:rPr>
      </w:pPr>
      <w:r>
        <w:rPr>
          <w:sz w:val="22"/>
          <w:szCs w:val="22"/>
        </w:rPr>
        <w:t>1099 New York Avenue, NW</w:t>
      </w:r>
    </w:p>
    <w:p w:rsidR="00596393" w:rsidRDefault="00596393" w:rsidP="00596393">
      <w:pPr>
        <w:rPr>
          <w:sz w:val="22"/>
          <w:szCs w:val="22"/>
        </w:rPr>
      </w:pPr>
      <w:r>
        <w:rPr>
          <w:sz w:val="22"/>
          <w:szCs w:val="22"/>
        </w:rPr>
        <w:t>Suite 250</w:t>
      </w:r>
    </w:p>
    <w:p w:rsidR="00596393" w:rsidRDefault="00596393" w:rsidP="00596393">
      <w:pPr>
        <w:rPr>
          <w:sz w:val="22"/>
          <w:szCs w:val="22"/>
        </w:rPr>
      </w:pPr>
      <w:r>
        <w:rPr>
          <w:sz w:val="22"/>
          <w:szCs w:val="22"/>
        </w:rPr>
        <w:t>Washington, DC 20001</w:t>
      </w:r>
    </w:p>
    <w:p w:rsidR="00596393" w:rsidRDefault="00596393" w:rsidP="00596393">
      <w:pPr>
        <w:rPr>
          <w:sz w:val="22"/>
          <w:szCs w:val="22"/>
        </w:rPr>
      </w:pPr>
    </w:p>
    <w:p w:rsidR="00596393" w:rsidRDefault="00596393" w:rsidP="005A5322">
      <w:pPr>
        <w:ind w:left="1440" w:hanging="720"/>
        <w:rPr>
          <w:b/>
          <w:sz w:val="22"/>
          <w:szCs w:val="22"/>
        </w:rPr>
      </w:pPr>
      <w:r>
        <w:rPr>
          <w:b/>
          <w:sz w:val="22"/>
          <w:szCs w:val="22"/>
        </w:rPr>
        <w:t>R</w:t>
      </w:r>
      <w:r w:rsidR="00FE0437">
        <w:rPr>
          <w:b/>
          <w:sz w:val="22"/>
          <w:szCs w:val="22"/>
        </w:rPr>
        <w:t>e</w:t>
      </w:r>
      <w:r>
        <w:rPr>
          <w:b/>
          <w:sz w:val="22"/>
          <w:szCs w:val="22"/>
        </w:rPr>
        <w:t xml:space="preserve">:  </w:t>
      </w:r>
      <w:r>
        <w:rPr>
          <w:b/>
          <w:sz w:val="22"/>
          <w:szCs w:val="22"/>
        </w:rPr>
        <w:tab/>
        <w:t xml:space="preserve">In the Matter of CenturyLink’s Petition for Forbearance Pursuant to 47 U.S.C. § 160(c) from Dominant Carrier and Certain </w:t>
      </w:r>
      <w:r>
        <w:rPr>
          <w:b/>
          <w:i/>
          <w:sz w:val="22"/>
          <w:szCs w:val="22"/>
        </w:rPr>
        <w:t>Computer Inquiry</w:t>
      </w:r>
      <w:r>
        <w:rPr>
          <w:b/>
          <w:sz w:val="22"/>
          <w:szCs w:val="22"/>
        </w:rPr>
        <w:t xml:space="preserve"> Requirements on Enterprise Broadband Services (WC Docket No. 14-9)</w:t>
      </w:r>
    </w:p>
    <w:p w:rsidR="00596393" w:rsidRDefault="00596393" w:rsidP="00596393">
      <w:pPr>
        <w:rPr>
          <w:sz w:val="22"/>
          <w:szCs w:val="22"/>
        </w:rPr>
      </w:pPr>
    </w:p>
    <w:p w:rsidR="00596393" w:rsidRDefault="00596393" w:rsidP="00596393">
      <w:pPr>
        <w:rPr>
          <w:sz w:val="22"/>
          <w:szCs w:val="22"/>
        </w:rPr>
      </w:pPr>
      <w:r>
        <w:rPr>
          <w:sz w:val="22"/>
          <w:szCs w:val="22"/>
        </w:rPr>
        <w:t>Dear Mr. Brown:</w:t>
      </w:r>
    </w:p>
    <w:p w:rsidR="00596393" w:rsidRDefault="00596393" w:rsidP="00596393">
      <w:pPr>
        <w:rPr>
          <w:sz w:val="22"/>
          <w:szCs w:val="22"/>
        </w:rPr>
      </w:pPr>
    </w:p>
    <w:p w:rsidR="001A6726" w:rsidRDefault="001A6726" w:rsidP="001A6726">
      <w:pPr>
        <w:ind w:firstLine="720"/>
        <w:rPr>
          <w:sz w:val="22"/>
          <w:szCs w:val="22"/>
        </w:rPr>
      </w:pPr>
      <w:r w:rsidRPr="00660362">
        <w:rPr>
          <w:sz w:val="22"/>
          <w:szCs w:val="22"/>
        </w:rPr>
        <w:t xml:space="preserve">On </w:t>
      </w:r>
      <w:r w:rsidR="000840A7">
        <w:rPr>
          <w:sz w:val="22"/>
          <w:szCs w:val="22"/>
        </w:rPr>
        <w:t>September 12, 2014</w:t>
      </w:r>
      <w:r>
        <w:rPr>
          <w:sz w:val="22"/>
          <w:szCs w:val="22"/>
        </w:rPr>
        <w:t>, we sent CenturyLink,</w:t>
      </w:r>
      <w:r w:rsidR="00690735">
        <w:rPr>
          <w:sz w:val="22"/>
          <w:szCs w:val="22"/>
        </w:rPr>
        <w:t xml:space="preserve"> Inc. </w:t>
      </w:r>
      <w:r>
        <w:rPr>
          <w:sz w:val="22"/>
          <w:szCs w:val="22"/>
        </w:rPr>
        <w:t>a</w:t>
      </w:r>
      <w:r w:rsidR="001A526E">
        <w:rPr>
          <w:sz w:val="22"/>
          <w:szCs w:val="22"/>
        </w:rPr>
        <w:t>n Information, Data, and Document R</w:t>
      </w:r>
      <w:r>
        <w:rPr>
          <w:sz w:val="22"/>
          <w:szCs w:val="22"/>
        </w:rPr>
        <w:t>equest</w:t>
      </w:r>
      <w:r w:rsidR="00D900AE">
        <w:rPr>
          <w:rStyle w:val="FootnoteReference"/>
          <w:sz w:val="22"/>
          <w:szCs w:val="22"/>
        </w:rPr>
        <w:footnoteReference w:id="1"/>
      </w:r>
      <w:r>
        <w:rPr>
          <w:sz w:val="22"/>
          <w:szCs w:val="22"/>
        </w:rPr>
        <w:t xml:space="preserve"> </w:t>
      </w:r>
      <w:r w:rsidR="001A526E">
        <w:rPr>
          <w:sz w:val="22"/>
          <w:szCs w:val="22"/>
        </w:rPr>
        <w:t>to assist the Commission</w:t>
      </w:r>
      <w:r w:rsidR="00D900AE">
        <w:rPr>
          <w:sz w:val="22"/>
          <w:szCs w:val="22"/>
        </w:rPr>
        <w:t xml:space="preserve"> in its review of </w:t>
      </w:r>
      <w:r w:rsidR="00E75912">
        <w:rPr>
          <w:sz w:val="22"/>
          <w:szCs w:val="22"/>
        </w:rPr>
        <w:t>your</w:t>
      </w:r>
      <w:r w:rsidR="00D900AE">
        <w:rPr>
          <w:sz w:val="22"/>
          <w:szCs w:val="22"/>
        </w:rPr>
        <w:t xml:space="preserve"> petition for forbearance and alternative petition for interim waiver.</w:t>
      </w:r>
      <w:r w:rsidR="00A51AAF">
        <w:rPr>
          <w:rStyle w:val="FootnoteReference"/>
          <w:sz w:val="22"/>
          <w:szCs w:val="22"/>
        </w:rPr>
        <w:footnoteReference w:id="2"/>
      </w:r>
      <w:r w:rsidR="00396DD1">
        <w:rPr>
          <w:sz w:val="22"/>
          <w:szCs w:val="22"/>
        </w:rPr>
        <w:t xml:space="preserve">  It has come to our attention that the </w:t>
      </w:r>
      <w:r w:rsidR="00396DD1" w:rsidRPr="00E75912">
        <w:rPr>
          <w:i/>
          <w:sz w:val="22"/>
          <w:szCs w:val="22"/>
        </w:rPr>
        <w:t>Second Protective Order</w:t>
      </w:r>
      <w:r w:rsidR="00396DD1">
        <w:rPr>
          <w:sz w:val="22"/>
          <w:szCs w:val="22"/>
        </w:rPr>
        <w:t xml:space="preserve"> in this proceedi</w:t>
      </w:r>
      <w:r w:rsidR="006D69D9">
        <w:rPr>
          <w:sz w:val="22"/>
          <w:szCs w:val="22"/>
        </w:rPr>
        <w:t>ng, which was issued on March 7, 2014</w:t>
      </w:r>
      <w:r w:rsidR="00396DD1">
        <w:rPr>
          <w:sz w:val="22"/>
          <w:szCs w:val="22"/>
        </w:rPr>
        <w:t>,</w:t>
      </w:r>
      <w:r w:rsidR="00F56043">
        <w:rPr>
          <w:rStyle w:val="FootnoteReference"/>
          <w:sz w:val="22"/>
          <w:szCs w:val="22"/>
        </w:rPr>
        <w:footnoteReference w:id="3"/>
      </w:r>
      <w:r w:rsidR="00396DD1">
        <w:rPr>
          <w:sz w:val="22"/>
          <w:szCs w:val="22"/>
        </w:rPr>
        <w:t xml:space="preserve"> might not cover all of the potentially confidential commercially sensitive information that we requested in the Information, Data, and Document Request.  Accordingly, we hereby revise Appendix A to the </w:t>
      </w:r>
      <w:r w:rsidR="00396DD1" w:rsidRPr="00E75912">
        <w:rPr>
          <w:i/>
          <w:sz w:val="22"/>
          <w:szCs w:val="22"/>
        </w:rPr>
        <w:t>Second Protective Order</w:t>
      </w:r>
      <w:r w:rsidR="00F56043">
        <w:rPr>
          <w:rStyle w:val="FootnoteReference"/>
          <w:sz w:val="22"/>
          <w:szCs w:val="22"/>
        </w:rPr>
        <w:footnoteReference w:id="4"/>
      </w:r>
      <w:r w:rsidR="00396DD1">
        <w:rPr>
          <w:sz w:val="22"/>
          <w:szCs w:val="22"/>
        </w:rPr>
        <w:t xml:space="preserve"> by replacing it in its entirety with the Appendix A attached to this letter.</w:t>
      </w:r>
    </w:p>
    <w:p w:rsidR="00396DD1" w:rsidRDefault="00396DD1" w:rsidP="001A6726">
      <w:pPr>
        <w:ind w:firstLine="720"/>
        <w:rPr>
          <w:sz w:val="22"/>
          <w:szCs w:val="22"/>
        </w:rPr>
      </w:pPr>
    </w:p>
    <w:p w:rsidR="00396DD1" w:rsidRPr="00660362" w:rsidRDefault="00396DD1" w:rsidP="009D3896">
      <w:pPr>
        <w:pageBreakBefore/>
        <w:ind w:firstLine="720"/>
        <w:rPr>
          <w:sz w:val="22"/>
          <w:szCs w:val="22"/>
        </w:rPr>
      </w:pPr>
      <w:r>
        <w:rPr>
          <w:sz w:val="22"/>
          <w:szCs w:val="22"/>
        </w:rPr>
        <w:lastRenderedPageBreak/>
        <w:t xml:space="preserve">If you have any questions regarding this matter, please contact </w:t>
      </w:r>
      <w:r w:rsidR="006C21A7">
        <w:rPr>
          <w:sz w:val="22"/>
          <w:szCs w:val="22"/>
        </w:rPr>
        <w:t>Matt Warner</w:t>
      </w:r>
      <w:r>
        <w:rPr>
          <w:sz w:val="22"/>
          <w:szCs w:val="22"/>
        </w:rPr>
        <w:t>, Competition Policy Division, Wireline Competi</w:t>
      </w:r>
      <w:r w:rsidR="006C21A7">
        <w:rPr>
          <w:sz w:val="22"/>
          <w:szCs w:val="22"/>
        </w:rPr>
        <w:t>tion Bureau, at (202) 418-2419</w:t>
      </w:r>
      <w:r>
        <w:rPr>
          <w:sz w:val="22"/>
          <w:szCs w:val="22"/>
        </w:rPr>
        <w:t>.</w:t>
      </w:r>
    </w:p>
    <w:p w:rsidR="00596393" w:rsidRDefault="00596393" w:rsidP="00596393">
      <w:pPr>
        <w:rPr>
          <w:sz w:val="22"/>
          <w:szCs w:val="22"/>
        </w:rPr>
      </w:pPr>
    </w:p>
    <w:p w:rsidR="00596393" w:rsidRDefault="00596393" w:rsidP="00596393">
      <w:pPr>
        <w:ind w:firstLine="720"/>
        <w:rPr>
          <w:sz w:val="22"/>
          <w:szCs w:val="22"/>
        </w:rPr>
      </w:pPr>
    </w:p>
    <w:p w:rsidR="00596393" w:rsidRDefault="00596393" w:rsidP="00596393">
      <w:pPr>
        <w:keepNext/>
        <w:keepLines/>
        <w:rPr>
          <w:sz w:val="22"/>
          <w:szCs w:val="22"/>
        </w:rPr>
      </w:pPr>
    </w:p>
    <w:p w:rsidR="00596393" w:rsidRDefault="00596393" w:rsidP="00596393">
      <w:pPr>
        <w:keepNext/>
        <w:keepLines/>
        <w:ind w:left="3600" w:firstLine="720"/>
        <w:rPr>
          <w:sz w:val="22"/>
          <w:szCs w:val="22"/>
        </w:rPr>
      </w:pPr>
      <w:r>
        <w:rPr>
          <w:sz w:val="22"/>
          <w:szCs w:val="22"/>
        </w:rPr>
        <w:t xml:space="preserve">Sincerely, </w:t>
      </w:r>
    </w:p>
    <w:p w:rsidR="00596393" w:rsidRDefault="00596393" w:rsidP="00596393">
      <w:pPr>
        <w:keepNext/>
        <w:keepLines/>
        <w:ind w:left="3600" w:firstLine="720"/>
        <w:rPr>
          <w:sz w:val="22"/>
          <w:szCs w:val="22"/>
        </w:rPr>
      </w:pPr>
    </w:p>
    <w:p w:rsidR="00596393" w:rsidRDefault="00596393" w:rsidP="00596393">
      <w:pPr>
        <w:keepNext/>
        <w:keepLines/>
        <w:ind w:left="3600" w:firstLine="720"/>
        <w:rPr>
          <w:sz w:val="22"/>
          <w:szCs w:val="22"/>
        </w:rPr>
      </w:pPr>
    </w:p>
    <w:p w:rsidR="00596393" w:rsidRDefault="00596393" w:rsidP="00596393">
      <w:pPr>
        <w:keepNext/>
        <w:keepLines/>
        <w:ind w:left="3600" w:firstLine="720"/>
        <w:rPr>
          <w:sz w:val="22"/>
          <w:szCs w:val="22"/>
        </w:rPr>
      </w:pPr>
    </w:p>
    <w:p w:rsidR="00596393" w:rsidRDefault="00596393" w:rsidP="00596393">
      <w:pPr>
        <w:keepNext/>
        <w:keepLines/>
        <w:ind w:left="3600" w:firstLine="720"/>
        <w:rPr>
          <w:sz w:val="22"/>
          <w:szCs w:val="22"/>
        </w:rPr>
      </w:pPr>
      <w:r>
        <w:rPr>
          <w:sz w:val="22"/>
          <w:szCs w:val="22"/>
        </w:rPr>
        <w:t>Julie A. Veach</w:t>
      </w:r>
    </w:p>
    <w:p w:rsidR="00596393" w:rsidRDefault="00596393" w:rsidP="00596393">
      <w:pPr>
        <w:keepNext/>
        <w:keepLines/>
        <w:ind w:left="3600" w:firstLine="720"/>
        <w:rPr>
          <w:sz w:val="22"/>
          <w:szCs w:val="22"/>
        </w:rPr>
      </w:pPr>
      <w:r>
        <w:rPr>
          <w:sz w:val="22"/>
          <w:szCs w:val="22"/>
        </w:rPr>
        <w:t>Chief, Wireline Competition Bureau</w:t>
      </w:r>
    </w:p>
    <w:p w:rsidR="00596393" w:rsidRDefault="00596393" w:rsidP="00596393">
      <w:pPr>
        <w:keepNext/>
        <w:keepLines/>
        <w:tabs>
          <w:tab w:val="left" w:pos="5040"/>
        </w:tabs>
        <w:rPr>
          <w:sz w:val="22"/>
          <w:szCs w:val="22"/>
        </w:rPr>
      </w:pPr>
    </w:p>
    <w:p w:rsidR="00596393" w:rsidRDefault="00596393" w:rsidP="00596393">
      <w:pPr>
        <w:keepNext/>
        <w:keepLines/>
        <w:rPr>
          <w:sz w:val="22"/>
          <w:szCs w:val="22"/>
        </w:rPr>
      </w:pPr>
    </w:p>
    <w:p w:rsidR="00596393" w:rsidRDefault="00596393" w:rsidP="00596393">
      <w:pPr>
        <w:keepNext/>
        <w:keepLines/>
        <w:rPr>
          <w:sz w:val="22"/>
          <w:szCs w:val="22"/>
        </w:rPr>
      </w:pPr>
      <w:r>
        <w:rPr>
          <w:sz w:val="22"/>
          <w:szCs w:val="22"/>
        </w:rPr>
        <w:t>Attachment</w:t>
      </w:r>
    </w:p>
    <w:p w:rsidR="00596393" w:rsidRDefault="00596393" w:rsidP="00596393">
      <w:pPr>
        <w:rPr>
          <w:sz w:val="22"/>
          <w:szCs w:val="22"/>
        </w:rPr>
      </w:pPr>
    </w:p>
    <w:p w:rsidR="00596393" w:rsidRDefault="00596393" w:rsidP="00596393">
      <w:pPr>
        <w:rPr>
          <w:sz w:val="22"/>
          <w:szCs w:val="22"/>
        </w:rPr>
      </w:pPr>
    </w:p>
    <w:p w:rsidR="00405DF3" w:rsidRDefault="00405DF3">
      <w:pPr>
        <w:spacing w:after="200" w:line="276" w:lineRule="auto"/>
        <w:rPr>
          <w:b/>
          <w:sz w:val="22"/>
          <w:szCs w:val="22"/>
        </w:rPr>
      </w:pPr>
      <w:r>
        <w:rPr>
          <w:b/>
          <w:sz w:val="22"/>
          <w:szCs w:val="22"/>
        </w:rPr>
        <w:br w:type="page"/>
      </w:r>
    </w:p>
    <w:p w:rsidR="00C04C44" w:rsidRDefault="00C04C44" w:rsidP="00FE0437">
      <w:pPr>
        <w:snapToGrid w:val="0"/>
        <w:spacing w:after="120"/>
        <w:jc w:val="center"/>
        <w:rPr>
          <w:b/>
          <w:bCs/>
          <w:sz w:val="22"/>
          <w:szCs w:val="22"/>
        </w:rPr>
      </w:pPr>
      <w:r>
        <w:rPr>
          <w:b/>
          <w:bCs/>
          <w:sz w:val="22"/>
          <w:szCs w:val="22"/>
        </w:rPr>
        <w:t>ATTACHMENT</w:t>
      </w:r>
    </w:p>
    <w:p w:rsidR="00C04C44" w:rsidRDefault="00C04C44" w:rsidP="00FE0437">
      <w:pPr>
        <w:snapToGrid w:val="0"/>
        <w:spacing w:after="120"/>
        <w:jc w:val="center"/>
        <w:rPr>
          <w:b/>
          <w:bCs/>
          <w:sz w:val="22"/>
          <w:szCs w:val="22"/>
        </w:rPr>
      </w:pPr>
    </w:p>
    <w:p w:rsidR="00FE0437" w:rsidRPr="00FE0437" w:rsidRDefault="00FE0437" w:rsidP="00FE0437">
      <w:pPr>
        <w:snapToGrid w:val="0"/>
        <w:spacing w:after="120"/>
        <w:jc w:val="center"/>
        <w:rPr>
          <w:b/>
          <w:bCs/>
          <w:sz w:val="22"/>
          <w:szCs w:val="22"/>
        </w:rPr>
      </w:pPr>
      <w:r w:rsidRPr="00FE0437">
        <w:rPr>
          <w:b/>
          <w:bCs/>
          <w:sz w:val="22"/>
          <w:szCs w:val="22"/>
        </w:rPr>
        <w:t>APPENDIX A</w:t>
      </w:r>
    </w:p>
    <w:p w:rsidR="00FE0437" w:rsidRPr="00FE0437" w:rsidRDefault="00FE0437" w:rsidP="00FE0437">
      <w:pPr>
        <w:snapToGrid w:val="0"/>
        <w:spacing w:after="120"/>
        <w:jc w:val="center"/>
        <w:rPr>
          <w:b/>
          <w:bCs/>
          <w:sz w:val="22"/>
          <w:szCs w:val="22"/>
        </w:rPr>
      </w:pPr>
      <w:r w:rsidRPr="00FE0437">
        <w:rPr>
          <w:b/>
          <w:bCs/>
          <w:sz w:val="22"/>
          <w:szCs w:val="22"/>
        </w:rPr>
        <w:t>Highly Confidential Information and Documents</w:t>
      </w:r>
    </w:p>
    <w:p w:rsidR="00FE0437" w:rsidRPr="00FE0437" w:rsidRDefault="00FE0437" w:rsidP="00FE0437">
      <w:pPr>
        <w:snapToGrid w:val="0"/>
        <w:spacing w:after="120"/>
        <w:rPr>
          <w:b/>
          <w:bCs/>
          <w:sz w:val="22"/>
          <w:szCs w:val="22"/>
        </w:rPr>
      </w:pPr>
    </w:p>
    <w:p w:rsidR="00FE0437" w:rsidRPr="00FE0437" w:rsidRDefault="00FE0437" w:rsidP="00FE0437">
      <w:pPr>
        <w:snapToGrid w:val="0"/>
        <w:spacing w:after="120"/>
        <w:rPr>
          <w:bCs/>
          <w:sz w:val="22"/>
          <w:szCs w:val="22"/>
        </w:rPr>
      </w:pPr>
      <w:r w:rsidRPr="00FE0437">
        <w:rPr>
          <w:b/>
          <w:bCs/>
          <w:sz w:val="22"/>
          <w:szCs w:val="22"/>
        </w:rPr>
        <w:tab/>
      </w:r>
      <w:r w:rsidRPr="00FE0437">
        <w:rPr>
          <w:bCs/>
          <w:sz w:val="22"/>
          <w:szCs w:val="22"/>
        </w:rPr>
        <w:t>As specified in paragraphs 2 and 3 of the Second Protective Order, only information and documents set forth in Appendix A and that otherwise meet the definition of Highly Confidential Information or Highly Confidential Documents may be designated as Highly Confidential.  Appendix A will be updated as necessary.</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details the terms and conditions of or strategy related to a Submitting Party’s most sensitive contracts (e.g., marketing, service or product agreements).</w:t>
      </w:r>
    </w:p>
    <w:p w:rsidR="00FE0437" w:rsidRPr="00FE0437" w:rsidRDefault="00FE0437" w:rsidP="00FE0437">
      <w:pPr>
        <w:widowControl w:val="0"/>
        <w:numPr>
          <w:ilvl w:val="0"/>
          <w:numId w:val="1"/>
        </w:numPr>
        <w:snapToGrid w:val="0"/>
        <w:spacing w:after="120"/>
        <w:rPr>
          <w:sz w:val="22"/>
          <w:szCs w:val="22"/>
        </w:rPr>
      </w:pPr>
      <w:r w:rsidRPr="00FE0437">
        <w:rPr>
          <w:sz w:val="22"/>
          <w:szCs w:val="22"/>
        </w:rPr>
        <w:t xml:space="preserve">Information that </w:t>
      </w:r>
      <w:r w:rsidRPr="00FE0437">
        <w:rPr>
          <w:bCs/>
          <w:sz w:val="22"/>
          <w:szCs w:val="22"/>
        </w:rPr>
        <w:t>discusses</w:t>
      </w:r>
      <w:r w:rsidRPr="00FE0437">
        <w:rPr>
          <w:sz w:val="22"/>
          <w:szCs w:val="22"/>
        </w:rPr>
        <w:t xml:space="preserve"> in detail current or future plans to compete for a customer or specific groups or types of customers (e.g., business or wholesale customers), including future procurement strategies, pricing strategies, product strategies, advertising or marketing strategies, future business plans, technology implementation or deployment plans and strategies (e.g., engineering capacity planning documents), plans for handling acquired customers, and human resources and staffing strategies.</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provides granular information about a Submitting Party’s current or future costs, sales, revenues, marginal revenues, or market share.</w:t>
      </w:r>
    </w:p>
    <w:p w:rsidR="00FE0437" w:rsidRPr="00FE0437" w:rsidRDefault="00FE0437" w:rsidP="00FE0437">
      <w:pPr>
        <w:widowControl w:val="0"/>
        <w:numPr>
          <w:ilvl w:val="0"/>
          <w:numId w:val="1"/>
        </w:numPr>
        <w:snapToGrid w:val="0"/>
        <w:spacing w:after="120"/>
        <w:rPr>
          <w:sz w:val="22"/>
          <w:szCs w:val="22"/>
        </w:rPr>
      </w:pPr>
      <w:r w:rsidRPr="00FE0437">
        <w:rPr>
          <w:sz w:val="22"/>
          <w:szCs w:val="22"/>
        </w:rPr>
        <w:t xml:space="preserve">Analyses of competitors and detailed information describing or illustrating how a Submitting Party analyzes its competitors, including sources and methods used in these analyses, any limits on use of these analyses or data, and how such analyses or data are used.  </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provides numbers of customers and revenues broken down by customer category or type (e.g., business, mobile providers, national customers) and geographic or market area (e.g., CMA/MSA/RSA, DMA, state, study area, regional cluster) or zip code.</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discusses or analyzes in detail the number or anticipated changes in the number of customers or amount of traffic, including churn rate data, broken down by zip code or market, detailed information about why customers discontinue service, forecasts of customer demand, and attempts to win customers from other companies and losses of customers to other companies.</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provides detailed or granular engineering capacity information or information about specific facilities, including collocation sites, cell sites, or maps of network facilities.</w:t>
      </w:r>
    </w:p>
    <w:p w:rsidR="00FE0437" w:rsidRPr="00FE0437" w:rsidRDefault="00FE0437" w:rsidP="00FE0437">
      <w:pPr>
        <w:widowControl w:val="0"/>
        <w:numPr>
          <w:ilvl w:val="0"/>
          <w:numId w:val="1"/>
        </w:numPr>
        <w:snapToGrid w:val="0"/>
        <w:spacing w:after="120"/>
        <w:rPr>
          <w:sz w:val="22"/>
          <w:szCs w:val="22"/>
        </w:rPr>
      </w:pPr>
      <w:r w:rsidRPr="00FE0437">
        <w:rPr>
          <w:sz w:val="22"/>
          <w:szCs w:val="22"/>
        </w:rPr>
        <w:t>Information that provides detailed technical performance data and test results.</w:t>
      </w:r>
    </w:p>
    <w:p w:rsidR="00D83B28" w:rsidRPr="00FE0437" w:rsidRDefault="00FE0437" w:rsidP="00FE0437">
      <w:pPr>
        <w:widowControl w:val="0"/>
        <w:numPr>
          <w:ilvl w:val="0"/>
          <w:numId w:val="1"/>
        </w:numPr>
        <w:snapToGrid w:val="0"/>
        <w:spacing w:after="120"/>
        <w:rPr>
          <w:sz w:val="22"/>
          <w:szCs w:val="22"/>
        </w:rPr>
      </w:pPr>
      <w:r w:rsidRPr="00FE0437">
        <w:rPr>
          <w:sz w:val="22"/>
          <w:szCs w:val="22"/>
        </w:rPr>
        <w:t>Information that discusses or relates to Requests for Proposals (RFP), including FCC Form 470 or other bidding documents, or contracts thereto, regardless of who was awarded the contract.</w:t>
      </w:r>
    </w:p>
    <w:sectPr w:rsidR="00D83B28" w:rsidRPr="00FE0437" w:rsidSect="009D38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4D" w:rsidRDefault="00B83B4D" w:rsidP="00596393">
      <w:r>
        <w:separator/>
      </w:r>
    </w:p>
  </w:endnote>
  <w:endnote w:type="continuationSeparator" w:id="0">
    <w:p w:rsidR="00B83B4D" w:rsidRDefault="00B83B4D" w:rsidP="0059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CD" w:rsidRDefault="00C34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07318"/>
      <w:docPartObj>
        <w:docPartGallery w:val="Page Numbers (Bottom of Page)"/>
        <w:docPartUnique/>
      </w:docPartObj>
    </w:sdtPr>
    <w:sdtEndPr>
      <w:rPr>
        <w:noProof/>
      </w:rPr>
    </w:sdtEndPr>
    <w:sdtContent>
      <w:p w:rsidR="00FE0437" w:rsidRDefault="00FE0437">
        <w:pPr>
          <w:pStyle w:val="Footer"/>
          <w:jc w:val="center"/>
        </w:pPr>
        <w:r w:rsidRPr="00FE0437">
          <w:rPr>
            <w:sz w:val="22"/>
            <w:szCs w:val="22"/>
          </w:rPr>
          <w:fldChar w:fldCharType="begin"/>
        </w:r>
        <w:r w:rsidRPr="00FE0437">
          <w:rPr>
            <w:sz w:val="22"/>
            <w:szCs w:val="22"/>
          </w:rPr>
          <w:instrText xml:space="preserve"> PAGE   \* MERGEFORMAT </w:instrText>
        </w:r>
        <w:r w:rsidRPr="00FE0437">
          <w:rPr>
            <w:sz w:val="22"/>
            <w:szCs w:val="22"/>
          </w:rPr>
          <w:fldChar w:fldCharType="separate"/>
        </w:r>
        <w:r w:rsidR="00C34BCD">
          <w:rPr>
            <w:noProof/>
            <w:sz w:val="22"/>
            <w:szCs w:val="22"/>
          </w:rPr>
          <w:t>3</w:t>
        </w:r>
        <w:r w:rsidRPr="00FE0437">
          <w:rPr>
            <w:noProof/>
            <w:sz w:val="22"/>
            <w:szCs w:val="22"/>
          </w:rPr>
          <w:fldChar w:fldCharType="end"/>
        </w:r>
      </w:p>
    </w:sdtContent>
  </w:sdt>
  <w:p w:rsidR="00FE0437" w:rsidRDefault="00FE0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CD" w:rsidRDefault="00C34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4D" w:rsidRDefault="00B83B4D" w:rsidP="00596393">
      <w:r>
        <w:separator/>
      </w:r>
    </w:p>
  </w:footnote>
  <w:footnote w:type="continuationSeparator" w:id="0">
    <w:p w:rsidR="00B83B4D" w:rsidRDefault="00B83B4D" w:rsidP="00596393">
      <w:r>
        <w:continuationSeparator/>
      </w:r>
    </w:p>
  </w:footnote>
  <w:footnote w:id="1">
    <w:p w:rsidR="00D900AE" w:rsidRDefault="00D900AE" w:rsidP="00FE0437">
      <w:pPr>
        <w:pStyle w:val="FootnoteText"/>
        <w:spacing w:after="120"/>
      </w:pPr>
      <w:r>
        <w:rPr>
          <w:rStyle w:val="FootnoteReference"/>
        </w:rPr>
        <w:footnoteRef/>
      </w:r>
      <w:r>
        <w:t xml:space="preserve"> </w:t>
      </w:r>
      <w:r w:rsidR="00394215">
        <w:t xml:space="preserve">Letter from Julie A. Veach, Chief, Wireline Competition Bureau, Federal Communications Commission, </w:t>
      </w:r>
      <w:r w:rsidR="00A95CD2">
        <w:t xml:space="preserve">to Craig J. Brown, Senior Associate General Counsel, CenturyLink, Inc., </w:t>
      </w:r>
      <w:r w:rsidR="00394215">
        <w:t>WC Docket No. 14-9, DA 14-</w:t>
      </w:r>
      <w:r w:rsidR="00B47F78">
        <w:t>1324</w:t>
      </w:r>
      <w:r w:rsidR="00394215">
        <w:t xml:space="preserve"> (Wireline Comp. Bur. rel. Sept. 12, 2014)</w:t>
      </w:r>
      <w:r w:rsidR="00E75912">
        <w:t xml:space="preserve"> (</w:t>
      </w:r>
      <w:r w:rsidR="00E75912" w:rsidRPr="00E75912">
        <w:t>Information, Data, and Document Request</w:t>
      </w:r>
      <w:r w:rsidR="00E75912">
        <w:t>)</w:t>
      </w:r>
      <w:r w:rsidR="00394215">
        <w:t>.</w:t>
      </w:r>
    </w:p>
  </w:footnote>
  <w:footnote w:id="2">
    <w:p w:rsidR="00A51AAF" w:rsidRDefault="00A51AAF" w:rsidP="00F56043">
      <w:pPr>
        <w:pStyle w:val="FootnoteText"/>
        <w:spacing w:after="120"/>
      </w:pPr>
      <w:r>
        <w:rPr>
          <w:rStyle w:val="FootnoteReference"/>
        </w:rPr>
        <w:footnoteRef/>
      </w:r>
      <w:r>
        <w:t xml:space="preserve"> </w:t>
      </w:r>
      <w:r w:rsidRPr="00756DB9">
        <w:t xml:space="preserve">Petition of CenturyLink for Forbearance Pursuant to 47 U.S.C. §160(c) from Dominant Carrier Regulation and </w:t>
      </w:r>
      <w:r w:rsidRPr="00756DB9">
        <w:rPr>
          <w:i/>
        </w:rPr>
        <w:t>Computer Inquiry</w:t>
      </w:r>
      <w:r w:rsidRPr="00756DB9">
        <w:t xml:space="preserve"> Tariffing Requirements on Enterprise Broadband Services, WC Docket No. 14-9 (filed Dec. 13, 2013) (CenturyLink </w:t>
      </w:r>
      <w:r>
        <w:t xml:space="preserve">Forbearance Petition); </w:t>
      </w:r>
      <w:r w:rsidRPr="00756DB9">
        <w:t xml:space="preserve">CenturyLink’s Alternative Petition for Interim Waiver of Dominant Carrier Regulation and </w:t>
      </w:r>
      <w:r w:rsidRPr="00756DB9">
        <w:rPr>
          <w:i/>
        </w:rPr>
        <w:t>Computer Inquiry</w:t>
      </w:r>
      <w:r w:rsidRPr="00756DB9">
        <w:t xml:space="preserve"> Tariffing Requirements Imposed on Enterprise Broadband Services, WC Docket No. 14-9</w:t>
      </w:r>
      <w:r w:rsidRPr="00756DB9">
        <w:rPr>
          <w:b/>
        </w:rPr>
        <w:t xml:space="preserve"> </w:t>
      </w:r>
      <w:r w:rsidRPr="00756DB9">
        <w:t>(filed Dec. 13, 2013)</w:t>
      </w:r>
      <w:r>
        <w:t xml:space="preserve">.  </w:t>
      </w:r>
    </w:p>
  </w:footnote>
  <w:footnote w:id="3">
    <w:p w:rsidR="00F56043" w:rsidRPr="00F56043" w:rsidRDefault="00F56043" w:rsidP="00E75912">
      <w:pPr>
        <w:pStyle w:val="FootnoteText"/>
        <w:spacing w:after="120"/>
      </w:pPr>
      <w:r>
        <w:rPr>
          <w:rStyle w:val="FootnoteReference"/>
        </w:rPr>
        <w:footnoteRef/>
      </w:r>
      <w:r>
        <w:t xml:space="preserve"> </w:t>
      </w:r>
      <w:r w:rsidRPr="00F56043">
        <w:rPr>
          <w:i/>
        </w:rPr>
        <w:t>CenturyLink’s Petition for Forbearance Pursuant to 47 U.S.C. § 160(c) from Dominant Carrier and Certain Computer Inquiry Requirements on Enterprise Broadband Services</w:t>
      </w:r>
      <w:r>
        <w:t>, WC Docket No. 14-9, Second Protective Order, 29 FCC Rcd 2200 (Wireline Comp. Bur. 2014)</w:t>
      </w:r>
      <w:r w:rsidR="00E75912">
        <w:t xml:space="preserve"> (</w:t>
      </w:r>
      <w:r w:rsidR="00E75912">
        <w:rPr>
          <w:i/>
        </w:rPr>
        <w:t>Second Protective Order</w:t>
      </w:r>
      <w:r w:rsidR="00E75912">
        <w:t>)</w:t>
      </w:r>
      <w:r>
        <w:t>.</w:t>
      </w:r>
    </w:p>
  </w:footnote>
  <w:footnote w:id="4">
    <w:p w:rsidR="00F56043" w:rsidRPr="00F56043" w:rsidRDefault="00F56043">
      <w:pPr>
        <w:pStyle w:val="FootnoteText"/>
      </w:pPr>
      <w:r>
        <w:rPr>
          <w:rStyle w:val="FootnoteReference"/>
        </w:rPr>
        <w:footnoteRef/>
      </w:r>
      <w:r>
        <w:t xml:space="preserve"> </w:t>
      </w:r>
      <w:r>
        <w:rPr>
          <w:i/>
        </w:rPr>
        <w:t>See id.</w:t>
      </w:r>
      <w:r>
        <w:t xml:space="preserve"> at 2208, App.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CD" w:rsidRDefault="00C34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CD" w:rsidRDefault="00C34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96" w:rsidRDefault="009D3896" w:rsidP="009D3896">
    <w:pPr>
      <w:pStyle w:val="Header"/>
      <w:spacing w:before="360" w:line="228" w:lineRule="auto"/>
      <w:jc w:val="center"/>
    </w:pPr>
    <w:r>
      <w:rPr>
        <w:noProof/>
      </w:rPr>
      <w:drawing>
        <wp:anchor distT="0" distB="0" distL="114300" distR="114300" simplePos="0" relativeHeight="251659264" behindDoc="0" locked="0" layoutInCell="0" allowOverlap="1" wp14:anchorId="5E41F344" wp14:editId="231E5F08">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9D3896" w:rsidRDefault="009D3896" w:rsidP="009D3896">
    <w:pPr>
      <w:jc w:val="center"/>
    </w:pPr>
    <w:r>
      <w:rPr>
        <w:rFonts w:ascii="CG Times (W1)" w:hAnsi="CG Times (W1)"/>
        <w:sz w:val="28"/>
      </w:rPr>
      <w:t>Washington, D.C. 20554</w:t>
    </w:r>
  </w:p>
  <w:p w:rsidR="009D3896" w:rsidRDefault="009D3896" w:rsidP="009D3896">
    <w:pPr>
      <w:pStyle w:val="Header"/>
      <w:jc w:val="center"/>
      <w:rPr>
        <w:sz w:val="22"/>
      </w:rPr>
    </w:pPr>
  </w:p>
  <w:p w:rsidR="009D3896" w:rsidRDefault="009D3896" w:rsidP="009D3896">
    <w:pPr>
      <w:pStyle w:val="Header"/>
      <w:jc w:val="center"/>
      <w:rPr>
        <w:sz w:val="22"/>
      </w:rPr>
    </w:pPr>
  </w:p>
  <w:p w:rsidR="009D3896" w:rsidRDefault="009D3896" w:rsidP="009D3896">
    <w:pPr>
      <w:pStyle w:val="Header"/>
      <w:jc w:val="center"/>
      <w:rPr>
        <w:sz w:val="22"/>
      </w:rPr>
    </w:pPr>
    <w:r>
      <w:rPr>
        <w:sz w:val="22"/>
      </w:rPr>
      <w:t xml:space="preserve">September </w:t>
    </w:r>
    <w:r w:rsidR="00FE0437">
      <w:rPr>
        <w:sz w:val="22"/>
      </w:rPr>
      <w:t>1</w:t>
    </w:r>
    <w:r w:rsidR="00C04C44">
      <w:rPr>
        <w:sz w:val="22"/>
      </w:rPr>
      <w:t>6</w:t>
    </w:r>
    <w:r>
      <w:rPr>
        <w:sz w:val="22"/>
      </w:rPr>
      <w:t>, 2014</w:t>
    </w:r>
  </w:p>
  <w:p w:rsidR="009D3896" w:rsidRDefault="009D3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93"/>
    <w:rsid w:val="000840A7"/>
    <w:rsid w:val="001A526E"/>
    <w:rsid w:val="001A6726"/>
    <w:rsid w:val="0030518F"/>
    <w:rsid w:val="00394215"/>
    <w:rsid w:val="00396DD1"/>
    <w:rsid w:val="00405DF3"/>
    <w:rsid w:val="005950C8"/>
    <w:rsid w:val="00596393"/>
    <w:rsid w:val="005A5322"/>
    <w:rsid w:val="00690735"/>
    <w:rsid w:val="006C21A7"/>
    <w:rsid w:val="006D69D9"/>
    <w:rsid w:val="009D3896"/>
    <w:rsid w:val="00A013AB"/>
    <w:rsid w:val="00A51AAF"/>
    <w:rsid w:val="00A95CD2"/>
    <w:rsid w:val="00AC1438"/>
    <w:rsid w:val="00B47F78"/>
    <w:rsid w:val="00B83B4D"/>
    <w:rsid w:val="00C04C44"/>
    <w:rsid w:val="00C34BCD"/>
    <w:rsid w:val="00D818B1"/>
    <w:rsid w:val="00D83B28"/>
    <w:rsid w:val="00D900AE"/>
    <w:rsid w:val="00D92BFA"/>
    <w:rsid w:val="00E75912"/>
    <w:rsid w:val="00F56043"/>
    <w:rsid w:val="00FE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semiHidden/>
    <w:rsid w:val="00596393"/>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n "/>
    <w:basedOn w:val="Normal"/>
    <w:link w:val="FootnoteTextChar"/>
    <w:semiHidden/>
    <w:rsid w:val="00596393"/>
    <w:pPr>
      <w:tabs>
        <w:tab w:val="left" w:pos="720"/>
      </w:tabs>
      <w:spacing w:after="200"/>
    </w:pPr>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semiHidden/>
    <w:rsid w:val="00596393"/>
    <w:rPr>
      <w:rFonts w:ascii="Times New Roman" w:eastAsia="Times New Roman" w:hAnsi="Times New Roman" w:cs="Times New Roman"/>
      <w:sz w:val="20"/>
      <w:szCs w:val="20"/>
    </w:rPr>
  </w:style>
  <w:style w:type="character" w:styleId="CommentReference">
    <w:name w:val="annotation reference"/>
    <w:semiHidden/>
    <w:rsid w:val="00596393"/>
    <w:rPr>
      <w:sz w:val="16"/>
    </w:rPr>
  </w:style>
  <w:style w:type="paragraph" w:styleId="CommentText">
    <w:name w:val="annotation text"/>
    <w:basedOn w:val="Normal"/>
    <w:link w:val="CommentTextChar"/>
    <w:semiHidden/>
    <w:rsid w:val="00596393"/>
    <w:rPr>
      <w:sz w:val="20"/>
      <w:szCs w:val="20"/>
    </w:rPr>
  </w:style>
  <w:style w:type="character" w:customStyle="1" w:styleId="CommentTextChar">
    <w:name w:val="Comment Text Char"/>
    <w:basedOn w:val="DefaultParagraphFont"/>
    <w:link w:val="CommentText"/>
    <w:semiHidden/>
    <w:rsid w:val="005963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6393"/>
    <w:rPr>
      <w:rFonts w:ascii="Tahoma" w:hAnsi="Tahoma" w:cs="Tahoma"/>
      <w:sz w:val="16"/>
      <w:szCs w:val="16"/>
    </w:rPr>
  </w:style>
  <w:style w:type="character" w:customStyle="1" w:styleId="BalloonTextChar">
    <w:name w:val="Balloon Text Char"/>
    <w:basedOn w:val="DefaultParagraphFont"/>
    <w:link w:val="BalloonText"/>
    <w:uiPriority w:val="99"/>
    <w:semiHidden/>
    <w:rsid w:val="00596393"/>
    <w:rPr>
      <w:rFonts w:ascii="Tahoma" w:eastAsia="Times New Roman" w:hAnsi="Tahoma" w:cs="Tahoma"/>
      <w:sz w:val="16"/>
      <w:szCs w:val="16"/>
    </w:rPr>
  </w:style>
  <w:style w:type="paragraph" w:styleId="Header">
    <w:name w:val="header"/>
    <w:basedOn w:val="Normal"/>
    <w:link w:val="HeaderChar"/>
    <w:unhideWhenUsed/>
    <w:rsid w:val="00596393"/>
    <w:pPr>
      <w:tabs>
        <w:tab w:val="center" w:pos="4680"/>
        <w:tab w:val="right" w:pos="9360"/>
      </w:tabs>
    </w:pPr>
  </w:style>
  <w:style w:type="character" w:customStyle="1" w:styleId="HeaderChar">
    <w:name w:val="Header Char"/>
    <w:basedOn w:val="DefaultParagraphFont"/>
    <w:link w:val="Header"/>
    <w:rsid w:val="005963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393"/>
    <w:pPr>
      <w:tabs>
        <w:tab w:val="center" w:pos="4680"/>
        <w:tab w:val="right" w:pos="9360"/>
      </w:tabs>
    </w:pPr>
  </w:style>
  <w:style w:type="character" w:customStyle="1" w:styleId="FooterChar">
    <w:name w:val="Footer Char"/>
    <w:basedOn w:val="DefaultParagraphFont"/>
    <w:link w:val="Footer"/>
    <w:uiPriority w:val="99"/>
    <w:rsid w:val="0059639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56043"/>
    <w:rPr>
      <w:sz w:val="20"/>
      <w:szCs w:val="20"/>
    </w:rPr>
  </w:style>
  <w:style w:type="character" w:customStyle="1" w:styleId="EndnoteTextChar">
    <w:name w:val="Endnote Text Char"/>
    <w:basedOn w:val="DefaultParagraphFont"/>
    <w:link w:val="EndnoteText"/>
    <w:uiPriority w:val="99"/>
    <w:semiHidden/>
    <w:rsid w:val="00F56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60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semiHidden/>
    <w:rsid w:val="00596393"/>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n "/>
    <w:basedOn w:val="Normal"/>
    <w:link w:val="FootnoteTextChar"/>
    <w:semiHidden/>
    <w:rsid w:val="00596393"/>
    <w:pPr>
      <w:tabs>
        <w:tab w:val="left" w:pos="720"/>
      </w:tabs>
      <w:spacing w:after="200"/>
    </w:pPr>
    <w:rPr>
      <w:sz w:val="20"/>
      <w:szCs w:val="20"/>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basedOn w:val="DefaultParagraphFont"/>
    <w:link w:val="FootnoteText"/>
    <w:semiHidden/>
    <w:rsid w:val="00596393"/>
    <w:rPr>
      <w:rFonts w:ascii="Times New Roman" w:eastAsia="Times New Roman" w:hAnsi="Times New Roman" w:cs="Times New Roman"/>
      <w:sz w:val="20"/>
      <w:szCs w:val="20"/>
    </w:rPr>
  </w:style>
  <w:style w:type="character" w:styleId="CommentReference">
    <w:name w:val="annotation reference"/>
    <w:semiHidden/>
    <w:rsid w:val="00596393"/>
    <w:rPr>
      <w:sz w:val="16"/>
    </w:rPr>
  </w:style>
  <w:style w:type="paragraph" w:styleId="CommentText">
    <w:name w:val="annotation text"/>
    <w:basedOn w:val="Normal"/>
    <w:link w:val="CommentTextChar"/>
    <w:semiHidden/>
    <w:rsid w:val="00596393"/>
    <w:rPr>
      <w:sz w:val="20"/>
      <w:szCs w:val="20"/>
    </w:rPr>
  </w:style>
  <w:style w:type="character" w:customStyle="1" w:styleId="CommentTextChar">
    <w:name w:val="Comment Text Char"/>
    <w:basedOn w:val="DefaultParagraphFont"/>
    <w:link w:val="CommentText"/>
    <w:semiHidden/>
    <w:rsid w:val="005963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6393"/>
    <w:rPr>
      <w:rFonts w:ascii="Tahoma" w:hAnsi="Tahoma" w:cs="Tahoma"/>
      <w:sz w:val="16"/>
      <w:szCs w:val="16"/>
    </w:rPr>
  </w:style>
  <w:style w:type="character" w:customStyle="1" w:styleId="BalloonTextChar">
    <w:name w:val="Balloon Text Char"/>
    <w:basedOn w:val="DefaultParagraphFont"/>
    <w:link w:val="BalloonText"/>
    <w:uiPriority w:val="99"/>
    <w:semiHidden/>
    <w:rsid w:val="00596393"/>
    <w:rPr>
      <w:rFonts w:ascii="Tahoma" w:eastAsia="Times New Roman" w:hAnsi="Tahoma" w:cs="Tahoma"/>
      <w:sz w:val="16"/>
      <w:szCs w:val="16"/>
    </w:rPr>
  </w:style>
  <w:style w:type="paragraph" w:styleId="Header">
    <w:name w:val="header"/>
    <w:basedOn w:val="Normal"/>
    <w:link w:val="HeaderChar"/>
    <w:unhideWhenUsed/>
    <w:rsid w:val="00596393"/>
    <w:pPr>
      <w:tabs>
        <w:tab w:val="center" w:pos="4680"/>
        <w:tab w:val="right" w:pos="9360"/>
      </w:tabs>
    </w:pPr>
  </w:style>
  <w:style w:type="character" w:customStyle="1" w:styleId="HeaderChar">
    <w:name w:val="Header Char"/>
    <w:basedOn w:val="DefaultParagraphFont"/>
    <w:link w:val="Header"/>
    <w:rsid w:val="005963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6393"/>
    <w:pPr>
      <w:tabs>
        <w:tab w:val="center" w:pos="4680"/>
        <w:tab w:val="right" w:pos="9360"/>
      </w:tabs>
    </w:pPr>
  </w:style>
  <w:style w:type="character" w:customStyle="1" w:styleId="FooterChar">
    <w:name w:val="Footer Char"/>
    <w:basedOn w:val="DefaultParagraphFont"/>
    <w:link w:val="Footer"/>
    <w:uiPriority w:val="99"/>
    <w:rsid w:val="0059639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56043"/>
    <w:rPr>
      <w:sz w:val="20"/>
      <w:szCs w:val="20"/>
    </w:rPr>
  </w:style>
  <w:style w:type="character" w:customStyle="1" w:styleId="EndnoteTextChar">
    <w:name w:val="Endnote Text Char"/>
    <w:basedOn w:val="DefaultParagraphFont"/>
    <w:link w:val="EndnoteText"/>
    <w:uiPriority w:val="99"/>
    <w:semiHidden/>
    <w:rsid w:val="00F560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56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3578</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2014-09-16T16:42:00Z</dcterms:created>
  <dcterms:modified xsi:type="dcterms:W3CDTF">2014-09-16T16:42:00Z</dcterms:modified>
  <cp:category> </cp:category>
  <cp:contentStatus> </cp:contentStatus>
</cp:coreProperties>
</file>