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D8" w:rsidRPr="00650FD8" w:rsidRDefault="00650FD8" w:rsidP="00650FD8">
      <w:pPr>
        <w:widowControl w:val="0"/>
        <w:spacing w:after="0" w:line="240" w:lineRule="auto"/>
        <w:jc w:val="center"/>
        <w:rPr>
          <w:rFonts w:eastAsia="Times New Roman"/>
          <w:b/>
          <w:snapToGrid w:val="0"/>
          <w:kern w:val="28"/>
          <w:sz w:val="22"/>
        </w:rPr>
      </w:pPr>
      <w:bookmarkStart w:id="0" w:name="_GoBack"/>
      <w:bookmarkEnd w:id="0"/>
      <w:r w:rsidRPr="00650FD8">
        <w:rPr>
          <w:rFonts w:ascii="Times New Roman Bold" w:eastAsia="Times New Roman" w:hAnsi="Times New Roman Bold"/>
          <w:b/>
          <w:snapToGrid w:val="0"/>
          <w:sz w:val="22"/>
          <w:szCs w:val="22"/>
        </w:rPr>
        <w:t>Before</w:t>
      </w:r>
      <w:r w:rsidRPr="00650FD8">
        <w:rPr>
          <w:rFonts w:eastAsia="Times New Roman"/>
          <w:b/>
          <w:snapToGrid w:val="0"/>
          <w:kern w:val="28"/>
          <w:sz w:val="22"/>
        </w:rPr>
        <w:t xml:space="preserve"> the</w:t>
      </w:r>
    </w:p>
    <w:p w:rsidR="00650FD8" w:rsidRPr="00650FD8" w:rsidRDefault="00650FD8" w:rsidP="00650FD8">
      <w:pPr>
        <w:widowControl w:val="0"/>
        <w:spacing w:after="0" w:line="240" w:lineRule="auto"/>
        <w:jc w:val="center"/>
        <w:rPr>
          <w:rFonts w:ascii="Times New Roman Bold" w:eastAsia="Times New Roman" w:hAnsi="Times New Roman Bold"/>
          <w:b/>
          <w:bCs/>
          <w:caps/>
          <w:snapToGrid w:val="0"/>
          <w:kern w:val="28"/>
          <w:sz w:val="22"/>
          <w:szCs w:val="22"/>
        </w:rPr>
      </w:pPr>
      <w:r w:rsidRPr="00650FD8">
        <w:rPr>
          <w:rFonts w:ascii="Times New Roman Bold" w:eastAsia="Times New Roman" w:hAnsi="Times New Roman Bold"/>
          <w:b/>
          <w:bCs/>
          <w:caps/>
          <w:snapToGrid w:val="0"/>
          <w:kern w:val="28"/>
          <w:sz w:val="22"/>
          <w:szCs w:val="22"/>
        </w:rPr>
        <w:t>F</w:t>
      </w:r>
      <w:r w:rsidRPr="00650FD8">
        <w:rPr>
          <w:rFonts w:ascii="Times New Roman Bold" w:eastAsia="Times New Roman" w:hAnsi="Times New Roman Bold"/>
          <w:b/>
          <w:bCs/>
          <w:snapToGrid w:val="0"/>
          <w:kern w:val="28"/>
          <w:sz w:val="22"/>
          <w:szCs w:val="22"/>
        </w:rPr>
        <w:t>ederal Communications Commission</w:t>
      </w:r>
    </w:p>
    <w:p w:rsidR="00650FD8" w:rsidRPr="00650FD8" w:rsidRDefault="00650FD8" w:rsidP="00650FD8">
      <w:pPr>
        <w:widowControl w:val="0"/>
        <w:spacing w:after="0" w:line="240" w:lineRule="auto"/>
        <w:jc w:val="center"/>
        <w:rPr>
          <w:rFonts w:ascii="Times New Roman Bold" w:eastAsia="Times New Roman" w:hAnsi="Times New Roman Bold"/>
          <w:b/>
          <w:bCs/>
          <w:caps/>
          <w:snapToGrid w:val="0"/>
          <w:kern w:val="28"/>
          <w:sz w:val="22"/>
          <w:szCs w:val="22"/>
        </w:rPr>
      </w:pPr>
      <w:r w:rsidRPr="00650FD8">
        <w:rPr>
          <w:rFonts w:ascii="Times New Roman Bold" w:eastAsia="Times New Roman" w:hAnsi="Times New Roman Bold"/>
          <w:b/>
          <w:bCs/>
          <w:snapToGrid w:val="0"/>
          <w:kern w:val="28"/>
          <w:sz w:val="22"/>
          <w:szCs w:val="22"/>
        </w:rPr>
        <w:t>Washington, DC 205</w:t>
      </w:r>
      <w:r w:rsidRPr="00650FD8">
        <w:rPr>
          <w:rFonts w:ascii="Times New Roman Bold" w:eastAsia="Times New Roman" w:hAnsi="Times New Roman Bold"/>
          <w:b/>
          <w:bCs/>
          <w:caps/>
          <w:snapToGrid w:val="0"/>
          <w:kern w:val="28"/>
          <w:sz w:val="22"/>
          <w:szCs w:val="22"/>
        </w:rPr>
        <w:t>54</w:t>
      </w:r>
    </w:p>
    <w:p w:rsidR="00650FD8" w:rsidRPr="00650FD8" w:rsidRDefault="00650FD8" w:rsidP="00650FD8">
      <w:pPr>
        <w:widowControl w:val="0"/>
        <w:spacing w:after="0" w:line="240" w:lineRule="auto"/>
        <w:rPr>
          <w:rFonts w:eastAsia="Times New Roman"/>
          <w:snapToGrid w:val="0"/>
          <w:kern w:val="28"/>
          <w:sz w:val="22"/>
        </w:rPr>
      </w:pPr>
    </w:p>
    <w:p w:rsidR="00650FD8" w:rsidRPr="00650FD8" w:rsidRDefault="00650FD8" w:rsidP="00650FD8">
      <w:pPr>
        <w:widowControl w:val="0"/>
        <w:spacing w:after="0" w:line="240" w:lineRule="auto"/>
        <w:rPr>
          <w:rFonts w:eastAsia="Times New Roman"/>
          <w:snapToGrid w:val="0"/>
          <w:kern w:val="28"/>
          <w:sz w:val="22"/>
        </w:rPr>
      </w:pPr>
    </w:p>
    <w:tbl>
      <w:tblPr>
        <w:tblW w:w="0" w:type="auto"/>
        <w:tblLayout w:type="fixed"/>
        <w:tblLook w:val="0000" w:firstRow="0" w:lastRow="0" w:firstColumn="0" w:lastColumn="0" w:noHBand="0" w:noVBand="0"/>
      </w:tblPr>
      <w:tblGrid>
        <w:gridCol w:w="4698"/>
        <w:gridCol w:w="630"/>
        <w:gridCol w:w="4248"/>
      </w:tblGrid>
      <w:tr w:rsidR="00650FD8" w:rsidRPr="00650FD8" w:rsidTr="001C4555">
        <w:tc>
          <w:tcPr>
            <w:tcW w:w="4698" w:type="dxa"/>
          </w:tcPr>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r w:rsidRPr="00650FD8">
              <w:rPr>
                <w:rFonts w:eastAsia="Times New Roman"/>
                <w:snapToGrid w:val="0"/>
                <w:spacing w:val="-2"/>
                <w:kern w:val="28"/>
                <w:sz w:val="22"/>
              </w:rPr>
              <w:t>In the Matter of</w:t>
            </w:r>
          </w:p>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p>
          <w:p w:rsidR="00650FD8" w:rsidRPr="0072467B" w:rsidRDefault="00650FD8" w:rsidP="0072467B">
            <w:pPr>
              <w:widowControl w:val="0"/>
              <w:suppressAutoHyphens/>
              <w:spacing w:after="0" w:line="240" w:lineRule="auto"/>
              <w:rPr>
                <w:rFonts w:eastAsia="MS Mincho"/>
                <w:kern w:val="1"/>
                <w:sz w:val="22"/>
                <w:lang w:eastAsia="ar-SA"/>
              </w:rPr>
            </w:pPr>
            <w:r w:rsidRPr="00650FD8">
              <w:rPr>
                <w:rFonts w:eastAsia="Times New Roman"/>
                <w:snapToGrid w:val="0"/>
                <w:kern w:val="28"/>
                <w:sz w:val="22"/>
              </w:rPr>
              <w:t xml:space="preserve">Petition for </w:t>
            </w:r>
            <w:r w:rsidR="0072467B">
              <w:rPr>
                <w:rFonts w:eastAsia="Times New Roman"/>
                <w:snapToGrid w:val="0"/>
                <w:kern w:val="28"/>
                <w:sz w:val="22"/>
              </w:rPr>
              <w:t>proposed changes in 47 CFR Part 97 Section 97.301(a) and Section 97.305(c) to add the 4-meter</w:t>
            </w:r>
            <w:r w:rsidRPr="00650FD8">
              <w:rPr>
                <w:rFonts w:eastAsia="Times New Roman"/>
                <w:snapToGrid w:val="0"/>
                <w:kern w:val="28"/>
                <w:sz w:val="22"/>
              </w:rPr>
              <w:t xml:space="preserve"> </w:t>
            </w:r>
            <w:r w:rsidR="0072467B">
              <w:rPr>
                <w:rFonts w:eastAsia="Times New Roman"/>
                <w:snapToGrid w:val="0"/>
                <w:kern w:val="28"/>
                <w:sz w:val="22"/>
              </w:rPr>
              <w:t>b</w:t>
            </w:r>
            <w:r w:rsidRPr="00650FD8">
              <w:rPr>
                <w:rFonts w:eastAsia="Times New Roman"/>
                <w:snapToGrid w:val="0"/>
                <w:kern w:val="28"/>
                <w:sz w:val="22"/>
              </w:rPr>
              <w:t>and</w:t>
            </w:r>
            <w:r w:rsidRPr="00650FD8">
              <w:rPr>
                <w:rFonts w:eastAsia="Times New Roman"/>
                <w:snapToGrid w:val="0"/>
                <w:spacing w:val="-2"/>
                <w:kern w:val="28"/>
                <w:sz w:val="22"/>
              </w:rPr>
              <w:t xml:space="preserve"> </w:t>
            </w:r>
          </w:p>
        </w:tc>
        <w:tc>
          <w:tcPr>
            <w:tcW w:w="630" w:type="dxa"/>
          </w:tcPr>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b/>
                <w:snapToGrid w:val="0"/>
                <w:spacing w:val="-2"/>
                <w:kern w:val="28"/>
                <w:sz w:val="22"/>
              </w:rPr>
            </w:pPr>
            <w:r w:rsidRPr="00650FD8">
              <w:rPr>
                <w:rFonts w:eastAsia="Times New Roman"/>
                <w:b/>
                <w:snapToGrid w:val="0"/>
                <w:spacing w:val="-2"/>
                <w:kern w:val="28"/>
                <w:sz w:val="22"/>
              </w:rPr>
              <w:t>)</w:t>
            </w:r>
          </w:p>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p>
        </w:tc>
        <w:tc>
          <w:tcPr>
            <w:tcW w:w="4248" w:type="dxa"/>
          </w:tcPr>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p>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p>
          <w:p w:rsidR="00650FD8" w:rsidRPr="00650FD8" w:rsidRDefault="00650FD8" w:rsidP="00650FD8">
            <w:pPr>
              <w:widowControl w:val="0"/>
              <w:tabs>
                <w:tab w:val="center" w:pos="4680"/>
              </w:tabs>
              <w:suppressAutoHyphens/>
              <w:spacing w:after="0" w:line="240" w:lineRule="auto"/>
              <w:rPr>
                <w:rFonts w:eastAsia="Times New Roman"/>
                <w:snapToGrid w:val="0"/>
                <w:spacing w:val="-2"/>
                <w:kern w:val="28"/>
                <w:sz w:val="22"/>
              </w:rPr>
            </w:pPr>
          </w:p>
        </w:tc>
      </w:tr>
    </w:tbl>
    <w:p w:rsidR="00650FD8" w:rsidRPr="00650FD8" w:rsidRDefault="00650FD8" w:rsidP="00650FD8">
      <w:pPr>
        <w:widowControl w:val="0"/>
        <w:spacing w:after="0" w:line="240" w:lineRule="auto"/>
        <w:rPr>
          <w:rFonts w:eastAsia="Times New Roman"/>
          <w:snapToGrid w:val="0"/>
          <w:kern w:val="28"/>
          <w:sz w:val="22"/>
        </w:rPr>
      </w:pPr>
    </w:p>
    <w:p w:rsidR="00650FD8" w:rsidRPr="00650FD8" w:rsidRDefault="00650FD8" w:rsidP="00650FD8">
      <w:pPr>
        <w:widowControl w:val="0"/>
        <w:spacing w:after="0" w:line="240" w:lineRule="auto"/>
        <w:jc w:val="center"/>
        <w:rPr>
          <w:rFonts w:eastAsia="Times New Roman"/>
          <w:b/>
          <w:bCs/>
          <w:caps/>
          <w:kern w:val="28"/>
          <w:sz w:val="22"/>
          <w:szCs w:val="22"/>
        </w:rPr>
      </w:pPr>
      <w:r w:rsidRPr="00650FD8">
        <w:rPr>
          <w:rFonts w:eastAsia="Times New Roman"/>
          <w:b/>
          <w:bCs/>
          <w:caps/>
          <w:kern w:val="28"/>
          <w:sz w:val="22"/>
          <w:szCs w:val="22"/>
        </w:rPr>
        <w:t>order</w:t>
      </w:r>
    </w:p>
    <w:p w:rsidR="00650FD8" w:rsidRDefault="00650FD8" w:rsidP="00650FD8">
      <w:pPr>
        <w:widowControl w:val="0"/>
        <w:tabs>
          <w:tab w:val="left" w:pos="-720"/>
        </w:tabs>
        <w:suppressAutoHyphens/>
        <w:spacing w:after="0" w:line="227" w:lineRule="auto"/>
        <w:rPr>
          <w:rFonts w:eastAsia="Times New Roman"/>
          <w:spacing w:val="-2"/>
          <w:kern w:val="28"/>
          <w:sz w:val="22"/>
        </w:rPr>
      </w:pPr>
    </w:p>
    <w:p w:rsidR="00BA7B0B" w:rsidRPr="00650FD8" w:rsidRDefault="00BA7B0B" w:rsidP="00650FD8">
      <w:pPr>
        <w:widowControl w:val="0"/>
        <w:tabs>
          <w:tab w:val="left" w:pos="-720"/>
        </w:tabs>
        <w:suppressAutoHyphens/>
        <w:spacing w:after="0" w:line="227" w:lineRule="auto"/>
        <w:rPr>
          <w:rFonts w:eastAsia="Times New Roman"/>
          <w:spacing w:val="-2"/>
          <w:kern w:val="28"/>
          <w:sz w:val="22"/>
        </w:rPr>
      </w:pPr>
    </w:p>
    <w:p w:rsidR="00650FD8" w:rsidRDefault="0072467B" w:rsidP="00650FD8">
      <w:pPr>
        <w:widowControl w:val="0"/>
        <w:tabs>
          <w:tab w:val="left" w:pos="720"/>
          <w:tab w:val="left" w:pos="5760"/>
        </w:tabs>
        <w:suppressAutoHyphens/>
        <w:spacing w:after="0" w:line="227" w:lineRule="auto"/>
        <w:rPr>
          <w:rFonts w:eastAsia="Times New Roman"/>
          <w:b/>
          <w:spacing w:val="-2"/>
          <w:kern w:val="28"/>
          <w:sz w:val="22"/>
        </w:rPr>
      </w:pPr>
      <w:r>
        <w:rPr>
          <w:rFonts w:eastAsia="Times New Roman"/>
          <w:b/>
          <w:spacing w:val="-2"/>
          <w:kern w:val="28"/>
          <w:sz w:val="22"/>
        </w:rPr>
        <w:t xml:space="preserve">Adopted:  </w:t>
      </w:r>
      <w:r w:rsidR="0022667C">
        <w:rPr>
          <w:rFonts w:eastAsia="Times New Roman"/>
          <w:b/>
          <w:spacing w:val="-2"/>
          <w:kern w:val="28"/>
          <w:sz w:val="22"/>
        </w:rPr>
        <w:t>September 17, 2014</w:t>
      </w:r>
      <w:r w:rsidR="00650FD8" w:rsidRPr="00650FD8">
        <w:rPr>
          <w:rFonts w:eastAsia="Times New Roman"/>
          <w:b/>
          <w:spacing w:val="-2"/>
          <w:kern w:val="28"/>
          <w:sz w:val="22"/>
        </w:rPr>
        <w:tab/>
        <w:t xml:space="preserve">         </w:t>
      </w:r>
      <w:r w:rsidR="00CE63E6">
        <w:rPr>
          <w:rFonts w:eastAsia="Times New Roman"/>
          <w:b/>
          <w:spacing w:val="-2"/>
          <w:kern w:val="28"/>
          <w:sz w:val="22"/>
        </w:rPr>
        <w:t xml:space="preserve">  </w:t>
      </w:r>
      <w:r>
        <w:rPr>
          <w:rFonts w:eastAsia="Times New Roman"/>
          <w:b/>
          <w:spacing w:val="-2"/>
          <w:kern w:val="28"/>
          <w:sz w:val="22"/>
        </w:rPr>
        <w:t xml:space="preserve">Released:  </w:t>
      </w:r>
      <w:r w:rsidR="0022667C">
        <w:rPr>
          <w:rFonts w:eastAsia="Times New Roman"/>
          <w:b/>
          <w:spacing w:val="-2"/>
          <w:kern w:val="28"/>
          <w:sz w:val="22"/>
        </w:rPr>
        <w:t>September 17, 2014</w:t>
      </w:r>
    </w:p>
    <w:p w:rsidR="00BA7B0B" w:rsidRPr="00650FD8" w:rsidRDefault="00BA7B0B" w:rsidP="00650FD8">
      <w:pPr>
        <w:widowControl w:val="0"/>
        <w:tabs>
          <w:tab w:val="left" w:pos="720"/>
          <w:tab w:val="left" w:pos="5760"/>
        </w:tabs>
        <w:suppressAutoHyphens/>
        <w:spacing w:after="0" w:line="227" w:lineRule="auto"/>
        <w:rPr>
          <w:rFonts w:eastAsia="Times New Roman"/>
          <w:spacing w:val="-2"/>
          <w:kern w:val="28"/>
          <w:sz w:val="22"/>
        </w:rPr>
      </w:pPr>
    </w:p>
    <w:p w:rsidR="00650FD8" w:rsidRPr="00650FD8" w:rsidRDefault="00650FD8" w:rsidP="00650FD8">
      <w:pPr>
        <w:widowControl w:val="0"/>
        <w:spacing w:after="0" w:line="240" w:lineRule="auto"/>
        <w:rPr>
          <w:rFonts w:eastAsia="Times New Roman"/>
          <w:kern w:val="28"/>
          <w:sz w:val="22"/>
        </w:rPr>
      </w:pPr>
    </w:p>
    <w:p w:rsidR="00650FD8" w:rsidRDefault="00650FD8" w:rsidP="00650FD8">
      <w:pPr>
        <w:widowControl w:val="0"/>
        <w:spacing w:after="0" w:line="240" w:lineRule="auto"/>
        <w:rPr>
          <w:rFonts w:eastAsia="Times New Roman"/>
          <w:spacing w:val="-2"/>
          <w:kern w:val="28"/>
          <w:sz w:val="22"/>
        </w:rPr>
      </w:pPr>
      <w:r w:rsidRPr="00650FD8">
        <w:rPr>
          <w:rFonts w:eastAsia="Times New Roman"/>
          <w:kern w:val="28"/>
          <w:sz w:val="22"/>
        </w:rPr>
        <w:t xml:space="preserve">By the </w:t>
      </w:r>
      <w:r w:rsidRPr="00650FD8">
        <w:rPr>
          <w:rFonts w:eastAsia="Times New Roman"/>
          <w:spacing w:val="-2"/>
          <w:kern w:val="28"/>
          <w:sz w:val="22"/>
        </w:rPr>
        <w:t>Chief, Office of Engineering and Technology:</w:t>
      </w:r>
    </w:p>
    <w:p w:rsidR="006A6BF0" w:rsidRDefault="006A6BF0" w:rsidP="00650FD8">
      <w:pPr>
        <w:widowControl w:val="0"/>
        <w:spacing w:after="0" w:line="240" w:lineRule="auto"/>
        <w:rPr>
          <w:rFonts w:eastAsia="Times New Roman"/>
          <w:spacing w:val="-2"/>
          <w:kern w:val="28"/>
          <w:sz w:val="22"/>
        </w:rPr>
      </w:pPr>
    </w:p>
    <w:p w:rsidR="006A6BF0" w:rsidRDefault="006A6BF0" w:rsidP="00650FD8">
      <w:pPr>
        <w:widowControl w:val="0"/>
        <w:spacing w:after="0" w:line="240" w:lineRule="auto"/>
        <w:rPr>
          <w:rFonts w:eastAsia="Times New Roman"/>
          <w:snapToGrid w:val="0"/>
          <w:kern w:val="28"/>
          <w:sz w:val="22"/>
        </w:rPr>
      </w:pPr>
    </w:p>
    <w:p w:rsidR="001A02F7" w:rsidRPr="00D43E13" w:rsidRDefault="0058723B" w:rsidP="00D43E13">
      <w:pPr>
        <w:numPr>
          <w:ilvl w:val="0"/>
          <w:numId w:val="2"/>
        </w:numPr>
        <w:tabs>
          <w:tab w:val="left" w:pos="1440"/>
          <w:tab w:val="left" w:pos="6030"/>
        </w:tabs>
        <w:spacing w:after="120" w:line="240" w:lineRule="auto"/>
        <w:ind w:left="0"/>
        <w:rPr>
          <w:b/>
          <w:caps/>
          <w:szCs w:val="22"/>
        </w:rPr>
      </w:pPr>
      <w:r w:rsidRPr="00D43E13">
        <w:rPr>
          <w:rFonts w:eastAsia="Times New Roman"/>
          <w:snapToGrid w:val="0"/>
          <w:kern w:val="28"/>
          <w:sz w:val="22"/>
        </w:rPr>
        <w:t>In</w:t>
      </w:r>
      <w:r w:rsidR="008E327B" w:rsidRPr="00D43E13">
        <w:rPr>
          <w:rFonts w:eastAsia="Times New Roman"/>
          <w:snapToGrid w:val="0"/>
          <w:kern w:val="28"/>
          <w:sz w:val="22"/>
        </w:rPr>
        <w:t xml:space="preserve"> May </w:t>
      </w:r>
      <w:r w:rsidR="00650FD8" w:rsidRPr="00D43E13">
        <w:rPr>
          <w:rFonts w:eastAsia="Times New Roman"/>
          <w:snapToGrid w:val="0"/>
          <w:kern w:val="28"/>
          <w:sz w:val="22"/>
        </w:rPr>
        <w:t>20</w:t>
      </w:r>
      <w:r w:rsidR="008E327B" w:rsidRPr="00D43E13">
        <w:rPr>
          <w:rFonts w:eastAsia="Times New Roman"/>
          <w:snapToGrid w:val="0"/>
          <w:kern w:val="28"/>
          <w:sz w:val="22"/>
        </w:rPr>
        <w:t>14</w:t>
      </w:r>
      <w:r w:rsidR="00650FD8" w:rsidRPr="00D43E13">
        <w:rPr>
          <w:rFonts w:eastAsia="Times New Roman"/>
          <w:snapToGrid w:val="0"/>
          <w:kern w:val="28"/>
          <w:sz w:val="22"/>
        </w:rPr>
        <w:t xml:space="preserve">, </w:t>
      </w:r>
      <w:r w:rsidR="008E327B" w:rsidRPr="00D43E13">
        <w:rPr>
          <w:rFonts w:eastAsia="Times New Roman"/>
          <w:snapToGrid w:val="0"/>
          <w:kern w:val="28"/>
          <w:sz w:val="22"/>
        </w:rPr>
        <w:t xml:space="preserve">Glen E. Zook </w:t>
      </w:r>
      <w:r w:rsidR="00650FD8" w:rsidRPr="00D43E13">
        <w:rPr>
          <w:rFonts w:eastAsia="Times New Roman"/>
          <w:snapToGrid w:val="0"/>
          <w:kern w:val="28"/>
          <w:sz w:val="22"/>
        </w:rPr>
        <w:t>(</w:t>
      </w:r>
      <w:r w:rsidR="008E327B" w:rsidRPr="00D43E13">
        <w:rPr>
          <w:rFonts w:eastAsia="Times New Roman"/>
          <w:snapToGrid w:val="0"/>
          <w:kern w:val="28"/>
          <w:sz w:val="22"/>
        </w:rPr>
        <w:t>Zook)</w:t>
      </w:r>
      <w:r w:rsidR="00650FD8" w:rsidRPr="00D43E13">
        <w:rPr>
          <w:rFonts w:eastAsia="Times New Roman"/>
          <w:snapToGrid w:val="0"/>
          <w:kern w:val="28"/>
          <w:sz w:val="22"/>
        </w:rPr>
        <w:t xml:space="preserve"> filed a petition for rulemaking</w:t>
      </w:r>
      <w:r w:rsidR="001F7009" w:rsidRPr="00D43E13">
        <w:rPr>
          <w:rFonts w:eastAsia="Times New Roman"/>
          <w:snapToGrid w:val="0"/>
          <w:kern w:val="28"/>
          <w:sz w:val="22"/>
        </w:rPr>
        <w:t xml:space="preserve"> that proposes </w:t>
      </w:r>
      <w:r w:rsidRPr="00D43E13">
        <w:rPr>
          <w:rFonts w:eastAsia="Times New Roman"/>
          <w:snapToGrid w:val="0"/>
          <w:kern w:val="28"/>
          <w:sz w:val="22"/>
        </w:rPr>
        <w:t>changes to the Commission’s Amateur Radio Service rules (Part 97)</w:t>
      </w:r>
      <w:r w:rsidR="00650FD8" w:rsidRPr="00D43E13">
        <w:rPr>
          <w:rFonts w:eastAsia="Times New Roman"/>
          <w:snapToGrid w:val="0"/>
          <w:kern w:val="28"/>
          <w:sz w:val="22"/>
        </w:rPr>
        <w:t>.</w:t>
      </w:r>
      <w:r w:rsidR="00650FD8" w:rsidRPr="00650FD8">
        <w:rPr>
          <w:rFonts w:eastAsia="Times New Roman"/>
          <w:snapToGrid w:val="0"/>
          <w:kern w:val="28"/>
          <w:sz w:val="22"/>
          <w:vertAlign w:val="superscript"/>
        </w:rPr>
        <w:footnoteReference w:id="2"/>
      </w:r>
      <w:r w:rsidR="00904933" w:rsidRPr="00D43E13">
        <w:rPr>
          <w:rFonts w:eastAsia="Times New Roman"/>
          <w:snapToGrid w:val="0"/>
          <w:kern w:val="28"/>
          <w:sz w:val="22"/>
        </w:rPr>
        <w:t xml:space="preserve">  </w:t>
      </w:r>
      <w:r w:rsidR="003C6D7C" w:rsidRPr="00D43E13">
        <w:rPr>
          <w:rFonts w:eastAsia="Times New Roman"/>
          <w:snapToGrid w:val="0"/>
          <w:kern w:val="28"/>
          <w:sz w:val="22"/>
        </w:rPr>
        <w:t xml:space="preserve">Specifically, Zook </w:t>
      </w:r>
      <w:r w:rsidR="00650FD8" w:rsidRPr="00D43E13">
        <w:rPr>
          <w:rFonts w:eastAsia="Times New Roman"/>
          <w:snapToGrid w:val="0"/>
          <w:kern w:val="28"/>
          <w:sz w:val="22"/>
        </w:rPr>
        <w:t xml:space="preserve">proposes that </w:t>
      </w:r>
      <w:r w:rsidR="00620B17" w:rsidRPr="00D43E13">
        <w:rPr>
          <w:rFonts w:eastAsia="Times New Roman"/>
          <w:snapToGrid w:val="0"/>
          <w:kern w:val="28"/>
          <w:sz w:val="22"/>
        </w:rPr>
        <w:t>the</w:t>
      </w:r>
      <w:r w:rsidR="003C6D7C" w:rsidRPr="00D43E13">
        <w:rPr>
          <w:rFonts w:eastAsia="Times New Roman"/>
          <w:snapToGrid w:val="0"/>
          <w:kern w:val="28"/>
          <w:sz w:val="22"/>
        </w:rPr>
        <w:t xml:space="preserve"> Commission add a </w:t>
      </w:r>
      <w:r w:rsidR="00256B7A" w:rsidRPr="00D43E13">
        <w:rPr>
          <w:rFonts w:eastAsia="Times New Roman"/>
          <w:snapToGrid w:val="0"/>
          <w:kern w:val="28"/>
          <w:sz w:val="22"/>
        </w:rPr>
        <w:t>“</w:t>
      </w:r>
      <w:r w:rsidR="003C6D7C" w:rsidRPr="00D43E13">
        <w:rPr>
          <w:rFonts w:eastAsia="Times New Roman"/>
          <w:snapToGrid w:val="0"/>
          <w:kern w:val="28"/>
          <w:sz w:val="22"/>
        </w:rPr>
        <w:t>4-meter</w:t>
      </w:r>
      <w:r w:rsidR="00256B7A" w:rsidRPr="00D43E13">
        <w:rPr>
          <w:rFonts w:eastAsia="Times New Roman"/>
          <w:snapToGrid w:val="0"/>
          <w:kern w:val="28"/>
          <w:sz w:val="22"/>
        </w:rPr>
        <w:t>”</w:t>
      </w:r>
      <w:r w:rsidR="003C6D7C" w:rsidRPr="00D43E13">
        <w:rPr>
          <w:rFonts w:eastAsia="Times New Roman"/>
          <w:snapToGrid w:val="0"/>
          <w:kern w:val="28"/>
          <w:sz w:val="22"/>
        </w:rPr>
        <w:t xml:space="preserve"> radio band</w:t>
      </w:r>
      <w:r w:rsidR="00620B17" w:rsidRPr="00D43E13">
        <w:rPr>
          <w:rFonts w:eastAsia="Times New Roman"/>
          <w:snapToGrid w:val="0"/>
          <w:kern w:val="28"/>
          <w:sz w:val="22"/>
        </w:rPr>
        <w:t xml:space="preserve"> </w:t>
      </w:r>
      <w:r w:rsidR="003C6D7C" w:rsidRPr="00D43E13">
        <w:rPr>
          <w:rFonts w:eastAsia="Times New Roman"/>
          <w:snapToGrid w:val="0"/>
          <w:kern w:val="28"/>
          <w:sz w:val="22"/>
        </w:rPr>
        <w:t>(70.0-70.5 MHz) to the list of bands currently available to amateur radio operators in the United States</w:t>
      </w:r>
      <w:r w:rsidR="00364620" w:rsidRPr="00D43E13">
        <w:rPr>
          <w:rFonts w:eastAsia="Times New Roman"/>
          <w:snapToGrid w:val="0"/>
          <w:kern w:val="28"/>
          <w:sz w:val="22"/>
        </w:rPr>
        <w:t xml:space="preserve"> and other </w:t>
      </w:r>
      <w:r w:rsidR="00256B7A" w:rsidRPr="00D43E13">
        <w:rPr>
          <w:rFonts w:eastAsia="Times New Roman"/>
          <w:snapToGrid w:val="0"/>
          <w:kern w:val="28"/>
          <w:sz w:val="22"/>
        </w:rPr>
        <w:t>areas in which the Commission has</w:t>
      </w:r>
      <w:r w:rsidR="00364620" w:rsidRPr="00D43E13">
        <w:rPr>
          <w:rFonts w:eastAsia="Times New Roman"/>
          <w:snapToGrid w:val="0"/>
          <w:kern w:val="28"/>
          <w:sz w:val="22"/>
        </w:rPr>
        <w:t xml:space="preserve"> jurisdiction</w:t>
      </w:r>
      <w:r w:rsidR="003C6D7C" w:rsidRPr="00D43E13">
        <w:rPr>
          <w:rFonts w:eastAsia="Times New Roman"/>
          <w:snapToGrid w:val="0"/>
          <w:kern w:val="28"/>
          <w:sz w:val="22"/>
        </w:rPr>
        <w:t xml:space="preserve">. </w:t>
      </w:r>
      <w:r w:rsidR="00F53883">
        <w:rPr>
          <w:rFonts w:eastAsia="Times New Roman"/>
          <w:snapToGrid w:val="0"/>
          <w:kern w:val="28"/>
          <w:sz w:val="22"/>
        </w:rPr>
        <w:t xml:space="preserve"> </w:t>
      </w:r>
      <w:r w:rsidR="003C6D7C" w:rsidRPr="00D43E13">
        <w:rPr>
          <w:rFonts w:eastAsia="Times New Roman"/>
          <w:snapToGrid w:val="0"/>
          <w:kern w:val="28"/>
          <w:sz w:val="22"/>
        </w:rPr>
        <w:t xml:space="preserve"> </w:t>
      </w:r>
      <w:r w:rsidR="001A02F7" w:rsidRPr="00D43E13">
        <w:rPr>
          <w:rFonts w:eastAsia="Times New Roman"/>
          <w:snapToGrid w:val="0"/>
          <w:kern w:val="28"/>
          <w:sz w:val="22"/>
        </w:rPr>
        <w:t>For</w:t>
      </w:r>
      <w:r w:rsidR="002435D4" w:rsidRPr="00D43E13">
        <w:rPr>
          <w:rFonts w:eastAsia="Times New Roman"/>
          <w:snapToGrid w:val="0"/>
          <w:kern w:val="28"/>
          <w:sz w:val="22"/>
        </w:rPr>
        <w:t xml:space="preserve"> the reasons discussed below, </w:t>
      </w:r>
      <w:r w:rsidR="001A02F7" w:rsidRPr="00D43E13">
        <w:rPr>
          <w:rFonts w:eastAsia="Times New Roman"/>
          <w:snapToGrid w:val="0"/>
          <w:kern w:val="28"/>
          <w:sz w:val="22"/>
        </w:rPr>
        <w:t xml:space="preserve">we determine that the petition plainly does not warrant consideration </w:t>
      </w:r>
      <w:r w:rsidR="002435D4" w:rsidRPr="00D43E13">
        <w:rPr>
          <w:rFonts w:eastAsia="Times New Roman"/>
          <w:snapToGrid w:val="0"/>
          <w:kern w:val="28"/>
          <w:sz w:val="22"/>
        </w:rPr>
        <w:t>and</w:t>
      </w:r>
      <w:r w:rsidR="001A02F7" w:rsidRPr="00D43E13">
        <w:rPr>
          <w:rFonts w:eastAsia="Times New Roman"/>
          <w:snapToGrid w:val="0"/>
          <w:kern w:val="28"/>
          <w:sz w:val="22"/>
        </w:rPr>
        <w:t xml:space="preserve"> deny it pursuant to Section 1.401(e) of our rules.</w:t>
      </w:r>
      <w:r w:rsidR="001A02F7">
        <w:rPr>
          <w:rStyle w:val="FootnoteReference"/>
          <w:rFonts w:eastAsia="Times New Roman"/>
          <w:snapToGrid w:val="0"/>
          <w:kern w:val="28"/>
        </w:rPr>
        <w:footnoteReference w:id="3"/>
      </w:r>
    </w:p>
    <w:p w:rsidR="00D43E13" w:rsidRPr="00A0757F" w:rsidRDefault="001A02F7" w:rsidP="006A6BF0">
      <w:pPr>
        <w:numPr>
          <w:ilvl w:val="0"/>
          <w:numId w:val="2"/>
        </w:numPr>
        <w:tabs>
          <w:tab w:val="left" w:pos="1440"/>
          <w:tab w:val="left" w:pos="6030"/>
        </w:tabs>
        <w:spacing w:after="120" w:line="240" w:lineRule="auto"/>
        <w:ind w:left="0"/>
        <w:rPr>
          <w:b/>
          <w:caps/>
          <w:szCs w:val="22"/>
        </w:rPr>
      </w:pPr>
      <w:r>
        <w:rPr>
          <w:rFonts w:eastAsia="Times New Roman"/>
          <w:snapToGrid w:val="0"/>
          <w:kern w:val="28"/>
          <w:sz w:val="22"/>
        </w:rPr>
        <w:t xml:space="preserve">The 70.0-70.5 MHz band is not currently allocated for Amateur Radio use and is instead exclusively allocated for broadcasting within the United States.  </w:t>
      </w:r>
      <w:r w:rsidR="00D43E13">
        <w:rPr>
          <w:rFonts w:eastAsia="Times New Roman"/>
          <w:snapToGrid w:val="0"/>
          <w:kern w:val="28"/>
          <w:sz w:val="22"/>
        </w:rPr>
        <w:t xml:space="preserve">Specifically, </w:t>
      </w:r>
      <w:r w:rsidR="00053C43">
        <w:rPr>
          <w:rFonts w:eastAsia="Times New Roman"/>
          <w:snapToGrid w:val="0"/>
          <w:kern w:val="28"/>
          <w:sz w:val="22"/>
        </w:rPr>
        <w:t xml:space="preserve">VHF </w:t>
      </w:r>
      <w:r w:rsidR="00724F96" w:rsidRPr="006A6BF0">
        <w:rPr>
          <w:rFonts w:eastAsia="Times New Roman"/>
          <w:snapToGrid w:val="0"/>
          <w:kern w:val="28"/>
          <w:sz w:val="22"/>
        </w:rPr>
        <w:t xml:space="preserve">TV </w:t>
      </w:r>
      <w:r w:rsidR="0097494C" w:rsidRPr="006A6BF0">
        <w:rPr>
          <w:rFonts w:eastAsia="Times New Roman"/>
          <w:snapToGrid w:val="0"/>
          <w:kern w:val="28"/>
          <w:sz w:val="22"/>
        </w:rPr>
        <w:t>C</w:t>
      </w:r>
      <w:r w:rsidR="00724F96" w:rsidRPr="006A6BF0">
        <w:rPr>
          <w:rFonts w:eastAsia="Times New Roman"/>
          <w:snapToGrid w:val="0"/>
          <w:kern w:val="28"/>
          <w:sz w:val="22"/>
        </w:rPr>
        <w:t>hannel 4 operate</w:t>
      </w:r>
      <w:r>
        <w:rPr>
          <w:rFonts w:eastAsia="Times New Roman"/>
          <w:snapToGrid w:val="0"/>
          <w:kern w:val="28"/>
          <w:sz w:val="22"/>
        </w:rPr>
        <w:t>s</w:t>
      </w:r>
      <w:r w:rsidR="00724F96" w:rsidRPr="006A6BF0">
        <w:rPr>
          <w:rFonts w:eastAsia="Times New Roman"/>
          <w:snapToGrid w:val="0"/>
          <w:kern w:val="28"/>
          <w:sz w:val="22"/>
        </w:rPr>
        <w:t xml:space="preserve"> in the 66-72 MHz frequency band</w:t>
      </w:r>
      <w:r w:rsidR="009A2871">
        <w:rPr>
          <w:rFonts w:eastAsia="Times New Roman"/>
          <w:snapToGrid w:val="0"/>
          <w:kern w:val="28"/>
          <w:sz w:val="22"/>
        </w:rPr>
        <w:t xml:space="preserve"> – which completely encompasses</w:t>
      </w:r>
      <w:r w:rsidR="00D43E13">
        <w:rPr>
          <w:rFonts w:eastAsia="Times New Roman"/>
          <w:snapToGrid w:val="0"/>
          <w:kern w:val="28"/>
          <w:sz w:val="22"/>
        </w:rPr>
        <w:t xml:space="preserve"> the </w:t>
      </w:r>
      <w:r w:rsidR="009A2871">
        <w:rPr>
          <w:rFonts w:eastAsia="Times New Roman"/>
          <w:snapToGrid w:val="0"/>
          <w:kern w:val="28"/>
          <w:sz w:val="22"/>
        </w:rPr>
        <w:t>70.0-70.5 MHz band</w:t>
      </w:r>
      <w:r w:rsidR="005510B7">
        <w:rPr>
          <w:rFonts w:eastAsia="Times New Roman"/>
          <w:snapToGrid w:val="0"/>
          <w:kern w:val="28"/>
          <w:sz w:val="22"/>
        </w:rPr>
        <w:t xml:space="preserve"> at issue here</w:t>
      </w:r>
      <w:r w:rsidR="00D43E13">
        <w:rPr>
          <w:rFonts w:eastAsia="Times New Roman"/>
          <w:snapToGrid w:val="0"/>
          <w:kern w:val="28"/>
          <w:sz w:val="22"/>
        </w:rPr>
        <w:t xml:space="preserve">.  The </w:t>
      </w:r>
      <w:r w:rsidR="00D43E13" w:rsidRPr="00D43E13">
        <w:rPr>
          <w:rFonts w:eastAsia="Times New Roman"/>
          <w:snapToGrid w:val="0"/>
          <w:kern w:val="28"/>
          <w:sz w:val="22"/>
        </w:rPr>
        <w:t>Zook</w:t>
      </w:r>
      <w:r w:rsidR="00D43E13">
        <w:rPr>
          <w:rFonts w:eastAsia="Times New Roman"/>
          <w:snapToGrid w:val="0"/>
          <w:kern w:val="28"/>
          <w:sz w:val="22"/>
        </w:rPr>
        <w:t xml:space="preserve"> Petition</w:t>
      </w:r>
      <w:r w:rsidR="00D43E13" w:rsidRPr="00D43E13">
        <w:rPr>
          <w:rFonts w:eastAsia="Times New Roman"/>
          <w:snapToGrid w:val="0"/>
          <w:kern w:val="28"/>
          <w:sz w:val="22"/>
        </w:rPr>
        <w:t xml:space="preserve"> contends that </w:t>
      </w:r>
      <w:r w:rsidR="00D43E13">
        <w:rPr>
          <w:rFonts w:eastAsia="Times New Roman"/>
          <w:snapToGrid w:val="0"/>
          <w:kern w:val="28"/>
          <w:sz w:val="22"/>
        </w:rPr>
        <w:t>“</w:t>
      </w:r>
      <w:r w:rsidR="00D43E13" w:rsidRPr="00D43E13">
        <w:rPr>
          <w:rFonts w:eastAsia="Times New Roman"/>
          <w:snapToGrid w:val="0"/>
          <w:kern w:val="28"/>
          <w:sz w:val="22"/>
        </w:rPr>
        <w:t>the recent migration of broadcast television stations to primarily UHF frequencies basically eliminates any probable interference to television channels 4 or 5 which otherwise might have occurred.”</w:t>
      </w:r>
      <w:r w:rsidR="00D43E13">
        <w:rPr>
          <w:rStyle w:val="FootnoteReference"/>
          <w:rFonts w:eastAsia="Times New Roman"/>
          <w:snapToGrid w:val="0"/>
          <w:kern w:val="28"/>
        </w:rPr>
        <w:footnoteReference w:id="4"/>
      </w:r>
      <w:r w:rsidR="00D43E13">
        <w:rPr>
          <w:rFonts w:eastAsia="Times New Roman"/>
          <w:snapToGrid w:val="0"/>
          <w:kern w:val="28"/>
          <w:sz w:val="22"/>
        </w:rPr>
        <w:t xml:space="preserve">  </w:t>
      </w:r>
      <w:r w:rsidR="00A0757F">
        <w:rPr>
          <w:rFonts w:eastAsia="Times New Roman"/>
          <w:snapToGrid w:val="0"/>
          <w:kern w:val="28"/>
          <w:sz w:val="22"/>
        </w:rPr>
        <w:t xml:space="preserve">Because the Zook Petition is based on a faulty premise – that broadcasting use within the 70.0-70.5 </w:t>
      </w:r>
      <w:r w:rsidR="00F53883">
        <w:rPr>
          <w:rFonts w:eastAsia="Times New Roman"/>
          <w:snapToGrid w:val="0"/>
          <w:kern w:val="28"/>
          <w:sz w:val="22"/>
        </w:rPr>
        <w:t>MHz band will diminish or cease</w:t>
      </w:r>
      <w:r w:rsidR="00A0757F">
        <w:rPr>
          <w:rFonts w:eastAsia="Times New Roman"/>
          <w:snapToGrid w:val="0"/>
          <w:kern w:val="28"/>
          <w:sz w:val="22"/>
        </w:rPr>
        <w:t xml:space="preserve"> –</w:t>
      </w:r>
      <w:r w:rsidR="001B02D7">
        <w:rPr>
          <w:rFonts w:eastAsia="Times New Roman"/>
          <w:snapToGrid w:val="0"/>
          <w:kern w:val="28"/>
          <w:sz w:val="22"/>
        </w:rPr>
        <w:t xml:space="preserve"> </w:t>
      </w:r>
      <w:r w:rsidR="00A0757F">
        <w:rPr>
          <w:rFonts w:eastAsia="Times New Roman"/>
          <w:snapToGrid w:val="0"/>
          <w:kern w:val="28"/>
          <w:sz w:val="22"/>
        </w:rPr>
        <w:t xml:space="preserve">its argument that </w:t>
      </w:r>
      <w:r w:rsidR="00A0757F" w:rsidRPr="006A6BF0">
        <w:rPr>
          <w:rFonts w:eastAsia="Times New Roman"/>
          <w:snapToGrid w:val="0"/>
          <w:kern w:val="28"/>
          <w:sz w:val="22"/>
        </w:rPr>
        <w:t>amateur band</w:t>
      </w:r>
      <w:r w:rsidR="001B02D7">
        <w:rPr>
          <w:rFonts w:eastAsia="Times New Roman"/>
          <w:snapToGrid w:val="0"/>
          <w:kern w:val="28"/>
          <w:sz w:val="22"/>
        </w:rPr>
        <w:t xml:space="preserve"> users </w:t>
      </w:r>
      <w:r w:rsidR="00A0757F" w:rsidRPr="006A6BF0">
        <w:rPr>
          <w:rFonts w:eastAsia="Times New Roman"/>
          <w:snapToGrid w:val="0"/>
          <w:kern w:val="28"/>
          <w:sz w:val="22"/>
        </w:rPr>
        <w:t>could operate without causing harmful interference to any existing service</w:t>
      </w:r>
      <w:r w:rsidR="00A0757F">
        <w:rPr>
          <w:rFonts w:eastAsia="Times New Roman"/>
          <w:snapToGrid w:val="0"/>
          <w:kern w:val="28"/>
          <w:sz w:val="22"/>
        </w:rPr>
        <w:t xml:space="preserve"> </w:t>
      </w:r>
      <w:r w:rsidR="0035269E">
        <w:rPr>
          <w:rFonts w:eastAsia="Times New Roman"/>
          <w:snapToGrid w:val="0"/>
          <w:kern w:val="28"/>
          <w:sz w:val="22"/>
        </w:rPr>
        <w:t xml:space="preserve">lacks sufficient support to warrant </w:t>
      </w:r>
      <w:r w:rsidR="00966269">
        <w:rPr>
          <w:rFonts w:eastAsia="Times New Roman"/>
          <w:snapToGrid w:val="0"/>
          <w:kern w:val="28"/>
          <w:sz w:val="22"/>
        </w:rPr>
        <w:t xml:space="preserve">our </w:t>
      </w:r>
      <w:r w:rsidR="0035269E">
        <w:rPr>
          <w:rFonts w:eastAsia="Times New Roman"/>
          <w:snapToGrid w:val="0"/>
          <w:kern w:val="28"/>
          <w:sz w:val="22"/>
        </w:rPr>
        <w:t>further consideration</w:t>
      </w:r>
      <w:r w:rsidR="00A0757F">
        <w:rPr>
          <w:rFonts w:eastAsia="Times New Roman"/>
          <w:snapToGrid w:val="0"/>
          <w:kern w:val="28"/>
          <w:sz w:val="22"/>
        </w:rPr>
        <w:t>.</w:t>
      </w:r>
    </w:p>
    <w:p w:rsidR="009A2871" w:rsidRPr="009A2871" w:rsidRDefault="00A0757F" w:rsidP="00937D77">
      <w:pPr>
        <w:numPr>
          <w:ilvl w:val="0"/>
          <w:numId w:val="2"/>
        </w:numPr>
        <w:tabs>
          <w:tab w:val="left" w:pos="1440"/>
          <w:tab w:val="left" w:pos="6030"/>
        </w:tabs>
        <w:spacing w:after="120" w:line="240" w:lineRule="auto"/>
        <w:ind w:left="0"/>
        <w:rPr>
          <w:b/>
          <w:caps/>
          <w:szCs w:val="22"/>
        </w:rPr>
      </w:pPr>
      <w:r w:rsidRPr="001B02D7">
        <w:rPr>
          <w:rFonts w:eastAsia="Times New Roman"/>
          <w:snapToGrid w:val="0"/>
          <w:kern w:val="28"/>
          <w:sz w:val="22"/>
        </w:rPr>
        <w:t>B</w:t>
      </w:r>
      <w:r w:rsidR="00A477C7" w:rsidRPr="001B02D7">
        <w:rPr>
          <w:rFonts w:eastAsia="Times New Roman"/>
          <w:snapToGrid w:val="0"/>
          <w:kern w:val="28"/>
          <w:sz w:val="22"/>
        </w:rPr>
        <w:t>ased on data compiled by the Commission’s Media Bureau</w:t>
      </w:r>
      <w:r w:rsidR="00812DE6">
        <w:rPr>
          <w:rFonts w:eastAsia="Times New Roman"/>
          <w:snapToGrid w:val="0"/>
          <w:kern w:val="28"/>
          <w:sz w:val="22"/>
        </w:rPr>
        <w:t>,</w:t>
      </w:r>
      <w:r w:rsidR="00A477C7" w:rsidRPr="001B02D7">
        <w:rPr>
          <w:rFonts w:eastAsia="Times New Roman"/>
          <w:snapToGrid w:val="0"/>
          <w:kern w:val="28"/>
          <w:sz w:val="22"/>
        </w:rPr>
        <w:t xml:space="preserve"> Channel 4 is currently populated by </w:t>
      </w:r>
      <w:r w:rsidR="00A477C7" w:rsidRPr="001B02D7">
        <w:rPr>
          <w:sz w:val="22"/>
          <w:szCs w:val="22"/>
        </w:rPr>
        <w:t>three full power TV stations, 110 low power television (LPTV) and TV translator stations</w:t>
      </w:r>
      <w:r w:rsidR="00583949" w:rsidRPr="001B02D7">
        <w:rPr>
          <w:sz w:val="22"/>
          <w:szCs w:val="22"/>
        </w:rPr>
        <w:t>,</w:t>
      </w:r>
      <w:r w:rsidR="00583949">
        <w:rPr>
          <w:rStyle w:val="FootnoteReference"/>
          <w:szCs w:val="22"/>
        </w:rPr>
        <w:footnoteReference w:id="5"/>
      </w:r>
      <w:r w:rsidR="00583949" w:rsidRPr="001B02D7">
        <w:rPr>
          <w:sz w:val="22"/>
          <w:szCs w:val="22"/>
        </w:rPr>
        <w:t xml:space="preserve"> </w:t>
      </w:r>
      <w:r w:rsidR="00583949" w:rsidRPr="001B02D7">
        <w:rPr>
          <w:sz w:val="22"/>
          <w:szCs w:val="22"/>
        </w:rPr>
        <w:lastRenderedPageBreak/>
        <w:t>and six Class A TV stations</w:t>
      </w:r>
      <w:r w:rsidR="00A477C7" w:rsidRPr="001B02D7">
        <w:rPr>
          <w:sz w:val="22"/>
          <w:szCs w:val="22"/>
        </w:rPr>
        <w:t>.</w:t>
      </w:r>
      <w:r w:rsidR="00583949" w:rsidRPr="001B02D7">
        <w:rPr>
          <w:rStyle w:val="FootnoteReference"/>
          <w:szCs w:val="22"/>
        </w:rPr>
        <w:footnoteReference w:id="6"/>
      </w:r>
      <w:r w:rsidR="00A477C7" w:rsidRPr="001B02D7">
        <w:rPr>
          <w:sz w:val="22"/>
          <w:szCs w:val="22"/>
        </w:rPr>
        <w:t xml:space="preserve">  </w:t>
      </w:r>
      <w:r w:rsidR="005510B7">
        <w:rPr>
          <w:sz w:val="22"/>
          <w:szCs w:val="22"/>
        </w:rPr>
        <w:t>T</w:t>
      </w:r>
      <w:r w:rsidR="00A107E9">
        <w:rPr>
          <w:sz w:val="22"/>
          <w:szCs w:val="22"/>
        </w:rPr>
        <w:t xml:space="preserve">he Commission </w:t>
      </w:r>
      <w:r w:rsidR="005510B7">
        <w:rPr>
          <w:sz w:val="22"/>
          <w:szCs w:val="22"/>
        </w:rPr>
        <w:t xml:space="preserve">also </w:t>
      </w:r>
      <w:r w:rsidR="00A107E9">
        <w:rPr>
          <w:sz w:val="22"/>
          <w:szCs w:val="22"/>
        </w:rPr>
        <w:t xml:space="preserve">has </w:t>
      </w:r>
      <w:r w:rsidR="001B02D7">
        <w:rPr>
          <w:sz w:val="22"/>
          <w:szCs w:val="22"/>
        </w:rPr>
        <w:t>an o</w:t>
      </w:r>
      <w:r w:rsidRPr="001B02D7">
        <w:rPr>
          <w:sz w:val="22"/>
          <w:szCs w:val="22"/>
        </w:rPr>
        <w:t>ngoing incentive auction</w:t>
      </w:r>
      <w:r w:rsidR="001B02D7">
        <w:rPr>
          <w:sz w:val="22"/>
          <w:szCs w:val="22"/>
        </w:rPr>
        <w:t xml:space="preserve"> proceeding that, among other things, will repurpose a portion of the TV band for broadband operations and repack the remaining TV stations into a smaller frequency range.</w:t>
      </w:r>
      <w:r w:rsidR="00A107E9">
        <w:rPr>
          <w:rStyle w:val="FootnoteReference"/>
          <w:rFonts w:eastAsia="Times New Roman"/>
          <w:snapToGrid w:val="0"/>
          <w:kern w:val="28"/>
        </w:rPr>
        <w:footnoteReference w:id="7"/>
      </w:r>
      <w:r w:rsidR="001B02D7">
        <w:rPr>
          <w:sz w:val="22"/>
          <w:szCs w:val="22"/>
        </w:rPr>
        <w:t xml:space="preserve"> </w:t>
      </w:r>
    </w:p>
    <w:p w:rsidR="00851059" w:rsidRPr="00C86DE0" w:rsidRDefault="00046BFC" w:rsidP="00937D77">
      <w:pPr>
        <w:numPr>
          <w:ilvl w:val="0"/>
          <w:numId w:val="2"/>
        </w:numPr>
        <w:tabs>
          <w:tab w:val="left" w:pos="1440"/>
          <w:tab w:val="left" w:pos="6030"/>
        </w:tabs>
        <w:spacing w:after="120" w:line="240" w:lineRule="auto"/>
        <w:ind w:left="0"/>
        <w:rPr>
          <w:b/>
          <w:caps/>
          <w:sz w:val="22"/>
          <w:szCs w:val="22"/>
        </w:rPr>
      </w:pPr>
      <w:r>
        <w:rPr>
          <w:rFonts w:eastAsia="Times New Roman"/>
          <w:snapToGrid w:val="0"/>
          <w:kern w:val="28"/>
          <w:sz w:val="22"/>
        </w:rPr>
        <w:t>T</w:t>
      </w:r>
      <w:r w:rsidR="009A2871" w:rsidRPr="00D03B1E">
        <w:rPr>
          <w:rFonts w:eastAsia="Times New Roman"/>
          <w:snapToGrid w:val="0"/>
          <w:kern w:val="28"/>
          <w:sz w:val="22"/>
        </w:rPr>
        <w:t xml:space="preserve">he </w:t>
      </w:r>
      <w:r w:rsidR="009A2871" w:rsidRPr="00D03B1E">
        <w:rPr>
          <w:sz w:val="22"/>
          <w:szCs w:val="22"/>
        </w:rPr>
        <w:t>incentive auction proceeding</w:t>
      </w:r>
      <w:r w:rsidR="00D03B1E" w:rsidRPr="00D03B1E">
        <w:rPr>
          <w:sz w:val="22"/>
          <w:szCs w:val="22"/>
        </w:rPr>
        <w:t xml:space="preserve"> does not eliminate the use of TV Channel 4</w:t>
      </w:r>
      <w:r w:rsidR="00937D77" w:rsidRPr="00D03B1E">
        <w:rPr>
          <w:rFonts w:eastAsia="Times New Roman"/>
          <w:snapToGrid w:val="0"/>
          <w:kern w:val="28"/>
          <w:sz w:val="22"/>
        </w:rPr>
        <w:t>,</w:t>
      </w:r>
      <w:r w:rsidR="00D03B1E" w:rsidRPr="00D03B1E">
        <w:rPr>
          <w:rFonts w:eastAsia="Times New Roman"/>
          <w:snapToGrid w:val="0"/>
          <w:kern w:val="28"/>
          <w:sz w:val="22"/>
        </w:rPr>
        <w:t xml:space="preserve"> and envisions a number of </w:t>
      </w:r>
      <w:r w:rsidR="00805CA7">
        <w:rPr>
          <w:rFonts w:eastAsia="Times New Roman"/>
          <w:snapToGrid w:val="0"/>
          <w:kern w:val="28"/>
          <w:sz w:val="22"/>
        </w:rPr>
        <w:t xml:space="preserve">voluntary </w:t>
      </w:r>
      <w:r w:rsidR="00D03B1E" w:rsidRPr="00D03B1E">
        <w:rPr>
          <w:rFonts w:eastAsia="Times New Roman"/>
          <w:snapToGrid w:val="0"/>
          <w:kern w:val="28"/>
          <w:sz w:val="22"/>
        </w:rPr>
        <w:t>options for</w:t>
      </w:r>
      <w:r w:rsidR="00937D77" w:rsidRPr="00D03B1E">
        <w:rPr>
          <w:rFonts w:eastAsia="Times New Roman"/>
          <w:snapToGrid w:val="0"/>
          <w:kern w:val="28"/>
          <w:sz w:val="22"/>
        </w:rPr>
        <w:t xml:space="preserve"> </w:t>
      </w:r>
      <w:r w:rsidR="000D5BA6" w:rsidRPr="00D03B1E">
        <w:rPr>
          <w:rFonts w:eastAsia="Times New Roman"/>
          <w:snapToGrid w:val="0"/>
          <w:kern w:val="28"/>
          <w:sz w:val="22"/>
        </w:rPr>
        <w:t>full power and Class A TV stations</w:t>
      </w:r>
      <w:r w:rsidR="00D03B1E" w:rsidRPr="00D03B1E">
        <w:rPr>
          <w:rFonts w:eastAsia="Times New Roman"/>
          <w:snapToGrid w:val="0"/>
          <w:kern w:val="28"/>
          <w:sz w:val="22"/>
        </w:rPr>
        <w:t xml:space="preserve"> – including relocation</w:t>
      </w:r>
      <w:r w:rsidR="000D18B4" w:rsidRPr="00D03B1E">
        <w:rPr>
          <w:rFonts w:eastAsia="Times New Roman"/>
          <w:snapToGrid w:val="0"/>
          <w:kern w:val="28"/>
          <w:sz w:val="22"/>
        </w:rPr>
        <w:t xml:space="preserve"> from </w:t>
      </w:r>
      <w:r w:rsidR="00DF565C" w:rsidRPr="00D03B1E">
        <w:rPr>
          <w:rFonts w:eastAsia="Times New Roman"/>
          <w:snapToGrid w:val="0"/>
          <w:kern w:val="28"/>
          <w:sz w:val="22"/>
        </w:rPr>
        <w:t>a UHF channel to a VHF channel</w:t>
      </w:r>
      <w:r w:rsidR="00D03B1E" w:rsidRPr="00D03B1E">
        <w:rPr>
          <w:rFonts w:eastAsia="Times New Roman"/>
          <w:snapToGrid w:val="0"/>
          <w:kern w:val="28"/>
          <w:sz w:val="22"/>
        </w:rPr>
        <w:t xml:space="preserve"> and</w:t>
      </w:r>
      <w:r w:rsidR="00DF565C" w:rsidRPr="00D03B1E">
        <w:rPr>
          <w:rFonts w:eastAsia="Times New Roman"/>
          <w:snapToGrid w:val="0"/>
          <w:kern w:val="28"/>
          <w:sz w:val="22"/>
        </w:rPr>
        <w:t xml:space="preserve"> </w:t>
      </w:r>
      <w:r w:rsidR="000D18B4" w:rsidRPr="00D03B1E">
        <w:rPr>
          <w:rFonts w:eastAsia="Times New Roman"/>
          <w:snapToGrid w:val="0"/>
          <w:kern w:val="28"/>
          <w:sz w:val="22"/>
        </w:rPr>
        <w:t>relocat</w:t>
      </w:r>
      <w:r w:rsidR="00D03B1E" w:rsidRPr="00D03B1E">
        <w:rPr>
          <w:rFonts w:eastAsia="Times New Roman"/>
          <w:snapToGrid w:val="0"/>
          <w:kern w:val="28"/>
          <w:sz w:val="22"/>
        </w:rPr>
        <w:t>ion</w:t>
      </w:r>
      <w:r w:rsidR="000D18B4" w:rsidRPr="00D03B1E">
        <w:rPr>
          <w:rFonts w:eastAsia="Times New Roman"/>
          <w:snapToGrid w:val="0"/>
          <w:kern w:val="28"/>
          <w:sz w:val="22"/>
        </w:rPr>
        <w:t xml:space="preserve"> from </w:t>
      </w:r>
      <w:r w:rsidR="00B70260" w:rsidRPr="00D03B1E">
        <w:rPr>
          <w:rFonts w:eastAsia="Times New Roman"/>
          <w:snapToGrid w:val="0"/>
          <w:kern w:val="28"/>
          <w:sz w:val="22"/>
        </w:rPr>
        <w:t xml:space="preserve">a high VHF channel </w:t>
      </w:r>
      <w:r w:rsidR="00431D4B" w:rsidRPr="00D03B1E">
        <w:rPr>
          <w:rFonts w:eastAsia="Times New Roman"/>
          <w:snapToGrid w:val="0"/>
          <w:kern w:val="28"/>
          <w:sz w:val="22"/>
        </w:rPr>
        <w:t>(Channels 7-13) to a low</w:t>
      </w:r>
      <w:r w:rsidR="00FC47E2" w:rsidRPr="00D03B1E">
        <w:rPr>
          <w:rFonts w:eastAsia="Times New Roman"/>
          <w:snapToGrid w:val="0"/>
          <w:kern w:val="28"/>
          <w:sz w:val="22"/>
        </w:rPr>
        <w:t xml:space="preserve"> VHF </w:t>
      </w:r>
      <w:r w:rsidR="00B70260" w:rsidRPr="00D03B1E">
        <w:rPr>
          <w:rFonts w:eastAsia="Times New Roman"/>
          <w:snapToGrid w:val="0"/>
          <w:kern w:val="28"/>
          <w:sz w:val="22"/>
        </w:rPr>
        <w:t>channel</w:t>
      </w:r>
      <w:r w:rsidR="00AD7A36" w:rsidRPr="00D03B1E">
        <w:rPr>
          <w:rFonts w:eastAsia="Times New Roman"/>
          <w:snapToGrid w:val="0"/>
          <w:kern w:val="28"/>
          <w:sz w:val="22"/>
        </w:rPr>
        <w:t xml:space="preserve"> (Channels 2-6).</w:t>
      </w:r>
      <w:r w:rsidR="00AD7A36">
        <w:rPr>
          <w:rStyle w:val="FootnoteReference"/>
          <w:rFonts w:eastAsia="Times New Roman"/>
          <w:snapToGrid w:val="0"/>
          <w:kern w:val="28"/>
        </w:rPr>
        <w:footnoteReference w:id="8"/>
      </w:r>
      <w:r w:rsidR="00D03B1E">
        <w:rPr>
          <w:rFonts w:eastAsia="Times New Roman"/>
          <w:snapToGrid w:val="0"/>
          <w:kern w:val="28"/>
          <w:sz w:val="22"/>
        </w:rPr>
        <w:t xml:space="preserve">  </w:t>
      </w:r>
      <w:r w:rsidR="00CF6E10">
        <w:rPr>
          <w:rFonts w:eastAsia="Times New Roman"/>
          <w:snapToGrid w:val="0"/>
          <w:kern w:val="28"/>
          <w:sz w:val="22"/>
        </w:rPr>
        <w:t>U</w:t>
      </w:r>
      <w:r w:rsidR="00193E45" w:rsidRPr="00D03B1E">
        <w:rPr>
          <w:rFonts w:eastAsia="Times New Roman"/>
          <w:snapToGrid w:val="0"/>
          <w:kern w:val="28"/>
          <w:sz w:val="22"/>
        </w:rPr>
        <w:t xml:space="preserve">nder </w:t>
      </w:r>
      <w:r w:rsidR="00CF6E10">
        <w:rPr>
          <w:rFonts w:eastAsia="Times New Roman"/>
          <w:snapToGrid w:val="0"/>
          <w:kern w:val="28"/>
          <w:sz w:val="22"/>
        </w:rPr>
        <w:t>such</w:t>
      </w:r>
      <w:r w:rsidR="00D03B1E">
        <w:rPr>
          <w:rFonts w:eastAsia="Times New Roman"/>
          <w:snapToGrid w:val="0"/>
          <w:kern w:val="28"/>
          <w:sz w:val="22"/>
        </w:rPr>
        <w:t xml:space="preserve"> circumstances</w:t>
      </w:r>
      <w:r w:rsidR="00CF6E10">
        <w:rPr>
          <w:rFonts w:eastAsia="Times New Roman"/>
          <w:snapToGrid w:val="0"/>
          <w:kern w:val="28"/>
          <w:sz w:val="22"/>
        </w:rPr>
        <w:t>, Channel 4 could</w:t>
      </w:r>
      <w:r w:rsidR="00D03B1E">
        <w:rPr>
          <w:rFonts w:eastAsia="Times New Roman"/>
          <w:snapToGrid w:val="0"/>
          <w:kern w:val="28"/>
          <w:sz w:val="22"/>
        </w:rPr>
        <w:t xml:space="preserve"> become even more robustly used for broadcast purposes than it is now.  </w:t>
      </w:r>
      <w:r w:rsidR="00576382" w:rsidRPr="00D03B1E">
        <w:rPr>
          <w:rFonts w:eastAsia="Times New Roman"/>
          <w:snapToGrid w:val="0"/>
          <w:kern w:val="28"/>
          <w:sz w:val="22"/>
        </w:rPr>
        <w:t xml:space="preserve">Even </w:t>
      </w:r>
      <w:r w:rsidR="00CF6E10">
        <w:rPr>
          <w:rFonts w:eastAsia="Times New Roman"/>
          <w:snapToGrid w:val="0"/>
          <w:kern w:val="28"/>
          <w:sz w:val="22"/>
        </w:rPr>
        <w:t xml:space="preserve">if such an outcome is not realized, </w:t>
      </w:r>
      <w:r w:rsidR="005510B7">
        <w:rPr>
          <w:rFonts w:eastAsia="Times New Roman"/>
          <w:snapToGrid w:val="0"/>
          <w:kern w:val="28"/>
          <w:sz w:val="22"/>
        </w:rPr>
        <w:t xml:space="preserve">there is no reason to </w:t>
      </w:r>
      <w:r w:rsidR="00D03B1E">
        <w:rPr>
          <w:rFonts w:eastAsia="Times New Roman"/>
          <w:snapToGrid w:val="0"/>
          <w:kern w:val="28"/>
          <w:sz w:val="22"/>
        </w:rPr>
        <w:t xml:space="preserve">expect </w:t>
      </w:r>
      <w:r w:rsidR="005510B7">
        <w:rPr>
          <w:rFonts w:eastAsia="Times New Roman"/>
          <w:snapToGrid w:val="0"/>
          <w:kern w:val="28"/>
          <w:sz w:val="22"/>
        </w:rPr>
        <w:t xml:space="preserve">that </w:t>
      </w:r>
      <w:r w:rsidR="00501A8C" w:rsidRPr="00D03B1E">
        <w:rPr>
          <w:rFonts w:eastAsia="Times New Roman"/>
          <w:snapToGrid w:val="0"/>
          <w:kern w:val="28"/>
          <w:sz w:val="22"/>
        </w:rPr>
        <w:t>full power, Class A, and LP</w:t>
      </w:r>
      <w:r w:rsidR="001C4555" w:rsidRPr="00D03B1E">
        <w:rPr>
          <w:rFonts w:eastAsia="Times New Roman"/>
          <w:snapToGrid w:val="0"/>
          <w:kern w:val="28"/>
          <w:sz w:val="22"/>
        </w:rPr>
        <w:t xml:space="preserve">TV stations </w:t>
      </w:r>
      <w:r w:rsidR="00CF6E10">
        <w:rPr>
          <w:rFonts w:eastAsia="Times New Roman"/>
          <w:snapToGrid w:val="0"/>
          <w:kern w:val="28"/>
          <w:sz w:val="22"/>
        </w:rPr>
        <w:t>will</w:t>
      </w:r>
      <w:r w:rsidR="001C4555" w:rsidRPr="00D03B1E">
        <w:rPr>
          <w:rFonts w:eastAsia="Times New Roman"/>
          <w:snapToGrid w:val="0"/>
          <w:kern w:val="28"/>
          <w:sz w:val="22"/>
        </w:rPr>
        <w:t xml:space="preserve"> </w:t>
      </w:r>
      <w:r w:rsidR="009947A7">
        <w:rPr>
          <w:rFonts w:eastAsia="Times New Roman"/>
          <w:snapToGrid w:val="0"/>
          <w:kern w:val="28"/>
          <w:sz w:val="22"/>
        </w:rPr>
        <w:t>not</w:t>
      </w:r>
      <w:r w:rsidR="004838AE" w:rsidRPr="00D03B1E">
        <w:rPr>
          <w:rFonts w:eastAsia="Times New Roman"/>
          <w:snapToGrid w:val="0"/>
          <w:kern w:val="28"/>
          <w:sz w:val="22"/>
        </w:rPr>
        <w:t xml:space="preserve"> </w:t>
      </w:r>
      <w:r w:rsidR="009947A7">
        <w:rPr>
          <w:rFonts w:eastAsia="Times New Roman"/>
          <w:snapToGrid w:val="0"/>
          <w:kern w:val="28"/>
          <w:sz w:val="22"/>
        </w:rPr>
        <w:t xml:space="preserve">continue to </w:t>
      </w:r>
      <w:r w:rsidR="00CF6E10">
        <w:rPr>
          <w:rFonts w:eastAsia="Times New Roman"/>
          <w:snapToGrid w:val="0"/>
          <w:kern w:val="28"/>
          <w:sz w:val="22"/>
        </w:rPr>
        <w:t xml:space="preserve">make use of </w:t>
      </w:r>
      <w:r>
        <w:rPr>
          <w:rFonts w:eastAsia="Times New Roman"/>
          <w:snapToGrid w:val="0"/>
          <w:kern w:val="28"/>
          <w:sz w:val="22"/>
        </w:rPr>
        <w:t>an</w:t>
      </w:r>
      <w:r w:rsidR="00CF6E10">
        <w:rPr>
          <w:rFonts w:eastAsia="Times New Roman"/>
          <w:snapToGrid w:val="0"/>
          <w:kern w:val="28"/>
          <w:sz w:val="22"/>
        </w:rPr>
        <w:t xml:space="preserve"> available television channel</w:t>
      </w:r>
      <w:r w:rsidR="00D03B1E">
        <w:rPr>
          <w:rFonts w:eastAsia="Times New Roman"/>
          <w:snapToGrid w:val="0"/>
          <w:kern w:val="28"/>
          <w:sz w:val="22"/>
        </w:rPr>
        <w:t xml:space="preserve">.  </w:t>
      </w:r>
      <w:r w:rsidR="005510B7">
        <w:rPr>
          <w:rFonts w:eastAsia="Times New Roman"/>
          <w:snapToGrid w:val="0"/>
          <w:kern w:val="28"/>
          <w:sz w:val="22"/>
        </w:rPr>
        <w:t>T</w:t>
      </w:r>
      <w:r w:rsidR="00256B7A" w:rsidRPr="00D03B1E">
        <w:rPr>
          <w:rFonts w:eastAsia="Times New Roman"/>
          <w:snapToGrid w:val="0"/>
          <w:kern w:val="28"/>
          <w:sz w:val="22"/>
        </w:rPr>
        <w:t xml:space="preserve">he </w:t>
      </w:r>
      <w:r w:rsidR="003400BA" w:rsidRPr="00D03B1E">
        <w:rPr>
          <w:rFonts w:eastAsia="Times New Roman"/>
          <w:snapToGrid w:val="0"/>
          <w:kern w:val="28"/>
          <w:sz w:val="22"/>
        </w:rPr>
        <w:t>Zook</w:t>
      </w:r>
      <w:r w:rsidR="00256B7A" w:rsidRPr="00D03B1E">
        <w:rPr>
          <w:rFonts w:eastAsia="Times New Roman"/>
          <w:snapToGrid w:val="0"/>
          <w:kern w:val="28"/>
          <w:sz w:val="22"/>
        </w:rPr>
        <w:t xml:space="preserve"> P</w:t>
      </w:r>
      <w:r w:rsidR="003400BA" w:rsidRPr="00D03B1E">
        <w:rPr>
          <w:rFonts w:eastAsia="Times New Roman"/>
          <w:snapToGrid w:val="0"/>
          <w:kern w:val="28"/>
          <w:sz w:val="22"/>
        </w:rPr>
        <w:t>etition</w:t>
      </w:r>
      <w:r w:rsidR="005510B7">
        <w:rPr>
          <w:rFonts w:eastAsia="Times New Roman"/>
          <w:snapToGrid w:val="0"/>
          <w:kern w:val="28"/>
          <w:sz w:val="22"/>
        </w:rPr>
        <w:t>, in dismissing such continued broadcast use of TV Channel 4,</w:t>
      </w:r>
      <w:r w:rsidR="003400BA" w:rsidRPr="00D03B1E">
        <w:rPr>
          <w:rFonts w:eastAsia="Times New Roman"/>
          <w:snapToGrid w:val="0"/>
          <w:kern w:val="28"/>
          <w:sz w:val="22"/>
        </w:rPr>
        <w:t xml:space="preserve"> </w:t>
      </w:r>
      <w:r w:rsidR="005510B7">
        <w:rPr>
          <w:rFonts w:eastAsia="Times New Roman"/>
          <w:snapToGrid w:val="0"/>
          <w:kern w:val="28"/>
          <w:sz w:val="22"/>
        </w:rPr>
        <w:t>fails to show</w:t>
      </w:r>
      <w:r w:rsidR="00D03B1E">
        <w:rPr>
          <w:rFonts w:eastAsia="Times New Roman"/>
          <w:snapToGrid w:val="0"/>
          <w:kern w:val="28"/>
          <w:sz w:val="22"/>
        </w:rPr>
        <w:t xml:space="preserve"> </w:t>
      </w:r>
      <w:r w:rsidR="005510B7">
        <w:rPr>
          <w:rFonts w:eastAsia="Times New Roman"/>
          <w:snapToGrid w:val="0"/>
          <w:kern w:val="28"/>
          <w:sz w:val="22"/>
        </w:rPr>
        <w:t>how</w:t>
      </w:r>
      <w:r w:rsidR="00256B7A" w:rsidRPr="00D03B1E">
        <w:rPr>
          <w:rFonts w:eastAsia="Times New Roman"/>
          <w:snapToGrid w:val="0"/>
          <w:kern w:val="28"/>
          <w:sz w:val="22"/>
        </w:rPr>
        <w:t xml:space="preserve"> </w:t>
      </w:r>
      <w:r w:rsidR="00FC7F08" w:rsidRPr="00D03B1E">
        <w:rPr>
          <w:rFonts w:eastAsia="Times New Roman"/>
          <w:snapToGrid w:val="0"/>
          <w:kern w:val="28"/>
          <w:sz w:val="22"/>
        </w:rPr>
        <w:t>harmful interference to</w:t>
      </w:r>
      <w:r w:rsidR="0061467D" w:rsidRPr="00D03B1E">
        <w:rPr>
          <w:rFonts w:eastAsia="Times New Roman"/>
          <w:snapToGrid w:val="0"/>
          <w:kern w:val="28"/>
          <w:sz w:val="22"/>
        </w:rPr>
        <w:t xml:space="preserve"> </w:t>
      </w:r>
      <w:r w:rsidR="005510B7" w:rsidRPr="00C86DE0">
        <w:rPr>
          <w:rFonts w:eastAsia="Times New Roman"/>
          <w:snapToGrid w:val="0"/>
          <w:kern w:val="28"/>
          <w:sz w:val="22"/>
          <w:szCs w:val="22"/>
        </w:rPr>
        <w:t>broadcast</w:t>
      </w:r>
      <w:r w:rsidR="00CF6E10" w:rsidRPr="00C86DE0">
        <w:rPr>
          <w:rFonts w:eastAsia="Times New Roman"/>
          <w:snapToGrid w:val="0"/>
          <w:kern w:val="28"/>
          <w:sz w:val="22"/>
          <w:szCs w:val="22"/>
        </w:rPr>
        <w:t xml:space="preserve"> operations</w:t>
      </w:r>
      <w:r w:rsidR="005510B7" w:rsidRPr="00C86DE0">
        <w:rPr>
          <w:rFonts w:eastAsia="Times New Roman"/>
          <w:snapToGrid w:val="0"/>
          <w:kern w:val="28"/>
          <w:sz w:val="22"/>
          <w:szCs w:val="22"/>
        </w:rPr>
        <w:t xml:space="preserve"> by new amateur users</w:t>
      </w:r>
      <w:r w:rsidR="00CF6E10" w:rsidRPr="00C86DE0">
        <w:rPr>
          <w:rFonts w:eastAsia="Times New Roman"/>
          <w:snapToGrid w:val="0"/>
          <w:kern w:val="28"/>
          <w:sz w:val="22"/>
          <w:szCs w:val="22"/>
        </w:rPr>
        <w:t xml:space="preserve"> would be avoided</w:t>
      </w:r>
      <w:r w:rsidR="00C86DE0" w:rsidRPr="00C86DE0">
        <w:rPr>
          <w:rFonts w:eastAsia="Times New Roman"/>
          <w:snapToGrid w:val="0"/>
          <w:kern w:val="28"/>
          <w:sz w:val="22"/>
          <w:szCs w:val="22"/>
        </w:rPr>
        <w:t xml:space="preserve">.  </w:t>
      </w:r>
    </w:p>
    <w:p w:rsidR="00C86DE0" w:rsidRPr="00C86DE0" w:rsidRDefault="00C86DE0" w:rsidP="00937D77">
      <w:pPr>
        <w:numPr>
          <w:ilvl w:val="0"/>
          <w:numId w:val="2"/>
        </w:numPr>
        <w:tabs>
          <w:tab w:val="left" w:pos="1440"/>
          <w:tab w:val="left" w:pos="6030"/>
        </w:tabs>
        <w:spacing w:after="120" w:line="240" w:lineRule="auto"/>
        <w:ind w:left="0"/>
        <w:rPr>
          <w:b/>
          <w:caps/>
          <w:sz w:val="22"/>
          <w:szCs w:val="22"/>
        </w:rPr>
      </w:pPr>
      <w:r w:rsidRPr="00C86DE0">
        <w:rPr>
          <w:rFonts w:eastAsia="Times New Roman"/>
          <w:snapToGrid w:val="0"/>
          <w:kern w:val="28"/>
          <w:sz w:val="22"/>
          <w:szCs w:val="22"/>
        </w:rPr>
        <w:t xml:space="preserve">Given the complexity of the incentive auction proceeding, we also conclude that it </w:t>
      </w:r>
      <w:r w:rsidRPr="00C86DE0">
        <w:rPr>
          <w:sz w:val="22"/>
          <w:szCs w:val="22"/>
        </w:rPr>
        <w:t>would not serve the public interest to further complicate that unique undertaking by proposing to introduce a new service into the broadcasting frequencies at this time.</w:t>
      </w:r>
      <w:r w:rsidRPr="00C86DE0">
        <w:rPr>
          <w:rStyle w:val="FootnoteReference"/>
          <w:szCs w:val="22"/>
        </w:rPr>
        <w:footnoteReference w:id="9"/>
      </w:r>
      <w:r w:rsidRPr="00C86DE0">
        <w:rPr>
          <w:sz w:val="22"/>
          <w:szCs w:val="22"/>
        </w:rPr>
        <w:t xml:space="preserve">  We note, in particular, that the Zook Petition does not address whether amateur use of the 70.0-70.5 MHz band would preclude the ability of LPTV and TV translator stations to operate on </w:t>
      </w:r>
      <w:r>
        <w:rPr>
          <w:sz w:val="22"/>
          <w:szCs w:val="22"/>
        </w:rPr>
        <w:t xml:space="preserve">(or migrate to) TV Channel 4.  </w:t>
      </w:r>
      <w:r w:rsidR="00CE5C8A">
        <w:rPr>
          <w:sz w:val="22"/>
          <w:szCs w:val="22"/>
        </w:rPr>
        <w:t>There is n</w:t>
      </w:r>
      <w:r>
        <w:rPr>
          <w:sz w:val="22"/>
          <w:szCs w:val="22"/>
        </w:rPr>
        <w:t>o reason</w:t>
      </w:r>
      <w:r w:rsidR="00CE5C8A">
        <w:rPr>
          <w:sz w:val="22"/>
          <w:szCs w:val="22"/>
        </w:rPr>
        <w:t xml:space="preserve"> why we would want</w:t>
      </w:r>
      <w:r>
        <w:rPr>
          <w:sz w:val="22"/>
          <w:szCs w:val="22"/>
        </w:rPr>
        <w:t xml:space="preserve"> to introduce such uncertainty </w:t>
      </w:r>
      <w:r w:rsidR="00CE5C8A">
        <w:rPr>
          <w:sz w:val="22"/>
          <w:szCs w:val="22"/>
        </w:rPr>
        <w:t>into the band.</w:t>
      </w:r>
    </w:p>
    <w:p w:rsidR="00046BFC" w:rsidRPr="00046BFC" w:rsidRDefault="005510B7" w:rsidP="00D43E13">
      <w:pPr>
        <w:numPr>
          <w:ilvl w:val="0"/>
          <w:numId w:val="2"/>
        </w:numPr>
        <w:tabs>
          <w:tab w:val="left" w:pos="1440"/>
          <w:tab w:val="left" w:pos="6030"/>
        </w:tabs>
        <w:spacing w:after="120" w:line="240" w:lineRule="auto"/>
        <w:ind w:left="0"/>
        <w:rPr>
          <w:b/>
          <w:caps/>
          <w:szCs w:val="22"/>
        </w:rPr>
      </w:pPr>
      <w:r w:rsidRPr="00C86DE0">
        <w:rPr>
          <w:rFonts w:eastAsia="Times New Roman"/>
          <w:snapToGrid w:val="0"/>
          <w:kern w:val="28"/>
          <w:sz w:val="22"/>
          <w:szCs w:val="22"/>
        </w:rPr>
        <w:t>T</w:t>
      </w:r>
      <w:r w:rsidR="001B02D7" w:rsidRPr="00C86DE0">
        <w:rPr>
          <w:rFonts w:eastAsia="Times New Roman"/>
          <w:snapToGrid w:val="0"/>
          <w:kern w:val="28"/>
          <w:sz w:val="22"/>
          <w:szCs w:val="22"/>
        </w:rPr>
        <w:t xml:space="preserve">he Zook Petition </w:t>
      </w:r>
      <w:r w:rsidR="00CE5C8A">
        <w:rPr>
          <w:rFonts w:eastAsia="Times New Roman"/>
          <w:snapToGrid w:val="0"/>
          <w:kern w:val="28"/>
          <w:sz w:val="22"/>
          <w:szCs w:val="22"/>
        </w:rPr>
        <w:t>further</w:t>
      </w:r>
      <w:r w:rsidRPr="00C86DE0">
        <w:rPr>
          <w:rFonts w:eastAsia="Times New Roman"/>
          <w:snapToGrid w:val="0"/>
          <w:kern w:val="28"/>
          <w:sz w:val="22"/>
          <w:szCs w:val="22"/>
        </w:rPr>
        <w:t xml:space="preserve"> </w:t>
      </w:r>
      <w:r w:rsidR="001B02D7" w:rsidRPr="00C86DE0">
        <w:rPr>
          <w:rFonts w:eastAsia="Times New Roman"/>
          <w:snapToGrid w:val="0"/>
          <w:kern w:val="28"/>
          <w:sz w:val="22"/>
          <w:szCs w:val="22"/>
        </w:rPr>
        <w:t>claims that the anticipated amateur use would not cause harmful interference to adjacent channel operations</w:t>
      </w:r>
      <w:r w:rsidR="001B02D7" w:rsidRPr="00046BFC">
        <w:rPr>
          <w:rFonts w:eastAsia="Times New Roman"/>
          <w:snapToGrid w:val="0"/>
          <w:kern w:val="28"/>
          <w:sz w:val="22"/>
        </w:rPr>
        <w:t xml:space="preserve"> – specifically, </w:t>
      </w:r>
      <w:r w:rsidR="00106EED" w:rsidRPr="00046BFC">
        <w:rPr>
          <w:rFonts w:eastAsia="Times New Roman"/>
          <w:snapToGrid w:val="0"/>
          <w:kern w:val="28"/>
          <w:sz w:val="22"/>
        </w:rPr>
        <w:t xml:space="preserve">to </w:t>
      </w:r>
      <w:r w:rsidR="00D43E13" w:rsidRPr="00046BFC">
        <w:rPr>
          <w:rFonts w:eastAsia="Times New Roman"/>
          <w:snapToGrid w:val="0"/>
          <w:kern w:val="28"/>
          <w:sz w:val="22"/>
        </w:rPr>
        <w:t>fixed and mobile services that operate at 72-76 MHz</w:t>
      </w:r>
      <w:r w:rsidR="001B02D7" w:rsidRPr="00046BFC">
        <w:rPr>
          <w:rFonts w:eastAsia="Times New Roman"/>
          <w:snapToGrid w:val="0"/>
          <w:kern w:val="28"/>
          <w:sz w:val="22"/>
        </w:rPr>
        <w:t xml:space="preserve"> and TV Channel 5 (76-82 MHz)</w:t>
      </w:r>
      <w:r w:rsidR="009947A7" w:rsidRPr="00046BFC">
        <w:rPr>
          <w:rFonts w:eastAsia="Times New Roman"/>
          <w:snapToGrid w:val="0"/>
          <w:kern w:val="28"/>
          <w:sz w:val="22"/>
        </w:rPr>
        <w:t xml:space="preserve"> – but offers no </w:t>
      </w:r>
      <w:r w:rsidR="00046BFC" w:rsidRPr="00046BFC">
        <w:rPr>
          <w:rFonts w:eastAsia="Times New Roman"/>
          <w:snapToGrid w:val="0"/>
          <w:kern w:val="28"/>
          <w:sz w:val="22"/>
        </w:rPr>
        <w:t>supporting analysis</w:t>
      </w:r>
      <w:r w:rsidR="009947A7" w:rsidRPr="00046BFC">
        <w:rPr>
          <w:rFonts w:eastAsia="Times New Roman"/>
          <w:snapToGrid w:val="0"/>
          <w:kern w:val="28"/>
          <w:sz w:val="22"/>
        </w:rPr>
        <w:t xml:space="preserve">.  </w:t>
      </w:r>
      <w:r w:rsidR="00F53883" w:rsidRPr="00046BFC">
        <w:rPr>
          <w:rFonts w:eastAsia="Times New Roman"/>
          <w:snapToGrid w:val="0"/>
          <w:kern w:val="28"/>
          <w:sz w:val="22"/>
        </w:rPr>
        <w:t>As with Channel 4, TV Channel 5 will continue to be used for broadcast purposes.  Fixed and mobile services will likewise continue to operate in the frequencies between the two television channels.</w:t>
      </w:r>
      <w:r w:rsidR="009947A7" w:rsidRPr="00046BFC">
        <w:rPr>
          <w:rFonts w:eastAsia="Times New Roman"/>
          <w:snapToGrid w:val="0"/>
          <w:kern w:val="28"/>
          <w:sz w:val="22"/>
        </w:rPr>
        <w:t xml:space="preserve">  </w:t>
      </w:r>
    </w:p>
    <w:p w:rsidR="001B02D7" w:rsidRPr="00046BFC" w:rsidRDefault="00F53883" w:rsidP="00D43E13">
      <w:pPr>
        <w:numPr>
          <w:ilvl w:val="0"/>
          <w:numId w:val="2"/>
        </w:numPr>
        <w:tabs>
          <w:tab w:val="left" w:pos="1440"/>
          <w:tab w:val="left" w:pos="6030"/>
        </w:tabs>
        <w:spacing w:after="120" w:line="240" w:lineRule="auto"/>
        <w:ind w:left="0"/>
        <w:rPr>
          <w:b/>
          <w:caps/>
          <w:szCs w:val="22"/>
        </w:rPr>
      </w:pPr>
      <w:r w:rsidRPr="00046BFC">
        <w:rPr>
          <w:rFonts w:eastAsia="Times New Roman"/>
          <w:snapToGrid w:val="0"/>
          <w:kern w:val="28"/>
          <w:sz w:val="22"/>
        </w:rPr>
        <w:t>B</w:t>
      </w:r>
      <w:r w:rsidR="0035269E" w:rsidRPr="00046BFC">
        <w:rPr>
          <w:rFonts w:eastAsia="Times New Roman"/>
          <w:snapToGrid w:val="0"/>
          <w:kern w:val="28"/>
          <w:sz w:val="22"/>
        </w:rPr>
        <w:t xml:space="preserve">ecause we are not proposing to add an amateur allocation, we </w:t>
      </w:r>
      <w:r w:rsidR="00966269" w:rsidRPr="00046BFC">
        <w:rPr>
          <w:rFonts w:eastAsia="Times New Roman"/>
          <w:snapToGrid w:val="0"/>
          <w:kern w:val="28"/>
          <w:sz w:val="22"/>
        </w:rPr>
        <w:t>will</w:t>
      </w:r>
      <w:r w:rsidR="0035269E" w:rsidRPr="00046BFC">
        <w:rPr>
          <w:rFonts w:eastAsia="Times New Roman"/>
          <w:snapToGrid w:val="0"/>
          <w:kern w:val="28"/>
          <w:sz w:val="22"/>
        </w:rPr>
        <w:t xml:space="preserve"> not</w:t>
      </w:r>
      <w:r w:rsidR="00966269" w:rsidRPr="00046BFC">
        <w:rPr>
          <w:rFonts w:eastAsia="Times New Roman"/>
          <w:snapToGrid w:val="0"/>
          <w:kern w:val="28"/>
          <w:sz w:val="22"/>
        </w:rPr>
        <w:t xml:space="preserve"> evaluate</w:t>
      </w:r>
      <w:r w:rsidR="0035269E" w:rsidRPr="00046BFC">
        <w:rPr>
          <w:rFonts w:eastAsia="Times New Roman"/>
          <w:snapToGrid w:val="0"/>
          <w:kern w:val="28"/>
          <w:sz w:val="22"/>
        </w:rPr>
        <w:t xml:space="preserve"> Zook’s</w:t>
      </w:r>
      <w:r w:rsidR="00966269" w:rsidRPr="00046BFC">
        <w:rPr>
          <w:rFonts w:eastAsia="Times New Roman"/>
          <w:snapToGrid w:val="0"/>
          <w:kern w:val="28"/>
          <w:sz w:val="22"/>
        </w:rPr>
        <w:t xml:space="preserve"> claims regarding the benefits that amateurs would derive from use of the band,</w:t>
      </w:r>
      <w:r>
        <w:rPr>
          <w:rStyle w:val="FootnoteReference"/>
          <w:rFonts w:eastAsia="Times New Roman"/>
          <w:snapToGrid w:val="0"/>
          <w:kern w:val="28"/>
        </w:rPr>
        <w:footnoteReference w:id="10"/>
      </w:r>
      <w:r w:rsidR="00966269" w:rsidRPr="00046BFC">
        <w:rPr>
          <w:rFonts w:eastAsia="Times New Roman"/>
          <w:snapToGrid w:val="0"/>
          <w:kern w:val="28"/>
          <w:sz w:val="22"/>
        </w:rPr>
        <w:t xml:space="preserve"> nor address his</w:t>
      </w:r>
      <w:r w:rsidR="0035269E" w:rsidRPr="00046BFC">
        <w:rPr>
          <w:rFonts w:eastAsia="Times New Roman"/>
          <w:snapToGrid w:val="0"/>
          <w:kern w:val="28"/>
          <w:sz w:val="22"/>
        </w:rPr>
        <w:t xml:space="preserve"> proposals regarding </w:t>
      </w:r>
      <w:r w:rsidR="00562C5F" w:rsidRPr="00046BFC">
        <w:rPr>
          <w:rFonts w:eastAsia="Times New Roman"/>
          <w:snapToGrid w:val="0"/>
          <w:kern w:val="28"/>
          <w:sz w:val="22"/>
        </w:rPr>
        <w:t>the</w:t>
      </w:r>
      <w:r w:rsidR="0035269E" w:rsidRPr="00046BFC">
        <w:rPr>
          <w:rFonts w:eastAsia="Times New Roman"/>
          <w:snapToGrid w:val="0"/>
          <w:kern w:val="28"/>
          <w:sz w:val="22"/>
        </w:rPr>
        <w:t xml:space="preserve"> </w:t>
      </w:r>
      <w:r w:rsidR="00562C5F" w:rsidRPr="00046BFC">
        <w:rPr>
          <w:rFonts w:eastAsia="Times New Roman"/>
          <w:snapToGrid w:val="0"/>
          <w:kern w:val="28"/>
          <w:sz w:val="22"/>
        </w:rPr>
        <w:t xml:space="preserve">adoption of </w:t>
      </w:r>
      <w:r w:rsidR="0035269E" w:rsidRPr="00046BFC">
        <w:rPr>
          <w:rFonts w:eastAsia="Times New Roman"/>
          <w:snapToGrid w:val="0"/>
          <w:kern w:val="28"/>
          <w:sz w:val="22"/>
        </w:rPr>
        <w:t>service rules</w:t>
      </w:r>
      <w:r w:rsidR="00562C5F" w:rsidRPr="00046BFC">
        <w:rPr>
          <w:rFonts w:eastAsia="Times New Roman"/>
          <w:snapToGrid w:val="0"/>
          <w:kern w:val="28"/>
          <w:sz w:val="22"/>
        </w:rPr>
        <w:t xml:space="preserve"> to govern use of the band</w:t>
      </w:r>
      <w:r w:rsidR="0035269E" w:rsidRPr="00046BFC">
        <w:rPr>
          <w:rFonts w:eastAsia="Times New Roman"/>
          <w:snapToGrid w:val="0"/>
          <w:kern w:val="28"/>
          <w:sz w:val="22"/>
        </w:rPr>
        <w:t xml:space="preserve"> (</w:t>
      </w:r>
      <w:r w:rsidR="0035269E" w:rsidRPr="00046BFC">
        <w:rPr>
          <w:rFonts w:eastAsia="Times New Roman"/>
          <w:i/>
          <w:snapToGrid w:val="0"/>
          <w:kern w:val="28"/>
          <w:sz w:val="22"/>
        </w:rPr>
        <w:t>e.g.</w:t>
      </w:r>
      <w:r w:rsidR="0035269E" w:rsidRPr="00046BFC">
        <w:rPr>
          <w:rFonts w:eastAsia="Times New Roman"/>
          <w:snapToGrid w:val="0"/>
          <w:kern w:val="28"/>
          <w:sz w:val="22"/>
        </w:rPr>
        <w:t xml:space="preserve"> </w:t>
      </w:r>
      <w:r w:rsidR="00966269" w:rsidRPr="00046BFC">
        <w:rPr>
          <w:rFonts w:eastAsia="Times New Roman"/>
          <w:snapToGrid w:val="0"/>
          <w:kern w:val="28"/>
          <w:sz w:val="22"/>
        </w:rPr>
        <w:t xml:space="preserve">the </w:t>
      </w:r>
      <w:r w:rsidR="0035269E" w:rsidRPr="00046BFC">
        <w:rPr>
          <w:rFonts w:eastAsia="Times New Roman"/>
          <w:snapToGrid w:val="0"/>
          <w:kern w:val="28"/>
          <w:sz w:val="22"/>
        </w:rPr>
        <w:t xml:space="preserve">appropriate amateur operator operating privileges, </w:t>
      </w:r>
      <w:r w:rsidR="00562C5F" w:rsidRPr="00046BFC">
        <w:rPr>
          <w:rFonts w:eastAsia="Times New Roman"/>
          <w:snapToGrid w:val="0"/>
          <w:kern w:val="28"/>
          <w:sz w:val="22"/>
        </w:rPr>
        <w:t xml:space="preserve">authorized </w:t>
      </w:r>
      <w:r w:rsidR="0035269E" w:rsidRPr="00046BFC">
        <w:rPr>
          <w:rFonts w:eastAsia="Times New Roman"/>
          <w:snapToGrid w:val="0"/>
          <w:kern w:val="28"/>
          <w:sz w:val="22"/>
        </w:rPr>
        <w:t>output power and other technical rules, etc.).</w:t>
      </w:r>
      <w:r w:rsidR="0035269E" w:rsidRPr="00650FD8">
        <w:rPr>
          <w:rFonts w:eastAsia="Times New Roman"/>
          <w:snapToGrid w:val="0"/>
          <w:kern w:val="28"/>
          <w:sz w:val="22"/>
          <w:vertAlign w:val="superscript"/>
        </w:rPr>
        <w:footnoteReference w:id="11"/>
      </w:r>
    </w:p>
    <w:p w:rsidR="00D43E13" w:rsidRPr="006A6BF0" w:rsidRDefault="00D43E13" w:rsidP="00D43E13">
      <w:pPr>
        <w:numPr>
          <w:ilvl w:val="0"/>
          <w:numId w:val="2"/>
        </w:numPr>
        <w:tabs>
          <w:tab w:val="left" w:pos="1440"/>
          <w:tab w:val="left" w:pos="6030"/>
        </w:tabs>
        <w:spacing w:after="120" w:line="240" w:lineRule="auto"/>
        <w:ind w:left="0"/>
        <w:rPr>
          <w:b/>
          <w:caps/>
          <w:szCs w:val="22"/>
        </w:rPr>
      </w:pPr>
      <w:r w:rsidRPr="006A6BF0">
        <w:rPr>
          <w:rFonts w:eastAsia="Times New Roman"/>
          <w:snapToGrid w:val="0"/>
          <w:kern w:val="28"/>
          <w:sz w:val="22"/>
        </w:rPr>
        <w:t xml:space="preserve">For </w:t>
      </w:r>
      <w:r w:rsidR="0035269E">
        <w:rPr>
          <w:rFonts w:eastAsia="Times New Roman"/>
          <w:snapToGrid w:val="0"/>
          <w:kern w:val="28"/>
          <w:sz w:val="22"/>
        </w:rPr>
        <w:t xml:space="preserve">all of </w:t>
      </w:r>
      <w:r w:rsidRPr="006A6BF0">
        <w:rPr>
          <w:rFonts w:eastAsia="Times New Roman"/>
          <w:snapToGrid w:val="0"/>
          <w:kern w:val="28"/>
          <w:sz w:val="22"/>
        </w:rPr>
        <w:t xml:space="preserve">the reasons discussed </w:t>
      </w:r>
      <w:r w:rsidR="0035269E">
        <w:rPr>
          <w:rFonts w:eastAsia="Times New Roman"/>
          <w:snapToGrid w:val="0"/>
          <w:kern w:val="28"/>
          <w:sz w:val="22"/>
        </w:rPr>
        <w:t>above</w:t>
      </w:r>
      <w:r w:rsidRPr="006A6BF0">
        <w:rPr>
          <w:rFonts w:eastAsia="Times New Roman"/>
          <w:snapToGrid w:val="0"/>
          <w:kern w:val="28"/>
          <w:sz w:val="22"/>
        </w:rPr>
        <w:t xml:space="preserve">, we deny the </w:t>
      </w:r>
      <w:r>
        <w:rPr>
          <w:rFonts w:eastAsia="Times New Roman"/>
          <w:snapToGrid w:val="0"/>
          <w:kern w:val="28"/>
          <w:sz w:val="22"/>
        </w:rPr>
        <w:t>Zook P</w:t>
      </w:r>
      <w:r w:rsidRPr="006A6BF0">
        <w:rPr>
          <w:rFonts w:eastAsia="Times New Roman"/>
          <w:snapToGrid w:val="0"/>
          <w:kern w:val="28"/>
          <w:sz w:val="22"/>
        </w:rPr>
        <w:t>etition.</w:t>
      </w:r>
    </w:p>
    <w:p w:rsidR="00650FD8" w:rsidRPr="006A6BF0" w:rsidRDefault="00650FD8" w:rsidP="006A6BF0">
      <w:pPr>
        <w:numPr>
          <w:ilvl w:val="0"/>
          <w:numId w:val="2"/>
        </w:numPr>
        <w:tabs>
          <w:tab w:val="left" w:pos="1440"/>
          <w:tab w:val="left" w:pos="6030"/>
        </w:tabs>
        <w:spacing w:after="120" w:line="240" w:lineRule="auto"/>
        <w:ind w:left="0"/>
        <w:rPr>
          <w:b/>
          <w:caps/>
          <w:szCs w:val="22"/>
        </w:rPr>
      </w:pPr>
      <w:r w:rsidRPr="006A6BF0">
        <w:rPr>
          <w:rFonts w:eastAsia="Times New Roman"/>
          <w:snapToGrid w:val="0"/>
          <w:kern w:val="28"/>
          <w:sz w:val="22"/>
        </w:rPr>
        <w:t xml:space="preserve">Accordingly, IT IS ORDERED that pursuant to the authority contained in Sections 4(i), 5(c), 303(c), </w:t>
      </w:r>
      <w:r w:rsidR="0097511A">
        <w:rPr>
          <w:rFonts w:eastAsia="Times New Roman"/>
          <w:snapToGrid w:val="0"/>
          <w:kern w:val="28"/>
          <w:sz w:val="22"/>
        </w:rPr>
        <w:t xml:space="preserve">and </w:t>
      </w:r>
      <w:r w:rsidRPr="006A6BF0">
        <w:rPr>
          <w:rFonts w:eastAsia="Times New Roman"/>
          <w:snapToGrid w:val="0"/>
          <w:kern w:val="28"/>
          <w:sz w:val="22"/>
        </w:rPr>
        <w:t>303(f), of the Communications Act of 1934, as amended, 47</w:t>
      </w:r>
      <w:r w:rsidR="00A34D2D" w:rsidRPr="006A6BF0">
        <w:rPr>
          <w:rFonts w:eastAsia="Times New Roman"/>
          <w:snapToGrid w:val="0"/>
          <w:kern w:val="28"/>
          <w:sz w:val="22"/>
        </w:rPr>
        <w:t> </w:t>
      </w:r>
      <w:r w:rsidRPr="006A6BF0">
        <w:rPr>
          <w:rFonts w:eastAsia="Times New Roman"/>
          <w:snapToGrid w:val="0"/>
          <w:kern w:val="28"/>
          <w:sz w:val="22"/>
        </w:rPr>
        <w:t>U</w:t>
      </w:r>
      <w:r w:rsidR="00054EF9" w:rsidRPr="006A6BF0">
        <w:rPr>
          <w:rFonts w:eastAsia="Times New Roman"/>
          <w:snapToGrid w:val="0"/>
          <w:kern w:val="28"/>
          <w:sz w:val="22"/>
        </w:rPr>
        <w:t>.</w:t>
      </w:r>
      <w:r w:rsidRPr="006A6BF0">
        <w:rPr>
          <w:rFonts w:eastAsia="Times New Roman"/>
          <w:snapToGrid w:val="0"/>
          <w:kern w:val="28"/>
          <w:sz w:val="22"/>
        </w:rPr>
        <w:t>S</w:t>
      </w:r>
      <w:r w:rsidR="00054EF9" w:rsidRPr="006A6BF0">
        <w:rPr>
          <w:rFonts w:eastAsia="Times New Roman"/>
          <w:snapToGrid w:val="0"/>
          <w:kern w:val="28"/>
          <w:sz w:val="22"/>
        </w:rPr>
        <w:t>.</w:t>
      </w:r>
      <w:r w:rsidRPr="006A6BF0">
        <w:rPr>
          <w:rFonts w:eastAsia="Times New Roman"/>
          <w:snapToGrid w:val="0"/>
          <w:kern w:val="28"/>
          <w:sz w:val="22"/>
        </w:rPr>
        <w:t>C</w:t>
      </w:r>
      <w:r w:rsidR="00054EF9" w:rsidRPr="006A6BF0">
        <w:rPr>
          <w:rFonts w:eastAsia="Times New Roman"/>
          <w:snapToGrid w:val="0"/>
          <w:kern w:val="28"/>
          <w:sz w:val="22"/>
        </w:rPr>
        <w:t>.</w:t>
      </w:r>
      <w:r w:rsidRPr="006A6BF0">
        <w:rPr>
          <w:rFonts w:eastAsia="Times New Roman"/>
          <w:snapToGrid w:val="0"/>
          <w:kern w:val="28"/>
          <w:sz w:val="22"/>
        </w:rPr>
        <w:t xml:space="preserve"> </w:t>
      </w:r>
      <w:r w:rsidR="00054EF9" w:rsidRPr="006A6BF0">
        <w:rPr>
          <w:rFonts w:eastAsia="Times New Roman"/>
          <w:snapToGrid w:val="0"/>
          <w:kern w:val="28"/>
          <w:sz w:val="22"/>
        </w:rPr>
        <w:t xml:space="preserve">§§ </w:t>
      </w:r>
      <w:r w:rsidRPr="006A6BF0">
        <w:rPr>
          <w:rFonts w:eastAsia="Times New Roman"/>
          <w:snapToGrid w:val="0"/>
          <w:kern w:val="28"/>
          <w:sz w:val="22"/>
        </w:rPr>
        <w:t xml:space="preserve">154(i), 155(c), 303(c), </w:t>
      </w:r>
      <w:r w:rsidR="0097511A">
        <w:rPr>
          <w:rFonts w:eastAsia="Times New Roman"/>
          <w:snapToGrid w:val="0"/>
          <w:kern w:val="28"/>
          <w:sz w:val="22"/>
        </w:rPr>
        <w:lastRenderedPageBreak/>
        <w:t xml:space="preserve">and </w:t>
      </w:r>
      <w:r w:rsidRPr="006A6BF0">
        <w:rPr>
          <w:rFonts w:eastAsia="Times New Roman"/>
          <w:snapToGrid w:val="0"/>
          <w:kern w:val="28"/>
          <w:sz w:val="22"/>
        </w:rPr>
        <w:t xml:space="preserve">303(f), and Sections </w:t>
      </w:r>
      <w:r w:rsidR="00D52075" w:rsidRPr="006A6BF0">
        <w:rPr>
          <w:rFonts w:eastAsia="Times New Roman"/>
          <w:snapToGrid w:val="0"/>
          <w:kern w:val="28"/>
          <w:sz w:val="22"/>
        </w:rPr>
        <w:t xml:space="preserve"> </w:t>
      </w:r>
      <w:r w:rsidRPr="006A6BF0">
        <w:rPr>
          <w:rFonts w:eastAsia="Times New Roman"/>
          <w:snapToGrid w:val="0"/>
          <w:kern w:val="28"/>
          <w:sz w:val="22"/>
        </w:rPr>
        <w:t>0.241(e)</w:t>
      </w:r>
      <w:r w:rsidR="00D52075" w:rsidRPr="006A6BF0">
        <w:rPr>
          <w:rFonts w:eastAsia="Times New Roman"/>
          <w:snapToGrid w:val="0"/>
          <w:kern w:val="28"/>
          <w:sz w:val="22"/>
        </w:rPr>
        <w:t xml:space="preserve"> </w:t>
      </w:r>
      <w:r w:rsidRPr="006A6BF0">
        <w:rPr>
          <w:rFonts w:eastAsia="Times New Roman"/>
          <w:snapToGrid w:val="0"/>
          <w:kern w:val="28"/>
          <w:sz w:val="22"/>
        </w:rPr>
        <w:t xml:space="preserve"> and 1.401(e) of the Commission’s Rules, 47 C.F.R. §§ </w:t>
      </w:r>
      <w:r w:rsidR="00D52075" w:rsidRPr="006A6BF0">
        <w:rPr>
          <w:rFonts w:eastAsia="Times New Roman"/>
          <w:snapToGrid w:val="0"/>
          <w:kern w:val="28"/>
          <w:sz w:val="22"/>
        </w:rPr>
        <w:t xml:space="preserve"> </w:t>
      </w:r>
      <w:r w:rsidRPr="006A6BF0">
        <w:rPr>
          <w:rFonts w:eastAsia="Times New Roman"/>
          <w:snapToGrid w:val="0"/>
          <w:kern w:val="28"/>
          <w:sz w:val="22"/>
        </w:rPr>
        <w:t>0.241(e)</w:t>
      </w:r>
      <w:r w:rsidR="00D52075" w:rsidRPr="006A6BF0">
        <w:rPr>
          <w:rFonts w:eastAsia="Times New Roman"/>
          <w:snapToGrid w:val="0"/>
          <w:kern w:val="28"/>
          <w:sz w:val="22"/>
        </w:rPr>
        <w:t xml:space="preserve"> </w:t>
      </w:r>
      <w:r w:rsidRPr="006A6BF0">
        <w:rPr>
          <w:rFonts w:eastAsia="Times New Roman"/>
          <w:snapToGrid w:val="0"/>
          <w:kern w:val="28"/>
          <w:sz w:val="22"/>
        </w:rPr>
        <w:t xml:space="preserve">and 1.401(e), that the petition for rulemaking filed by </w:t>
      </w:r>
      <w:r w:rsidR="00D34541" w:rsidRPr="006A6BF0">
        <w:rPr>
          <w:rFonts w:eastAsia="Times New Roman"/>
          <w:snapToGrid w:val="0"/>
          <w:kern w:val="28"/>
          <w:sz w:val="22"/>
        </w:rPr>
        <w:t>Glen E. Zook on Ma</w:t>
      </w:r>
      <w:r w:rsidRPr="006A6BF0">
        <w:rPr>
          <w:rFonts w:eastAsia="Times New Roman"/>
          <w:snapToGrid w:val="0"/>
          <w:kern w:val="28"/>
          <w:sz w:val="22"/>
        </w:rPr>
        <w:t xml:space="preserve">y </w:t>
      </w:r>
      <w:r w:rsidR="00D34541" w:rsidRPr="006A6BF0">
        <w:rPr>
          <w:rFonts w:eastAsia="Times New Roman"/>
          <w:snapToGrid w:val="0"/>
          <w:kern w:val="28"/>
          <w:sz w:val="22"/>
        </w:rPr>
        <w:t>12</w:t>
      </w:r>
      <w:r w:rsidRPr="006A6BF0">
        <w:rPr>
          <w:rFonts w:eastAsia="Times New Roman"/>
          <w:snapToGrid w:val="0"/>
          <w:kern w:val="28"/>
          <w:sz w:val="22"/>
        </w:rPr>
        <w:t>, 20</w:t>
      </w:r>
      <w:r w:rsidR="00D34541" w:rsidRPr="006A6BF0">
        <w:rPr>
          <w:rFonts w:eastAsia="Times New Roman"/>
          <w:snapToGrid w:val="0"/>
          <w:kern w:val="28"/>
          <w:sz w:val="22"/>
        </w:rPr>
        <w:t>14</w:t>
      </w:r>
      <w:r w:rsidRPr="006A6BF0">
        <w:rPr>
          <w:rFonts w:eastAsia="Times New Roman"/>
          <w:snapToGrid w:val="0"/>
          <w:kern w:val="28"/>
          <w:sz w:val="22"/>
        </w:rPr>
        <w:t xml:space="preserve"> IS </w:t>
      </w:r>
      <w:r w:rsidR="005B2A52" w:rsidRPr="006A6BF0">
        <w:rPr>
          <w:rFonts w:eastAsia="Times New Roman"/>
          <w:snapToGrid w:val="0"/>
          <w:kern w:val="28"/>
          <w:sz w:val="22"/>
        </w:rPr>
        <w:t>DENIED</w:t>
      </w:r>
      <w:r w:rsidR="00D52075" w:rsidRPr="006A6BF0">
        <w:rPr>
          <w:rFonts w:eastAsia="Times New Roman"/>
          <w:snapToGrid w:val="0"/>
          <w:kern w:val="28"/>
          <w:sz w:val="22"/>
        </w:rPr>
        <w:t>.</w:t>
      </w:r>
    </w:p>
    <w:p w:rsidR="0022667C" w:rsidRDefault="0022667C" w:rsidP="00650FD8">
      <w:pPr>
        <w:widowControl w:val="0"/>
        <w:spacing w:after="120" w:line="240" w:lineRule="auto"/>
        <w:ind w:left="4320"/>
        <w:rPr>
          <w:rFonts w:eastAsia="Times New Roman"/>
          <w:snapToGrid w:val="0"/>
          <w:kern w:val="28"/>
          <w:sz w:val="22"/>
        </w:rPr>
      </w:pPr>
    </w:p>
    <w:p w:rsidR="00650FD8" w:rsidRPr="00650FD8" w:rsidRDefault="00650FD8" w:rsidP="00650FD8">
      <w:pPr>
        <w:widowControl w:val="0"/>
        <w:spacing w:after="120" w:line="240" w:lineRule="auto"/>
        <w:ind w:left="4320"/>
        <w:rPr>
          <w:rFonts w:eastAsia="Times New Roman"/>
          <w:snapToGrid w:val="0"/>
          <w:kern w:val="28"/>
          <w:sz w:val="22"/>
        </w:rPr>
      </w:pPr>
      <w:r w:rsidRPr="00650FD8">
        <w:rPr>
          <w:rFonts w:eastAsia="Times New Roman"/>
          <w:snapToGrid w:val="0"/>
          <w:kern w:val="28"/>
          <w:sz w:val="22"/>
        </w:rPr>
        <w:t>FEDERAL COMMUNICATIONS COMMISSION</w:t>
      </w:r>
    </w:p>
    <w:p w:rsidR="00650FD8" w:rsidRPr="00650FD8" w:rsidRDefault="00650FD8" w:rsidP="0021466F">
      <w:pPr>
        <w:widowControl w:val="0"/>
        <w:spacing w:after="120" w:line="240" w:lineRule="auto"/>
        <w:rPr>
          <w:rFonts w:eastAsia="Times New Roman"/>
          <w:snapToGrid w:val="0"/>
          <w:kern w:val="28"/>
          <w:sz w:val="22"/>
        </w:rPr>
      </w:pPr>
    </w:p>
    <w:p w:rsidR="0021466F" w:rsidRDefault="0021466F" w:rsidP="00650FD8">
      <w:pPr>
        <w:widowControl w:val="0"/>
        <w:spacing w:after="0" w:line="240" w:lineRule="auto"/>
        <w:ind w:left="3600" w:firstLine="720"/>
        <w:rPr>
          <w:rFonts w:eastAsia="Times New Roman"/>
          <w:snapToGrid w:val="0"/>
          <w:kern w:val="28"/>
          <w:sz w:val="22"/>
        </w:rPr>
      </w:pPr>
    </w:p>
    <w:p w:rsidR="0022667C" w:rsidRDefault="0022667C" w:rsidP="00650FD8">
      <w:pPr>
        <w:widowControl w:val="0"/>
        <w:spacing w:after="0" w:line="240" w:lineRule="auto"/>
        <w:ind w:left="3600" w:firstLine="720"/>
        <w:rPr>
          <w:rFonts w:eastAsia="Times New Roman"/>
          <w:snapToGrid w:val="0"/>
          <w:kern w:val="28"/>
          <w:sz w:val="22"/>
        </w:rPr>
      </w:pPr>
    </w:p>
    <w:p w:rsidR="00650FD8" w:rsidRPr="00650FD8" w:rsidRDefault="00650FD8" w:rsidP="00650FD8">
      <w:pPr>
        <w:widowControl w:val="0"/>
        <w:spacing w:after="0" w:line="240" w:lineRule="auto"/>
        <w:ind w:left="3600" w:firstLine="720"/>
        <w:rPr>
          <w:rFonts w:eastAsia="Times New Roman"/>
          <w:snapToGrid w:val="0"/>
          <w:kern w:val="28"/>
          <w:sz w:val="22"/>
        </w:rPr>
      </w:pPr>
      <w:r w:rsidRPr="00650FD8">
        <w:rPr>
          <w:rFonts w:eastAsia="Times New Roman"/>
          <w:snapToGrid w:val="0"/>
          <w:kern w:val="28"/>
          <w:sz w:val="22"/>
        </w:rPr>
        <w:t>Julius Knapp</w:t>
      </w:r>
      <w:r w:rsidR="0021466F">
        <w:rPr>
          <w:rFonts w:eastAsia="Times New Roman"/>
          <w:snapToGrid w:val="0"/>
          <w:kern w:val="28"/>
          <w:sz w:val="22"/>
        </w:rPr>
        <w:t xml:space="preserve">, </w:t>
      </w:r>
      <w:r w:rsidRPr="00650FD8">
        <w:rPr>
          <w:rFonts w:eastAsia="Times New Roman"/>
          <w:snapToGrid w:val="0"/>
          <w:kern w:val="28"/>
          <w:sz w:val="22"/>
        </w:rPr>
        <w:t>Chief</w:t>
      </w:r>
    </w:p>
    <w:p w:rsidR="00855F95" w:rsidRDefault="00650FD8" w:rsidP="00650FD8">
      <w:pPr>
        <w:widowControl w:val="0"/>
        <w:spacing w:after="0" w:line="240" w:lineRule="auto"/>
        <w:ind w:left="3600" w:firstLine="720"/>
        <w:rPr>
          <w:rFonts w:eastAsia="Times New Roman"/>
          <w:snapToGrid w:val="0"/>
          <w:kern w:val="28"/>
          <w:sz w:val="22"/>
        </w:rPr>
      </w:pPr>
      <w:r w:rsidRPr="00650FD8">
        <w:rPr>
          <w:rFonts w:eastAsia="Times New Roman"/>
          <w:snapToGrid w:val="0"/>
          <w:kern w:val="28"/>
          <w:sz w:val="22"/>
        </w:rPr>
        <w:t>Office of Engineering and Technology</w:t>
      </w:r>
    </w:p>
    <w:p w:rsidR="001C4555" w:rsidRPr="0021466F" w:rsidRDefault="00650FD8" w:rsidP="00A74F52">
      <w:pPr>
        <w:widowControl w:val="0"/>
        <w:spacing w:after="0" w:line="240" w:lineRule="auto"/>
        <w:rPr>
          <w:rFonts w:eastAsia="Times New Roman"/>
          <w:snapToGrid w:val="0"/>
          <w:kern w:val="28"/>
          <w:sz w:val="22"/>
        </w:rPr>
      </w:pPr>
      <w:r w:rsidRPr="00650FD8">
        <w:rPr>
          <w:rFonts w:eastAsia="Times New Roman"/>
          <w:snapToGrid w:val="0"/>
          <w:kern w:val="28"/>
          <w:sz w:val="22"/>
        </w:rPr>
        <w:t xml:space="preserve"> </w:t>
      </w:r>
    </w:p>
    <w:sectPr w:rsidR="001C4555" w:rsidRPr="0021466F" w:rsidSect="0054282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530" w:right="1440" w:bottom="990" w:left="1440" w:header="72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DD" w:rsidRDefault="00F445DD" w:rsidP="00650FD8">
      <w:pPr>
        <w:spacing w:after="0" w:line="240" w:lineRule="auto"/>
      </w:pPr>
      <w:r>
        <w:separator/>
      </w:r>
    </w:p>
  </w:endnote>
  <w:endnote w:type="continuationSeparator" w:id="0">
    <w:p w:rsidR="00F445DD" w:rsidRDefault="00F445DD" w:rsidP="00650FD8">
      <w:pPr>
        <w:spacing w:after="0" w:line="240" w:lineRule="auto"/>
      </w:pPr>
      <w:r>
        <w:continuationSeparator/>
      </w:r>
    </w:p>
  </w:endnote>
  <w:endnote w:type="continuationNotice" w:id="1">
    <w:p w:rsidR="00F445DD" w:rsidRDefault="00F44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FA" w:rsidRDefault="00511BFA" w:rsidP="001C4555">
    <w:pPr>
      <w:pStyle w:val="Footer"/>
      <w:framePr w:wrap="around" w:vAnchor="text" w:hAnchor="margin" w:xAlign="center" w:y="1"/>
    </w:pPr>
    <w:r>
      <w:fldChar w:fldCharType="begin"/>
    </w:r>
    <w:r>
      <w:instrText xml:space="preserve">PAGE  </w:instrText>
    </w:r>
    <w:r>
      <w:fldChar w:fldCharType="end"/>
    </w:r>
  </w:p>
  <w:p w:rsidR="00511BFA" w:rsidRDefault="00511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FA" w:rsidRPr="00EB0783" w:rsidRDefault="00511BFA" w:rsidP="001C4555">
    <w:pPr>
      <w:pStyle w:val="Footer"/>
      <w:framePr w:wrap="around" w:vAnchor="text" w:hAnchor="margin" w:xAlign="center" w:y="1"/>
      <w:rPr>
        <w:sz w:val="22"/>
        <w:szCs w:val="22"/>
      </w:rPr>
    </w:pPr>
    <w:r w:rsidRPr="00EB0783">
      <w:rPr>
        <w:sz w:val="22"/>
        <w:szCs w:val="22"/>
      </w:rPr>
      <w:fldChar w:fldCharType="begin"/>
    </w:r>
    <w:r w:rsidRPr="00EB0783">
      <w:rPr>
        <w:sz w:val="22"/>
        <w:szCs w:val="22"/>
      </w:rPr>
      <w:instrText xml:space="preserve">PAGE  </w:instrText>
    </w:r>
    <w:r w:rsidRPr="00EB0783">
      <w:rPr>
        <w:sz w:val="22"/>
        <w:szCs w:val="22"/>
      </w:rPr>
      <w:fldChar w:fldCharType="separate"/>
    </w:r>
    <w:r w:rsidR="00CC2394">
      <w:rPr>
        <w:noProof/>
        <w:sz w:val="22"/>
        <w:szCs w:val="22"/>
      </w:rPr>
      <w:t>3</w:t>
    </w:r>
    <w:r w:rsidRPr="00EB0783">
      <w:rPr>
        <w:sz w:val="22"/>
        <w:szCs w:val="22"/>
      </w:rPr>
      <w:fldChar w:fldCharType="end"/>
    </w:r>
  </w:p>
  <w:p w:rsidR="00511BFA" w:rsidRDefault="00511BFA">
    <w:pPr>
      <w:spacing w:before="140" w:line="100" w:lineRule="exact"/>
      <w:rPr>
        <w:sz w:val="10"/>
      </w:rPr>
    </w:pPr>
  </w:p>
  <w:p w:rsidR="00511BFA" w:rsidRDefault="00511BFA">
    <w:pPr>
      <w:suppressAutoHyphens/>
      <w:spacing w:line="227" w:lineRule="auto"/>
    </w:pPr>
  </w:p>
  <w:p w:rsidR="00511BFA" w:rsidRDefault="00511B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83" w:rsidRDefault="00EF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DD" w:rsidRDefault="00F445DD" w:rsidP="00650FD8">
      <w:pPr>
        <w:spacing w:after="0" w:line="240" w:lineRule="auto"/>
      </w:pPr>
      <w:r>
        <w:separator/>
      </w:r>
    </w:p>
  </w:footnote>
  <w:footnote w:type="continuationSeparator" w:id="0">
    <w:p w:rsidR="00F445DD" w:rsidRDefault="00F445DD" w:rsidP="00650FD8">
      <w:pPr>
        <w:spacing w:after="0" w:line="240" w:lineRule="auto"/>
      </w:pPr>
      <w:r>
        <w:t xml:space="preserve">(Continued from previous page) </w:t>
      </w:r>
      <w:r>
        <w:separator/>
      </w:r>
    </w:p>
  </w:footnote>
  <w:footnote w:type="continuationNotice" w:id="1">
    <w:p w:rsidR="00F445DD" w:rsidRDefault="00F445DD">
      <w:pPr>
        <w:spacing w:after="0" w:line="240" w:lineRule="auto"/>
      </w:pPr>
      <w:r>
        <w:t>(continued…)</w:t>
      </w:r>
    </w:p>
  </w:footnote>
  <w:footnote w:id="2">
    <w:p w:rsidR="00511BFA" w:rsidRPr="00815859" w:rsidRDefault="00511BFA" w:rsidP="007509A1">
      <w:pPr>
        <w:pStyle w:val="FootnoteText"/>
        <w:spacing w:after="120"/>
      </w:pPr>
      <w:r>
        <w:rPr>
          <w:rStyle w:val="FootnoteReference"/>
        </w:rPr>
        <w:footnoteRef/>
      </w:r>
      <w:r>
        <w:t xml:space="preserve"> Glen E. Zook Petition, filed May 12, 2014 (Zook P</w:t>
      </w:r>
      <w:r w:rsidRPr="00815859">
        <w:t>etition</w:t>
      </w:r>
      <w:r>
        <w:t>)</w:t>
      </w:r>
      <w:r>
        <w:rPr>
          <w:i/>
        </w:rPr>
        <w:t>.</w:t>
      </w:r>
      <w:r>
        <w:t xml:space="preserve">  </w:t>
      </w:r>
      <w:r w:rsidR="002435D4">
        <w:t>The Zook Petition is dated</w:t>
      </w:r>
      <w:r>
        <w:t xml:space="preserve"> January 27, 2010, </w:t>
      </w:r>
      <w:r w:rsidR="002435D4">
        <w:t>but was recorded as received by the Commission on May 12,</w:t>
      </w:r>
      <w:r>
        <w:t xml:space="preserve"> 2014.  </w:t>
      </w:r>
    </w:p>
  </w:footnote>
  <w:footnote w:id="3">
    <w:p w:rsidR="001A02F7" w:rsidRDefault="001A02F7">
      <w:pPr>
        <w:pStyle w:val="FootnoteText"/>
      </w:pPr>
      <w:r>
        <w:rPr>
          <w:rStyle w:val="FootnoteReference"/>
        </w:rPr>
        <w:footnoteRef/>
      </w:r>
      <w:r>
        <w:t xml:space="preserve"> 47 C.F.R. </w:t>
      </w:r>
      <w:r w:rsidRPr="001A02F7">
        <w:t>§</w:t>
      </w:r>
      <w:r>
        <w:t>1.401(e).</w:t>
      </w:r>
    </w:p>
    <w:p w:rsidR="001A02F7" w:rsidRDefault="001A02F7">
      <w:pPr>
        <w:pStyle w:val="FootnoteText"/>
      </w:pPr>
    </w:p>
  </w:footnote>
  <w:footnote w:id="4">
    <w:p w:rsidR="00D43E13" w:rsidRDefault="00D43E13" w:rsidP="00D43E13">
      <w:pPr>
        <w:pStyle w:val="FootnoteText"/>
      </w:pPr>
      <w:r>
        <w:rPr>
          <w:rStyle w:val="FootnoteReference"/>
        </w:rPr>
        <w:footnoteRef/>
      </w:r>
      <w:r>
        <w:t xml:space="preserve"> Zook Petition at 1.</w:t>
      </w:r>
    </w:p>
    <w:p w:rsidR="00D43E13" w:rsidRDefault="00D43E13" w:rsidP="00D43E13">
      <w:pPr>
        <w:pStyle w:val="FootnoteText"/>
      </w:pPr>
    </w:p>
  </w:footnote>
  <w:footnote w:id="5">
    <w:p w:rsidR="00511BFA" w:rsidRPr="00EF2C83" w:rsidRDefault="00511BFA" w:rsidP="00583949">
      <w:pPr>
        <w:pStyle w:val="FootnoteText"/>
      </w:pPr>
      <w:r>
        <w:rPr>
          <w:rStyle w:val="FootnoteReference"/>
        </w:rPr>
        <w:footnoteRef/>
      </w:r>
      <w:r>
        <w:t xml:space="preserve"> </w:t>
      </w:r>
      <w:r w:rsidRPr="00EF2C83">
        <w:t>LPTV</w:t>
      </w:r>
      <w:r>
        <w:t xml:space="preserve"> and TV translator</w:t>
      </w:r>
      <w:r w:rsidRPr="00EF2C83">
        <w:t xml:space="preserve"> stations</w:t>
      </w:r>
      <w:r>
        <w:t xml:space="preserve"> operate on a </w:t>
      </w:r>
      <w:r w:rsidRPr="00EF2C83">
        <w:t>secondary</w:t>
      </w:r>
      <w:r>
        <w:t xml:space="preserve"> basis </w:t>
      </w:r>
      <w:r w:rsidRPr="00EF2C83">
        <w:t>to full</w:t>
      </w:r>
      <w:r>
        <w:t xml:space="preserve"> power</w:t>
      </w:r>
      <w:r w:rsidRPr="00EF2C83">
        <w:t xml:space="preserve"> </w:t>
      </w:r>
      <w:r>
        <w:t xml:space="preserve">TV </w:t>
      </w:r>
      <w:r w:rsidRPr="00EF2C83">
        <w:t>stations</w:t>
      </w:r>
      <w:r>
        <w:t xml:space="preserve"> and to </w:t>
      </w:r>
      <w:r w:rsidR="00812DE6">
        <w:t xml:space="preserve">any </w:t>
      </w:r>
      <w:r>
        <w:t>other primary spectrum users</w:t>
      </w:r>
      <w:r w:rsidR="00812DE6">
        <w:t>, such as low power Class A stations</w:t>
      </w:r>
      <w:r w:rsidRPr="00EF2C83">
        <w:t xml:space="preserve">. </w:t>
      </w:r>
      <w:r w:rsidR="00812DE6">
        <w:t xml:space="preserve"> </w:t>
      </w:r>
      <w:r w:rsidRPr="00EF2C83">
        <w:t xml:space="preserve">This means </w:t>
      </w:r>
      <w:r>
        <w:t xml:space="preserve">that </w:t>
      </w:r>
      <w:r w:rsidRPr="00EF2C83">
        <w:t xml:space="preserve">LPTV </w:t>
      </w:r>
      <w:r>
        <w:t xml:space="preserve">and TV translator </w:t>
      </w:r>
      <w:r w:rsidRPr="00EF2C83">
        <w:t>stations must not cause interference to the reception of existing or future full</w:t>
      </w:r>
      <w:r>
        <w:t xml:space="preserve"> power</w:t>
      </w:r>
      <w:r w:rsidRPr="00EF2C83">
        <w:t xml:space="preserve"> </w:t>
      </w:r>
      <w:r>
        <w:t xml:space="preserve">TV </w:t>
      </w:r>
      <w:r w:rsidRPr="00EF2C83">
        <w:t>stations</w:t>
      </w:r>
      <w:r>
        <w:t xml:space="preserve"> or to other primary users</w:t>
      </w:r>
      <w:r w:rsidR="006E5BE1">
        <w:t>,</w:t>
      </w:r>
      <w:r>
        <w:t xml:space="preserve"> and</w:t>
      </w:r>
      <w:r w:rsidRPr="00EF2C83">
        <w:t xml:space="preserve"> must accept interference from full</w:t>
      </w:r>
      <w:r>
        <w:t xml:space="preserve"> power TV stations and other primary users</w:t>
      </w:r>
      <w:r w:rsidRPr="00EF2C83">
        <w:t>.</w:t>
      </w:r>
      <w:r>
        <w:t xml:space="preserve">  </w:t>
      </w:r>
      <w:r>
        <w:rPr>
          <w:i/>
        </w:rPr>
        <w:t>See</w:t>
      </w:r>
      <w:r>
        <w:t xml:space="preserve"> 47 </w:t>
      </w:r>
      <w:r w:rsidRPr="007147DD">
        <w:t>C.</w:t>
      </w:r>
      <w:r>
        <w:t>F.R.</w:t>
      </w:r>
      <w:r w:rsidRPr="007147DD">
        <w:t xml:space="preserve"> § </w:t>
      </w:r>
      <w:r>
        <w:t>74.703</w:t>
      </w:r>
      <w:r w:rsidRPr="007147DD">
        <w:t>.</w:t>
      </w:r>
    </w:p>
  </w:footnote>
  <w:footnote w:id="6">
    <w:p w:rsidR="00511BFA" w:rsidRDefault="00511BFA" w:rsidP="00583949">
      <w:pPr>
        <w:pStyle w:val="FootnoteText"/>
        <w:spacing w:after="120"/>
      </w:pPr>
      <w:r>
        <w:rPr>
          <w:rStyle w:val="FootnoteReference"/>
        </w:rPr>
        <w:footnoteRef/>
      </w:r>
      <w:r>
        <w:t xml:space="preserve"> Class A TV stations are</w:t>
      </w:r>
      <w:r w:rsidR="001424AE">
        <w:t xml:space="preserve"> low power TV</w:t>
      </w:r>
      <w:r>
        <w:t xml:space="preserve"> stations that operate on a primary basis because they have met certain requirements, such as broadcasting a minimum of 18 hours per day and broadcasting an average of at least three hours per week of locally produced programming each calendar quarter.  </w:t>
      </w:r>
      <w:r>
        <w:rPr>
          <w:i/>
        </w:rPr>
        <w:t>See</w:t>
      </w:r>
      <w:r>
        <w:t xml:space="preserve"> 47 </w:t>
      </w:r>
      <w:r w:rsidRPr="007147DD">
        <w:t>C.</w:t>
      </w:r>
      <w:r>
        <w:t>F.R.</w:t>
      </w:r>
      <w:r w:rsidRPr="007147DD">
        <w:t xml:space="preserve"> § </w:t>
      </w:r>
      <w:r>
        <w:t>73.6001</w:t>
      </w:r>
      <w:r w:rsidRPr="007147DD">
        <w:t>.</w:t>
      </w:r>
    </w:p>
  </w:footnote>
  <w:footnote w:id="7">
    <w:p w:rsidR="00A107E9" w:rsidRPr="00F10993" w:rsidRDefault="00A107E9" w:rsidP="00A107E9">
      <w:pPr>
        <w:pStyle w:val="FootnoteText"/>
        <w:spacing w:after="120"/>
      </w:pPr>
      <w:r>
        <w:rPr>
          <w:rStyle w:val="FootnoteReference"/>
        </w:rPr>
        <w:footnoteRef/>
      </w:r>
      <w:r>
        <w:t xml:space="preserve"> </w:t>
      </w:r>
      <w:r>
        <w:rPr>
          <w:i/>
        </w:rPr>
        <w:t xml:space="preserve">See </w:t>
      </w:r>
      <w:r w:rsidRPr="00431D4B">
        <w:t>Expanding the Economic and Innovation Opportunities of Spectrum Through Incentive Auctions</w:t>
      </w:r>
      <w:r>
        <w:t xml:space="preserve">, GN Docket No. 12-268, </w:t>
      </w:r>
      <w:r w:rsidR="00325162">
        <w:rPr>
          <w:i/>
        </w:rPr>
        <w:t>Notice of Proposed Rulemaking</w:t>
      </w:r>
      <w:r w:rsidR="00306EB7">
        <w:rPr>
          <w:i/>
        </w:rPr>
        <w:t xml:space="preserve"> </w:t>
      </w:r>
      <w:r w:rsidR="00306EB7">
        <w:t>(</w:t>
      </w:r>
      <w:r w:rsidR="00306EB7">
        <w:rPr>
          <w:i/>
        </w:rPr>
        <w:t>Incentive Auction NPRM</w:t>
      </w:r>
      <w:r w:rsidR="00306EB7">
        <w:t>)</w:t>
      </w:r>
      <w:r w:rsidR="00325162" w:rsidRPr="0022139E">
        <w:rPr>
          <w:i/>
        </w:rPr>
        <w:t xml:space="preserve">, </w:t>
      </w:r>
      <w:r w:rsidR="00325162">
        <w:t xml:space="preserve">27 FCC Rcd 12357 </w:t>
      </w:r>
      <w:r w:rsidR="00325162" w:rsidRPr="0022139E">
        <w:t>(2012)</w:t>
      </w:r>
      <w:r w:rsidR="00325162">
        <w:t xml:space="preserve">; </w:t>
      </w:r>
      <w:r w:rsidRPr="002D4CCD">
        <w:rPr>
          <w:i/>
        </w:rPr>
        <w:t>Report and Orde</w:t>
      </w:r>
      <w:r>
        <w:rPr>
          <w:i/>
        </w:rPr>
        <w:t>r</w:t>
      </w:r>
      <w:r>
        <w:t>, 29 FCC Rcd 6567 (2014)</w:t>
      </w:r>
      <w:r w:rsidR="00F10993">
        <w:t xml:space="preserve">; </w:t>
      </w:r>
      <w:r w:rsidR="00F10993">
        <w:rPr>
          <w:i/>
        </w:rPr>
        <w:t>Erratum</w:t>
      </w:r>
      <w:r w:rsidR="00F10993">
        <w:t>, released June 26, 2014.</w:t>
      </w:r>
      <w:r w:rsidR="00F10993">
        <w:tab/>
      </w:r>
      <w:r w:rsidR="00F10993">
        <w:tab/>
      </w:r>
    </w:p>
  </w:footnote>
  <w:footnote w:id="8">
    <w:p w:rsidR="00511BFA" w:rsidRPr="00756AAE" w:rsidRDefault="00511BFA" w:rsidP="00AD7A36">
      <w:pPr>
        <w:pStyle w:val="FootnoteText"/>
        <w:spacing w:after="120"/>
      </w:pPr>
      <w:r>
        <w:rPr>
          <w:rStyle w:val="FootnoteReference"/>
        </w:rPr>
        <w:footnoteRef/>
      </w:r>
      <w:r>
        <w:t xml:space="preserve"> </w:t>
      </w:r>
      <w:r>
        <w:rPr>
          <w:i/>
        </w:rPr>
        <w:t>See</w:t>
      </w:r>
      <w:r>
        <w:t xml:space="preserve"> Broadcasting Incentive Auction 101 webinar, June 25, 26, &amp; 27, 2014, at 6.  This webinar is available at </w:t>
      </w:r>
      <w:hyperlink r:id="rId1" w:history="1">
        <w:r w:rsidRPr="00D70E53">
          <w:rPr>
            <w:rStyle w:val="Hyperlink"/>
          </w:rPr>
          <w:t>http://wireless.fcc.gov/incentiveauctions/learn-program/Broadcast_Incentive_Auction_101_slides.pdf</w:t>
        </w:r>
      </w:hyperlink>
      <w:r>
        <w:t>.</w:t>
      </w:r>
    </w:p>
  </w:footnote>
  <w:footnote w:id="9">
    <w:p w:rsidR="00C86DE0" w:rsidRDefault="00C86DE0" w:rsidP="00C86DE0">
      <w:pPr>
        <w:pStyle w:val="FootnoteText"/>
        <w:rPr>
          <w:color w:val="000000"/>
        </w:rPr>
      </w:pPr>
      <w:r>
        <w:rPr>
          <w:rStyle w:val="FootnoteReference"/>
        </w:rPr>
        <w:footnoteRef/>
      </w:r>
      <w:r>
        <w:t xml:space="preserve"> </w:t>
      </w:r>
      <w:r>
        <w:rPr>
          <w:i/>
        </w:rPr>
        <w:t>See Incentive Auction NPRM</w:t>
      </w:r>
      <w:r w:rsidRPr="00267484">
        <w:t xml:space="preserve"> </w:t>
      </w:r>
      <w:r>
        <w:t>at 1235</w:t>
      </w:r>
      <w:r w:rsidRPr="00267484">
        <w:t>9</w:t>
      </w:r>
      <w:r w:rsidRPr="0022139E">
        <w:t>,</w:t>
      </w:r>
      <w:r>
        <w:t xml:space="preserve"> paras. 3-5.  </w:t>
      </w:r>
      <w:r w:rsidRPr="0022139E">
        <w:rPr>
          <w:i/>
        </w:rPr>
        <w:t xml:space="preserve">See also </w:t>
      </w:r>
      <w:r w:rsidRPr="0022139E">
        <w:rPr>
          <w:color w:val="000000"/>
        </w:rPr>
        <w:t>Middle Class Tax Relief and Job Creation Act of 2012, Pub. L. No. 112-96, § 6403 (2012)</w:t>
      </w:r>
      <w:r>
        <w:rPr>
          <w:color w:val="000000"/>
        </w:rPr>
        <w:t>.</w:t>
      </w:r>
    </w:p>
    <w:p w:rsidR="00C86DE0" w:rsidRDefault="00C86DE0" w:rsidP="00C86DE0">
      <w:pPr>
        <w:pStyle w:val="FootnoteText"/>
      </w:pPr>
    </w:p>
  </w:footnote>
  <w:footnote w:id="10">
    <w:p w:rsidR="00F53883" w:rsidRPr="00306EB7" w:rsidRDefault="00F53883">
      <w:pPr>
        <w:pStyle w:val="FootnoteText"/>
        <w:rPr>
          <w:rFonts w:eastAsia="Times New Roman"/>
          <w:snapToGrid w:val="0"/>
          <w:kern w:val="28"/>
        </w:rPr>
      </w:pPr>
      <w:r w:rsidRPr="00306EB7">
        <w:rPr>
          <w:rStyle w:val="FootnoteReference"/>
          <w:sz w:val="20"/>
        </w:rPr>
        <w:footnoteRef/>
      </w:r>
      <w:r w:rsidRPr="00306EB7">
        <w:t xml:space="preserve"> For example, </w:t>
      </w:r>
      <w:r w:rsidRPr="00306EB7">
        <w:rPr>
          <w:rFonts w:eastAsia="Times New Roman"/>
          <w:snapToGrid w:val="0"/>
          <w:kern w:val="28"/>
        </w:rPr>
        <w:t>Zook observes that this band has been authorized for amateur radio use in a number of European and African nations, and argues that making it available domestically would be of great benefit to amateurs.  Zook Petition at 1.</w:t>
      </w:r>
    </w:p>
    <w:p w:rsidR="00F53883" w:rsidRDefault="00F53883">
      <w:pPr>
        <w:pStyle w:val="FootnoteText"/>
      </w:pPr>
    </w:p>
  </w:footnote>
  <w:footnote w:id="11">
    <w:p w:rsidR="0035269E" w:rsidRPr="00815859" w:rsidRDefault="0035269E" w:rsidP="0035269E">
      <w:pPr>
        <w:pStyle w:val="FootnoteText"/>
        <w:spacing w:after="120"/>
      </w:pPr>
      <w:r>
        <w:rPr>
          <w:rStyle w:val="FootnoteReference"/>
        </w:rPr>
        <w:footnoteRef/>
      </w:r>
      <w:r>
        <w:t xml:space="preserve"> Zook Petition, at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83" w:rsidRDefault="00EF2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FA" w:rsidRPr="00ED265F" w:rsidRDefault="00511BFA">
    <w:pPr>
      <w:pStyle w:val="Header"/>
      <w:pBdr>
        <w:bottom w:val="single" w:sz="12" w:space="1" w:color="auto"/>
      </w:pBdr>
      <w:rPr>
        <w:b/>
      </w:rPr>
    </w:pPr>
    <w:r>
      <w:tab/>
    </w:r>
    <w:r w:rsidRPr="00EB0783">
      <w:rPr>
        <w:b/>
        <w:sz w:val="22"/>
        <w:szCs w:val="22"/>
      </w:rPr>
      <w:t>Federal Communications Commission</w:t>
    </w:r>
    <w:r w:rsidRPr="00ED265F">
      <w:rPr>
        <w:b/>
      </w:rPr>
      <w:tab/>
    </w:r>
    <w:r w:rsidRPr="00EB0783">
      <w:rPr>
        <w:b/>
        <w:sz w:val="22"/>
        <w:szCs w:val="22"/>
      </w:rPr>
      <w:t>DA 1</w:t>
    </w:r>
    <w:r>
      <w:rPr>
        <w:b/>
        <w:sz w:val="22"/>
        <w:szCs w:val="22"/>
      </w:rPr>
      <w:t>4</w:t>
    </w:r>
    <w:r w:rsidRPr="00EB0783">
      <w:rPr>
        <w:b/>
        <w:sz w:val="22"/>
        <w:szCs w:val="22"/>
      </w:rPr>
      <w:t>-</w:t>
    </w:r>
    <w:r w:rsidR="0022667C">
      <w:rPr>
        <w:b/>
        <w:sz w:val="22"/>
        <w:szCs w:val="22"/>
      </w:rPr>
      <w:t>1347</w:t>
    </w:r>
  </w:p>
  <w:p w:rsidR="00511BFA" w:rsidRDefault="00511BFA" w:rsidP="00E96469">
    <w:pPr>
      <w:tabs>
        <w:tab w:val="left" w:pos="-720"/>
      </w:tabs>
      <w:suppressAutoHyphens/>
      <w:spacing w:line="19" w:lineRule="exact"/>
      <w:rPr>
        <w:spacing w:val="-2"/>
      </w:rPr>
    </w:pPr>
  </w:p>
  <w:p w:rsidR="00511BFA" w:rsidRPr="00E96469" w:rsidRDefault="00511BFA" w:rsidP="00E96469">
    <w:pPr>
      <w:tabs>
        <w:tab w:val="left" w:pos="-720"/>
      </w:tabs>
      <w:suppressAutoHyphens/>
      <w:spacing w:line="19" w:lineRule="exact"/>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FA" w:rsidRPr="00ED265F" w:rsidRDefault="00511BFA">
    <w:pPr>
      <w:pStyle w:val="Header"/>
      <w:pBdr>
        <w:bottom w:val="single" w:sz="12" w:space="1" w:color="auto"/>
      </w:pBdr>
      <w:rPr>
        <w:b/>
      </w:rPr>
    </w:pPr>
    <w:r>
      <w:tab/>
    </w:r>
    <w:r w:rsidRPr="00EB0783">
      <w:rPr>
        <w:b/>
        <w:sz w:val="22"/>
        <w:szCs w:val="22"/>
      </w:rPr>
      <w:t>Federal Communications Commission</w:t>
    </w:r>
    <w:r w:rsidRPr="00ED265F">
      <w:rPr>
        <w:b/>
      </w:rPr>
      <w:tab/>
    </w:r>
    <w:r w:rsidRPr="00EB0783">
      <w:rPr>
        <w:b/>
        <w:spacing w:val="-2"/>
        <w:sz w:val="22"/>
        <w:szCs w:val="22"/>
      </w:rPr>
      <w:t>DA 1</w:t>
    </w:r>
    <w:r>
      <w:rPr>
        <w:b/>
        <w:spacing w:val="-2"/>
        <w:sz w:val="22"/>
        <w:szCs w:val="22"/>
      </w:rPr>
      <w:t>4</w:t>
    </w:r>
    <w:r w:rsidRPr="00EB0783">
      <w:rPr>
        <w:b/>
        <w:spacing w:val="-2"/>
        <w:sz w:val="22"/>
        <w:szCs w:val="22"/>
      </w:rPr>
      <w:t>-</w:t>
    </w:r>
    <w:r w:rsidR="0022667C">
      <w:rPr>
        <w:b/>
        <w:spacing w:val="-2"/>
        <w:sz w:val="22"/>
        <w:szCs w:val="22"/>
      </w:rPr>
      <w:t>1347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F25FA"/>
    <w:multiLevelType w:val="hybridMultilevel"/>
    <w:tmpl w:val="668A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4534D"/>
    <w:multiLevelType w:val="singleLevel"/>
    <w:tmpl w:val="A0A683C2"/>
    <w:lvl w:ilvl="0">
      <w:start w:val="1"/>
      <w:numFmt w:val="decimal"/>
      <w:lvlText w:val="%1."/>
      <w:lvlJc w:val="left"/>
      <w:pPr>
        <w:tabs>
          <w:tab w:val="num" w:pos="1170"/>
        </w:tabs>
        <w:ind w:left="90" w:firstLine="720"/>
      </w:pPr>
      <w:rPr>
        <w:rFonts w:ascii="Times New Roman" w:hAnsi="Times New Roman" w:cs="Times New Roman" w:hint="default"/>
        <w:b w:val="0"/>
        <w:i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D8"/>
    <w:rsid w:val="00014E54"/>
    <w:rsid w:val="00023298"/>
    <w:rsid w:val="00040C81"/>
    <w:rsid w:val="00046BFC"/>
    <w:rsid w:val="00053C43"/>
    <w:rsid w:val="00054EF9"/>
    <w:rsid w:val="00057245"/>
    <w:rsid w:val="00060498"/>
    <w:rsid w:val="000717CB"/>
    <w:rsid w:val="000A317F"/>
    <w:rsid w:val="000A6E1C"/>
    <w:rsid w:val="000C276B"/>
    <w:rsid w:val="000D18B4"/>
    <w:rsid w:val="000D5BA6"/>
    <w:rsid w:val="000E1556"/>
    <w:rsid w:val="000F0ED1"/>
    <w:rsid w:val="000F10F9"/>
    <w:rsid w:val="00104FFA"/>
    <w:rsid w:val="00106EED"/>
    <w:rsid w:val="00132A52"/>
    <w:rsid w:val="00141CEA"/>
    <w:rsid w:val="001424AE"/>
    <w:rsid w:val="00153B3C"/>
    <w:rsid w:val="00153CBB"/>
    <w:rsid w:val="0015441E"/>
    <w:rsid w:val="00154C63"/>
    <w:rsid w:val="00160C4C"/>
    <w:rsid w:val="00166E5D"/>
    <w:rsid w:val="001748FC"/>
    <w:rsid w:val="001909B5"/>
    <w:rsid w:val="001917A0"/>
    <w:rsid w:val="001929A8"/>
    <w:rsid w:val="00193E45"/>
    <w:rsid w:val="001963E3"/>
    <w:rsid w:val="00197023"/>
    <w:rsid w:val="001A02F7"/>
    <w:rsid w:val="001B02D7"/>
    <w:rsid w:val="001B2D76"/>
    <w:rsid w:val="001C0D3D"/>
    <w:rsid w:val="001C4555"/>
    <w:rsid w:val="001E0516"/>
    <w:rsid w:val="001E292B"/>
    <w:rsid w:val="001F1852"/>
    <w:rsid w:val="001F7009"/>
    <w:rsid w:val="00206DA3"/>
    <w:rsid w:val="0021466F"/>
    <w:rsid w:val="00216950"/>
    <w:rsid w:val="00224C55"/>
    <w:rsid w:val="0022667C"/>
    <w:rsid w:val="0023456C"/>
    <w:rsid w:val="002435D4"/>
    <w:rsid w:val="002504F9"/>
    <w:rsid w:val="00252F0C"/>
    <w:rsid w:val="0025413A"/>
    <w:rsid w:val="00254754"/>
    <w:rsid w:val="00256B7A"/>
    <w:rsid w:val="00276FE6"/>
    <w:rsid w:val="002817F9"/>
    <w:rsid w:val="00290A0A"/>
    <w:rsid w:val="002B032F"/>
    <w:rsid w:val="002B0E26"/>
    <w:rsid w:val="002B24A6"/>
    <w:rsid w:val="002D0365"/>
    <w:rsid w:val="002D4CCD"/>
    <w:rsid w:val="002E2636"/>
    <w:rsid w:val="002E4444"/>
    <w:rsid w:val="003009F2"/>
    <w:rsid w:val="00301F8C"/>
    <w:rsid w:val="0030527B"/>
    <w:rsid w:val="00306EB7"/>
    <w:rsid w:val="003075B7"/>
    <w:rsid w:val="00311B94"/>
    <w:rsid w:val="00321EBC"/>
    <w:rsid w:val="00325162"/>
    <w:rsid w:val="00333788"/>
    <w:rsid w:val="00337396"/>
    <w:rsid w:val="003400BA"/>
    <w:rsid w:val="00340824"/>
    <w:rsid w:val="00347198"/>
    <w:rsid w:val="003511C0"/>
    <w:rsid w:val="0035269E"/>
    <w:rsid w:val="00360077"/>
    <w:rsid w:val="00364620"/>
    <w:rsid w:val="003675D6"/>
    <w:rsid w:val="00390BE4"/>
    <w:rsid w:val="003A26BB"/>
    <w:rsid w:val="003B0D76"/>
    <w:rsid w:val="003C6D7C"/>
    <w:rsid w:val="003D2632"/>
    <w:rsid w:val="003E242C"/>
    <w:rsid w:val="003E3D91"/>
    <w:rsid w:val="003E773A"/>
    <w:rsid w:val="00403911"/>
    <w:rsid w:val="00411DCB"/>
    <w:rsid w:val="0041318B"/>
    <w:rsid w:val="004234C5"/>
    <w:rsid w:val="00431D4B"/>
    <w:rsid w:val="004358BA"/>
    <w:rsid w:val="00440417"/>
    <w:rsid w:val="00442167"/>
    <w:rsid w:val="00444304"/>
    <w:rsid w:val="004459FF"/>
    <w:rsid w:val="00452CEC"/>
    <w:rsid w:val="00454135"/>
    <w:rsid w:val="004616B2"/>
    <w:rsid w:val="004838AE"/>
    <w:rsid w:val="00483FC5"/>
    <w:rsid w:val="00486C58"/>
    <w:rsid w:val="004961C8"/>
    <w:rsid w:val="004A06AB"/>
    <w:rsid w:val="004C23BC"/>
    <w:rsid w:val="004D03C3"/>
    <w:rsid w:val="004E1EC4"/>
    <w:rsid w:val="00501A8C"/>
    <w:rsid w:val="00504F4E"/>
    <w:rsid w:val="00511BFA"/>
    <w:rsid w:val="005132D0"/>
    <w:rsid w:val="00522072"/>
    <w:rsid w:val="005303DB"/>
    <w:rsid w:val="005331E2"/>
    <w:rsid w:val="00542824"/>
    <w:rsid w:val="00546199"/>
    <w:rsid w:val="005510B7"/>
    <w:rsid w:val="00553819"/>
    <w:rsid w:val="00553B39"/>
    <w:rsid w:val="00557B86"/>
    <w:rsid w:val="00557FA5"/>
    <w:rsid w:val="005609D4"/>
    <w:rsid w:val="00562C5F"/>
    <w:rsid w:val="005673E7"/>
    <w:rsid w:val="0057026E"/>
    <w:rsid w:val="00576382"/>
    <w:rsid w:val="00583949"/>
    <w:rsid w:val="005841E6"/>
    <w:rsid w:val="0058723B"/>
    <w:rsid w:val="00597E7D"/>
    <w:rsid w:val="005A0E20"/>
    <w:rsid w:val="005B2A52"/>
    <w:rsid w:val="005E19D4"/>
    <w:rsid w:val="005F19C5"/>
    <w:rsid w:val="00601DB8"/>
    <w:rsid w:val="0061467D"/>
    <w:rsid w:val="00620B17"/>
    <w:rsid w:val="00627D47"/>
    <w:rsid w:val="0063794B"/>
    <w:rsid w:val="006403DA"/>
    <w:rsid w:val="00650FD8"/>
    <w:rsid w:val="0065396C"/>
    <w:rsid w:val="00661DD9"/>
    <w:rsid w:val="00674264"/>
    <w:rsid w:val="0067436C"/>
    <w:rsid w:val="006776AF"/>
    <w:rsid w:val="006913AA"/>
    <w:rsid w:val="00692E03"/>
    <w:rsid w:val="0069330C"/>
    <w:rsid w:val="00694A4F"/>
    <w:rsid w:val="006960A9"/>
    <w:rsid w:val="0069713C"/>
    <w:rsid w:val="006A6BF0"/>
    <w:rsid w:val="006C6A3B"/>
    <w:rsid w:val="006D0519"/>
    <w:rsid w:val="006D2306"/>
    <w:rsid w:val="006E0469"/>
    <w:rsid w:val="006E0BE8"/>
    <w:rsid w:val="006E4A0E"/>
    <w:rsid w:val="006E4B1A"/>
    <w:rsid w:val="006E5BE1"/>
    <w:rsid w:val="00716588"/>
    <w:rsid w:val="00722A9E"/>
    <w:rsid w:val="0072467B"/>
    <w:rsid w:val="00724F96"/>
    <w:rsid w:val="007310DD"/>
    <w:rsid w:val="00740FF3"/>
    <w:rsid w:val="007474C0"/>
    <w:rsid w:val="007509A1"/>
    <w:rsid w:val="00753B94"/>
    <w:rsid w:val="00756AAE"/>
    <w:rsid w:val="00763C71"/>
    <w:rsid w:val="00770B4C"/>
    <w:rsid w:val="007816B2"/>
    <w:rsid w:val="007873E8"/>
    <w:rsid w:val="007C7E0E"/>
    <w:rsid w:val="007E526B"/>
    <w:rsid w:val="007F3A6A"/>
    <w:rsid w:val="00804913"/>
    <w:rsid w:val="00805CA7"/>
    <w:rsid w:val="00812DE6"/>
    <w:rsid w:val="00815D17"/>
    <w:rsid w:val="00822858"/>
    <w:rsid w:val="0082798B"/>
    <w:rsid w:val="00841E79"/>
    <w:rsid w:val="00843101"/>
    <w:rsid w:val="00851059"/>
    <w:rsid w:val="00855501"/>
    <w:rsid w:val="00855F95"/>
    <w:rsid w:val="0086090B"/>
    <w:rsid w:val="00866905"/>
    <w:rsid w:val="008669E6"/>
    <w:rsid w:val="00881274"/>
    <w:rsid w:val="00886AA8"/>
    <w:rsid w:val="008B01B9"/>
    <w:rsid w:val="008B6A9B"/>
    <w:rsid w:val="008C2EC5"/>
    <w:rsid w:val="008C35A2"/>
    <w:rsid w:val="008D054C"/>
    <w:rsid w:val="008D07A8"/>
    <w:rsid w:val="008E327B"/>
    <w:rsid w:val="008E4314"/>
    <w:rsid w:val="0090085B"/>
    <w:rsid w:val="00904933"/>
    <w:rsid w:val="00906A67"/>
    <w:rsid w:val="0092694C"/>
    <w:rsid w:val="00937D77"/>
    <w:rsid w:val="00944D0A"/>
    <w:rsid w:val="009450DD"/>
    <w:rsid w:val="00951168"/>
    <w:rsid w:val="00966269"/>
    <w:rsid w:val="00971872"/>
    <w:rsid w:val="0097494C"/>
    <w:rsid w:val="0097511A"/>
    <w:rsid w:val="00975A5E"/>
    <w:rsid w:val="009840F9"/>
    <w:rsid w:val="0099002A"/>
    <w:rsid w:val="009905CF"/>
    <w:rsid w:val="009937DA"/>
    <w:rsid w:val="009947A7"/>
    <w:rsid w:val="009A2871"/>
    <w:rsid w:val="009C4729"/>
    <w:rsid w:val="009E1D43"/>
    <w:rsid w:val="009E6FD2"/>
    <w:rsid w:val="009E79B8"/>
    <w:rsid w:val="009F2764"/>
    <w:rsid w:val="009F59B9"/>
    <w:rsid w:val="00A0757F"/>
    <w:rsid w:val="00A107E9"/>
    <w:rsid w:val="00A17CFC"/>
    <w:rsid w:val="00A34D2D"/>
    <w:rsid w:val="00A40427"/>
    <w:rsid w:val="00A477C7"/>
    <w:rsid w:val="00A60F90"/>
    <w:rsid w:val="00A61BD0"/>
    <w:rsid w:val="00A65FF2"/>
    <w:rsid w:val="00A67400"/>
    <w:rsid w:val="00A7392A"/>
    <w:rsid w:val="00A74F52"/>
    <w:rsid w:val="00A76063"/>
    <w:rsid w:val="00A91167"/>
    <w:rsid w:val="00A965D6"/>
    <w:rsid w:val="00AD6C6D"/>
    <w:rsid w:val="00AD7A36"/>
    <w:rsid w:val="00AF4175"/>
    <w:rsid w:val="00B0075F"/>
    <w:rsid w:val="00B13D0A"/>
    <w:rsid w:val="00B2108C"/>
    <w:rsid w:val="00B323DD"/>
    <w:rsid w:val="00B34852"/>
    <w:rsid w:val="00B56235"/>
    <w:rsid w:val="00B61A48"/>
    <w:rsid w:val="00B70260"/>
    <w:rsid w:val="00B75C89"/>
    <w:rsid w:val="00B9694B"/>
    <w:rsid w:val="00BA273D"/>
    <w:rsid w:val="00BA78E6"/>
    <w:rsid w:val="00BA7B0B"/>
    <w:rsid w:val="00BB5E57"/>
    <w:rsid w:val="00BE2B5A"/>
    <w:rsid w:val="00BF3571"/>
    <w:rsid w:val="00BF5E12"/>
    <w:rsid w:val="00C1045E"/>
    <w:rsid w:val="00C2304D"/>
    <w:rsid w:val="00C62756"/>
    <w:rsid w:val="00C70587"/>
    <w:rsid w:val="00C72E47"/>
    <w:rsid w:val="00C74E41"/>
    <w:rsid w:val="00C86DE0"/>
    <w:rsid w:val="00C8775D"/>
    <w:rsid w:val="00C902E4"/>
    <w:rsid w:val="00CA26CF"/>
    <w:rsid w:val="00CB430A"/>
    <w:rsid w:val="00CC2394"/>
    <w:rsid w:val="00CD372C"/>
    <w:rsid w:val="00CE5C8A"/>
    <w:rsid w:val="00CE63E6"/>
    <w:rsid w:val="00CF6E10"/>
    <w:rsid w:val="00D022E6"/>
    <w:rsid w:val="00D03B1E"/>
    <w:rsid w:val="00D05640"/>
    <w:rsid w:val="00D12956"/>
    <w:rsid w:val="00D16727"/>
    <w:rsid w:val="00D17700"/>
    <w:rsid w:val="00D21F59"/>
    <w:rsid w:val="00D22EAF"/>
    <w:rsid w:val="00D34541"/>
    <w:rsid w:val="00D35BB7"/>
    <w:rsid w:val="00D42198"/>
    <w:rsid w:val="00D43E13"/>
    <w:rsid w:val="00D52075"/>
    <w:rsid w:val="00D56D2C"/>
    <w:rsid w:val="00D570FD"/>
    <w:rsid w:val="00D74637"/>
    <w:rsid w:val="00D74684"/>
    <w:rsid w:val="00D75D8D"/>
    <w:rsid w:val="00D75DF6"/>
    <w:rsid w:val="00D824B9"/>
    <w:rsid w:val="00D85C88"/>
    <w:rsid w:val="00D86B23"/>
    <w:rsid w:val="00D976A8"/>
    <w:rsid w:val="00DA4676"/>
    <w:rsid w:val="00DB386D"/>
    <w:rsid w:val="00DC0A47"/>
    <w:rsid w:val="00DC42F3"/>
    <w:rsid w:val="00DC4EDF"/>
    <w:rsid w:val="00DC51DB"/>
    <w:rsid w:val="00DD65A2"/>
    <w:rsid w:val="00DE538C"/>
    <w:rsid w:val="00DF477E"/>
    <w:rsid w:val="00DF565C"/>
    <w:rsid w:val="00DF6816"/>
    <w:rsid w:val="00E01979"/>
    <w:rsid w:val="00E0780F"/>
    <w:rsid w:val="00E1547F"/>
    <w:rsid w:val="00E25FA5"/>
    <w:rsid w:val="00E411F6"/>
    <w:rsid w:val="00E5002E"/>
    <w:rsid w:val="00E7305B"/>
    <w:rsid w:val="00E760E8"/>
    <w:rsid w:val="00E7640A"/>
    <w:rsid w:val="00E824FE"/>
    <w:rsid w:val="00E82B9E"/>
    <w:rsid w:val="00E96469"/>
    <w:rsid w:val="00EA3A04"/>
    <w:rsid w:val="00EB0783"/>
    <w:rsid w:val="00EB2042"/>
    <w:rsid w:val="00EC15A1"/>
    <w:rsid w:val="00EC1AE2"/>
    <w:rsid w:val="00EC3822"/>
    <w:rsid w:val="00ED265F"/>
    <w:rsid w:val="00ED507D"/>
    <w:rsid w:val="00EF2C83"/>
    <w:rsid w:val="00EF2D83"/>
    <w:rsid w:val="00F10993"/>
    <w:rsid w:val="00F1134E"/>
    <w:rsid w:val="00F216E8"/>
    <w:rsid w:val="00F22DFB"/>
    <w:rsid w:val="00F340F8"/>
    <w:rsid w:val="00F417E2"/>
    <w:rsid w:val="00F445DD"/>
    <w:rsid w:val="00F46830"/>
    <w:rsid w:val="00F53883"/>
    <w:rsid w:val="00F5760A"/>
    <w:rsid w:val="00F66070"/>
    <w:rsid w:val="00F671C7"/>
    <w:rsid w:val="00F83363"/>
    <w:rsid w:val="00F83BFB"/>
    <w:rsid w:val="00F96A64"/>
    <w:rsid w:val="00F971F8"/>
    <w:rsid w:val="00FA5B59"/>
    <w:rsid w:val="00FB3593"/>
    <w:rsid w:val="00FC47E2"/>
    <w:rsid w:val="00FC7F08"/>
    <w:rsid w:val="00FD170B"/>
    <w:rsid w:val="00FE0C29"/>
    <w:rsid w:val="00FF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ootnote Text Char2"/>
    <w:basedOn w:val="Normal"/>
    <w:link w:val="FootnoteTextChar"/>
    <w:unhideWhenUsed/>
    <w:rsid w:val="00650FD8"/>
    <w:pPr>
      <w:spacing w:after="0" w:line="240" w:lineRule="auto"/>
    </w:p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uiPriority w:val="99"/>
    <w:rsid w:val="00650FD8"/>
  </w:style>
  <w:style w:type="paragraph" w:styleId="Header">
    <w:name w:val="header"/>
    <w:basedOn w:val="Normal"/>
    <w:link w:val="HeaderChar"/>
    <w:uiPriority w:val="99"/>
    <w:unhideWhenUsed/>
    <w:rsid w:val="0065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D8"/>
  </w:style>
  <w:style w:type="paragraph" w:styleId="Footer">
    <w:name w:val="footer"/>
    <w:basedOn w:val="Normal"/>
    <w:link w:val="FooterChar"/>
    <w:uiPriority w:val="99"/>
    <w:unhideWhenUsed/>
    <w:rsid w:val="00BE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D8"/>
  </w:style>
  <w:style w:type="character" w:styleId="FootnoteReference">
    <w:name w:val="footnote reference"/>
    <w:aliases w:val="Style 12,(NECG) Footnote Reference,Appel note de bas de p,Style 124,o,fr,Style 3,Style 13,Style 17,FR,Footnote Reference/,Style 6"/>
    <w:rsid w:val="00650FD8"/>
    <w:rPr>
      <w:rFonts w:ascii="Times New Roman" w:hAnsi="Times New Roman"/>
      <w:dstrike w:val="0"/>
      <w:color w:val="auto"/>
      <w:sz w:val="22"/>
      <w:vertAlign w:val="superscript"/>
    </w:rPr>
  </w:style>
  <w:style w:type="character" w:styleId="CommentReference">
    <w:name w:val="annotation reference"/>
    <w:basedOn w:val="DefaultParagraphFont"/>
    <w:rsid w:val="00650FD8"/>
    <w:rPr>
      <w:sz w:val="16"/>
      <w:szCs w:val="16"/>
    </w:rPr>
  </w:style>
  <w:style w:type="paragraph" w:styleId="CommentText">
    <w:name w:val="annotation text"/>
    <w:basedOn w:val="Normal"/>
    <w:link w:val="CommentTextChar"/>
    <w:rsid w:val="00650FD8"/>
    <w:pPr>
      <w:widowControl w:val="0"/>
      <w:spacing w:after="0" w:line="240" w:lineRule="auto"/>
    </w:pPr>
    <w:rPr>
      <w:rFonts w:eastAsia="Times New Roman"/>
      <w:snapToGrid w:val="0"/>
      <w:kern w:val="28"/>
    </w:rPr>
  </w:style>
  <w:style w:type="character" w:customStyle="1" w:styleId="CommentTextChar">
    <w:name w:val="Comment Text Char"/>
    <w:basedOn w:val="DefaultParagraphFont"/>
    <w:link w:val="CommentText"/>
    <w:rsid w:val="00650FD8"/>
    <w:rPr>
      <w:rFonts w:eastAsia="Times New Roman"/>
      <w:snapToGrid w:val="0"/>
      <w:kern w:val="28"/>
    </w:rPr>
  </w:style>
  <w:style w:type="paragraph" w:styleId="BalloonText">
    <w:name w:val="Balloon Text"/>
    <w:basedOn w:val="Normal"/>
    <w:link w:val="BalloonTextChar"/>
    <w:uiPriority w:val="99"/>
    <w:semiHidden/>
    <w:unhideWhenUsed/>
    <w:rsid w:val="0065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D8"/>
    <w:rPr>
      <w:rFonts w:ascii="Tahoma" w:hAnsi="Tahoma" w:cs="Tahoma"/>
      <w:sz w:val="16"/>
      <w:szCs w:val="16"/>
    </w:rPr>
  </w:style>
  <w:style w:type="paragraph" w:styleId="ListParagraph">
    <w:name w:val="List Paragraph"/>
    <w:basedOn w:val="Normal"/>
    <w:uiPriority w:val="34"/>
    <w:qFormat/>
    <w:rsid w:val="00DC0A47"/>
    <w:pPr>
      <w:ind w:left="720"/>
      <w:contextualSpacing/>
    </w:pPr>
  </w:style>
  <w:style w:type="paragraph" w:styleId="CommentSubject">
    <w:name w:val="annotation subject"/>
    <w:basedOn w:val="CommentText"/>
    <w:next w:val="CommentText"/>
    <w:link w:val="CommentSubjectChar"/>
    <w:uiPriority w:val="99"/>
    <w:semiHidden/>
    <w:unhideWhenUsed/>
    <w:rsid w:val="003075B7"/>
    <w:pPr>
      <w:widowControl/>
      <w:spacing w:after="200"/>
    </w:pPr>
    <w:rPr>
      <w:rFonts w:eastAsiaTheme="minorHAnsi"/>
      <w:b/>
      <w:bCs/>
      <w:snapToGrid/>
      <w:kern w:val="0"/>
    </w:rPr>
  </w:style>
  <w:style w:type="character" w:customStyle="1" w:styleId="CommentSubjectChar">
    <w:name w:val="Comment Subject Char"/>
    <w:basedOn w:val="CommentTextChar"/>
    <w:link w:val="CommentSubject"/>
    <w:uiPriority w:val="99"/>
    <w:semiHidden/>
    <w:rsid w:val="003075B7"/>
    <w:rPr>
      <w:rFonts w:eastAsia="Times New Roman"/>
      <w:b/>
      <w:bCs/>
      <w:snapToGrid/>
      <w:kern w:val="28"/>
    </w:rPr>
  </w:style>
  <w:style w:type="paragraph" w:styleId="Revision">
    <w:name w:val="Revision"/>
    <w:hidden/>
    <w:uiPriority w:val="99"/>
    <w:semiHidden/>
    <w:rsid w:val="0015441E"/>
    <w:pPr>
      <w:spacing w:after="0" w:line="240" w:lineRule="auto"/>
    </w:pPr>
  </w:style>
  <w:style w:type="character" w:styleId="Hyperlink">
    <w:name w:val="Hyperlink"/>
    <w:basedOn w:val="DefaultParagraphFont"/>
    <w:uiPriority w:val="99"/>
    <w:unhideWhenUsed/>
    <w:rsid w:val="00DF565C"/>
    <w:rPr>
      <w:color w:val="0000FF" w:themeColor="hyperlink"/>
      <w:u w:val="single"/>
    </w:rPr>
  </w:style>
  <w:style w:type="character" w:styleId="FollowedHyperlink">
    <w:name w:val="FollowedHyperlink"/>
    <w:basedOn w:val="DefaultParagraphFont"/>
    <w:uiPriority w:val="99"/>
    <w:semiHidden/>
    <w:unhideWhenUsed/>
    <w:rsid w:val="00AD6C6D"/>
    <w:rPr>
      <w:color w:val="800080" w:themeColor="followedHyperlink"/>
      <w:u w:val="single"/>
    </w:rPr>
  </w:style>
  <w:style w:type="character" w:styleId="PlaceholderText">
    <w:name w:val="Placeholder Text"/>
    <w:basedOn w:val="DefaultParagraphFont"/>
    <w:uiPriority w:val="99"/>
    <w:semiHidden/>
    <w:rsid w:val="001A02F7"/>
    <w:rPr>
      <w:color w:val="808080"/>
    </w:rPr>
  </w:style>
  <w:style w:type="character" w:customStyle="1" w:styleId="FootnoteTextChar3">
    <w:name w:val="Footnote Text Char3"/>
    <w:aliases w:val="Footnote Text Char2 Char,Footnote Text Char Char2 Char,Footnote Text Char2 Char Char Char,Footnote Text Char1 Char Char Char1 Char Char Char"/>
    <w:rsid w:val="00325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ootnote Text Char2"/>
    <w:basedOn w:val="Normal"/>
    <w:link w:val="FootnoteTextChar"/>
    <w:unhideWhenUsed/>
    <w:rsid w:val="00650FD8"/>
    <w:pPr>
      <w:spacing w:after="0" w:line="240" w:lineRule="auto"/>
    </w:p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uiPriority w:val="99"/>
    <w:rsid w:val="00650FD8"/>
  </w:style>
  <w:style w:type="paragraph" w:styleId="Header">
    <w:name w:val="header"/>
    <w:basedOn w:val="Normal"/>
    <w:link w:val="HeaderChar"/>
    <w:uiPriority w:val="99"/>
    <w:unhideWhenUsed/>
    <w:rsid w:val="0065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D8"/>
  </w:style>
  <w:style w:type="paragraph" w:styleId="Footer">
    <w:name w:val="footer"/>
    <w:basedOn w:val="Normal"/>
    <w:link w:val="FooterChar"/>
    <w:uiPriority w:val="99"/>
    <w:unhideWhenUsed/>
    <w:rsid w:val="00BE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D8"/>
  </w:style>
  <w:style w:type="character" w:styleId="FootnoteReference">
    <w:name w:val="footnote reference"/>
    <w:aliases w:val="Style 12,(NECG) Footnote Reference,Appel note de bas de p,Style 124,o,fr,Style 3,Style 13,Style 17,FR,Footnote Reference/,Style 6"/>
    <w:rsid w:val="00650FD8"/>
    <w:rPr>
      <w:rFonts w:ascii="Times New Roman" w:hAnsi="Times New Roman"/>
      <w:dstrike w:val="0"/>
      <w:color w:val="auto"/>
      <w:sz w:val="22"/>
      <w:vertAlign w:val="superscript"/>
    </w:rPr>
  </w:style>
  <w:style w:type="character" w:styleId="CommentReference">
    <w:name w:val="annotation reference"/>
    <w:basedOn w:val="DefaultParagraphFont"/>
    <w:rsid w:val="00650FD8"/>
    <w:rPr>
      <w:sz w:val="16"/>
      <w:szCs w:val="16"/>
    </w:rPr>
  </w:style>
  <w:style w:type="paragraph" w:styleId="CommentText">
    <w:name w:val="annotation text"/>
    <w:basedOn w:val="Normal"/>
    <w:link w:val="CommentTextChar"/>
    <w:rsid w:val="00650FD8"/>
    <w:pPr>
      <w:widowControl w:val="0"/>
      <w:spacing w:after="0" w:line="240" w:lineRule="auto"/>
    </w:pPr>
    <w:rPr>
      <w:rFonts w:eastAsia="Times New Roman"/>
      <w:snapToGrid w:val="0"/>
      <w:kern w:val="28"/>
    </w:rPr>
  </w:style>
  <w:style w:type="character" w:customStyle="1" w:styleId="CommentTextChar">
    <w:name w:val="Comment Text Char"/>
    <w:basedOn w:val="DefaultParagraphFont"/>
    <w:link w:val="CommentText"/>
    <w:rsid w:val="00650FD8"/>
    <w:rPr>
      <w:rFonts w:eastAsia="Times New Roman"/>
      <w:snapToGrid w:val="0"/>
      <w:kern w:val="28"/>
    </w:rPr>
  </w:style>
  <w:style w:type="paragraph" w:styleId="BalloonText">
    <w:name w:val="Balloon Text"/>
    <w:basedOn w:val="Normal"/>
    <w:link w:val="BalloonTextChar"/>
    <w:uiPriority w:val="99"/>
    <w:semiHidden/>
    <w:unhideWhenUsed/>
    <w:rsid w:val="0065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D8"/>
    <w:rPr>
      <w:rFonts w:ascii="Tahoma" w:hAnsi="Tahoma" w:cs="Tahoma"/>
      <w:sz w:val="16"/>
      <w:szCs w:val="16"/>
    </w:rPr>
  </w:style>
  <w:style w:type="paragraph" w:styleId="ListParagraph">
    <w:name w:val="List Paragraph"/>
    <w:basedOn w:val="Normal"/>
    <w:uiPriority w:val="34"/>
    <w:qFormat/>
    <w:rsid w:val="00DC0A47"/>
    <w:pPr>
      <w:ind w:left="720"/>
      <w:contextualSpacing/>
    </w:pPr>
  </w:style>
  <w:style w:type="paragraph" w:styleId="CommentSubject">
    <w:name w:val="annotation subject"/>
    <w:basedOn w:val="CommentText"/>
    <w:next w:val="CommentText"/>
    <w:link w:val="CommentSubjectChar"/>
    <w:uiPriority w:val="99"/>
    <w:semiHidden/>
    <w:unhideWhenUsed/>
    <w:rsid w:val="003075B7"/>
    <w:pPr>
      <w:widowControl/>
      <w:spacing w:after="200"/>
    </w:pPr>
    <w:rPr>
      <w:rFonts w:eastAsiaTheme="minorHAnsi"/>
      <w:b/>
      <w:bCs/>
      <w:snapToGrid/>
      <w:kern w:val="0"/>
    </w:rPr>
  </w:style>
  <w:style w:type="character" w:customStyle="1" w:styleId="CommentSubjectChar">
    <w:name w:val="Comment Subject Char"/>
    <w:basedOn w:val="CommentTextChar"/>
    <w:link w:val="CommentSubject"/>
    <w:uiPriority w:val="99"/>
    <w:semiHidden/>
    <w:rsid w:val="003075B7"/>
    <w:rPr>
      <w:rFonts w:eastAsia="Times New Roman"/>
      <w:b/>
      <w:bCs/>
      <w:snapToGrid/>
      <w:kern w:val="28"/>
    </w:rPr>
  </w:style>
  <w:style w:type="paragraph" w:styleId="Revision">
    <w:name w:val="Revision"/>
    <w:hidden/>
    <w:uiPriority w:val="99"/>
    <w:semiHidden/>
    <w:rsid w:val="0015441E"/>
    <w:pPr>
      <w:spacing w:after="0" w:line="240" w:lineRule="auto"/>
    </w:pPr>
  </w:style>
  <w:style w:type="character" w:styleId="Hyperlink">
    <w:name w:val="Hyperlink"/>
    <w:basedOn w:val="DefaultParagraphFont"/>
    <w:uiPriority w:val="99"/>
    <w:unhideWhenUsed/>
    <w:rsid w:val="00DF565C"/>
    <w:rPr>
      <w:color w:val="0000FF" w:themeColor="hyperlink"/>
      <w:u w:val="single"/>
    </w:rPr>
  </w:style>
  <w:style w:type="character" w:styleId="FollowedHyperlink">
    <w:name w:val="FollowedHyperlink"/>
    <w:basedOn w:val="DefaultParagraphFont"/>
    <w:uiPriority w:val="99"/>
    <w:semiHidden/>
    <w:unhideWhenUsed/>
    <w:rsid w:val="00AD6C6D"/>
    <w:rPr>
      <w:color w:val="800080" w:themeColor="followedHyperlink"/>
      <w:u w:val="single"/>
    </w:rPr>
  </w:style>
  <w:style w:type="character" w:styleId="PlaceholderText">
    <w:name w:val="Placeholder Text"/>
    <w:basedOn w:val="DefaultParagraphFont"/>
    <w:uiPriority w:val="99"/>
    <w:semiHidden/>
    <w:rsid w:val="001A02F7"/>
    <w:rPr>
      <w:color w:val="808080"/>
    </w:rPr>
  </w:style>
  <w:style w:type="character" w:customStyle="1" w:styleId="FootnoteTextChar3">
    <w:name w:val="Footnote Text Char3"/>
    <w:aliases w:val="Footnote Text Char2 Char,Footnote Text Char Char2 Char,Footnote Text Char2 Char Char Char,Footnote Text Char1 Char Char Char1 Char Char Char"/>
    <w:rsid w:val="0032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9040">
      <w:bodyDiv w:val="1"/>
      <w:marLeft w:val="0"/>
      <w:marRight w:val="0"/>
      <w:marTop w:val="0"/>
      <w:marBottom w:val="0"/>
      <w:divBdr>
        <w:top w:val="none" w:sz="0" w:space="0" w:color="auto"/>
        <w:left w:val="none" w:sz="0" w:space="0" w:color="auto"/>
        <w:bottom w:val="none" w:sz="0" w:space="0" w:color="auto"/>
        <w:right w:val="none" w:sz="0" w:space="0" w:color="auto"/>
      </w:divBdr>
    </w:div>
    <w:div w:id="3883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incentiveauctions/learn-program/Broadcast_Incentive_Auction_101_sl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4102</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2013-05-15T13:07:00Z</cp:lastPrinted>
  <dcterms:created xsi:type="dcterms:W3CDTF">2014-09-17T17:44:00Z</dcterms:created>
  <dcterms:modified xsi:type="dcterms:W3CDTF">2014-09-17T17:44:00Z</dcterms:modified>
  <cp:category> </cp:category>
  <cp:contentStatus> </cp:contentStatus>
</cp:coreProperties>
</file>