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Pr="00CC2417" w:rsidRDefault="00CC2417" w:rsidP="00591C5D">
      <w:pPr>
        <w:widowControl/>
        <w:autoSpaceDE w:val="0"/>
        <w:autoSpaceDN w:val="0"/>
        <w:adjustRightInd w:val="0"/>
        <w:jc w:val="center"/>
        <w:rPr>
          <w:rFonts w:eastAsiaTheme="minorHAnsi"/>
          <w:snapToGrid/>
          <w:szCs w:val="24"/>
        </w:rPr>
      </w:pPr>
      <w:bookmarkStart w:id="0" w:name="_GoBack"/>
      <w:bookmarkEnd w:id="0"/>
      <w:r w:rsidRPr="00CC2417">
        <w:rPr>
          <w:rFonts w:eastAsiaTheme="minorHAnsi"/>
          <w:snapToGrid/>
          <w:szCs w:val="24"/>
        </w:rPr>
        <w:t>September 17, 2014</w:t>
      </w:r>
    </w:p>
    <w:p w:rsidR="00D86C07" w:rsidRPr="00CC2417" w:rsidRDefault="00D86C07" w:rsidP="00591C5D">
      <w:pPr>
        <w:widowControl/>
        <w:autoSpaceDE w:val="0"/>
        <w:autoSpaceDN w:val="0"/>
        <w:adjustRightInd w:val="0"/>
        <w:jc w:val="center"/>
        <w:rPr>
          <w:rFonts w:eastAsiaTheme="minorHAnsi"/>
          <w:snapToGrid/>
          <w:sz w:val="16"/>
          <w:szCs w:val="16"/>
        </w:rPr>
      </w:pPr>
    </w:p>
    <w:p w:rsidR="00D86C07" w:rsidRPr="00CC2417" w:rsidRDefault="007F0825" w:rsidP="00591C5D">
      <w:pPr>
        <w:widowControl/>
        <w:autoSpaceDE w:val="0"/>
        <w:autoSpaceDN w:val="0"/>
        <w:adjustRightInd w:val="0"/>
        <w:jc w:val="center"/>
        <w:rPr>
          <w:rFonts w:eastAsiaTheme="minorHAnsi"/>
          <w:snapToGrid/>
          <w:szCs w:val="24"/>
        </w:rPr>
      </w:pPr>
      <w:r w:rsidRPr="00CC2417">
        <w:rPr>
          <w:rFonts w:eastAsiaTheme="minorHAnsi"/>
          <w:snapToGrid/>
          <w:szCs w:val="24"/>
        </w:rPr>
        <w:t xml:space="preserve">DA </w:t>
      </w:r>
      <w:r w:rsidR="00300DD1">
        <w:rPr>
          <w:rFonts w:eastAsiaTheme="minorHAnsi"/>
          <w:snapToGrid/>
          <w:szCs w:val="24"/>
        </w:rPr>
        <w:t>14-1350</w:t>
      </w:r>
    </w:p>
    <w:p w:rsidR="006F7AA6" w:rsidRPr="00CC2417" w:rsidRDefault="006F7AA6" w:rsidP="008B4109">
      <w:pPr>
        <w:widowControl/>
        <w:autoSpaceDE w:val="0"/>
        <w:autoSpaceDN w:val="0"/>
        <w:adjustRightInd w:val="0"/>
        <w:rPr>
          <w:rFonts w:eastAsiaTheme="minorHAnsi"/>
          <w:snapToGrid/>
          <w:sz w:val="16"/>
          <w:szCs w:val="16"/>
        </w:rPr>
      </w:pPr>
    </w:p>
    <w:p w:rsidR="00822552" w:rsidRPr="00CC2417" w:rsidRDefault="001955DC" w:rsidP="00822552">
      <w:pPr>
        <w:rPr>
          <w:rFonts w:eastAsiaTheme="minorHAnsi"/>
          <w:snapToGrid/>
          <w:szCs w:val="24"/>
        </w:rPr>
      </w:pPr>
      <w:r w:rsidRPr="00CC2417">
        <w:rPr>
          <w:rFonts w:eastAsiaTheme="minorHAnsi"/>
          <w:snapToGrid/>
          <w:szCs w:val="24"/>
        </w:rPr>
        <w:t>Elizabeth Ryder</w:t>
      </w:r>
    </w:p>
    <w:p w:rsidR="00064A12" w:rsidRPr="00CC2417" w:rsidRDefault="00064A12" w:rsidP="00822552">
      <w:pPr>
        <w:rPr>
          <w:rFonts w:eastAsiaTheme="minorHAnsi"/>
          <w:snapToGrid/>
          <w:szCs w:val="24"/>
        </w:rPr>
      </w:pPr>
      <w:r w:rsidRPr="00CC2417">
        <w:rPr>
          <w:rFonts w:eastAsiaTheme="minorHAnsi"/>
          <w:snapToGrid/>
          <w:szCs w:val="24"/>
        </w:rPr>
        <w:t>Vice President &amp; General Counsel</w:t>
      </w:r>
    </w:p>
    <w:p w:rsidR="002A5395" w:rsidRPr="00CC2417" w:rsidRDefault="002A5395" w:rsidP="00822552">
      <w:pPr>
        <w:rPr>
          <w:rFonts w:eastAsiaTheme="minorHAnsi"/>
          <w:snapToGrid/>
          <w:szCs w:val="24"/>
        </w:rPr>
      </w:pPr>
      <w:r w:rsidRPr="00CC2417">
        <w:rPr>
          <w:rFonts w:eastAsiaTheme="minorHAnsi"/>
          <w:snapToGrid/>
          <w:szCs w:val="24"/>
        </w:rPr>
        <w:t>Nexstar Broadcasting, Inc.</w:t>
      </w:r>
    </w:p>
    <w:p w:rsidR="00064A12" w:rsidRPr="00CC2417" w:rsidRDefault="00064A12" w:rsidP="00822552">
      <w:pPr>
        <w:rPr>
          <w:rFonts w:eastAsiaTheme="minorHAnsi"/>
          <w:snapToGrid/>
          <w:szCs w:val="24"/>
        </w:rPr>
      </w:pPr>
      <w:r w:rsidRPr="00CC2417">
        <w:rPr>
          <w:rFonts w:eastAsiaTheme="minorHAnsi"/>
          <w:snapToGrid/>
          <w:szCs w:val="24"/>
        </w:rPr>
        <w:t>5215 N. O’Connor Blvd.</w:t>
      </w:r>
    </w:p>
    <w:p w:rsidR="00064A12" w:rsidRPr="00CC2417" w:rsidRDefault="00064A12" w:rsidP="00822552">
      <w:pPr>
        <w:rPr>
          <w:rFonts w:eastAsiaTheme="minorHAnsi"/>
          <w:snapToGrid/>
          <w:szCs w:val="24"/>
        </w:rPr>
      </w:pPr>
      <w:r w:rsidRPr="00CC2417">
        <w:rPr>
          <w:rFonts w:eastAsiaTheme="minorHAnsi"/>
          <w:snapToGrid/>
          <w:szCs w:val="24"/>
        </w:rPr>
        <w:t>Suite 1400</w:t>
      </w:r>
    </w:p>
    <w:p w:rsidR="00064A12" w:rsidRPr="00CC2417" w:rsidRDefault="00064A12" w:rsidP="00822552">
      <w:pPr>
        <w:rPr>
          <w:szCs w:val="24"/>
        </w:rPr>
      </w:pPr>
      <w:r w:rsidRPr="00CC2417">
        <w:rPr>
          <w:rFonts w:eastAsiaTheme="minorHAnsi"/>
          <w:snapToGrid/>
          <w:szCs w:val="24"/>
        </w:rPr>
        <w:t>Irving, TX 75039</w:t>
      </w:r>
    </w:p>
    <w:p w:rsidR="00064A12" w:rsidRPr="00CC2417" w:rsidRDefault="00064A12" w:rsidP="008B4109">
      <w:pPr>
        <w:widowControl/>
        <w:autoSpaceDE w:val="0"/>
        <w:autoSpaceDN w:val="0"/>
        <w:adjustRightInd w:val="0"/>
        <w:rPr>
          <w:rFonts w:eastAsiaTheme="minorHAnsi"/>
          <w:snapToGrid/>
          <w:szCs w:val="24"/>
        </w:rPr>
      </w:pPr>
    </w:p>
    <w:p w:rsidR="008B4109"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Matthew A. Brill</w:t>
      </w:r>
    </w:p>
    <w:p w:rsidR="00064A12"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Matthew T. Murchison</w:t>
      </w:r>
    </w:p>
    <w:p w:rsidR="00064A12"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Latham &amp; Watkins LLP</w:t>
      </w:r>
    </w:p>
    <w:p w:rsidR="00064A12"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 xml:space="preserve">Counsel </w:t>
      </w:r>
      <w:r w:rsidR="00F52CA2" w:rsidRPr="00CC2417">
        <w:rPr>
          <w:rFonts w:eastAsiaTheme="minorHAnsi"/>
          <w:snapToGrid/>
          <w:szCs w:val="24"/>
        </w:rPr>
        <w:t>for</w:t>
      </w:r>
      <w:r w:rsidRPr="00CC2417">
        <w:rPr>
          <w:rFonts w:eastAsiaTheme="minorHAnsi"/>
          <w:snapToGrid/>
          <w:szCs w:val="24"/>
        </w:rPr>
        <w:t xml:space="preserve"> Time Warner Cable Inc.</w:t>
      </w:r>
    </w:p>
    <w:p w:rsidR="00064A12"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555 Eleventh Street, NW</w:t>
      </w:r>
    </w:p>
    <w:p w:rsidR="00064A12" w:rsidRPr="00CC2417" w:rsidRDefault="00064A12" w:rsidP="008B4109">
      <w:pPr>
        <w:widowControl/>
        <w:autoSpaceDE w:val="0"/>
        <w:autoSpaceDN w:val="0"/>
        <w:adjustRightInd w:val="0"/>
        <w:rPr>
          <w:rFonts w:eastAsiaTheme="minorHAnsi"/>
          <w:snapToGrid/>
          <w:szCs w:val="24"/>
        </w:rPr>
      </w:pPr>
      <w:r w:rsidRPr="00CC2417">
        <w:rPr>
          <w:rFonts w:eastAsiaTheme="minorHAnsi"/>
          <w:snapToGrid/>
          <w:szCs w:val="24"/>
        </w:rPr>
        <w:t>Suite 1000</w:t>
      </w:r>
    </w:p>
    <w:p w:rsidR="006F1C70" w:rsidRPr="00CC2417" w:rsidRDefault="00064A12" w:rsidP="008B4109">
      <w:pPr>
        <w:rPr>
          <w:rFonts w:eastAsiaTheme="minorHAnsi"/>
          <w:snapToGrid/>
          <w:szCs w:val="24"/>
        </w:rPr>
      </w:pPr>
      <w:r w:rsidRPr="00CC2417">
        <w:rPr>
          <w:rFonts w:eastAsiaTheme="minorHAnsi"/>
          <w:snapToGrid/>
          <w:szCs w:val="24"/>
        </w:rPr>
        <w:t>Washington, DC 20004</w:t>
      </w:r>
    </w:p>
    <w:p w:rsidR="00F52CA2" w:rsidRPr="00CC2417" w:rsidRDefault="00F52CA2" w:rsidP="008B4109">
      <w:pPr>
        <w:rPr>
          <w:rFonts w:eastAsiaTheme="minorHAnsi"/>
          <w:snapToGrid/>
          <w:szCs w:val="24"/>
        </w:rPr>
      </w:pPr>
    </w:p>
    <w:p w:rsidR="00F52CA2" w:rsidRPr="00CC2417" w:rsidRDefault="00F52CA2" w:rsidP="008B4109">
      <w:pPr>
        <w:rPr>
          <w:rFonts w:eastAsiaTheme="minorHAnsi"/>
          <w:snapToGrid/>
          <w:szCs w:val="24"/>
        </w:rPr>
      </w:pPr>
      <w:r w:rsidRPr="00CC2417">
        <w:rPr>
          <w:rFonts w:eastAsiaTheme="minorHAnsi"/>
          <w:snapToGrid/>
          <w:szCs w:val="24"/>
        </w:rPr>
        <w:t>Cody Harrison</w:t>
      </w:r>
    </w:p>
    <w:p w:rsidR="00F52CA2" w:rsidRPr="00CC2417" w:rsidRDefault="00F52CA2" w:rsidP="008B4109">
      <w:pPr>
        <w:rPr>
          <w:rFonts w:eastAsiaTheme="minorHAnsi"/>
          <w:snapToGrid/>
          <w:szCs w:val="24"/>
        </w:rPr>
      </w:pPr>
      <w:r w:rsidRPr="00CC2417">
        <w:rPr>
          <w:rFonts w:eastAsiaTheme="minorHAnsi"/>
          <w:snapToGrid/>
          <w:szCs w:val="24"/>
        </w:rPr>
        <w:t>Sabin, Bermant &amp; Gould LLP</w:t>
      </w:r>
    </w:p>
    <w:p w:rsidR="00F52CA2" w:rsidRPr="00CC2417" w:rsidRDefault="00F52CA2" w:rsidP="008B4109">
      <w:pPr>
        <w:rPr>
          <w:rFonts w:eastAsiaTheme="minorHAnsi"/>
          <w:snapToGrid/>
          <w:szCs w:val="24"/>
        </w:rPr>
      </w:pPr>
      <w:r w:rsidRPr="00CC2417">
        <w:rPr>
          <w:rFonts w:eastAsiaTheme="minorHAnsi"/>
          <w:snapToGrid/>
          <w:szCs w:val="24"/>
        </w:rPr>
        <w:t>Counsel for Bright House Networks</w:t>
      </w:r>
    </w:p>
    <w:p w:rsidR="00F52CA2" w:rsidRPr="00CC2417" w:rsidRDefault="00F52CA2" w:rsidP="008B4109">
      <w:pPr>
        <w:rPr>
          <w:rFonts w:eastAsiaTheme="minorHAnsi"/>
          <w:snapToGrid/>
          <w:szCs w:val="24"/>
        </w:rPr>
      </w:pPr>
      <w:r w:rsidRPr="00CC2417">
        <w:rPr>
          <w:rFonts w:eastAsiaTheme="minorHAnsi"/>
          <w:snapToGrid/>
          <w:szCs w:val="24"/>
        </w:rPr>
        <w:t>4 Times Square</w:t>
      </w:r>
    </w:p>
    <w:p w:rsidR="00F52CA2" w:rsidRPr="00CC2417" w:rsidRDefault="00F52CA2" w:rsidP="008B4109">
      <w:r w:rsidRPr="00CC2417">
        <w:rPr>
          <w:rFonts w:eastAsiaTheme="minorHAnsi"/>
          <w:snapToGrid/>
          <w:szCs w:val="24"/>
        </w:rPr>
        <w:t>New York, NY 10036</w:t>
      </w:r>
    </w:p>
    <w:p w:rsidR="008B4109" w:rsidRPr="00CC2417" w:rsidRDefault="008B4109" w:rsidP="00822552"/>
    <w:p w:rsidR="00EF2AE1" w:rsidRPr="00CC2417" w:rsidRDefault="00EF2AE1" w:rsidP="00822552"/>
    <w:p w:rsidR="0051169B" w:rsidRPr="00CC2417" w:rsidRDefault="00822552" w:rsidP="00591C5D">
      <w:pPr>
        <w:ind w:left="2160" w:hanging="720"/>
        <w:rPr>
          <w:rFonts w:eastAsiaTheme="minorHAnsi"/>
          <w:snapToGrid/>
          <w:szCs w:val="24"/>
        </w:rPr>
      </w:pPr>
      <w:r w:rsidRPr="00CC2417">
        <w:t xml:space="preserve">In re:  </w:t>
      </w:r>
      <w:r w:rsidRPr="00CC2417">
        <w:tab/>
      </w:r>
      <w:r w:rsidR="00BA7AB3" w:rsidRPr="00CC2417">
        <w:rPr>
          <w:rFonts w:eastAsiaTheme="minorHAnsi"/>
          <w:snapToGrid/>
          <w:szCs w:val="24"/>
        </w:rPr>
        <w:t xml:space="preserve">Emergency Petition for Injunction </w:t>
      </w:r>
      <w:r w:rsidR="00F52CA2" w:rsidRPr="00CC2417">
        <w:rPr>
          <w:rFonts w:eastAsiaTheme="minorHAnsi"/>
          <w:snapToGrid/>
          <w:szCs w:val="24"/>
        </w:rPr>
        <w:t>and Sanctions</w:t>
      </w:r>
    </w:p>
    <w:p w:rsidR="0051169B" w:rsidRPr="00CC2417" w:rsidRDefault="00F52CA2" w:rsidP="00591C5D">
      <w:pPr>
        <w:ind w:left="2160" w:hanging="720"/>
      </w:pPr>
      <w:r w:rsidRPr="00CC2417">
        <w:rPr>
          <w:rFonts w:eastAsiaTheme="minorHAnsi"/>
          <w:snapToGrid/>
          <w:szCs w:val="24"/>
        </w:rPr>
        <w:tab/>
        <w:t>MB Docket No. 12-212, CSR-8690-C</w:t>
      </w:r>
    </w:p>
    <w:p w:rsidR="0051169B" w:rsidRPr="00CC2417" w:rsidRDefault="0051169B" w:rsidP="008B4109">
      <w:pPr>
        <w:ind w:left="5040" w:hanging="720"/>
      </w:pPr>
    </w:p>
    <w:p w:rsidR="00822552" w:rsidRPr="00CC2417" w:rsidRDefault="00822552" w:rsidP="00822552">
      <w:pPr>
        <w:rPr>
          <w:sz w:val="16"/>
          <w:szCs w:val="16"/>
        </w:rPr>
      </w:pPr>
    </w:p>
    <w:p w:rsidR="00822552" w:rsidRPr="00CC2417" w:rsidRDefault="00822552" w:rsidP="00822552">
      <w:r w:rsidRPr="00CC2417">
        <w:t xml:space="preserve">Dear </w:t>
      </w:r>
      <w:r w:rsidR="00BA7AB3" w:rsidRPr="00CC2417">
        <w:t xml:space="preserve">Ms. </w:t>
      </w:r>
      <w:r w:rsidR="00F4766D" w:rsidRPr="00CC2417">
        <w:t>Ryder</w:t>
      </w:r>
      <w:r w:rsidR="00BA7AB3" w:rsidRPr="00CC2417">
        <w:t xml:space="preserve"> and </w:t>
      </w:r>
      <w:r w:rsidRPr="00CC2417">
        <w:t>M</w:t>
      </w:r>
      <w:r w:rsidR="006F1C70" w:rsidRPr="00CC2417">
        <w:t>ess</w:t>
      </w:r>
      <w:r w:rsidRPr="00CC2417">
        <w:t>r</w:t>
      </w:r>
      <w:r w:rsidR="006F1C70" w:rsidRPr="00CC2417">
        <w:t>s</w:t>
      </w:r>
      <w:r w:rsidRPr="00CC2417">
        <w:t xml:space="preserve">. </w:t>
      </w:r>
      <w:r w:rsidR="00BA7AB3" w:rsidRPr="00CC2417">
        <w:rPr>
          <w:rFonts w:eastAsiaTheme="minorHAnsi"/>
          <w:snapToGrid/>
          <w:szCs w:val="24"/>
        </w:rPr>
        <w:t>Brill, Murchison</w:t>
      </w:r>
      <w:r w:rsidR="00F4766D" w:rsidRPr="00CC2417">
        <w:rPr>
          <w:rFonts w:eastAsiaTheme="minorHAnsi"/>
          <w:snapToGrid/>
          <w:szCs w:val="24"/>
        </w:rPr>
        <w:t>, and Harrison</w:t>
      </w:r>
      <w:r w:rsidRPr="00CC2417">
        <w:t>:</w:t>
      </w:r>
    </w:p>
    <w:p w:rsidR="00822552" w:rsidRPr="00CC2417" w:rsidRDefault="00822552" w:rsidP="00822552"/>
    <w:p w:rsidR="00EF2AE1" w:rsidRPr="00CC2417" w:rsidRDefault="00AA5185" w:rsidP="00822552">
      <w:r w:rsidRPr="00CC2417">
        <w:t>By this letter</w:t>
      </w:r>
      <w:r w:rsidR="00BA7AB3" w:rsidRPr="00CC2417">
        <w:t xml:space="preserve">, we dismiss the </w:t>
      </w:r>
      <w:r w:rsidR="00F4766D" w:rsidRPr="00CC2417">
        <w:t>P</w:t>
      </w:r>
      <w:r w:rsidR="00BA7AB3" w:rsidRPr="00CC2417">
        <w:t>etition</w:t>
      </w:r>
      <w:r w:rsidRPr="00CC2417">
        <w:t xml:space="preserve"> initiating the above-</w:t>
      </w:r>
      <w:r w:rsidR="00591C5D" w:rsidRPr="00CC2417">
        <w:t>referenced</w:t>
      </w:r>
      <w:r w:rsidRPr="00CC2417">
        <w:t xml:space="preserve"> proceeding and terminate the proceeding.</w:t>
      </w:r>
    </w:p>
    <w:p w:rsidR="008634CB" w:rsidRPr="00CC2417" w:rsidRDefault="008634CB" w:rsidP="00822552"/>
    <w:p w:rsidR="00BA7AB3" w:rsidRPr="00CC2417" w:rsidRDefault="00BA7AB3" w:rsidP="00451871">
      <w:pPr>
        <w:widowControl/>
        <w:autoSpaceDE w:val="0"/>
        <w:autoSpaceDN w:val="0"/>
        <w:adjustRightInd w:val="0"/>
      </w:pPr>
      <w:r w:rsidRPr="00CC2417">
        <w:t xml:space="preserve">On </w:t>
      </w:r>
      <w:r w:rsidR="00F4766D" w:rsidRPr="00CC2417">
        <w:t>July 13</w:t>
      </w:r>
      <w:r w:rsidRPr="00CC2417">
        <w:t>, 201</w:t>
      </w:r>
      <w:r w:rsidR="00F4766D" w:rsidRPr="00CC2417">
        <w:t>2</w:t>
      </w:r>
      <w:r w:rsidRPr="00CC2417">
        <w:t>, Nexstar Broadcasting, Inc. (“Nexstar”), licensee of television station</w:t>
      </w:r>
      <w:r w:rsidR="00F4766D" w:rsidRPr="00CC2417">
        <w:t>s</w:t>
      </w:r>
      <w:r w:rsidRPr="00CC2417">
        <w:t xml:space="preserve"> WBRE-TV</w:t>
      </w:r>
      <w:r w:rsidR="00F4766D" w:rsidRPr="00CC2417">
        <w:t>, WTWO, and WROC-TV (the “Stations”)</w:t>
      </w:r>
      <w:r w:rsidRPr="00CC2417">
        <w:t xml:space="preserve">, filed a </w:t>
      </w:r>
      <w:r w:rsidR="00754699" w:rsidRPr="00CC2417">
        <w:t>P</w:t>
      </w:r>
      <w:r w:rsidRPr="00CC2417">
        <w:t xml:space="preserve">etition asking the Commission to </w:t>
      </w:r>
      <w:r w:rsidR="00F4766D" w:rsidRPr="00CC2417">
        <w:t>direct</w:t>
      </w:r>
      <w:r w:rsidRPr="00CC2417">
        <w:t xml:space="preserve"> Time Warner Cable</w:t>
      </w:r>
      <w:r w:rsidR="00F4766D" w:rsidRPr="00CC2417">
        <w:t xml:space="preserve"> Inc.</w:t>
      </w:r>
      <w:r w:rsidRPr="00CC2417">
        <w:t xml:space="preserve"> (“TW</w:t>
      </w:r>
      <w:r w:rsidR="0023542F" w:rsidRPr="00CC2417">
        <w:t>C</w:t>
      </w:r>
      <w:r w:rsidRPr="00CC2417">
        <w:t xml:space="preserve">”) </w:t>
      </w:r>
      <w:r w:rsidR="00AC5E38" w:rsidRPr="00CC2417">
        <w:t xml:space="preserve">and Bright House Networks, LLC (“Bright House”) </w:t>
      </w:r>
      <w:r w:rsidR="00F4766D" w:rsidRPr="00CC2417">
        <w:t xml:space="preserve">to cease </w:t>
      </w:r>
      <w:r w:rsidRPr="00CC2417">
        <w:t xml:space="preserve">carrying </w:t>
      </w:r>
      <w:r w:rsidR="00F4766D" w:rsidRPr="00CC2417">
        <w:t>the Stations in certain areas</w:t>
      </w:r>
      <w:r w:rsidRPr="00CC2417">
        <w:t>.</w:t>
      </w:r>
      <w:r w:rsidRPr="00CC2417">
        <w:rPr>
          <w:rStyle w:val="FootnoteReference"/>
        </w:rPr>
        <w:footnoteReference w:id="1"/>
      </w:r>
      <w:r w:rsidR="0023542F" w:rsidRPr="00CC2417">
        <w:t xml:space="preserve">  Nexstar alleged that TWC </w:t>
      </w:r>
      <w:r w:rsidR="00F4766D" w:rsidRPr="00CC2417">
        <w:t xml:space="preserve">and Bright House </w:t>
      </w:r>
      <w:r w:rsidR="0023542F" w:rsidRPr="00CC2417">
        <w:t xml:space="preserve">carried </w:t>
      </w:r>
      <w:r w:rsidR="00F4766D" w:rsidRPr="00CC2417">
        <w:t xml:space="preserve">the </w:t>
      </w:r>
      <w:r w:rsidR="00F4766D" w:rsidRPr="00CC2417">
        <w:lastRenderedPageBreak/>
        <w:t xml:space="preserve">Stations </w:t>
      </w:r>
      <w:r w:rsidR="0023542F" w:rsidRPr="00CC2417">
        <w:t xml:space="preserve">outside of their local markets as a replacement for stations with the same network affiliations that TWC </w:t>
      </w:r>
      <w:r w:rsidR="00F4766D" w:rsidRPr="00CC2417">
        <w:t xml:space="preserve">and Bright House </w:t>
      </w:r>
      <w:r w:rsidR="0023542F" w:rsidRPr="00CC2417">
        <w:t>deleted during a retransmission consent dispute with a third party.</w:t>
      </w:r>
      <w:r w:rsidR="0023542F" w:rsidRPr="00CC2417">
        <w:rPr>
          <w:rStyle w:val="FootnoteReference"/>
        </w:rPr>
        <w:footnoteReference w:id="2"/>
      </w:r>
      <w:r w:rsidR="0023542F" w:rsidRPr="00CC2417">
        <w:t xml:space="preserve">  TWC </w:t>
      </w:r>
      <w:r w:rsidR="00F4766D" w:rsidRPr="00CC2417">
        <w:t xml:space="preserve">and Bright House </w:t>
      </w:r>
      <w:r w:rsidR="0023542F" w:rsidRPr="00CC2417">
        <w:t xml:space="preserve">responded that </w:t>
      </w:r>
      <w:r w:rsidR="00F4766D" w:rsidRPr="00CC2417">
        <w:t>their</w:t>
      </w:r>
      <w:r w:rsidR="0023542F" w:rsidRPr="00CC2417">
        <w:t xml:space="preserve"> importation of the distant signals did not violate any FCC rule and was authorized under the parties’ retransmission consent agreement.</w:t>
      </w:r>
      <w:r w:rsidR="0023542F" w:rsidRPr="00CC2417">
        <w:rPr>
          <w:rStyle w:val="FootnoteReference"/>
        </w:rPr>
        <w:footnoteReference w:id="3"/>
      </w:r>
      <w:r w:rsidR="0023542F" w:rsidRPr="00CC2417">
        <w:t xml:space="preserve">  In addition to </w:t>
      </w:r>
      <w:r w:rsidR="00F4766D" w:rsidRPr="00CC2417">
        <w:t>their</w:t>
      </w:r>
      <w:r w:rsidR="0023542F" w:rsidRPr="00CC2417">
        <w:t xml:space="preserve"> response on the merits of the </w:t>
      </w:r>
      <w:r w:rsidR="00F84F0A" w:rsidRPr="00CC2417">
        <w:t>P</w:t>
      </w:r>
      <w:r w:rsidR="0023542F" w:rsidRPr="00CC2417">
        <w:t xml:space="preserve">etition, TWC </w:t>
      </w:r>
      <w:r w:rsidR="00AC5E38" w:rsidRPr="00CC2417">
        <w:t xml:space="preserve">and Bright House </w:t>
      </w:r>
      <w:r w:rsidR="0023542F" w:rsidRPr="00CC2417">
        <w:t xml:space="preserve">stated that the requested relief is “now moot, as </w:t>
      </w:r>
      <w:r w:rsidR="00F4766D" w:rsidRPr="00CC2417">
        <w:t>Respondents have</w:t>
      </w:r>
      <w:r w:rsidR="0023542F" w:rsidRPr="00CC2417">
        <w:t xml:space="preserve"> reached a new retransmission consent agreement with the local stations and ha</w:t>
      </w:r>
      <w:r w:rsidR="00F4766D" w:rsidRPr="00CC2417">
        <w:t>ve</w:t>
      </w:r>
      <w:r w:rsidR="0023542F" w:rsidRPr="00CC2417">
        <w:t xml:space="preserve"> ceased importation of </w:t>
      </w:r>
      <w:r w:rsidR="00F4766D" w:rsidRPr="00CC2417">
        <w:t>Nexstar’s</w:t>
      </w:r>
      <w:r w:rsidR="0023542F" w:rsidRPr="00CC2417">
        <w:t xml:space="preserve"> signals.”</w:t>
      </w:r>
      <w:r w:rsidR="0023542F" w:rsidRPr="00CC2417">
        <w:rPr>
          <w:rStyle w:val="FootnoteReference"/>
        </w:rPr>
        <w:footnoteReference w:id="4"/>
      </w:r>
      <w:r w:rsidR="00866D4B" w:rsidRPr="00CC2417">
        <w:t xml:space="preserve">  While Nexstar acknowledge</w:t>
      </w:r>
      <w:r w:rsidR="00F4766D" w:rsidRPr="00CC2417">
        <w:t>s</w:t>
      </w:r>
      <w:r w:rsidR="00866D4B" w:rsidRPr="00CC2417">
        <w:t xml:space="preserve"> that injunctive remedies are no longer necessary, </w:t>
      </w:r>
      <w:r w:rsidR="00F4766D" w:rsidRPr="00CC2417">
        <w:t>it</w:t>
      </w:r>
      <w:r w:rsidR="00866D4B" w:rsidRPr="00CC2417">
        <w:t xml:space="preserve"> still ask</w:t>
      </w:r>
      <w:r w:rsidR="001F3FAE">
        <w:t>s</w:t>
      </w:r>
      <w:r w:rsidR="00866D4B" w:rsidRPr="00CC2417">
        <w:t xml:space="preserve"> the Commission to </w:t>
      </w:r>
      <w:r w:rsidR="00F4766D" w:rsidRPr="00CC2417">
        <w:t>issue a ruling that TWC must comply with the Commission’s notice requirements</w:t>
      </w:r>
      <w:r w:rsidR="00866D4B" w:rsidRPr="00CC2417">
        <w:t>.</w:t>
      </w:r>
      <w:r w:rsidR="00866D4B" w:rsidRPr="00CC2417">
        <w:rPr>
          <w:rStyle w:val="FootnoteReference"/>
        </w:rPr>
        <w:footnoteReference w:id="5"/>
      </w:r>
      <w:r w:rsidR="00866D4B" w:rsidRPr="00CC2417">
        <w:t xml:space="preserve"> </w:t>
      </w:r>
      <w:r w:rsidR="00C1381D" w:rsidRPr="00CC2417">
        <w:t xml:space="preserve"> The Commission’s rules require a cable operator to “provide written notice to any broadcast television station at least 30 days prior to either deleting from carriage or repositioning that station,” and the cable operator also must provide such notice to the cable system’s subscribers.</w:t>
      </w:r>
      <w:r w:rsidR="00C1381D" w:rsidRPr="00CC2417">
        <w:rPr>
          <w:rStyle w:val="FootnoteReference"/>
        </w:rPr>
        <w:footnoteReference w:id="6"/>
      </w:r>
      <w:r w:rsidR="00C1381D" w:rsidRPr="00CC2417">
        <w:t xml:space="preserve">  In addition, </w:t>
      </w:r>
      <w:r w:rsidR="00487B36" w:rsidRPr="00CC2417">
        <w:t>a cable operator must notify subscribers of “any changes in rates, programming services or channel positions as soon as possible in writing,” with at least 30 days advance notice if the change is within the cable operator’s control.</w:t>
      </w:r>
      <w:r w:rsidR="00487B36" w:rsidRPr="00CC2417">
        <w:rPr>
          <w:rStyle w:val="FootnoteReference"/>
        </w:rPr>
        <w:footnoteReference w:id="7"/>
      </w:r>
    </w:p>
    <w:p w:rsidR="00591C5D" w:rsidRPr="00CC2417" w:rsidRDefault="00591C5D" w:rsidP="00822552"/>
    <w:p w:rsidR="00265C3B" w:rsidRPr="00CC2417" w:rsidRDefault="00866D4B" w:rsidP="00822552">
      <w:r w:rsidRPr="00CC2417">
        <w:t xml:space="preserve">All parties agree that </w:t>
      </w:r>
      <w:r w:rsidR="0017083A" w:rsidRPr="00CC2417">
        <w:t>TWC no longer carries the Stations in the markets at issue</w:t>
      </w:r>
      <w:r w:rsidRPr="00CC2417">
        <w:t xml:space="preserve">.  </w:t>
      </w:r>
      <w:r w:rsidR="0017083A" w:rsidRPr="00CC2417">
        <w:t xml:space="preserve">Accordingly, the requested grant of injunctive relief is now moot.  </w:t>
      </w:r>
      <w:r w:rsidRPr="00CC2417">
        <w:t xml:space="preserve">In addition, we </w:t>
      </w:r>
      <w:r w:rsidR="00C41958" w:rsidRPr="00CC2417">
        <w:t xml:space="preserve">exercise our discretion to </w:t>
      </w:r>
      <w:r w:rsidRPr="00CC2417">
        <w:t>decline to</w:t>
      </w:r>
      <w:r w:rsidR="00AC5E38" w:rsidRPr="00CC2417">
        <w:t xml:space="preserve"> consider</w:t>
      </w:r>
      <w:r w:rsidR="0017083A" w:rsidRPr="00CC2417">
        <w:t xml:space="preserve"> sanctions, and to decline to</w:t>
      </w:r>
      <w:r w:rsidRPr="00CC2417">
        <w:t xml:space="preserve"> </w:t>
      </w:r>
      <w:r w:rsidR="00094ED3" w:rsidRPr="00CC2417">
        <w:t xml:space="preserve">consider </w:t>
      </w:r>
      <w:r w:rsidR="00C41958" w:rsidRPr="00CC2417">
        <w:t>application of</w:t>
      </w:r>
      <w:r w:rsidR="00094ED3" w:rsidRPr="00CC2417">
        <w:t xml:space="preserve"> the notice requirements </w:t>
      </w:r>
      <w:r w:rsidR="00BE79A1" w:rsidRPr="00CC2417">
        <w:t>to</w:t>
      </w:r>
      <w:r w:rsidR="00094ED3" w:rsidRPr="00CC2417">
        <w:t xml:space="preserve"> this adjudicatory proceeding</w:t>
      </w:r>
      <w:r w:rsidRPr="00CC2417">
        <w:t>.</w:t>
      </w:r>
      <w:r w:rsidR="00BE79A1" w:rsidRPr="00CC2417">
        <w:rPr>
          <w:rStyle w:val="FootnoteReference"/>
        </w:rPr>
        <w:footnoteReference w:id="8"/>
      </w:r>
    </w:p>
    <w:p w:rsidR="00305E7A" w:rsidRPr="00CC2417" w:rsidRDefault="00305E7A" w:rsidP="00822552"/>
    <w:p w:rsidR="00754699" w:rsidRPr="00CC2417" w:rsidRDefault="008A54A4" w:rsidP="00822552">
      <w:r w:rsidRPr="00CC2417">
        <w:t>Accordingly, IT IS ORDERED</w:t>
      </w:r>
      <w:r w:rsidR="00BF1CEB" w:rsidRPr="00CC2417">
        <w:t xml:space="preserve"> that the </w:t>
      </w:r>
      <w:r w:rsidR="00260AB8">
        <w:t>Petition</w:t>
      </w:r>
      <w:r w:rsidR="00020C57" w:rsidRPr="00CC2417">
        <w:t xml:space="preserve"> in the </w:t>
      </w:r>
      <w:r w:rsidR="00BF1CEB" w:rsidRPr="00CC2417">
        <w:t>above-</w:t>
      </w:r>
      <w:r w:rsidR="004F41D6" w:rsidRPr="00CC2417">
        <w:t>referenced</w:t>
      </w:r>
      <w:r w:rsidR="00BF1CEB" w:rsidRPr="00CC2417">
        <w:t xml:space="preserve"> </w:t>
      </w:r>
      <w:r w:rsidR="00020C57" w:rsidRPr="00CC2417">
        <w:t xml:space="preserve">proceeding </w:t>
      </w:r>
      <w:r w:rsidRPr="00CC2417">
        <w:t>IS</w:t>
      </w:r>
      <w:r w:rsidR="00BF1CEB" w:rsidRPr="00CC2417">
        <w:t xml:space="preserve"> DISMISSED WITH PREJUDICE and that </w:t>
      </w:r>
      <w:r w:rsidR="00305E7A" w:rsidRPr="00CC2417">
        <w:t>the above-</w:t>
      </w:r>
      <w:r w:rsidR="004F41D6" w:rsidRPr="00CC2417">
        <w:t xml:space="preserve">referenced </w:t>
      </w:r>
      <w:r w:rsidR="00BF1CEB" w:rsidRPr="00CC2417">
        <w:t xml:space="preserve">proceeding </w:t>
      </w:r>
      <w:r w:rsidRPr="00CC2417">
        <w:t>IS</w:t>
      </w:r>
      <w:r w:rsidR="00BF1CEB" w:rsidRPr="00CC2417">
        <w:t xml:space="preserve"> TERMINATED.</w:t>
      </w:r>
      <w:r w:rsidR="004F41D6" w:rsidRPr="00CC2417">
        <w:t xml:space="preserve">  </w:t>
      </w:r>
    </w:p>
    <w:p w:rsidR="00754699" w:rsidRPr="00CC2417" w:rsidRDefault="00754699">
      <w:pPr>
        <w:widowControl/>
        <w:spacing w:after="200" w:line="276" w:lineRule="auto"/>
      </w:pPr>
      <w:r w:rsidRPr="00CC2417">
        <w:br w:type="page"/>
      </w:r>
    </w:p>
    <w:p w:rsidR="00BF1CEB" w:rsidRPr="00CC2417" w:rsidRDefault="00F2788E" w:rsidP="00822552">
      <w:r w:rsidRPr="00CC2417">
        <w:t xml:space="preserve">This action is taken </w:t>
      </w:r>
      <w:r w:rsidR="00BD452B" w:rsidRPr="00CC2417">
        <w:t>under</w:t>
      </w:r>
      <w:r w:rsidRPr="00CC2417">
        <w:t xml:space="preserve"> delegated authority pursuant to Section 0.283 of the Commission’s rules.</w:t>
      </w:r>
      <w:r w:rsidRPr="00CC2417">
        <w:rPr>
          <w:rStyle w:val="FootnoteReference"/>
        </w:rPr>
        <w:footnoteReference w:id="9"/>
      </w:r>
    </w:p>
    <w:p w:rsidR="00BF1CEB" w:rsidRPr="00CC2417" w:rsidRDefault="00BF1CEB" w:rsidP="00822552"/>
    <w:p w:rsidR="00822552" w:rsidRPr="00CC2417" w:rsidRDefault="00822552" w:rsidP="00822552"/>
    <w:p w:rsidR="00822552" w:rsidRPr="00CC2417" w:rsidRDefault="00822552" w:rsidP="00822552">
      <w:r w:rsidRPr="00CC2417">
        <w:tab/>
      </w:r>
      <w:r w:rsidRPr="00CC2417">
        <w:tab/>
      </w:r>
      <w:r w:rsidRPr="00CC2417">
        <w:tab/>
      </w:r>
      <w:r w:rsidRPr="00CC2417">
        <w:tab/>
      </w:r>
      <w:r w:rsidRPr="00CC2417">
        <w:tab/>
      </w:r>
      <w:r w:rsidRPr="00CC2417">
        <w:tab/>
        <w:t xml:space="preserve">Sincerely, </w:t>
      </w:r>
    </w:p>
    <w:p w:rsidR="00822552" w:rsidRPr="00CC2417" w:rsidRDefault="00822552" w:rsidP="00822552"/>
    <w:p w:rsidR="0049711F" w:rsidRPr="00CC2417" w:rsidRDefault="0049711F" w:rsidP="00822552"/>
    <w:p w:rsidR="00822552" w:rsidRPr="00CC2417" w:rsidRDefault="00822552" w:rsidP="00822552"/>
    <w:p w:rsidR="00822552" w:rsidRPr="00CC2417" w:rsidRDefault="00822552" w:rsidP="00822552">
      <w:r w:rsidRPr="00CC2417">
        <w:tab/>
      </w:r>
      <w:r w:rsidRPr="00CC2417">
        <w:tab/>
      </w:r>
      <w:r w:rsidRPr="00CC2417">
        <w:tab/>
      </w:r>
      <w:r w:rsidRPr="00CC2417">
        <w:tab/>
      </w:r>
      <w:r w:rsidRPr="00CC2417">
        <w:tab/>
      </w:r>
      <w:r w:rsidRPr="00CC2417">
        <w:tab/>
      </w:r>
      <w:r w:rsidR="00A22F07" w:rsidRPr="00CC2417">
        <w:t>Steven A. Broeckaert</w:t>
      </w:r>
    </w:p>
    <w:p w:rsidR="00822552" w:rsidRPr="00CC2417" w:rsidRDefault="00822552" w:rsidP="00822552">
      <w:r w:rsidRPr="00CC2417">
        <w:tab/>
      </w:r>
      <w:r w:rsidRPr="00CC2417">
        <w:tab/>
      </w:r>
      <w:r w:rsidRPr="00CC2417">
        <w:tab/>
      </w:r>
      <w:r w:rsidRPr="00CC2417">
        <w:tab/>
      </w:r>
      <w:r w:rsidRPr="00CC2417">
        <w:tab/>
      </w:r>
      <w:r w:rsidRPr="00CC2417">
        <w:tab/>
      </w:r>
      <w:r w:rsidR="00A22F07" w:rsidRPr="00CC2417">
        <w:t xml:space="preserve">Senior Deputy </w:t>
      </w:r>
      <w:r w:rsidRPr="00CC2417">
        <w:t>Chief, Policy Division</w:t>
      </w:r>
    </w:p>
    <w:p w:rsidR="008634CB" w:rsidRDefault="00822552">
      <w:r w:rsidRPr="00CC2417">
        <w:tab/>
      </w:r>
      <w:r w:rsidRPr="00CC2417">
        <w:tab/>
      </w:r>
      <w:r w:rsidRPr="00CC2417">
        <w:tab/>
      </w:r>
      <w:r w:rsidRPr="00CC2417">
        <w:tab/>
      </w:r>
      <w:r w:rsidRPr="00CC2417">
        <w:tab/>
      </w:r>
      <w:r w:rsidRPr="00CC2417">
        <w:tab/>
        <w:t>Media Bureau</w:t>
      </w:r>
    </w:p>
    <w:sectPr w:rsidR="008634CB" w:rsidSect="00B75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E6" w:rsidRDefault="00B630E6">
      <w:r>
        <w:separator/>
      </w:r>
    </w:p>
  </w:endnote>
  <w:endnote w:type="continuationSeparator" w:id="0">
    <w:p w:rsidR="00B630E6" w:rsidRDefault="00B6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A7" w:rsidRDefault="00733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26154"/>
      <w:docPartObj>
        <w:docPartGallery w:val="Page Numbers (Bottom of Page)"/>
        <w:docPartUnique/>
      </w:docPartObj>
    </w:sdtPr>
    <w:sdtEndPr>
      <w:rPr>
        <w:noProof/>
      </w:rPr>
    </w:sdtEndPr>
    <w:sdtContent>
      <w:p w:rsidR="00B756A0" w:rsidRDefault="00B756A0">
        <w:pPr>
          <w:pStyle w:val="Footer"/>
          <w:jc w:val="center"/>
        </w:pPr>
        <w:r>
          <w:fldChar w:fldCharType="begin"/>
        </w:r>
        <w:r>
          <w:instrText xml:space="preserve"> PAGE   \* MERGEFORMAT </w:instrText>
        </w:r>
        <w:r>
          <w:fldChar w:fldCharType="separate"/>
        </w:r>
        <w:r w:rsidR="00300DD1">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A0" w:rsidRDefault="00B756A0">
    <w:pPr>
      <w:pStyle w:val="Footer"/>
      <w:jc w:val="center"/>
    </w:pPr>
  </w:p>
  <w:p w:rsidR="00B756A0" w:rsidRDefault="00B7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E6" w:rsidRDefault="00B630E6">
      <w:r>
        <w:separator/>
      </w:r>
    </w:p>
  </w:footnote>
  <w:footnote w:type="continuationSeparator" w:id="0">
    <w:p w:rsidR="00B630E6" w:rsidRDefault="00B630E6">
      <w:r>
        <w:continuationSeparator/>
      </w:r>
    </w:p>
  </w:footnote>
  <w:footnote w:id="1">
    <w:p w:rsidR="00BA7AB3" w:rsidRPr="00CC2417" w:rsidRDefault="00BA7AB3">
      <w:pPr>
        <w:pStyle w:val="FootnoteText"/>
      </w:pPr>
      <w:r w:rsidRPr="00CC2417">
        <w:rPr>
          <w:rStyle w:val="FootnoteReference"/>
        </w:rPr>
        <w:footnoteRef/>
      </w:r>
      <w:r w:rsidRPr="00CC2417">
        <w:t xml:space="preserve"> Emergency Petition for Injunction </w:t>
      </w:r>
      <w:r w:rsidR="00F4766D" w:rsidRPr="00CC2417">
        <w:t>and Sanctions</w:t>
      </w:r>
      <w:r w:rsidRPr="00CC2417">
        <w:t xml:space="preserve">, </w:t>
      </w:r>
      <w:r w:rsidR="00F4766D" w:rsidRPr="00CC2417">
        <w:t>MB Docket No. 12-212,</w:t>
      </w:r>
      <w:r w:rsidRPr="00CC2417">
        <w:t xml:space="preserve"> filed </w:t>
      </w:r>
      <w:r w:rsidR="00F4766D" w:rsidRPr="00CC2417">
        <w:t>Jul. 13, 2012 (the “Petition”)</w:t>
      </w:r>
      <w:r w:rsidRPr="00CC2417">
        <w:t xml:space="preserve">.  The parties subsequently exchanged responsive pleadings.  </w:t>
      </w:r>
      <w:r w:rsidRPr="00CC2417">
        <w:rPr>
          <w:i/>
        </w:rPr>
        <w:t xml:space="preserve">See </w:t>
      </w:r>
      <w:r w:rsidRPr="00CC2417">
        <w:t xml:space="preserve">Opposition of Time Warner Cable </w:t>
      </w:r>
      <w:r w:rsidR="00F4766D" w:rsidRPr="00CC2417">
        <w:t>and Bright House</w:t>
      </w:r>
      <w:r w:rsidR="002A5395" w:rsidRPr="00CC2417">
        <w:t xml:space="preserve"> Networks</w:t>
      </w:r>
      <w:r w:rsidR="00F4766D" w:rsidRPr="00CC2417">
        <w:t xml:space="preserve"> </w:t>
      </w:r>
      <w:r w:rsidRPr="00CC2417">
        <w:t xml:space="preserve">to Petition for </w:t>
      </w:r>
      <w:r w:rsidR="00F4766D" w:rsidRPr="00CC2417">
        <w:t>Injunction and Sanctions</w:t>
      </w:r>
      <w:r w:rsidRPr="00CC2417">
        <w:t xml:space="preserve">, </w:t>
      </w:r>
      <w:r w:rsidR="00F4766D" w:rsidRPr="00CC2417">
        <w:t>MB Docket No. 12-212,</w:t>
      </w:r>
      <w:r w:rsidRPr="00CC2417">
        <w:t xml:space="preserve"> filed </w:t>
      </w:r>
      <w:r w:rsidR="00F4766D" w:rsidRPr="00CC2417">
        <w:t>Aug. 16</w:t>
      </w:r>
      <w:r w:rsidRPr="00CC2417">
        <w:t>, 201</w:t>
      </w:r>
      <w:r w:rsidR="00F4766D" w:rsidRPr="00CC2417">
        <w:t>2</w:t>
      </w:r>
      <w:r w:rsidR="0023542F" w:rsidRPr="00CC2417">
        <w:t xml:space="preserve"> (“TWC</w:t>
      </w:r>
      <w:r w:rsidR="00F4766D" w:rsidRPr="00CC2417">
        <w:t>/Bright House</w:t>
      </w:r>
      <w:r w:rsidR="0023542F" w:rsidRPr="00CC2417">
        <w:t xml:space="preserve"> Opposition”)</w:t>
      </w:r>
      <w:r w:rsidRPr="00CC2417">
        <w:t xml:space="preserve">; </w:t>
      </w:r>
      <w:r w:rsidR="005009D9" w:rsidRPr="00CC2417">
        <w:t>Reply of Nexstar Broadcasting, Inc. to</w:t>
      </w:r>
      <w:r w:rsidR="00F4766D" w:rsidRPr="00CC2417">
        <w:t xml:space="preserve"> the</w:t>
      </w:r>
      <w:r w:rsidR="005009D9" w:rsidRPr="00CC2417">
        <w:t xml:space="preserve"> Opposition of Time Warner Cable </w:t>
      </w:r>
      <w:r w:rsidR="00F4766D" w:rsidRPr="00CC2417">
        <w:t xml:space="preserve">and Bright House Networks </w:t>
      </w:r>
      <w:r w:rsidR="005009D9" w:rsidRPr="00CC2417">
        <w:t xml:space="preserve">to Emergency Petition for </w:t>
      </w:r>
      <w:r w:rsidR="00F4766D" w:rsidRPr="00CC2417">
        <w:t>Injunction and Sanctions</w:t>
      </w:r>
      <w:r w:rsidR="005009D9" w:rsidRPr="00CC2417">
        <w:t xml:space="preserve">, </w:t>
      </w:r>
      <w:r w:rsidR="00F4766D" w:rsidRPr="00CC2417">
        <w:t>MB Docket No. 12-212,</w:t>
      </w:r>
      <w:r w:rsidR="005009D9" w:rsidRPr="00CC2417">
        <w:t xml:space="preserve"> filed </w:t>
      </w:r>
      <w:r w:rsidR="00F4766D" w:rsidRPr="00CC2417">
        <w:t xml:space="preserve">Aug. 29, 2012 </w:t>
      </w:r>
      <w:r w:rsidR="00866D4B" w:rsidRPr="00CC2417">
        <w:t>(“Nexstar Reply”)</w:t>
      </w:r>
      <w:r w:rsidR="005009D9" w:rsidRPr="00CC2417">
        <w:t>.</w:t>
      </w:r>
    </w:p>
  </w:footnote>
  <w:footnote w:id="2">
    <w:p w:rsidR="0023542F" w:rsidRPr="00CC2417" w:rsidRDefault="0023542F">
      <w:pPr>
        <w:pStyle w:val="FootnoteText"/>
      </w:pPr>
      <w:r w:rsidRPr="00CC2417">
        <w:rPr>
          <w:rStyle w:val="FootnoteReference"/>
        </w:rPr>
        <w:footnoteRef/>
      </w:r>
      <w:r w:rsidRPr="00CC2417">
        <w:t xml:space="preserve"> </w:t>
      </w:r>
      <w:r w:rsidRPr="00CC2417">
        <w:rPr>
          <w:i/>
        </w:rPr>
        <w:t xml:space="preserve">See </w:t>
      </w:r>
      <w:r w:rsidR="00F4766D" w:rsidRPr="00CC2417">
        <w:t>Petition at 3-4.</w:t>
      </w:r>
    </w:p>
  </w:footnote>
  <w:footnote w:id="3">
    <w:p w:rsidR="0023542F" w:rsidRPr="00CC2417" w:rsidRDefault="0023542F">
      <w:pPr>
        <w:pStyle w:val="FootnoteText"/>
      </w:pPr>
      <w:r w:rsidRPr="00CC2417">
        <w:rPr>
          <w:rStyle w:val="FootnoteReference"/>
        </w:rPr>
        <w:footnoteRef/>
      </w:r>
      <w:r w:rsidRPr="00CC2417">
        <w:t xml:space="preserve"> </w:t>
      </w:r>
      <w:r w:rsidRPr="00CC2417">
        <w:rPr>
          <w:i/>
        </w:rPr>
        <w:t xml:space="preserve">See </w:t>
      </w:r>
      <w:r w:rsidRPr="00CC2417">
        <w:t>TWC Opposition</w:t>
      </w:r>
      <w:r w:rsidR="00F84F0A" w:rsidRPr="00CC2417">
        <w:t xml:space="preserve"> at 2</w:t>
      </w:r>
      <w:r w:rsidRPr="00CC2417">
        <w:t>.</w:t>
      </w:r>
    </w:p>
  </w:footnote>
  <w:footnote w:id="4">
    <w:p w:rsidR="0023542F" w:rsidRPr="00CC2417" w:rsidRDefault="0023542F">
      <w:pPr>
        <w:pStyle w:val="FootnoteText"/>
      </w:pPr>
      <w:r w:rsidRPr="00CC2417">
        <w:rPr>
          <w:rStyle w:val="FootnoteReference"/>
        </w:rPr>
        <w:footnoteRef/>
      </w:r>
      <w:r w:rsidRPr="00CC2417">
        <w:t xml:space="preserve"> </w:t>
      </w:r>
      <w:r w:rsidRPr="00CC2417">
        <w:rPr>
          <w:i/>
        </w:rPr>
        <w:t>Id</w:t>
      </w:r>
      <w:r w:rsidRPr="00CC2417">
        <w:t>.</w:t>
      </w:r>
    </w:p>
  </w:footnote>
  <w:footnote w:id="5">
    <w:p w:rsidR="00866D4B" w:rsidRPr="00CC2417" w:rsidRDefault="00866D4B">
      <w:pPr>
        <w:pStyle w:val="FootnoteText"/>
      </w:pPr>
      <w:r w:rsidRPr="00CC2417">
        <w:rPr>
          <w:rStyle w:val="FootnoteReference"/>
        </w:rPr>
        <w:footnoteRef/>
      </w:r>
      <w:r w:rsidRPr="00CC2417">
        <w:t xml:space="preserve"> Nexstar Reply at </w:t>
      </w:r>
      <w:r w:rsidR="00F4766D" w:rsidRPr="00CC2417">
        <w:t>6-7</w:t>
      </w:r>
      <w:r w:rsidRPr="00CC2417">
        <w:t>.</w:t>
      </w:r>
    </w:p>
  </w:footnote>
  <w:footnote w:id="6">
    <w:p w:rsidR="00C1381D" w:rsidRPr="00CC2417" w:rsidRDefault="00C1381D">
      <w:pPr>
        <w:pStyle w:val="FootnoteText"/>
      </w:pPr>
      <w:r w:rsidRPr="00CC2417">
        <w:rPr>
          <w:rStyle w:val="FootnoteReference"/>
        </w:rPr>
        <w:footnoteRef/>
      </w:r>
      <w:r w:rsidRPr="00CC2417">
        <w:t xml:space="preserve"> 47 C.F.R. § 76.1601.</w:t>
      </w:r>
    </w:p>
  </w:footnote>
  <w:footnote w:id="7">
    <w:p w:rsidR="00487B36" w:rsidRPr="00CC2417" w:rsidRDefault="00487B36">
      <w:pPr>
        <w:pStyle w:val="FootnoteText"/>
      </w:pPr>
      <w:r w:rsidRPr="00CC2417">
        <w:rPr>
          <w:rStyle w:val="FootnoteReference"/>
        </w:rPr>
        <w:footnoteRef/>
      </w:r>
      <w:r w:rsidRPr="00CC2417">
        <w:t xml:space="preserve"> </w:t>
      </w:r>
      <w:r w:rsidRPr="00CC2417">
        <w:rPr>
          <w:i/>
        </w:rPr>
        <w:t>Id.</w:t>
      </w:r>
      <w:r w:rsidRPr="00CC2417">
        <w:t xml:space="preserve"> § 76.1603(b).</w:t>
      </w:r>
    </w:p>
  </w:footnote>
  <w:footnote w:id="8">
    <w:p w:rsidR="00BE79A1" w:rsidRPr="00CC2417" w:rsidRDefault="00BE79A1">
      <w:pPr>
        <w:pStyle w:val="FootnoteText"/>
      </w:pPr>
      <w:r w:rsidRPr="00CC2417">
        <w:rPr>
          <w:rStyle w:val="FootnoteReference"/>
        </w:rPr>
        <w:footnoteRef/>
      </w:r>
      <w:r w:rsidRPr="00CC2417">
        <w:t xml:space="preserve"> </w:t>
      </w:r>
      <w:r w:rsidR="006C27EB" w:rsidRPr="00CC2417">
        <w:rPr>
          <w:i/>
        </w:rPr>
        <w:t xml:space="preserve">See </w:t>
      </w:r>
      <w:r w:rsidR="00854EAE" w:rsidRPr="00CC2417">
        <w:t xml:space="preserve">47 C.F.R. § 1.2(a) (“The Commission </w:t>
      </w:r>
      <w:r w:rsidR="00854EAE" w:rsidRPr="00CC2417">
        <w:rPr>
          <w:i/>
        </w:rPr>
        <w:t>may</w:t>
      </w:r>
      <w:r w:rsidR="00854EAE" w:rsidRPr="00CC2417">
        <w:t xml:space="preserve">, in accordance with section 5(d) of the Administrative Procedure Act, on motion or on its own motion issue a declaratory ruling terminating a controversy or removing uncertainty.”) (emphasis added); </w:t>
      </w:r>
      <w:r w:rsidR="006C27EB" w:rsidRPr="00CC2417">
        <w:rPr>
          <w:i/>
        </w:rPr>
        <w:t>ACC Licensee, Inc. v. Shentel Telecommunications Company</w:t>
      </w:r>
      <w:r w:rsidR="006C27EB" w:rsidRPr="00CC2417">
        <w:t xml:space="preserve">, Memorandum Opinion and Order, MB Docket No. 12-5, 27 FCC Rcd 7584, </w:t>
      </w:r>
      <w:r w:rsidR="00FE07D1" w:rsidRPr="00CC2417">
        <w:t xml:space="preserve">7591, ¶ 18 </w:t>
      </w:r>
      <w:r w:rsidR="006C27EB" w:rsidRPr="00CC2417">
        <w:t>(MB, 2012) (declining to address alleged notice violations, noting the Commission’s discretion not to enforce the notice requirements in all instances).</w:t>
      </w:r>
    </w:p>
  </w:footnote>
  <w:footnote w:id="9">
    <w:p w:rsidR="00F2788E" w:rsidRDefault="00F2788E" w:rsidP="00F2788E">
      <w:pPr>
        <w:pStyle w:val="FootnoteText"/>
      </w:pPr>
      <w:r w:rsidRPr="00CC2417">
        <w:rPr>
          <w:rStyle w:val="FootnoteReference"/>
        </w:rPr>
        <w:footnoteRef/>
      </w:r>
      <w:r w:rsidRPr="00CC2417">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A7" w:rsidRDefault="0073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AC010A">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72473209"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20C57"/>
    <w:rsid w:val="00064A12"/>
    <w:rsid w:val="0007245F"/>
    <w:rsid w:val="00094ED3"/>
    <w:rsid w:val="000B3531"/>
    <w:rsid w:val="000D4F5B"/>
    <w:rsid w:val="000E7429"/>
    <w:rsid w:val="0017083A"/>
    <w:rsid w:val="001955DC"/>
    <w:rsid w:val="001F12BA"/>
    <w:rsid w:val="001F3FAE"/>
    <w:rsid w:val="001F725F"/>
    <w:rsid w:val="0023542F"/>
    <w:rsid w:val="00260AB8"/>
    <w:rsid w:val="00265C3B"/>
    <w:rsid w:val="002750D0"/>
    <w:rsid w:val="00295616"/>
    <w:rsid w:val="002A5395"/>
    <w:rsid w:val="002E201C"/>
    <w:rsid w:val="002F255B"/>
    <w:rsid w:val="002F45C9"/>
    <w:rsid w:val="00300DD1"/>
    <w:rsid w:val="00305E7A"/>
    <w:rsid w:val="00341CF8"/>
    <w:rsid w:val="00397D6A"/>
    <w:rsid w:val="003A6417"/>
    <w:rsid w:val="003D4D0C"/>
    <w:rsid w:val="00451871"/>
    <w:rsid w:val="00481406"/>
    <w:rsid w:val="004877F2"/>
    <w:rsid w:val="00487B36"/>
    <w:rsid w:val="0049711F"/>
    <w:rsid w:val="00497574"/>
    <w:rsid w:val="004C184A"/>
    <w:rsid w:val="004F41D6"/>
    <w:rsid w:val="005009D9"/>
    <w:rsid w:val="0051169B"/>
    <w:rsid w:val="0053500B"/>
    <w:rsid w:val="00536AE1"/>
    <w:rsid w:val="00537DC7"/>
    <w:rsid w:val="00591C5D"/>
    <w:rsid w:val="00604B94"/>
    <w:rsid w:val="006523C3"/>
    <w:rsid w:val="006576D7"/>
    <w:rsid w:val="006B0C08"/>
    <w:rsid w:val="006B62DF"/>
    <w:rsid w:val="006C27EB"/>
    <w:rsid w:val="006E62AC"/>
    <w:rsid w:val="006F1C70"/>
    <w:rsid w:val="006F7432"/>
    <w:rsid w:val="006F7AA6"/>
    <w:rsid w:val="007332A7"/>
    <w:rsid w:val="00754699"/>
    <w:rsid w:val="00762972"/>
    <w:rsid w:val="007B14F4"/>
    <w:rsid w:val="007C716F"/>
    <w:rsid w:val="007E3A68"/>
    <w:rsid w:val="007F0825"/>
    <w:rsid w:val="00822552"/>
    <w:rsid w:val="00854EAE"/>
    <w:rsid w:val="008634CB"/>
    <w:rsid w:val="00866D4B"/>
    <w:rsid w:val="008A0118"/>
    <w:rsid w:val="008A54A4"/>
    <w:rsid w:val="008B4109"/>
    <w:rsid w:val="008F11F5"/>
    <w:rsid w:val="008F7E7D"/>
    <w:rsid w:val="009D1A0B"/>
    <w:rsid w:val="00A076D7"/>
    <w:rsid w:val="00A22F07"/>
    <w:rsid w:val="00A9661E"/>
    <w:rsid w:val="00AA5185"/>
    <w:rsid w:val="00AB6316"/>
    <w:rsid w:val="00AC010A"/>
    <w:rsid w:val="00AC2ADD"/>
    <w:rsid w:val="00AC5E38"/>
    <w:rsid w:val="00B41807"/>
    <w:rsid w:val="00B60722"/>
    <w:rsid w:val="00B630E6"/>
    <w:rsid w:val="00B6605E"/>
    <w:rsid w:val="00B74F9C"/>
    <w:rsid w:val="00B756A0"/>
    <w:rsid w:val="00B76077"/>
    <w:rsid w:val="00BA7AB3"/>
    <w:rsid w:val="00BB2B85"/>
    <w:rsid w:val="00BD452B"/>
    <w:rsid w:val="00BD6E4C"/>
    <w:rsid w:val="00BE79A1"/>
    <w:rsid w:val="00BF1CEB"/>
    <w:rsid w:val="00C1308E"/>
    <w:rsid w:val="00C1381D"/>
    <w:rsid w:val="00C41958"/>
    <w:rsid w:val="00C809A2"/>
    <w:rsid w:val="00CA5844"/>
    <w:rsid w:val="00CC2417"/>
    <w:rsid w:val="00CD1D67"/>
    <w:rsid w:val="00D01B96"/>
    <w:rsid w:val="00D2690B"/>
    <w:rsid w:val="00D51A86"/>
    <w:rsid w:val="00D735A3"/>
    <w:rsid w:val="00D86C07"/>
    <w:rsid w:val="00DA5905"/>
    <w:rsid w:val="00DE6734"/>
    <w:rsid w:val="00E12D4B"/>
    <w:rsid w:val="00EE216B"/>
    <w:rsid w:val="00EF2AE1"/>
    <w:rsid w:val="00EF3E19"/>
    <w:rsid w:val="00F2788E"/>
    <w:rsid w:val="00F31CF3"/>
    <w:rsid w:val="00F4766D"/>
    <w:rsid w:val="00F52CA2"/>
    <w:rsid w:val="00F84F0A"/>
    <w:rsid w:val="00FD40E2"/>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2618</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2014-07-21T16:27:00Z</cp:lastPrinted>
  <dcterms:created xsi:type="dcterms:W3CDTF">2014-09-17T19:34:00Z</dcterms:created>
  <dcterms:modified xsi:type="dcterms:W3CDTF">2014-09-17T19:34:00Z</dcterms:modified>
  <cp:category> </cp:category>
  <cp:contentStatus> </cp:contentStatus>
</cp:coreProperties>
</file>