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B" w:rsidRPr="009270C5" w:rsidRDefault="0095499B">
      <w:pPr>
        <w:pStyle w:val="Header"/>
        <w:tabs>
          <w:tab w:val="clear" w:pos="4320"/>
          <w:tab w:val="clear" w:pos="8640"/>
        </w:tabs>
        <w:rPr>
          <w:szCs w:val="22"/>
        </w:rPr>
        <w:sectPr w:rsidR="0095499B" w:rsidRPr="009270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A63F4A" w:rsidRDefault="00A63F4A" w:rsidP="00D30064">
      <w:pPr>
        <w:jc w:val="right"/>
        <w:rPr>
          <w:b/>
          <w:szCs w:val="22"/>
        </w:rPr>
      </w:pPr>
      <w:r>
        <w:rPr>
          <w:b/>
          <w:szCs w:val="22"/>
        </w:rPr>
        <w:lastRenderedPageBreak/>
        <w:t>DA 1</w:t>
      </w:r>
      <w:r w:rsidR="00502FF3">
        <w:rPr>
          <w:b/>
          <w:szCs w:val="22"/>
        </w:rPr>
        <w:t>4</w:t>
      </w:r>
      <w:r>
        <w:rPr>
          <w:b/>
          <w:szCs w:val="22"/>
        </w:rPr>
        <w:t>-</w:t>
      </w:r>
      <w:r w:rsidR="003C04D1">
        <w:rPr>
          <w:b/>
          <w:szCs w:val="22"/>
        </w:rPr>
        <w:t>1370</w:t>
      </w:r>
    </w:p>
    <w:p w:rsidR="00A63F4A" w:rsidRDefault="00A63F4A" w:rsidP="00EA3013">
      <w:pPr>
        <w:jc w:val="right"/>
        <w:rPr>
          <w:b/>
          <w:szCs w:val="22"/>
        </w:rPr>
      </w:pPr>
      <w:r>
        <w:rPr>
          <w:b/>
          <w:szCs w:val="22"/>
        </w:rPr>
        <w:t xml:space="preserve">Released: </w:t>
      </w:r>
      <w:r w:rsidR="00502FF3">
        <w:rPr>
          <w:b/>
          <w:szCs w:val="22"/>
        </w:rPr>
        <w:t>September</w:t>
      </w:r>
      <w:r w:rsidR="00B16AC4">
        <w:rPr>
          <w:b/>
          <w:szCs w:val="22"/>
        </w:rPr>
        <w:t xml:space="preserve"> </w:t>
      </w:r>
      <w:r w:rsidR="008F354E">
        <w:rPr>
          <w:b/>
          <w:szCs w:val="22"/>
        </w:rPr>
        <w:t>22</w:t>
      </w:r>
      <w:r>
        <w:rPr>
          <w:b/>
          <w:szCs w:val="22"/>
        </w:rPr>
        <w:t>, 201</w:t>
      </w:r>
      <w:r w:rsidR="00502FF3">
        <w:rPr>
          <w:b/>
          <w:szCs w:val="22"/>
        </w:rPr>
        <w:t>4</w:t>
      </w:r>
    </w:p>
    <w:p w:rsidR="002B4429" w:rsidRDefault="002B4429" w:rsidP="00EA3013">
      <w:pPr>
        <w:jc w:val="right"/>
        <w:rPr>
          <w:b/>
          <w:szCs w:val="22"/>
        </w:rPr>
      </w:pPr>
    </w:p>
    <w:p w:rsidR="00E31BAE" w:rsidRDefault="00A63F4A">
      <w:pPr>
        <w:jc w:val="center"/>
        <w:rPr>
          <w:b/>
          <w:bCs/>
        </w:rPr>
      </w:pPr>
      <w:r>
        <w:rPr>
          <w:b/>
          <w:bCs/>
        </w:rPr>
        <w:t xml:space="preserve">WIRELINE COMPETITION BUREAU SEEKS COMMENT ON </w:t>
      </w:r>
    </w:p>
    <w:p w:rsidR="00E31BAE" w:rsidRDefault="00502FF3">
      <w:pPr>
        <w:jc w:val="center"/>
        <w:rPr>
          <w:b/>
          <w:szCs w:val="22"/>
        </w:rPr>
      </w:pPr>
      <w:r>
        <w:rPr>
          <w:b/>
          <w:bCs/>
        </w:rPr>
        <w:t>ETS TELEPHONE COMPANY</w:t>
      </w:r>
      <w:r w:rsidR="00111935">
        <w:rPr>
          <w:b/>
          <w:bCs/>
        </w:rPr>
        <w:t xml:space="preserve">, INC. </w:t>
      </w:r>
      <w:r w:rsidR="00A63F4A">
        <w:rPr>
          <w:b/>
          <w:bCs/>
        </w:rPr>
        <w:t xml:space="preserve">PETITION </w:t>
      </w:r>
      <w:r w:rsidR="0030653C">
        <w:rPr>
          <w:b/>
          <w:szCs w:val="22"/>
        </w:rPr>
        <w:t>TO WAIVE THE DEFINITION OF</w:t>
      </w:r>
    </w:p>
    <w:p w:rsidR="0030653C" w:rsidRDefault="0030653C">
      <w:pPr>
        <w:jc w:val="center"/>
        <w:rPr>
          <w:b/>
          <w:szCs w:val="22"/>
        </w:rPr>
      </w:pPr>
      <w:r>
        <w:rPr>
          <w:b/>
          <w:szCs w:val="22"/>
        </w:rPr>
        <w:t xml:space="preserve"> “STUDY AREA” AS CODIFIED IN PART 36 OF THE COMMISSION’S RULES </w:t>
      </w:r>
    </w:p>
    <w:p w:rsidR="00A63F4A" w:rsidRDefault="00A63F4A" w:rsidP="00D30064">
      <w:pPr>
        <w:suppressAutoHyphens/>
        <w:rPr>
          <w:b/>
          <w:bCs/>
        </w:rPr>
      </w:pPr>
    </w:p>
    <w:p w:rsidR="0030653C" w:rsidRDefault="0030653C" w:rsidP="00EA3013">
      <w:pPr>
        <w:jc w:val="center"/>
        <w:rPr>
          <w:b/>
          <w:szCs w:val="22"/>
        </w:rPr>
      </w:pPr>
      <w:r>
        <w:rPr>
          <w:b/>
          <w:szCs w:val="22"/>
        </w:rPr>
        <w:t>CC Docket No. 96-45</w:t>
      </w:r>
    </w:p>
    <w:p w:rsidR="00A63F4A" w:rsidRDefault="00A63F4A" w:rsidP="00EA3013">
      <w:pPr>
        <w:rPr>
          <w:b/>
          <w:szCs w:val="22"/>
        </w:rPr>
      </w:pPr>
    </w:p>
    <w:p w:rsidR="00A63F4A" w:rsidRDefault="00A63F4A" w:rsidP="00A63F4A">
      <w:pPr>
        <w:rPr>
          <w:b/>
          <w:szCs w:val="22"/>
        </w:rPr>
      </w:pPr>
      <w:r>
        <w:rPr>
          <w:b/>
          <w:szCs w:val="22"/>
        </w:rPr>
        <w:t xml:space="preserve">Comment Date: </w:t>
      </w:r>
      <w:r w:rsidR="00404F35">
        <w:rPr>
          <w:b/>
          <w:szCs w:val="22"/>
        </w:rPr>
        <w:t xml:space="preserve">October </w:t>
      </w:r>
      <w:r w:rsidR="00A2478B">
        <w:rPr>
          <w:b/>
          <w:szCs w:val="22"/>
        </w:rPr>
        <w:t>2</w:t>
      </w:r>
      <w:r w:rsidR="008F354E">
        <w:rPr>
          <w:b/>
          <w:szCs w:val="22"/>
        </w:rPr>
        <w:t>2</w:t>
      </w:r>
      <w:r>
        <w:rPr>
          <w:b/>
          <w:szCs w:val="22"/>
        </w:rPr>
        <w:t>, 201</w:t>
      </w:r>
      <w:r w:rsidR="004E4BFD">
        <w:rPr>
          <w:b/>
          <w:szCs w:val="22"/>
        </w:rPr>
        <w:t>4</w:t>
      </w:r>
    </w:p>
    <w:p w:rsidR="00A63F4A" w:rsidRDefault="00A63F4A" w:rsidP="00A63F4A">
      <w:pPr>
        <w:rPr>
          <w:b/>
          <w:szCs w:val="22"/>
        </w:rPr>
      </w:pPr>
      <w:r>
        <w:rPr>
          <w:b/>
          <w:szCs w:val="22"/>
        </w:rPr>
        <w:t xml:space="preserve">Reply Comment Date: </w:t>
      </w:r>
      <w:r w:rsidR="00404F35">
        <w:rPr>
          <w:b/>
          <w:szCs w:val="22"/>
        </w:rPr>
        <w:t xml:space="preserve">November </w:t>
      </w:r>
      <w:r w:rsidR="008F354E">
        <w:rPr>
          <w:b/>
          <w:szCs w:val="22"/>
        </w:rPr>
        <w:t>6</w:t>
      </w:r>
      <w:r>
        <w:rPr>
          <w:b/>
          <w:szCs w:val="22"/>
        </w:rPr>
        <w:t>, 201</w:t>
      </w:r>
      <w:r w:rsidR="004E4BFD">
        <w:rPr>
          <w:b/>
          <w:szCs w:val="22"/>
        </w:rPr>
        <w:t>4</w:t>
      </w:r>
    </w:p>
    <w:p w:rsidR="00A63F4A" w:rsidRDefault="00A63F4A" w:rsidP="00A63F4A">
      <w:pPr>
        <w:rPr>
          <w:szCs w:val="22"/>
        </w:rPr>
      </w:pPr>
    </w:p>
    <w:p w:rsidR="00B16389" w:rsidRDefault="00A63F4A" w:rsidP="00D30064">
      <w:pPr>
        <w:autoSpaceDE w:val="0"/>
        <w:autoSpaceDN w:val="0"/>
        <w:adjustRightInd w:val="0"/>
        <w:spacing w:after="120"/>
        <w:rPr>
          <w:szCs w:val="22"/>
        </w:rPr>
      </w:pPr>
      <w:r>
        <w:rPr>
          <w:szCs w:val="22"/>
        </w:rPr>
        <w:tab/>
        <w:t>The Wireline Competition Bureau (Bureau) seeks comment on</w:t>
      </w:r>
      <w:r w:rsidR="00A566CA">
        <w:rPr>
          <w:szCs w:val="22"/>
        </w:rPr>
        <w:t xml:space="preserve"> a</w:t>
      </w:r>
      <w:r w:rsidR="003C19CD">
        <w:rPr>
          <w:szCs w:val="22"/>
        </w:rPr>
        <w:t xml:space="preserve"> </w:t>
      </w:r>
      <w:r w:rsidR="00111935">
        <w:rPr>
          <w:szCs w:val="22"/>
        </w:rPr>
        <w:t>petition</w:t>
      </w:r>
      <w:r>
        <w:rPr>
          <w:szCs w:val="22"/>
        </w:rPr>
        <w:t xml:space="preserve"> filed by </w:t>
      </w:r>
      <w:r w:rsidR="00502FF3">
        <w:rPr>
          <w:sz w:val="23"/>
          <w:szCs w:val="23"/>
        </w:rPr>
        <w:t>ETS Telephone Company</w:t>
      </w:r>
      <w:r w:rsidR="00111935">
        <w:rPr>
          <w:sz w:val="23"/>
          <w:szCs w:val="23"/>
        </w:rPr>
        <w:t>, Inc. (</w:t>
      </w:r>
      <w:r w:rsidR="00502FF3">
        <w:rPr>
          <w:sz w:val="23"/>
          <w:szCs w:val="23"/>
        </w:rPr>
        <w:t>ETS</w:t>
      </w:r>
      <w:r w:rsidR="00111935">
        <w:rPr>
          <w:sz w:val="23"/>
          <w:szCs w:val="23"/>
        </w:rPr>
        <w:t>)</w:t>
      </w:r>
      <w:r>
        <w:rPr>
          <w:szCs w:val="22"/>
        </w:rPr>
        <w:t xml:space="preserve"> </w:t>
      </w:r>
      <w:r w:rsidR="0030653C">
        <w:rPr>
          <w:szCs w:val="22"/>
        </w:rPr>
        <w:t>for</w:t>
      </w:r>
      <w:r w:rsidR="00A566CA">
        <w:rPr>
          <w:szCs w:val="22"/>
        </w:rPr>
        <w:t xml:space="preserve"> waiver of the definition of the</w:t>
      </w:r>
      <w:r w:rsidR="003C19CD">
        <w:rPr>
          <w:szCs w:val="22"/>
        </w:rPr>
        <w:t xml:space="preserve"> </w:t>
      </w:r>
      <w:r w:rsidR="00E31BAE">
        <w:rPr>
          <w:szCs w:val="22"/>
        </w:rPr>
        <w:t>s</w:t>
      </w:r>
      <w:r w:rsidR="00A566CA">
        <w:rPr>
          <w:szCs w:val="22"/>
        </w:rPr>
        <w:t xml:space="preserve">tudy </w:t>
      </w:r>
      <w:r w:rsidR="00E31BAE">
        <w:rPr>
          <w:szCs w:val="22"/>
        </w:rPr>
        <w:t>area</w:t>
      </w:r>
      <w:r w:rsidR="00DC2772">
        <w:rPr>
          <w:szCs w:val="22"/>
        </w:rPr>
        <w:t xml:space="preserve"> </w:t>
      </w:r>
      <w:r>
        <w:rPr>
          <w:szCs w:val="22"/>
        </w:rPr>
        <w:t xml:space="preserve">boundary </w:t>
      </w:r>
      <w:r w:rsidR="003C19CD">
        <w:rPr>
          <w:szCs w:val="22"/>
        </w:rPr>
        <w:t>rules codified in part 36 of the Commission’s rules</w:t>
      </w:r>
      <w:r w:rsidR="00F23619">
        <w:rPr>
          <w:szCs w:val="22"/>
        </w:rPr>
        <w:t>.</w:t>
      </w:r>
      <w:r w:rsidR="00F23619">
        <w:rPr>
          <w:szCs w:val="22"/>
          <w:vertAlign w:val="superscript"/>
        </w:rPr>
        <w:footnoteReference w:id="1"/>
      </w:r>
      <w:r w:rsidR="00F23619">
        <w:rPr>
          <w:szCs w:val="22"/>
        </w:rPr>
        <w:t xml:space="preserve"> </w:t>
      </w:r>
      <w:r w:rsidR="00EA3013">
        <w:rPr>
          <w:szCs w:val="22"/>
        </w:rPr>
        <w:t xml:space="preserve"> </w:t>
      </w:r>
      <w:r w:rsidR="00F23619">
        <w:rPr>
          <w:szCs w:val="22"/>
        </w:rPr>
        <w:t xml:space="preserve">The purpose of the petition is </w:t>
      </w:r>
      <w:r w:rsidR="00F23619">
        <w:rPr>
          <w:sz w:val="24"/>
          <w:szCs w:val="24"/>
        </w:rPr>
        <w:t xml:space="preserve">to permit ETS to continue to operate as an incumbent local exchange carrier throughout its existing study area that was created pursuant to an order </w:t>
      </w:r>
      <w:r w:rsidR="00E656BA">
        <w:rPr>
          <w:sz w:val="24"/>
          <w:szCs w:val="24"/>
        </w:rPr>
        <w:t>by</w:t>
      </w:r>
      <w:r w:rsidR="00F23619">
        <w:rPr>
          <w:sz w:val="24"/>
          <w:szCs w:val="24"/>
        </w:rPr>
        <w:t xml:space="preserve"> the Commission in 1996.</w:t>
      </w:r>
      <w:r w:rsidR="00F23619">
        <w:rPr>
          <w:rStyle w:val="FootnoteReference"/>
          <w:sz w:val="24"/>
          <w:szCs w:val="24"/>
        </w:rPr>
        <w:footnoteReference w:id="2"/>
      </w:r>
      <w:r w:rsidR="00F23619">
        <w:rPr>
          <w:sz w:val="24"/>
          <w:szCs w:val="24"/>
        </w:rPr>
        <w:t xml:space="preserve"> </w:t>
      </w:r>
      <w:r w:rsidR="00EA3013">
        <w:rPr>
          <w:sz w:val="24"/>
          <w:szCs w:val="24"/>
        </w:rPr>
        <w:t xml:space="preserve"> </w:t>
      </w:r>
      <w:r w:rsidR="001E4C10">
        <w:rPr>
          <w:szCs w:val="22"/>
        </w:rPr>
        <w:t>In addition</w:t>
      </w:r>
      <w:r w:rsidR="00E62FD2">
        <w:rPr>
          <w:szCs w:val="22"/>
        </w:rPr>
        <w:t>,</w:t>
      </w:r>
      <w:r w:rsidR="00E62FD2" w:rsidRPr="00E62FD2">
        <w:rPr>
          <w:sz w:val="24"/>
          <w:szCs w:val="24"/>
        </w:rPr>
        <w:t xml:space="preserve"> </w:t>
      </w:r>
      <w:r w:rsidR="00E62FD2">
        <w:rPr>
          <w:sz w:val="24"/>
          <w:szCs w:val="24"/>
        </w:rPr>
        <w:t>ETS seeks waiver of any Commission rule to the extent deemed necessary to permit ETS to continue to receive high-cost universal service support throughout its study area, subject to the generally-applicable reforms being implemented by the Commission.</w:t>
      </w:r>
      <w:r w:rsidR="00E62FD2">
        <w:rPr>
          <w:rStyle w:val="FootnoteReference"/>
          <w:sz w:val="24"/>
          <w:szCs w:val="24"/>
        </w:rPr>
        <w:footnoteReference w:id="3"/>
      </w:r>
      <w:r w:rsidR="00F23619">
        <w:rPr>
          <w:szCs w:val="22"/>
        </w:rPr>
        <w:t xml:space="preserve">  </w:t>
      </w:r>
    </w:p>
    <w:p w:rsidR="00B16389" w:rsidRPr="00E53AF9" w:rsidRDefault="00B16389" w:rsidP="00D30064">
      <w:pPr>
        <w:autoSpaceDE w:val="0"/>
        <w:autoSpaceDN w:val="0"/>
        <w:adjustRightInd w:val="0"/>
        <w:spacing w:after="120"/>
        <w:ind w:firstLine="720"/>
        <w:rPr>
          <w:rFonts w:ascii="TimesNewRomanPSMT" w:hAnsi="TimesNewRomanPSMT" w:cs="TimesNewRomanPSMT"/>
          <w:szCs w:val="22"/>
        </w:rPr>
      </w:pPr>
      <w:r>
        <w:rPr>
          <w:szCs w:val="22"/>
        </w:rPr>
        <w:t xml:space="preserve">We find that it is not appropriate to process this study area waiver petition via the streamlined study area waiver rules adopted in the </w:t>
      </w:r>
      <w:r>
        <w:rPr>
          <w:i/>
          <w:szCs w:val="22"/>
        </w:rPr>
        <w:t>USF/ICC Transformation</w:t>
      </w:r>
      <w:r>
        <w:rPr>
          <w:szCs w:val="22"/>
        </w:rPr>
        <w:t xml:space="preserve"> </w:t>
      </w:r>
      <w:r>
        <w:rPr>
          <w:i/>
          <w:szCs w:val="22"/>
        </w:rPr>
        <w:t>Order</w:t>
      </w:r>
      <w:r>
        <w:rPr>
          <w:szCs w:val="22"/>
        </w:rPr>
        <w:t>.</w:t>
      </w:r>
      <w:r>
        <w:rPr>
          <w:rStyle w:val="FootnoteReference"/>
          <w:szCs w:val="22"/>
        </w:rPr>
        <w:footnoteReference w:id="4"/>
      </w:r>
      <w:r>
        <w:rPr>
          <w:szCs w:val="22"/>
        </w:rPr>
        <w:t xml:space="preserve">  In that</w:t>
      </w:r>
      <w:r>
        <w:rPr>
          <w:i/>
          <w:szCs w:val="22"/>
        </w:rPr>
        <w:t xml:space="preserve"> Order</w:t>
      </w:r>
      <w:r>
        <w:rPr>
          <w:szCs w:val="22"/>
        </w:rPr>
        <w:t xml:space="preserve">, the Commission streamlined its rules governing study area waiver requests, creating a </w:t>
      </w:r>
      <w:r>
        <w:rPr>
          <w:rFonts w:ascii="TimesNewRomanPSMT" w:hAnsi="TimesNewRomanPSMT" w:cs="TimesNewRomanPSMT"/>
          <w:szCs w:val="22"/>
        </w:rPr>
        <w:t>method similar to the Bureau’s processing of routine section 214 transfer of control applications</w:t>
      </w:r>
      <w:r>
        <w:rPr>
          <w:szCs w:val="22"/>
        </w:rPr>
        <w:t>.</w:t>
      </w:r>
      <w:r>
        <w:rPr>
          <w:rStyle w:val="FootnoteReference"/>
          <w:szCs w:val="22"/>
        </w:rPr>
        <w:footnoteReference w:id="5"/>
      </w:r>
      <w:r>
        <w:rPr>
          <w:szCs w:val="22"/>
        </w:rPr>
        <w:t xml:space="preserve">  Under the revised process, if the </w:t>
      </w:r>
      <w:r>
        <w:rPr>
          <w:szCs w:val="22"/>
        </w:rPr>
        <w:lastRenderedPageBreak/>
        <w:t>Bureau concludes that a petition is appropriate for streamlined treatment, the petition will be deemed granted 60 days after the reply comment due date unless the Bureau issues a public notice stating otherwise.</w:t>
      </w:r>
      <w:r>
        <w:rPr>
          <w:rStyle w:val="FootnoteReference"/>
          <w:szCs w:val="22"/>
        </w:rPr>
        <w:footnoteReference w:id="6"/>
      </w:r>
      <w:r>
        <w:rPr>
          <w:szCs w:val="22"/>
        </w:rPr>
        <w:t xml:space="preserve">  </w:t>
      </w:r>
      <w:r>
        <w:rPr>
          <w:rFonts w:ascii="TimesNewRomanPSMT" w:hAnsi="TimesNewRomanPSMT" w:cs="TimesNewRomanPSMT"/>
          <w:szCs w:val="22"/>
        </w:rPr>
        <w:t>Most petitions for study area waiver are routine in nature and are granted as filed without modification</w:t>
      </w:r>
      <w:r w:rsidR="00E31BAE">
        <w:rPr>
          <w:rFonts w:ascii="TimesNewRomanPSMT" w:hAnsi="TimesNewRomanPSMT" w:cs="TimesNewRomanPSMT"/>
          <w:szCs w:val="22"/>
        </w:rPr>
        <w:t>,</w:t>
      </w:r>
      <w:r w:rsidR="009A46EF">
        <w:rPr>
          <w:rFonts w:ascii="TimesNewRomanPSMT" w:hAnsi="TimesNewRomanPSMT" w:cs="TimesNewRomanPSMT"/>
          <w:szCs w:val="22"/>
        </w:rPr>
        <w:t xml:space="preserve"> and t</w:t>
      </w:r>
      <w:r>
        <w:rPr>
          <w:rFonts w:ascii="TimesNewRomanPSMT" w:hAnsi="TimesNewRomanPSMT" w:cs="TimesNewRomanPSMT"/>
          <w:szCs w:val="22"/>
        </w:rPr>
        <w:t>he Commission’s new streamlined procedures were created to specifically address such routine study area waivers.</w:t>
      </w:r>
      <w:r>
        <w:rPr>
          <w:rStyle w:val="FootnoteReference"/>
          <w:rFonts w:ascii="TimesNewRomanPSMT" w:hAnsi="TimesNewRomanPSMT" w:cs="TimesNewRomanPSMT"/>
          <w:szCs w:val="22"/>
        </w:rPr>
        <w:footnoteReference w:id="7"/>
      </w:r>
      <w:r>
        <w:rPr>
          <w:rFonts w:ascii="TimesNewRomanPSMT" w:hAnsi="TimesNewRomanPSMT" w:cs="TimesNewRomanPSMT"/>
          <w:szCs w:val="22"/>
        </w:rPr>
        <w:t xml:space="preserve">  However, if the Bureau has concerns with any aspect of a petition for study area waiver or related waivers, it may find that such petition is inappropriate for streamlined treatment and that it should be subject to further analysis and review.</w:t>
      </w:r>
      <w:r>
        <w:rPr>
          <w:rStyle w:val="FootnoteReference"/>
          <w:rFonts w:ascii="TimesNewRomanPSMT" w:hAnsi="TimesNewRomanPSMT" w:cs="TimesNewRomanPSMT"/>
          <w:szCs w:val="22"/>
        </w:rPr>
        <w:footnoteReference w:id="8"/>
      </w:r>
      <w:r>
        <w:rPr>
          <w:rFonts w:ascii="TimesNewRomanPSMT" w:hAnsi="TimesNewRomanPSMT" w:cs="TimesNewRomanPSMT"/>
          <w:szCs w:val="22"/>
        </w:rPr>
        <w:t xml:space="preserve">  </w:t>
      </w:r>
      <w:r>
        <w:rPr>
          <w:szCs w:val="22"/>
        </w:rPr>
        <w:t>Given the complexities of the issues raised in the Petition, the Bureau finds that the Petition is inappropriate for streamlined treatment and should be subject to further analysis and review.  Accordingly, the Bureau will issue an order either granting or denying the Petition after considering the record, including the record received in response to this public notice.</w:t>
      </w:r>
    </w:p>
    <w:p w:rsidR="00A63F4A" w:rsidRDefault="00A63F4A" w:rsidP="00D30064">
      <w:pPr>
        <w:spacing w:after="120"/>
        <w:ind w:firstLine="720"/>
        <w:rPr>
          <w:rStyle w:val="FootnoteReference"/>
        </w:rPr>
      </w:pPr>
      <w:r>
        <w:rPr>
          <w:color w:val="000000"/>
          <w:szCs w:val="22"/>
        </w:rPr>
        <w:t>Pursuant to sections 1.415 and 1.419 of the Commission’s rules, interested parties may file comments on or before the dates indicated above</w:t>
      </w:r>
      <w:r>
        <w:t>.</w:t>
      </w:r>
      <w:r>
        <w:rPr>
          <w:rStyle w:val="FootnoteReference"/>
        </w:rPr>
        <w:footnoteReference w:id="9"/>
      </w:r>
      <w:r>
        <w:rPr>
          <w:rStyle w:val="FootnoteReference"/>
        </w:rPr>
        <w:t xml:space="preserve"> </w:t>
      </w:r>
      <w:r>
        <w:rPr>
          <w:color w:val="000000"/>
          <w:szCs w:val="22"/>
        </w:rPr>
        <w:t xml:space="preserve"> </w:t>
      </w:r>
      <w:r w:rsidR="00EA3013">
        <w:rPr>
          <w:color w:val="000000"/>
          <w:szCs w:val="22"/>
        </w:rPr>
        <w:t xml:space="preserve"> </w:t>
      </w:r>
      <w:r>
        <w:rPr>
          <w:color w:val="000000"/>
          <w:szCs w:val="22"/>
        </w:rPr>
        <w:t>Comments may be filed using the Commission’s Electronic Comment Filing System (ECFS</w:t>
      </w:r>
      <w:r w:rsidR="00E754D9">
        <w:rPr>
          <w:color w:val="000000"/>
          <w:szCs w:val="22"/>
        </w:rPr>
        <w:t>)</w:t>
      </w:r>
      <w:r w:rsidR="00111935">
        <w:rPr>
          <w:color w:val="000000"/>
          <w:szCs w:val="22"/>
        </w:rPr>
        <w:t xml:space="preserve"> </w:t>
      </w:r>
      <w:r w:rsidR="00111935">
        <w:t>or by filing paper copies</w:t>
      </w:r>
      <w:r>
        <w:t>.</w:t>
      </w:r>
      <w:r>
        <w:rPr>
          <w:rStyle w:val="FootnoteReference"/>
        </w:rPr>
        <w:footnoteReference w:id="10"/>
      </w:r>
    </w:p>
    <w:p w:rsidR="00A63F4A" w:rsidRDefault="00A63F4A" w:rsidP="00D30064">
      <w:pPr>
        <w:numPr>
          <w:ilvl w:val="0"/>
          <w:numId w:val="19"/>
        </w:numPr>
        <w:spacing w:after="120"/>
        <w:rPr>
          <w:szCs w:val="22"/>
        </w:rPr>
      </w:pPr>
      <w:r>
        <w:rPr>
          <w:szCs w:val="22"/>
        </w:rPr>
        <w:t xml:space="preserve">Electronic Filers:  Comments may be filed electronically using the Internet by accessing the ECFS:  </w:t>
      </w:r>
      <w:hyperlink r:id="rId14" w:history="1">
        <w:r>
          <w:rPr>
            <w:rStyle w:val="Hyperlink"/>
          </w:rPr>
          <w:t>http://fjallfoss.fcc.gov/ecfs2/</w:t>
        </w:r>
      </w:hyperlink>
      <w:r>
        <w:rPr>
          <w:szCs w:val="22"/>
        </w:rPr>
        <w:t xml:space="preserve">.  </w:t>
      </w:r>
    </w:p>
    <w:p w:rsidR="00A63F4A" w:rsidRDefault="00A63F4A" w:rsidP="00D30064">
      <w:pPr>
        <w:numPr>
          <w:ilvl w:val="0"/>
          <w:numId w:val="20"/>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A63F4A" w:rsidRDefault="00A63F4A" w:rsidP="00D30064">
      <w:pPr>
        <w:numPr>
          <w:ilvl w:val="1"/>
          <w:numId w:val="20"/>
        </w:numPr>
        <w:spacing w:after="120"/>
      </w:pPr>
      <w:r>
        <w:t>All hand-delivered or messenger-delivered paper filings for the Commission’s Secretary must be delivered to FCC Headquarters at 445 12</w:t>
      </w:r>
      <w:r>
        <w:rPr>
          <w:vertAlign w:val="superscript"/>
        </w:rPr>
        <w:t>th</w:t>
      </w:r>
      <w:r>
        <w:t xml:space="preserve"> St., SW, Room TW-A325,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The filing hours are </w:t>
      </w:r>
      <w:smartTag w:uri="urn:schemas-microsoft-com:office:smarttags" w:element="time">
        <w:smartTagPr>
          <w:attr w:name="Minute" w:val="0"/>
          <w:attr w:name="Hour" w:val="8"/>
        </w:smartTagPr>
        <w:r>
          <w:t>8:00 a.m. to 7:00 p.m.</w:t>
        </w:r>
      </w:smartTag>
      <w:r>
        <w:t xml:space="preserve">   All hand deliveries must be held together with rubber bands or fasteners.  Any envelopes and boxes must be disposed of </w:t>
      </w:r>
      <w:r>
        <w:rPr>
          <w:u w:val="single"/>
        </w:rPr>
        <w:t>before</w:t>
      </w:r>
      <w:r>
        <w:t xml:space="preserve"> entering the building.  </w:t>
      </w:r>
    </w:p>
    <w:p w:rsidR="00A63F4A" w:rsidRDefault="00A63F4A" w:rsidP="00D30064">
      <w:pPr>
        <w:numPr>
          <w:ilvl w:val="1"/>
          <w:numId w:val="20"/>
        </w:numPr>
        <w:spacing w:after="120"/>
      </w:pPr>
      <w:r>
        <w:t>Commercial overnight mail (other than U.S. Postal Service Express Mail and Priority Mail) must be sent to 9300 East Hampton Drive, Capitol Heights, MD  20743.</w:t>
      </w:r>
    </w:p>
    <w:p w:rsidR="00A63F4A" w:rsidRDefault="00A63F4A" w:rsidP="00D30064">
      <w:pPr>
        <w:numPr>
          <w:ilvl w:val="1"/>
          <w:numId w:val="20"/>
        </w:numPr>
        <w:spacing w:after="120"/>
      </w:pPr>
      <w:r>
        <w:t>U.S. Postal Service first-class, Express, and Priority mail must be addressed to 445 12</w:t>
      </w:r>
      <w:r>
        <w:rPr>
          <w:vertAlign w:val="superscript"/>
        </w:rPr>
        <w:t>th</w:t>
      </w:r>
      <w:r>
        <w:t xml:space="preserve"> Street, SW, Washington DC  20554.</w:t>
      </w:r>
    </w:p>
    <w:p w:rsidR="00A63F4A" w:rsidRDefault="00A63F4A" w:rsidP="00D30064">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(tty).</w:t>
      </w:r>
    </w:p>
    <w:p w:rsidR="00A63F4A" w:rsidRDefault="00A63F4A" w:rsidP="00D3006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b/>
          <w:szCs w:val="22"/>
        </w:rPr>
        <w:t xml:space="preserve">In addition, </w:t>
      </w:r>
      <w:r w:rsidR="002B4429">
        <w:rPr>
          <w:b/>
          <w:szCs w:val="22"/>
        </w:rPr>
        <w:t xml:space="preserve">we request that </w:t>
      </w:r>
      <w:r>
        <w:rPr>
          <w:b/>
          <w:szCs w:val="22"/>
        </w:rPr>
        <w:t>one copy of each pleading be sent to each of the following:</w:t>
      </w:r>
      <w:r>
        <w:rPr>
          <w:szCs w:val="22"/>
        </w:rPr>
        <w:t xml:space="preserve">  </w:t>
      </w:r>
    </w:p>
    <w:p w:rsidR="00A63F4A" w:rsidRDefault="00A63F4A" w:rsidP="00D30064">
      <w:pPr>
        <w:numPr>
          <w:ilvl w:val="0"/>
          <w:numId w:val="2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Abdel Eqab, Telecommunications Access Policy Division, Wireline Competition Bureau, 445 12th Street, SW, Room 5-B431, Washington, DC 20554; e-mail:  Abdel-Hamid.Eqab@fcc.gov</w:t>
      </w:r>
      <w:r>
        <w:rPr>
          <w:b/>
          <w:szCs w:val="22"/>
        </w:rPr>
        <w:t xml:space="preserve">; </w:t>
      </w:r>
    </w:p>
    <w:p w:rsidR="00A63F4A" w:rsidRDefault="00A63F4A" w:rsidP="00D3006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p>
    <w:p w:rsidR="00A63F4A" w:rsidRDefault="00A63F4A" w:rsidP="00D30064">
      <w:pPr>
        <w:numPr>
          <w:ilvl w:val="0"/>
          <w:numId w:val="2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smartTag w:uri="urn:schemas-microsoft-com:office:smarttags" w:element="PersonName">
        <w:r>
          <w:rPr>
            <w:szCs w:val="22"/>
          </w:rPr>
          <w:lastRenderedPageBreak/>
          <w:t>Charles Tyler</w:t>
        </w:r>
      </w:smartTag>
      <w:r>
        <w:rPr>
          <w:szCs w:val="22"/>
        </w:rPr>
        <w:t>, Telecommunications Access Policy Division, Wireline Competition Bureau, 445 12th Street, SW, Room 5-A452, Washington, DC 20554; e-mail:  Charles.Tyler@fcc.gov</w:t>
      </w:r>
      <w:r w:rsidR="006126C2">
        <w:rPr>
          <w:szCs w:val="22"/>
        </w:rPr>
        <w:t>;</w:t>
      </w:r>
      <w:r>
        <w:rPr>
          <w:szCs w:val="22"/>
        </w:rPr>
        <w:t xml:space="preserve"> </w:t>
      </w:r>
    </w:p>
    <w:p w:rsidR="006126C2" w:rsidRPr="006126C2" w:rsidRDefault="00A2478B" w:rsidP="00D30064">
      <w:pPr>
        <w:numPr>
          <w:ilvl w:val="0"/>
          <w:numId w:val="2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Craig Glenn</w:t>
      </w:r>
      <w:r w:rsidR="006126C2">
        <w:rPr>
          <w:szCs w:val="22"/>
        </w:rPr>
        <w:t xml:space="preserve">, Pricing Policy Division, Wireline Competition Bureau, 445 12th Street, SW, Room </w:t>
      </w:r>
      <w:r w:rsidR="006126C2">
        <w:t>5-A</w:t>
      </w:r>
      <w:r>
        <w:t>100</w:t>
      </w:r>
      <w:r w:rsidR="006126C2">
        <w:t xml:space="preserve">, Washington, DC 20554; e-mail: </w:t>
      </w:r>
      <w:hyperlink r:id="rId16" w:history="1">
        <w:r w:rsidRPr="00A2478B">
          <w:rPr>
            <w:rStyle w:val="Hyperlink"/>
          </w:rPr>
          <w:t>Craig.Glenn@fcc.gov</w:t>
        </w:r>
      </w:hyperlink>
      <w:r w:rsidR="006126C2">
        <w:t>; and</w:t>
      </w:r>
    </w:p>
    <w:p w:rsidR="00A63F4A" w:rsidRDefault="00A63F4A" w:rsidP="00D30064">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szCs w:val="22"/>
          <w:vertAlign w:val="superscript"/>
        </w:rPr>
        <w:footnoteReference w:id="11"/>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A63F4A" w:rsidRDefault="00A63F4A" w:rsidP="00D30064">
      <w:pPr>
        <w:spacing w:after="120"/>
        <w:ind w:firstLine="720"/>
        <w:rPr>
          <w:szCs w:val="22"/>
        </w:rPr>
      </w:pPr>
      <w:r>
        <w:rPr>
          <w:szCs w:val="22"/>
        </w:rPr>
        <w:t>For further information, please contact Abdel Eqab, Telecommunications Access Policy Division, Wireline Competition Bureau at (202) 418-7400 or TTY (202) 418-0484.</w:t>
      </w:r>
    </w:p>
    <w:p w:rsidR="00A63F4A" w:rsidRDefault="00A63F4A" w:rsidP="00D30064">
      <w:pPr>
        <w:spacing w:after="120"/>
        <w:ind w:firstLine="720"/>
        <w:rPr>
          <w:szCs w:val="22"/>
        </w:rPr>
      </w:pPr>
    </w:p>
    <w:p w:rsidR="00A63F4A" w:rsidRDefault="00A63F4A" w:rsidP="00D30064">
      <w:pPr>
        <w:spacing w:after="120"/>
        <w:jc w:val="center"/>
        <w:rPr>
          <w:b/>
          <w:szCs w:val="22"/>
        </w:rPr>
      </w:pPr>
      <w:r>
        <w:rPr>
          <w:b/>
        </w:rPr>
        <w:t>- FCC -</w:t>
      </w:r>
    </w:p>
    <w:p w:rsidR="00A63F4A" w:rsidRDefault="00A63F4A" w:rsidP="00D30064">
      <w:pPr>
        <w:spacing w:after="120"/>
        <w:jc w:val="center"/>
        <w:rPr>
          <w:b/>
          <w:szCs w:val="22"/>
        </w:rPr>
      </w:pPr>
    </w:p>
    <w:p w:rsidR="0095499B" w:rsidRPr="00880D7D" w:rsidRDefault="0095499B" w:rsidP="00551CC3">
      <w:pPr>
        <w:jc w:val="right"/>
        <w:rPr>
          <w:b/>
          <w:szCs w:val="22"/>
        </w:rPr>
      </w:pPr>
    </w:p>
    <w:sectPr w:rsidR="0095499B" w:rsidRPr="00880D7D" w:rsidSect="0040397A">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D4" w:rsidRDefault="00FF52D4">
      <w:r>
        <w:separator/>
      </w:r>
    </w:p>
  </w:endnote>
  <w:endnote w:type="continuationSeparator" w:id="0">
    <w:p w:rsidR="00FF52D4" w:rsidRDefault="00FF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880D7D" w:rsidP="00CF408E">
    <w:pPr>
      <w:pStyle w:val="Footer"/>
      <w:tabs>
        <w:tab w:val="clear" w:pos="8640"/>
        <w:tab w:val="right" w:pos="9360"/>
      </w:tabs>
      <w:rPr>
        <w:b/>
        <w:i/>
        <w:sz w:val="20"/>
      </w:rPr>
    </w:pPr>
    <w:r>
      <w:rPr>
        <w:b/>
        <w:sz w:val="20"/>
      </w:rPr>
      <w:tab/>
    </w:r>
    <w:r>
      <w:rPr>
        <w:b/>
        <w:sz w:val="20"/>
      </w:rPr>
      <w:tab/>
    </w:r>
    <w:r w:rsidR="000061EA">
      <w:rPr>
        <w:sz w:val="20"/>
      </w:rPr>
      <w:tab/>
    </w:r>
    <w:r w:rsidR="000061EA">
      <w:rPr>
        <w:sz w:val="20"/>
      </w:rPr>
      <w:tab/>
    </w:r>
    <w:r w:rsidR="000061EA">
      <w:rPr>
        <w:sz w:val="20"/>
      </w:rPr>
      <w:tab/>
    </w:r>
    <w:r w:rsidR="000061EA">
      <w:rPr>
        <w:sz w:val="20"/>
      </w:rPr>
      <w:tab/>
    </w:r>
    <w:r w:rsidR="000061EA">
      <w:rPr>
        <w:sz w:val="20"/>
      </w:rPr>
      <w:tab/>
    </w:r>
    <w:r w:rsidR="000061EA">
      <w:rPr>
        <w:b/>
        <w:i/>
        <w:sz w:val="20"/>
      </w:rPr>
      <w:t xml:space="preserve"> </w:t>
    </w:r>
    <w:r w:rsidR="000061EA">
      <w:rPr>
        <w:b/>
        <w:i/>
        <w:sz w:val="20"/>
      </w:rPr>
      <w:tab/>
    </w:r>
    <w:r w:rsidR="000061EA">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5BE">
      <w:rPr>
        <w:rStyle w:val="PageNumber"/>
        <w:noProof/>
      </w:rPr>
      <w:t>2</w:t>
    </w:r>
    <w:r>
      <w:rPr>
        <w:rStyle w:val="PageNumber"/>
      </w:rPr>
      <w:fldChar w:fldCharType="end"/>
    </w:r>
  </w:p>
  <w:p w:rsidR="000061EA" w:rsidRDefault="000061EA" w:rsidP="0040397A">
    <w:pPr>
      <w:pStyle w:val="Footer"/>
      <w:tabs>
        <w:tab w:val="clear" w:pos="864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D4" w:rsidRDefault="00FF52D4">
      <w:r>
        <w:separator/>
      </w:r>
    </w:p>
  </w:footnote>
  <w:footnote w:type="continuationSeparator" w:id="0">
    <w:p w:rsidR="00FF52D4" w:rsidRDefault="00FF52D4">
      <w:r>
        <w:continuationSeparator/>
      </w:r>
    </w:p>
  </w:footnote>
  <w:footnote w:id="1">
    <w:p w:rsidR="00F23619" w:rsidRDefault="00F23619" w:rsidP="00EA3013">
      <w:pPr>
        <w:autoSpaceDE w:val="0"/>
        <w:autoSpaceDN w:val="0"/>
        <w:adjustRightInd w:val="0"/>
        <w:spacing w:after="120"/>
        <w:rPr>
          <w:sz w:val="20"/>
        </w:rPr>
      </w:pPr>
      <w:r>
        <w:rPr>
          <w:rStyle w:val="FootnoteReference"/>
          <w:sz w:val="20"/>
        </w:rPr>
        <w:footnoteRef/>
      </w:r>
      <w:r>
        <w:rPr>
          <w:sz w:val="20"/>
        </w:rPr>
        <w:t xml:space="preserve"> Petition of ETS Telephone Company, Inc. for </w:t>
      </w:r>
      <w:r w:rsidRPr="00466139">
        <w:rPr>
          <w:sz w:val="20"/>
        </w:rPr>
        <w:t>waiver of the definition of the “Study Area” boundary rules codified in part 36 of the Commission’s rules</w:t>
      </w:r>
      <w:r>
        <w:rPr>
          <w:sz w:val="20"/>
        </w:rPr>
        <w:t>, CC Docket No. 96-45. (filed Sept. 17, 2014) (Petition)</w:t>
      </w:r>
      <w:r w:rsidR="00E31BAE">
        <w:rPr>
          <w:sz w:val="20"/>
        </w:rPr>
        <w:t>.</w:t>
      </w:r>
      <w:r>
        <w:rPr>
          <w:sz w:val="20"/>
        </w:rPr>
        <w:t xml:space="preserve">  </w:t>
      </w:r>
    </w:p>
  </w:footnote>
  <w:footnote w:id="2">
    <w:p w:rsidR="00F23619" w:rsidRDefault="00F23619">
      <w:pPr>
        <w:pStyle w:val="FootnoteText"/>
      </w:pPr>
      <w:r>
        <w:rPr>
          <w:rStyle w:val="FootnoteReference"/>
        </w:rPr>
        <w:footnoteRef/>
      </w:r>
      <w:r>
        <w:t xml:space="preserve"> Petition at 1.</w:t>
      </w:r>
    </w:p>
  </w:footnote>
  <w:footnote w:id="3">
    <w:p w:rsidR="00E62FD2" w:rsidRDefault="00E62FD2">
      <w:pPr>
        <w:pStyle w:val="FootnoteText"/>
      </w:pPr>
      <w:r>
        <w:rPr>
          <w:rStyle w:val="FootnoteReference"/>
        </w:rPr>
        <w:footnoteRef/>
      </w:r>
      <w:r>
        <w:t xml:space="preserve"> Petition at </w:t>
      </w:r>
      <w:r w:rsidR="00ED2A92">
        <w:t>1-</w:t>
      </w:r>
      <w:r>
        <w:t xml:space="preserve">2; </w:t>
      </w:r>
      <w:r>
        <w:rPr>
          <w:i/>
        </w:rPr>
        <w:t xml:space="preserve">see also </w:t>
      </w:r>
      <w:r>
        <w:t xml:space="preserve">47 C.F.R. Part 36 App. (defining “study area”).  Effective </w:t>
      </w:r>
      <w:smartTag w:uri="urn:schemas-microsoft-com:office:smarttags" w:element="date">
        <w:smartTagPr>
          <w:attr w:name="Year" w:val="1984"/>
          <w:attr w:name="Day" w:val="15"/>
          <w:attr w:name="Month" w:val="11"/>
        </w:smartTagPr>
        <w:r>
          <w:t>November 15, 1984</w:t>
        </w:r>
      </w:smartTag>
      <w:r>
        <w:t xml:space="preserve">, the Commission froze all study area boundaries to prevent incumbent local exchange carriers (LECs) from establishing separate study areas made up only of high-cost exchanges to maximize their receipt of high-cost universal service support.  </w:t>
      </w:r>
      <w:r>
        <w:rPr>
          <w:i/>
        </w:rPr>
        <w:t>See MTS and WATS Market Structure, Amendment of Part 67 of the Commission’s Rules and Establishment of a Joint Board</w:t>
      </w:r>
      <w:r>
        <w:t>, CC Docket Nos. 78-72, 80-286, Decision and Order, 50 Fed. Reg. 939 (1985) (</w:t>
      </w:r>
      <w:r>
        <w:rPr>
          <w:i/>
        </w:rPr>
        <w:t>Part 67 Order</w:t>
      </w:r>
      <w:r>
        <w:t>).  A carrier must therefore apply to the Commission for a waiver of the study area boundary freeze if it wishes to transfer or acquire additional exchanges.</w:t>
      </w:r>
    </w:p>
  </w:footnote>
  <w:footnote w:id="4">
    <w:p w:rsidR="00B16389" w:rsidRDefault="00B16389" w:rsidP="00B16389">
      <w:pPr>
        <w:pStyle w:val="FootnoteText"/>
        <w:spacing w:after="120"/>
      </w:pPr>
      <w:r>
        <w:rPr>
          <w:rStyle w:val="FootnoteReference"/>
        </w:rPr>
        <w:footnoteRef/>
      </w:r>
      <w:r>
        <w:t xml:space="preserve"> </w:t>
      </w:r>
      <w:r>
        <w:rPr>
          <w:i/>
        </w:rPr>
        <w:t>Connect America Fund et al</w:t>
      </w:r>
      <w:r>
        <w:t>., WC Docket No. 10-90 et al., Report and Order and Further Notice of Proposed Rulemaking, 26 FCC Rcd 17663, 17763, paras. 266-67 (2011) (</w:t>
      </w:r>
      <w:r>
        <w:rPr>
          <w:i/>
        </w:rPr>
        <w:t>USF/ICC Transformation Order</w:t>
      </w:r>
      <w:r>
        <w:t xml:space="preserve">), </w:t>
      </w:r>
      <w:r w:rsidR="00E31BAE">
        <w:rPr>
          <w:rStyle w:val="Emphasis"/>
        </w:rPr>
        <w:t>aff’d</w:t>
      </w:r>
      <w:r>
        <w:rPr>
          <w:rStyle w:val="Emphasis"/>
        </w:rPr>
        <w:t xml:space="preserve"> In re: FCC,</w:t>
      </w:r>
      <w:r>
        <w:t xml:space="preserve"> </w:t>
      </w:r>
      <w:r w:rsidR="00E31BAE">
        <w:t>11-161, 753 F.3d 1015</w:t>
      </w:r>
      <w:r>
        <w:t xml:space="preserve"> (10th Cir. </w:t>
      </w:r>
      <w:r w:rsidR="00E31BAE">
        <w:t>2014</w:t>
      </w:r>
      <w:r>
        <w:t>)</w:t>
      </w:r>
      <w:r>
        <w:rPr>
          <w:rFonts w:ascii="TimesNewRoman" w:eastAsia="TimesNewRoman" w:hAnsi="TimesNewRoman" w:cs="TimesNewRoman"/>
          <w:color w:val="010101"/>
        </w:rPr>
        <w:t xml:space="preserve">.  </w:t>
      </w:r>
      <w:r>
        <w:t xml:space="preserve">  </w:t>
      </w:r>
    </w:p>
  </w:footnote>
  <w:footnote w:id="5">
    <w:p w:rsidR="00B16389" w:rsidRDefault="00B16389" w:rsidP="00B16389">
      <w:pPr>
        <w:pStyle w:val="FootnoteText"/>
        <w:spacing w:after="120"/>
      </w:pPr>
      <w:r>
        <w:rPr>
          <w:rStyle w:val="FootnoteReference"/>
        </w:rPr>
        <w:footnoteRef/>
      </w:r>
      <w:r>
        <w:t xml:space="preserve"> </w:t>
      </w:r>
      <w:r>
        <w:rPr>
          <w:i/>
        </w:rPr>
        <w:t>See USF/ICC Transformation Order</w:t>
      </w:r>
      <w:r>
        <w:t>, 26 FCC Rcd at 17763, paras. 266-67.</w:t>
      </w:r>
    </w:p>
  </w:footnote>
  <w:footnote w:id="6">
    <w:p w:rsidR="00B16389" w:rsidRDefault="00B16389" w:rsidP="00B16389">
      <w:pPr>
        <w:pStyle w:val="FootnoteText"/>
        <w:spacing w:after="120"/>
      </w:pPr>
      <w:r>
        <w:rPr>
          <w:rStyle w:val="FootnoteReference"/>
        </w:rPr>
        <w:footnoteRef/>
      </w:r>
      <w:r>
        <w:t xml:space="preserve"> </w:t>
      </w:r>
      <w:r>
        <w:rPr>
          <w:i/>
        </w:rPr>
        <w:t>See id.</w:t>
      </w:r>
      <w:r>
        <w:t xml:space="preserve">; 47 C.F.R. § 36.4.  </w:t>
      </w:r>
    </w:p>
  </w:footnote>
  <w:footnote w:id="7">
    <w:p w:rsidR="00B16389" w:rsidRDefault="00B16389" w:rsidP="00B16389">
      <w:pPr>
        <w:pStyle w:val="FootnoteText"/>
        <w:spacing w:after="120"/>
      </w:pPr>
      <w:r>
        <w:rPr>
          <w:rStyle w:val="FootnoteReference"/>
        </w:rPr>
        <w:footnoteRef/>
      </w:r>
      <w:r>
        <w:t xml:space="preserve"> </w:t>
      </w:r>
      <w:r>
        <w:rPr>
          <w:i/>
        </w:rPr>
        <w:t>See USF/ICC Transformation Order</w:t>
      </w:r>
      <w:r>
        <w:t>, 26 FCC Rcd</w:t>
      </w:r>
      <w:r>
        <w:rPr>
          <w:i/>
        </w:rPr>
        <w:t xml:space="preserve"> </w:t>
      </w:r>
      <w:r>
        <w:t xml:space="preserve">at 17763, para 266.  </w:t>
      </w:r>
    </w:p>
  </w:footnote>
  <w:footnote w:id="8">
    <w:p w:rsidR="00B16389" w:rsidRDefault="00B16389" w:rsidP="00B16389">
      <w:pPr>
        <w:pStyle w:val="FootnoteText"/>
        <w:spacing w:after="120"/>
      </w:pPr>
      <w:r>
        <w:rPr>
          <w:rStyle w:val="FootnoteReference"/>
        </w:rPr>
        <w:footnoteRef/>
      </w:r>
      <w:r>
        <w:t xml:space="preserve"> </w:t>
      </w:r>
      <w:r>
        <w:rPr>
          <w:i/>
        </w:rPr>
        <w:t>See id</w:t>
      </w:r>
      <w:r>
        <w:t xml:space="preserve">. at para. 267; </w:t>
      </w:r>
      <w:r>
        <w:rPr>
          <w:i/>
        </w:rPr>
        <w:t xml:space="preserve">see also </w:t>
      </w:r>
      <w:r>
        <w:t xml:space="preserve">47 C.F.R. § 36.4(a). </w:t>
      </w:r>
    </w:p>
  </w:footnote>
  <w:footnote w:id="9">
    <w:p w:rsidR="00A63F4A" w:rsidRDefault="00A63F4A" w:rsidP="00C803FD">
      <w:pPr>
        <w:pStyle w:val="FootnoteText"/>
        <w:spacing w:after="120"/>
      </w:pPr>
      <w:r>
        <w:rPr>
          <w:rStyle w:val="FootnoteReference"/>
        </w:rPr>
        <w:footnoteRef/>
      </w:r>
      <w:r>
        <w:t xml:space="preserve"> 47 C.F.R. §§ 1.415, 1.419.</w:t>
      </w:r>
    </w:p>
  </w:footnote>
  <w:footnote w:id="10">
    <w:p w:rsidR="00A63F4A" w:rsidRDefault="00A63F4A" w:rsidP="00C803FD">
      <w:pPr>
        <w:pStyle w:val="FootnoteText"/>
        <w:spacing w:after="120"/>
      </w:pPr>
      <w:r>
        <w:rPr>
          <w:rStyle w:val="FootnoteReference"/>
        </w:rPr>
        <w:footnoteRef/>
      </w:r>
      <w:r>
        <w:t xml:space="preserve"> </w:t>
      </w:r>
      <w:r>
        <w:rPr>
          <w:i/>
        </w:rPr>
        <w:t>See Electronic Filing of Documents in Rulemaking Proceedings</w:t>
      </w:r>
      <w:r>
        <w:t>, GC Docket No. 97-113, Report and Order, 13 FCC Rcd 11322 (1998).</w:t>
      </w:r>
    </w:p>
  </w:footnote>
  <w:footnote w:id="11">
    <w:p w:rsidR="00A63F4A" w:rsidRDefault="00A63F4A" w:rsidP="00C803FD">
      <w:pPr>
        <w:pStyle w:val="FootnoteText"/>
        <w:spacing w:after="120"/>
        <w:rPr>
          <w:i/>
          <w:iCs/>
        </w:rPr>
      </w:pPr>
      <w:r>
        <w:rPr>
          <w:rStyle w:val="FootnoteReference"/>
        </w:rPr>
        <w:footnoteRef/>
      </w:r>
      <w:r>
        <w:t xml:space="preserve"> 47 C.F.R. §§ 1.1200 </w:t>
      </w:r>
      <w:r>
        <w:rPr>
          <w:i/>
          <w:iCs/>
        </w:rPr>
        <w:t>et seq.</w:t>
      </w:r>
    </w:p>
    <w:p w:rsidR="00A63F4A" w:rsidRDefault="00A63F4A" w:rsidP="00A63F4A">
      <w:pPr>
        <w:pStyle w:val="FootnoteText"/>
        <w:jc w:val="both"/>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9" w:rsidRDefault="00694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9" w:rsidRDefault="00694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Pr="00B16AC4" w:rsidRDefault="00EA3013">
    <w:pPr>
      <w:pStyle w:val="Header"/>
      <w:tabs>
        <w:tab w:val="clear" w:pos="4320"/>
        <w:tab w:val="clear" w:pos="8640"/>
      </w:tabs>
      <w:spacing w:before="40"/>
      <w:ind w:firstLine="1080"/>
      <w:rPr>
        <w:rFonts w:ascii="Arial" w:hAnsi="Arial" w:cs="Arial"/>
        <w:b/>
        <w:kern w:val="28"/>
        <w:sz w:val="96"/>
      </w:rPr>
    </w:pPr>
    <w:r>
      <w:rPr>
        <w:b/>
        <w:noProof/>
        <w:sz w:val="24"/>
      </w:rPr>
      <w:drawing>
        <wp:anchor distT="0" distB="0" distL="114300" distR="114300" simplePos="0" relativeHeight="251657216" behindDoc="0" locked="0" layoutInCell="0" allowOverlap="1" wp14:anchorId="2FFE162C" wp14:editId="41A558AC">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mc:AlternateContent>
        <mc:Choice Requires="wps">
          <w:drawing>
            <wp:anchor distT="0" distB="0" distL="114300" distR="114300" simplePos="0" relativeHeight="251654144" behindDoc="0" locked="0" layoutInCell="0" allowOverlap="1" wp14:anchorId="7F478B48" wp14:editId="76B75053">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2B4429" w:rsidRPr="002B4429">
      <w:rPr>
        <w:rFonts w:ascii="News Gothic MT" w:hAnsi="News Gothic MT"/>
        <w:b/>
        <w:kern w:val="28"/>
        <w:sz w:val="96"/>
      </w:rPr>
      <w:t xml:space="preserve"> </w:t>
    </w:r>
    <w:r w:rsidR="00B16AC4">
      <w:rPr>
        <w:rFonts w:ascii="Arial" w:hAnsi="Arial" w:cs="Arial"/>
        <w:b/>
        <w:kern w:val="28"/>
        <w:sz w:val="96"/>
      </w:rPr>
      <w:t>PUBLIC NOTICE</w:t>
    </w:r>
  </w:p>
  <w:p w:rsidR="000061EA" w:rsidRDefault="00EA30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1917410" wp14:editId="741E8A03">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52A18D33" wp14:editId="1AB2BDF6">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0061EA" w:rsidRDefault="000061E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EA30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0061EA">
      <w:rPr>
        <w:rFonts w:ascii="News Gothic MT" w:hAnsi="News Gothic MT"/>
        <w:b/>
        <w:kern w:val="28"/>
        <w:sz w:val="96"/>
      </w:rPr>
      <w:t>PUBLIC NOTICE</w:t>
    </w:r>
  </w:p>
  <w:p w:rsidR="000061EA" w:rsidRDefault="00EA301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Internet: http://www.fcc.gov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Internet: http://www.fcc.gov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v:textbox>
            </v:shape>
          </w:pict>
        </mc:Fallback>
      </mc:AlternateContent>
    </w:r>
  </w:p>
  <w:p w:rsidR="000061EA" w:rsidRDefault="000061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44684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810E709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tplc="C49ADC60">
      <w:start w:val="1"/>
      <w:numFmt w:val="bullet"/>
      <w:lvlText w:val=""/>
      <w:lvlJc w:val="left"/>
      <w:pPr>
        <w:tabs>
          <w:tab w:val="num" w:pos="720"/>
        </w:tabs>
        <w:ind w:left="720" w:hanging="360"/>
      </w:pPr>
      <w:rPr>
        <w:rFonts w:ascii="Wingdings" w:hAnsi="Wingdings" w:hint="default"/>
      </w:rPr>
    </w:lvl>
    <w:lvl w:ilvl="1" w:tplc="138E8088" w:tentative="1">
      <w:start w:val="1"/>
      <w:numFmt w:val="bullet"/>
      <w:lvlText w:val="o"/>
      <w:lvlJc w:val="left"/>
      <w:pPr>
        <w:tabs>
          <w:tab w:val="num" w:pos="1440"/>
        </w:tabs>
        <w:ind w:left="1440" w:hanging="360"/>
      </w:pPr>
      <w:rPr>
        <w:rFonts w:ascii="Courier New" w:hAnsi="Courier New" w:cs="Courier New" w:hint="default"/>
      </w:rPr>
    </w:lvl>
    <w:lvl w:ilvl="2" w:tplc="7CF09044" w:tentative="1">
      <w:start w:val="1"/>
      <w:numFmt w:val="bullet"/>
      <w:lvlText w:val=""/>
      <w:lvlJc w:val="left"/>
      <w:pPr>
        <w:tabs>
          <w:tab w:val="num" w:pos="2160"/>
        </w:tabs>
        <w:ind w:left="2160" w:hanging="360"/>
      </w:pPr>
      <w:rPr>
        <w:rFonts w:ascii="Wingdings" w:hAnsi="Wingdings" w:hint="default"/>
      </w:rPr>
    </w:lvl>
    <w:lvl w:ilvl="3" w:tplc="FE7450F2" w:tentative="1">
      <w:start w:val="1"/>
      <w:numFmt w:val="bullet"/>
      <w:lvlText w:val=""/>
      <w:lvlJc w:val="left"/>
      <w:pPr>
        <w:tabs>
          <w:tab w:val="num" w:pos="2880"/>
        </w:tabs>
        <w:ind w:left="2880" w:hanging="360"/>
      </w:pPr>
      <w:rPr>
        <w:rFonts w:ascii="Symbol" w:hAnsi="Symbol" w:hint="default"/>
      </w:rPr>
    </w:lvl>
    <w:lvl w:ilvl="4" w:tplc="B48CFBFE" w:tentative="1">
      <w:start w:val="1"/>
      <w:numFmt w:val="bullet"/>
      <w:lvlText w:val="o"/>
      <w:lvlJc w:val="left"/>
      <w:pPr>
        <w:tabs>
          <w:tab w:val="num" w:pos="3600"/>
        </w:tabs>
        <w:ind w:left="3600" w:hanging="360"/>
      </w:pPr>
      <w:rPr>
        <w:rFonts w:ascii="Courier New" w:hAnsi="Courier New" w:cs="Courier New" w:hint="default"/>
      </w:rPr>
    </w:lvl>
    <w:lvl w:ilvl="5" w:tplc="D378212E" w:tentative="1">
      <w:start w:val="1"/>
      <w:numFmt w:val="bullet"/>
      <w:lvlText w:val=""/>
      <w:lvlJc w:val="left"/>
      <w:pPr>
        <w:tabs>
          <w:tab w:val="num" w:pos="4320"/>
        </w:tabs>
        <w:ind w:left="4320" w:hanging="360"/>
      </w:pPr>
      <w:rPr>
        <w:rFonts w:ascii="Wingdings" w:hAnsi="Wingdings" w:hint="default"/>
      </w:rPr>
    </w:lvl>
    <w:lvl w:ilvl="6" w:tplc="6BD06250" w:tentative="1">
      <w:start w:val="1"/>
      <w:numFmt w:val="bullet"/>
      <w:lvlText w:val=""/>
      <w:lvlJc w:val="left"/>
      <w:pPr>
        <w:tabs>
          <w:tab w:val="num" w:pos="5040"/>
        </w:tabs>
        <w:ind w:left="5040" w:hanging="360"/>
      </w:pPr>
      <w:rPr>
        <w:rFonts w:ascii="Symbol" w:hAnsi="Symbol" w:hint="default"/>
      </w:rPr>
    </w:lvl>
    <w:lvl w:ilvl="7" w:tplc="1FF66116" w:tentative="1">
      <w:start w:val="1"/>
      <w:numFmt w:val="bullet"/>
      <w:lvlText w:val="o"/>
      <w:lvlJc w:val="left"/>
      <w:pPr>
        <w:tabs>
          <w:tab w:val="num" w:pos="5760"/>
        </w:tabs>
        <w:ind w:left="5760" w:hanging="360"/>
      </w:pPr>
      <w:rPr>
        <w:rFonts w:ascii="Courier New" w:hAnsi="Courier New" w:cs="Courier New" w:hint="default"/>
      </w:rPr>
    </w:lvl>
    <w:lvl w:ilvl="8" w:tplc="175CA734"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 w:numId="19">
    <w:abstractNumId w:val="4"/>
  </w:num>
  <w:num w:numId="20">
    <w:abstractNumId w:val="0"/>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B"/>
    <w:rsid w:val="00005D11"/>
    <w:rsid w:val="000061EA"/>
    <w:rsid w:val="00007C23"/>
    <w:rsid w:val="00010A75"/>
    <w:rsid w:val="00011DD6"/>
    <w:rsid w:val="00015EA3"/>
    <w:rsid w:val="000165BE"/>
    <w:rsid w:val="00020038"/>
    <w:rsid w:val="000205EC"/>
    <w:rsid w:val="00020B1E"/>
    <w:rsid w:val="0003350F"/>
    <w:rsid w:val="000370B2"/>
    <w:rsid w:val="00041B53"/>
    <w:rsid w:val="00050C01"/>
    <w:rsid w:val="00052145"/>
    <w:rsid w:val="00054D68"/>
    <w:rsid w:val="00057500"/>
    <w:rsid w:val="00064C97"/>
    <w:rsid w:val="00064DA6"/>
    <w:rsid w:val="00076336"/>
    <w:rsid w:val="0009034F"/>
    <w:rsid w:val="000963CB"/>
    <w:rsid w:val="000B01E2"/>
    <w:rsid w:val="000B0ED1"/>
    <w:rsid w:val="000B1505"/>
    <w:rsid w:val="000B6402"/>
    <w:rsid w:val="000C0CBA"/>
    <w:rsid w:val="000D4780"/>
    <w:rsid w:val="000D529F"/>
    <w:rsid w:val="000E11ED"/>
    <w:rsid w:val="000E1498"/>
    <w:rsid w:val="000E4EFC"/>
    <w:rsid w:val="000E599C"/>
    <w:rsid w:val="000F190B"/>
    <w:rsid w:val="000F1FA2"/>
    <w:rsid w:val="001059F6"/>
    <w:rsid w:val="0011055E"/>
    <w:rsid w:val="00110DBA"/>
    <w:rsid w:val="00111935"/>
    <w:rsid w:val="00114482"/>
    <w:rsid w:val="001147D5"/>
    <w:rsid w:val="00117842"/>
    <w:rsid w:val="001179B5"/>
    <w:rsid w:val="00117EF0"/>
    <w:rsid w:val="00121036"/>
    <w:rsid w:val="00126F97"/>
    <w:rsid w:val="00130D35"/>
    <w:rsid w:val="00131FD0"/>
    <w:rsid w:val="00135672"/>
    <w:rsid w:val="00137045"/>
    <w:rsid w:val="00140367"/>
    <w:rsid w:val="0014161B"/>
    <w:rsid w:val="00157183"/>
    <w:rsid w:val="0016571A"/>
    <w:rsid w:val="00165D13"/>
    <w:rsid w:val="00170A00"/>
    <w:rsid w:val="00170F5B"/>
    <w:rsid w:val="00172D68"/>
    <w:rsid w:val="001736AB"/>
    <w:rsid w:val="001772F7"/>
    <w:rsid w:val="001918CD"/>
    <w:rsid w:val="00195E3C"/>
    <w:rsid w:val="001968A0"/>
    <w:rsid w:val="00197789"/>
    <w:rsid w:val="00197974"/>
    <w:rsid w:val="001A0AF9"/>
    <w:rsid w:val="001A5090"/>
    <w:rsid w:val="001A5C68"/>
    <w:rsid w:val="001A5FF4"/>
    <w:rsid w:val="001B0DF7"/>
    <w:rsid w:val="001D0A69"/>
    <w:rsid w:val="001D74E9"/>
    <w:rsid w:val="001D7B45"/>
    <w:rsid w:val="001E4C10"/>
    <w:rsid w:val="001F332D"/>
    <w:rsid w:val="001F4EB7"/>
    <w:rsid w:val="001F6777"/>
    <w:rsid w:val="001F7B17"/>
    <w:rsid w:val="00204CE5"/>
    <w:rsid w:val="0021714C"/>
    <w:rsid w:val="00220C78"/>
    <w:rsid w:val="00221E43"/>
    <w:rsid w:val="0022751D"/>
    <w:rsid w:val="0023402C"/>
    <w:rsid w:val="002340A5"/>
    <w:rsid w:val="002340B0"/>
    <w:rsid w:val="0024606A"/>
    <w:rsid w:val="0024758C"/>
    <w:rsid w:val="00254287"/>
    <w:rsid w:val="00254778"/>
    <w:rsid w:val="00260214"/>
    <w:rsid w:val="0026113A"/>
    <w:rsid w:val="00261C18"/>
    <w:rsid w:val="002669C9"/>
    <w:rsid w:val="00267259"/>
    <w:rsid w:val="00272DDC"/>
    <w:rsid w:val="0028049A"/>
    <w:rsid w:val="00280C6E"/>
    <w:rsid w:val="00280F4D"/>
    <w:rsid w:val="002831BD"/>
    <w:rsid w:val="00290542"/>
    <w:rsid w:val="002908F1"/>
    <w:rsid w:val="002A1E68"/>
    <w:rsid w:val="002B083A"/>
    <w:rsid w:val="002B12DD"/>
    <w:rsid w:val="002B26A0"/>
    <w:rsid w:val="002B41AF"/>
    <w:rsid w:val="002B4429"/>
    <w:rsid w:val="002B718F"/>
    <w:rsid w:val="002B7506"/>
    <w:rsid w:val="002D0A40"/>
    <w:rsid w:val="002D0DB1"/>
    <w:rsid w:val="002D1E37"/>
    <w:rsid w:val="002D69F2"/>
    <w:rsid w:val="002E1694"/>
    <w:rsid w:val="002E414A"/>
    <w:rsid w:val="002E4906"/>
    <w:rsid w:val="002E5206"/>
    <w:rsid w:val="002F1CEA"/>
    <w:rsid w:val="002F471C"/>
    <w:rsid w:val="002F5562"/>
    <w:rsid w:val="002F7453"/>
    <w:rsid w:val="00302AD2"/>
    <w:rsid w:val="0030653C"/>
    <w:rsid w:val="00306C6D"/>
    <w:rsid w:val="00316468"/>
    <w:rsid w:val="00316E25"/>
    <w:rsid w:val="00321368"/>
    <w:rsid w:val="0032514D"/>
    <w:rsid w:val="00325203"/>
    <w:rsid w:val="003278D1"/>
    <w:rsid w:val="00332439"/>
    <w:rsid w:val="00336A63"/>
    <w:rsid w:val="00354792"/>
    <w:rsid w:val="003579DD"/>
    <w:rsid w:val="00366D96"/>
    <w:rsid w:val="00371DFB"/>
    <w:rsid w:val="00390301"/>
    <w:rsid w:val="00390D41"/>
    <w:rsid w:val="003A3331"/>
    <w:rsid w:val="003A6ECA"/>
    <w:rsid w:val="003C04D1"/>
    <w:rsid w:val="003C0925"/>
    <w:rsid w:val="003C19CD"/>
    <w:rsid w:val="003C4F7F"/>
    <w:rsid w:val="003D1132"/>
    <w:rsid w:val="003E0296"/>
    <w:rsid w:val="003E19DB"/>
    <w:rsid w:val="003E248D"/>
    <w:rsid w:val="003E35EC"/>
    <w:rsid w:val="003E4F27"/>
    <w:rsid w:val="003F18B6"/>
    <w:rsid w:val="003F1AF5"/>
    <w:rsid w:val="003F3C16"/>
    <w:rsid w:val="003F47D7"/>
    <w:rsid w:val="0040397A"/>
    <w:rsid w:val="00404B5E"/>
    <w:rsid w:val="00404F35"/>
    <w:rsid w:val="00416CFF"/>
    <w:rsid w:val="004205A1"/>
    <w:rsid w:val="004234FF"/>
    <w:rsid w:val="004300F4"/>
    <w:rsid w:val="00434400"/>
    <w:rsid w:val="00442FD6"/>
    <w:rsid w:val="00454EAB"/>
    <w:rsid w:val="004565EB"/>
    <w:rsid w:val="004610BD"/>
    <w:rsid w:val="004659AF"/>
    <w:rsid w:val="00466139"/>
    <w:rsid w:val="00472146"/>
    <w:rsid w:val="00473B1C"/>
    <w:rsid w:val="0047474E"/>
    <w:rsid w:val="00477820"/>
    <w:rsid w:val="00477F81"/>
    <w:rsid w:val="00481FE9"/>
    <w:rsid w:val="0048646F"/>
    <w:rsid w:val="00491EDB"/>
    <w:rsid w:val="00492722"/>
    <w:rsid w:val="004A11DB"/>
    <w:rsid w:val="004A69F1"/>
    <w:rsid w:val="004A7236"/>
    <w:rsid w:val="004B2848"/>
    <w:rsid w:val="004D5B11"/>
    <w:rsid w:val="004D7531"/>
    <w:rsid w:val="004E0480"/>
    <w:rsid w:val="004E47B3"/>
    <w:rsid w:val="004E4BFD"/>
    <w:rsid w:val="004E76F2"/>
    <w:rsid w:val="00501EB0"/>
    <w:rsid w:val="00502FF3"/>
    <w:rsid w:val="0050645D"/>
    <w:rsid w:val="005146F8"/>
    <w:rsid w:val="00526A39"/>
    <w:rsid w:val="005313CC"/>
    <w:rsid w:val="00545158"/>
    <w:rsid w:val="00545965"/>
    <w:rsid w:val="0054723E"/>
    <w:rsid w:val="005516F0"/>
    <w:rsid w:val="00551CC3"/>
    <w:rsid w:val="00553BB7"/>
    <w:rsid w:val="0055488C"/>
    <w:rsid w:val="005549BF"/>
    <w:rsid w:val="00560DE9"/>
    <w:rsid w:val="00563028"/>
    <w:rsid w:val="00565355"/>
    <w:rsid w:val="0057230B"/>
    <w:rsid w:val="00573395"/>
    <w:rsid w:val="00577EE4"/>
    <w:rsid w:val="00581A75"/>
    <w:rsid w:val="00583069"/>
    <w:rsid w:val="005A0205"/>
    <w:rsid w:val="005A3C03"/>
    <w:rsid w:val="005B021E"/>
    <w:rsid w:val="005B4870"/>
    <w:rsid w:val="005C000E"/>
    <w:rsid w:val="005C33E0"/>
    <w:rsid w:val="005C50DC"/>
    <w:rsid w:val="005D14E5"/>
    <w:rsid w:val="005D3E89"/>
    <w:rsid w:val="005D5052"/>
    <w:rsid w:val="005D5E59"/>
    <w:rsid w:val="005E1C43"/>
    <w:rsid w:val="005E4457"/>
    <w:rsid w:val="005E5A57"/>
    <w:rsid w:val="005E7ADC"/>
    <w:rsid w:val="005F4E33"/>
    <w:rsid w:val="006001E4"/>
    <w:rsid w:val="00603EDF"/>
    <w:rsid w:val="0061064F"/>
    <w:rsid w:val="00610FD9"/>
    <w:rsid w:val="006126C2"/>
    <w:rsid w:val="00615A44"/>
    <w:rsid w:val="00615CB6"/>
    <w:rsid w:val="0061758F"/>
    <w:rsid w:val="00632194"/>
    <w:rsid w:val="00637018"/>
    <w:rsid w:val="00641705"/>
    <w:rsid w:val="00641D61"/>
    <w:rsid w:val="006437D3"/>
    <w:rsid w:val="00644ACA"/>
    <w:rsid w:val="00644AD0"/>
    <w:rsid w:val="00647476"/>
    <w:rsid w:val="00647F65"/>
    <w:rsid w:val="0066159D"/>
    <w:rsid w:val="00670366"/>
    <w:rsid w:val="00677560"/>
    <w:rsid w:val="0068521E"/>
    <w:rsid w:val="006870E3"/>
    <w:rsid w:val="00694A59"/>
    <w:rsid w:val="00694B87"/>
    <w:rsid w:val="006A6DCF"/>
    <w:rsid w:val="006B0250"/>
    <w:rsid w:val="006B275B"/>
    <w:rsid w:val="006C0B8A"/>
    <w:rsid w:val="006C3815"/>
    <w:rsid w:val="006C6934"/>
    <w:rsid w:val="006D13B4"/>
    <w:rsid w:val="006D1BA6"/>
    <w:rsid w:val="006D3CD8"/>
    <w:rsid w:val="006D4274"/>
    <w:rsid w:val="006D7802"/>
    <w:rsid w:val="006D7BEF"/>
    <w:rsid w:val="006F5B3F"/>
    <w:rsid w:val="00713F87"/>
    <w:rsid w:val="0071589F"/>
    <w:rsid w:val="00723507"/>
    <w:rsid w:val="0072492A"/>
    <w:rsid w:val="00726423"/>
    <w:rsid w:val="007300DC"/>
    <w:rsid w:val="00730DB1"/>
    <w:rsid w:val="00744702"/>
    <w:rsid w:val="00744738"/>
    <w:rsid w:val="00745965"/>
    <w:rsid w:val="00750A79"/>
    <w:rsid w:val="007518FC"/>
    <w:rsid w:val="00753868"/>
    <w:rsid w:val="00753D82"/>
    <w:rsid w:val="00754D07"/>
    <w:rsid w:val="007603D0"/>
    <w:rsid w:val="00762AE8"/>
    <w:rsid w:val="007706D1"/>
    <w:rsid w:val="00771660"/>
    <w:rsid w:val="0078275E"/>
    <w:rsid w:val="00785A9B"/>
    <w:rsid w:val="0078657E"/>
    <w:rsid w:val="00787E34"/>
    <w:rsid w:val="007A27AF"/>
    <w:rsid w:val="007A3226"/>
    <w:rsid w:val="007B1D4F"/>
    <w:rsid w:val="007C1BB1"/>
    <w:rsid w:val="007C1C22"/>
    <w:rsid w:val="007D4E66"/>
    <w:rsid w:val="007D71F5"/>
    <w:rsid w:val="007E000B"/>
    <w:rsid w:val="007E0B19"/>
    <w:rsid w:val="007E0F50"/>
    <w:rsid w:val="007E16B3"/>
    <w:rsid w:val="007E2478"/>
    <w:rsid w:val="007E2B78"/>
    <w:rsid w:val="007E495E"/>
    <w:rsid w:val="007E6B0A"/>
    <w:rsid w:val="007F219D"/>
    <w:rsid w:val="007F505C"/>
    <w:rsid w:val="007F7E91"/>
    <w:rsid w:val="008024BA"/>
    <w:rsid w:val="00805D46"/>
    <w:rsid w:val="008066A7"/>
    <w:rsid w:val="008155C6"/>
    <w:rsid w:val="00815B4E"/>
    <w:rsid w:val="00824DFE"/>
    <w:rsid w:val="00833F14"/>
    <w:rsid w:val="0083511C"/>
    <w:rsid w:val="00835B0D"/>
    <w:rsid w:val="00840833"/>
    <w:rsid w:val="00845A9B"/>
    <w:rsid w:val="00851644"/>
    <w:rsid w:val="008525BE"/>
    <w:rsid w:val="008660DF"/>
    <w:rsid w:val="0087454B"/>
    <w:rsid w:val="00874DD6"/>
    <w:rsid w:val="00880D7D"/>
    <w:rsid w:val="008842CE"/>
    <w:rsid w:val="00894682"/>
    <w:rsid w:val="008A40BA"/>
    <w:rsid w:val="008A7DCB"/>
    <w:rsid w:val="008B1913"/>
    <w:rsid w:val="008B313C"/>
    <w:rsid w:val="008B773E"/>
    <w:rsid w:val="008C3A8A"/>
    <w:rsid w:val="008C411A"/>
    <w:rsid w:val="008C67F5"/>
    <w:rsid w:val="008D3FEA"/>
    <w:rsid w:val="008D6DAA"/>
    <w:rsid w:val="008F354E"/>
    <w:rsid w:val="00901205"/>
    <w:rsid w:val="00901B61"/>
    <w:rsid w:val="00902917"/>
    <w:rsid w:val="00903AC4"/>
    <w:rsid w:val="009054E2"/>
    <w:rsid w:val="00905CDD"/>
    <w:rsid w:val="00910D22"/>
    <w:rsid w:val="00915FEA"/>
    <w:rsid w:val="00916B30"/>
    <w:rsid w:val="00916C7B"/>
    <w:rsid w:val="009178E3"/>
    <w:rsid w:val="0092535F"/>
    <w:rsid w:val="009270C5"/>
    <w:rsid w:val="009272EE"/>
    <w:rsid w:val="00930B57"/>
    <w:rsid w:val="009330A8"/>
    <w:rsid w:val="0093427B"/>
    <w:rsid w:val="00934D19"/>
    <w:rsid w:val="00940386"/>
    <w:rsid w:val="009449A1"/>
    <w:rsid w:val="00950709"/>
    <w:rsid w:val="00952E06"/>
    <w:rsid w:val="00952EE2"/>
    <w:rsid w:val="0095499B"/>
    <w:rsid w:val="00956C90"/>
    <w:rsid w:val="00961288"/>
    <w:rsid w:val="00961B42"/>
    <w:rsid w:val="00964624"/>
    <w:rsid w:val="00981B8B"/>
    <w:rsid w:val="00982046"/>
    <w:rsid w:val="0098477C"/>
    <w:rsid w:val="00984FD9"/>
    <w:rsid w:val="00990B97"/>
    <w:rsid w:val="009920C4"/>
    <w:rsid w:val="009A46EF"/>
    <w:rsid w:val="009A792D"/>
    <w:rsid w:val="009B00F1"/>
    <w:rsid w:val="009B40B1"/>
    <w:rsid w:val="009C6C8F"/>
    <w:rsid w:val="009D115C"/>
    <w:rsid w:val="009E51AF"/>
    <w:rsid w:val="009E7E73"/>
    <w:rsid w:val="009F14ED"/>
    <w:rsid w:val="009F3196"/>
    <w:rsid w:val="00A014A0"/>
    <w:rsid w:val="00A02FC3"/>
    <w:rsid w:val="00A0482B"/>
    <w:rsid w:val="00A07C44"/>
    <w:rsid w:val="00A11117"/>
    <w:rsid w:val="00A11894"/>
    <w:rsid w:val="00A13DE6"/>
    <w:rsid w:val="00A155D0"/>
    <w:rsid w:val="00A16F24"/>
    <w:rsid w:val="00A232B1"/>
    <w:rsid w:val="00A2478B"/>
    <w:rsid w:val="00A30A7D"/>
    <w:rsid w:val="00A30F12"/>
    <w:rsid w:val="00A329E1"/>
    <w:rsid w:val="00A44E39"/>
    <w:rsid w:val="00A527F2"/>
    <w:rsid w:val="00A566CA"/>
    <w:rsid w:val="00A57D0C"/>
    <w:rsid w:val="00A57DDC"/>
    <w:rsid w:val="00A606B9"/>
    <w:rsid w:val="00A61675"/>
    <w:rsid w:val="00A62116"/>
    <w:rsid w:val="00A63E57"/>
    <w:rsid w:val="00A63F4A"/>
    <w:rsid w:val="00A66031"/>
    <w:rsid w:val="00A71592"/>
    <w:rsid w:val="00A722C8"/>
    <w:rsid w:val="00A729D7"/>
    <w:rsid w:val="00A7470F"/>
    <w:rsid w:val="00A753C7"/>
    <w:rsid w:val="00A76C10"/>
    <w:rsid w:val="00A8552B"/>
    <w:rsid w:val="00A91B8F"/>
    <w:rsid w:val="00A97D66"/>
    <w:rsid w:val="00AA3CE4"/>
    <w:rsid w:val="00AA5B97"/>
    <w:rsid w:val="00AA78AD"/>
    <w:rsid w:val="00AB18E6"/>
    <w:rsid w:val="00AB433B"/>
    <w:rsid w:val="00AB73AC"/>
    <w:rsid w:val="00AB7720"/>
    <w:rsid w:val="00AC4D72"/>
    <w:rsid w:val="00AD3109"/>
    <w:rsid w:val="00AD7884"/>
    <w:rsid w:val="00AE03ED"/>
    <w:rsid w:val="00AE1EA9"/>
    <w:rsid w:val="00AE42E7"/>
    <w:rsid w:val="00AE7D84"/>
    <w:rsid w:val="00AF0903"/>
    <w:rsid w:val="00AF28BE"/>
    <w:rsid w:val="00B00181"/>
    <w:rsid w:val="00B161F3"/>
    <w:rsid w:val="00B16389"/>
    <w:rsid w:val="00B16693"/>
    <w:rsid w:val="00B16AC4"/>
    <w:rsid w:val="00B25384"/>
    <w:rsid w:val="00B3673C"/>
    <w:rsid w:val="00B426A4"/>
    <w:rsid w:val="00B42D14"/>
    <w:rsid w:val="00B438B3"/>
    <w:rsid w:val="00B53303"/>
    <w:rsid w:val="00B545E1"/>
    <w:rsid w:val="00B7518B"/>
    <w:rsid w:val="00B80104"/>
    <w:rsid w:val="00B822BA"/>
    <w:rsid w:val="00B82866"/>
    <w:rsid w:val="00B84700"/>
    <w:rsid w:val="00B86624"/>
    <w:rsid w:val="00B87AD6"/>
    <w:rsid w:val="00B960C7"/>
    <w:rsid w:val="00B96AF4"/>
    <w:rsid w:val="00B97162"/>
    <w:rsid w:val="00B97514"/>
    <w:rsid w:val="00B97E16"/>
    <w:rsid w:val="00BA4F43"/>
    <w:rsid w:val="00BA79FB"/>
    <w:rsid w:val="00BC1CF1"/>
    <w:rsid w:val="00BC66D7"/>
    <w:rsid w:val="00BE291D"/>
    <w:rsid w:val="00BE294A"/>
    <w:rsid w:val="00BE75A8"/>
    <w:rsid w:val="00BF180A"/>
    <w:rsid w:val="00BF7EE2"/>
    <w:rsid w:val="00C00DA1"/>
    <w:rsid w:val="00C067A5"/>
    <w:rsid w:val="00C06D5E"/>
    <w:rsid w:val="00C14794"/>
    <w:rsid w:val="00C22566"/>
    <w:rsid w:val="00C257CC"/>
    <w:rsid w:val="00C27F3E"/>
    <w:rsid w:val="00C35762"/>
    <w:rsid w:val="00C35B7C"/>
    <w:rsid w:val="00C406F3"/>
    <w:rsid w:val="00C41BA3"/>
    <w:rsid w:val="00C427F1"/>
    <w:rsid w:val="00C47FFA"/>
    <w:rsid w:val="00C51EB2"/>
    <w:rsid w:val="00C52083"/>
    <w:rsid w:val="00C525EB"/>
    <w:rsid w:val="00C60011"/>
    <w:rsid w:val="00C62434"/>
    <w:rsid w:val="00C632E7"/>
    <w:rsid w:val="00C63E73"/>
    <w:rsid w:val="00C77869"/>
    <w:rsid w:val="00C803FD"/>
    <w:rsid w:val="00C80B6E"/>
    <w:rsid w:val="00C847F4"/>
    <w:rsid w:val="00C96D69"/>
    <w:rsid w:val="00C9764E"/>
    <w:rsid w:val="00CA45BA"/>
    <w:rsid w:val="00CA47AC"/>
    <w:rsid w:val="00CA4EE2"/>
    <w:rsid w:val="00CB128C"/>
    <w:rsid w:val="00CB38A2"/>
    <w:rsid w:val="00CB40AA"/>
    <w:rsid w:val="00CB466B"/>
    <w:rsid w:val="00CB4E45"/>
    <w:rsid w:val="00CB63E1"/>
    <w:rsid w:val="00CB6FDE"/>
    <w:rsid w:val="00CB724B"/>
    <w:rsid w:val="00CB7749"/>
    <w:rsid w:val="00CC0E51"/>
    <w:rsid w:val="00CC1A6B"/>
    <w:rsid w:val="00CC1C1D"/>
    <w:rsid w:val="00CC39DD"/>
    <w:rsid w:val="00CC7EA6"/>
    <w:rsid w:val="00CD4454"/>
    <w:rsid w:val="00CD6CD8"/>
    <w:rsid w:val="00CD7BEC"/>
    <w:rsid w:val="00CE20BE"/>
    <w:rsid w:val="00CE66E9"/>
    <w:rsid w:val="00CE6914"/>
    <w:rsid w:val="00CF11BE"/>
    <w:rsid w:val="00CF408E"/>
    <w:rsid w:val="00CF4EB4"/>
    <w:rsid w:val="00D01825"/>
    <w:rsid w:val="00D06A7A"/>
    <w:rsid w:val="00D13F6B"/>
    <w:rsid w:val="00D146B8"/>
    <w:rsid w:val="00D242DF"/>
    <w:rsid w:val="00D25E77"/>
    <w:rsid w:val="00D26E8D"/>
    <w:rsid w:val="00D27398"/>
    <w:rsid w:val="00D30064"/>
    <w:rsid w:val="00D3081B"/>
    <w:rsid w:val="00D31760"/>
    <w:rsid w:val="00D41FFA"/>
    <w:rsid w:val="00D4460D"/>
    <w:rsid w:val="00D51DA3"/>
    <w:rsid w:val="00D54244"/>
    <w:rsid w:val="00D56FC8"/>
    <w:rsid w:val="00D67541"/>
    <w:rsid w:val="00D729B2"/>
    <w:rsid w:val="00D772A8"/>
    <w:rsid w:val="00D81324"/>
    <w:rsid w:val="00D8408D"/>
    <w:rsid w:val="00D914A7"/>
    <w:rsid w:val="00D920BA"/>
    <w:rsid w:val="00D92417"/>
    <w:rsid w:val="00D93CB1"/>
    <w:rsid w:val="00DA60BF"/>
    <w:rsid w:val="00DB0BA9"/>
    <w:rsid w:val="00DB2089"/>
    <w:rsid w:val="00DB4B20"/>
    <w:rsid w:val="00DB55B4"/>
    <w:rsid w:val="00DB7492"/>
    <w:rsid w:val="00DB776D"/>
    <w:rsid w:val="00DC0C6A"/>
    <w:rsid w:val="00DC2772"/>
    <w:rsid w:val="00DD2E57"/>
    <w:rsid w:val="00DD346D"/>
    <w:rsid w:val="00DD4066"/>
    <w:rsid w:val="00DF169F"/>
    <w:rsid w:val="00DF33FA"/>
    <w:rsid w:val="00DF7372"/>
    <w:rsid w:val="00E01203"/>
    <w:rsid w:val="00E01EDB"/>
    <w:rsid w:val="00E035AD"/>
    <w:rsid w:val="00E05008"/>
    <w:rsid w:val="00E07131"/>
    <w:rsid w:val="00E07FF8"/>
    <w:rsid w:val="00E1024E"/>
    <w:rsid w:val="00E14473"/>
    <w:rsid w:val="00E14671"/>
    <w:rsid w:val="00E254E0"/>
    <w:rsid w:val="00E31BAE"/>
    <w:rsid w:val="00E32118"/>
    <w:rsid w:val="00E338B2"/>
    <w:rsid w:val="00E37268"/>
    <w:rsid w:val="00E405FE"/>
    <w:rsid w:val="00E40941"/>
    <w:rsid w:val="00E42BBB"/>
    <w:rsid w:val="00E5262B"/>
    <w:rsid w:val="00E608E8"/>
    <w:rsid w:val="00E61651"/>
    <w:rsid w:val="00E62FD2"/>
    <w:rsid w:val="00E656BA"/>
    <w:rsid w:val="00E657F6"/>
    <w:rsid w:val="00E6600D"/>
    <w:rsid w:val="00E67E5F"/>
    <w:rsid w:val="00E71AFA"/>
    <w:rsid w:val="00E740E3"/>
    <w:rsid w:val="00E74C66"/>
    <w:rsid w:val="00E754D9"/>
    <w:rsid w:val="00E76E6B"/>
    <w:rsid w:val="00E82CFA"/>
    <w:rsid w:val="00E86A89"/>
    <w:rsid w:val="00E920A4"/>
    <w:rsid w:val="00E925A0"/>
    <w:rsid w:val="00E9422E"/>
    <w:rsid w:val="00EA3013"/>
    <w:rsid w:val="00EA3F6B"/>
    <w:rsid w:val="00EA5255"/>
    <w:rsid w:val="00EA5F41"/>
    <w:rsid w:val="00EB1771"/>
    <w:rsid w:val="00EB2EAB"/>
    <w:rsid w:val="00EB421A"/>
    <w:rsid w:val="00EB6E92"/>
    <w:rsid w:val="00ED0277"/>
    <w:rsid w:val="00ED2A5E"/>
    <w:rsid w:val="00ED2A92"/>
    <w:rsid w:val="00ED39BD"/>
    <w:rsid w:val="00EE3B06"/>
    <w:rsid w:val="00EF11C9"/>
    <w:rsid w:val="00EF39C4"/>
    <w:rsid w:val="00EF3BED"/>
    <w:rsid w:val="00F1067C"/>
    <w:rsid w:val="00F14227"/>
    <w:rsid w:val="00F15D77"/>
    <w:rsid w:val="00F15EF4"/>
    <w:rsid w:val="00F17611"/>
    <w:rsid w:val="00F23619"/>
    <w:rsid w:val="00F259CD"/>
    <w:rsid w:val="00F2635B"/>
    <w:rsid w:val="00F41EB8"/>
    <w:rsid w:val="00F53348"/>
    <w:rsid w:val="00F57BFD"/>
    <w:rsid w:val="00F71706"/>
    <w:rsid w:val="00F72B07"/>
    <w:rsid w:val="00F76FDA"/>
    <w:rsid w:val="00F8363A"/>
    <w:rsid w:val="00F85D42"/>
    <w:rsid w:val="00F93390"/>
    <w:rsid w:val="00F94D35"/>
    <w:rsid w:val="00FA4676"/>
    <w:rsid w:val="00FA735C"/>
    <w:rsid w:val="00FC60D9"/>
    <w:rsid w:val="00FC6DF4"/>
    <w:rsid w:val="00FC6E45"/>
    <w:rsid w:val="00FF52D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 Char,ALTS FOOTNOTE,fn,f"/>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 Char Char,fn Char"/>
    <w:link w:val="FootnoteText"/>
    <w:semiHidden/>
    <w:locked/>
    <w:rsid w:val="00553BB7"/>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Emphasis">
    <w:name w:val="Emphasis"/>
    <w:qFormat/>
    <w:rsid w:val="00A63F4A"/>
    <w:rPr>
      <w:i/>
      <w:iCs/>
    </w:rPr>
  </w:style>
  <w:style w:type="character" w:styleId="CommentReference">
    <w:name w:val="annotation reference"/>
    <w:uiPriority w:val="99"/>
    <w:semiHidden/>
    <w:unhideWhenUsed/>
    <w:rsid w:val="00E754D9"/>
    <w:rPr>
      <w:sz w:val="16"/>
      <w:szCs w:val="16"/>
    </w:rPr>
  </w:style>
  <w:style w:type="paragraph" w:styleId="CommentText">
    <w:name w:val="annotation text"/>
    <w:basedOn w:val="Normal"/>
    <w:link w:val="CommentTextChar"/>
    <w:uiPriority w:val="99"/>
    <w:semiHidden/>
    <w:unhideWhenUsed/>
    <w:rsid w:val="00E754D9"/>
    <w:rPr>
      <w:sz w:val="20"/>
    </w:rPr>
  </w:style>
  <w:style w:type="character" w:customStyle="1" w:styleId="CommentTextChar">
    <w:name w:val="Comment Text Char"/>
    <w:basedOn w:val="DefaultParagraphFont"/>
    <w:link w:val="CommentText"/>
    <w:uiPriority w:val="99"/>
    <w:semiHidden/>
    <w:rsid w:val="00E754D9"/>
  </w:style>
  <w:style w:type="paragraph" w:styleId="CommentSubject">
    <w:name w:val="annotation subject"/>
    <w:basedOn w:val="CommentText"/>
    <w:next w:val="CommentText"/>
    <w:link w:val="CommentSubjectChar"/>
    <w:uiPriority w:val="99"/>
    <w:semiHidden/>
    <w:unhideWhenUsed/>
    <w:rsid w:val="00E754D9"/>
    <w:rPr>
      <w:b/>
      <w:bCs/>
    </w:rPr>
  </w:style>
  <w:style w:type="character" w:customStyle="1" w:styleId="CommentSubjectChar">
    <w:name w:val="Comment Subject Char"/>
    <w:link w:val="CommentSubject"/>
    <w:uiPriority w:val="99"/>
    <w:semiHidden/>
    <w:rsid w:val="00E754D9"/>
    <w:rPr>
      <w:b/>
      <w:bCs/>
    </w:rPr>
  </w:style>
  <w:style w:type="paragraph" w:styleId="EndnoteText">
    <w:name w:val="endnote text"/>
    <w:basedOn w:val="Normal"/>
    <w:link w:val="EndnoteTextChar"/>
    <w:uiPriority w:val="99"/>
    <w:semiHidden/>
    <w:unhideWhenUsed/>
    <w:rsid w:val="00DC2772"/>
    <w:rPr>
      <w:sz w:val="20"/>
    </w:rPr>
  </w:style>
  <w:style w:type="character" w:customStyle="1" w:styleId="EndnoteTextChar">
    <w:name w:val="Endnote Text Char"/>
    <w:basedOn w:val="DefaultParagraphFont"/>
    <w:link w:val="EndnoteText"/>
    <w:uiPriority w:val="99"/>
    <w:semiHidden/>
    <w:rsid w:val="00DC2772"/>
  </w:style>
  <w:style w:type="character" w:styleId="EndnoteReference">
    <w:name w:val="endnote reference"/>
    <w:uiPriority w:val="99"/>
    <w:semiHidden/>
    <w:unhideWhenUsed/>
    <w:rsid w:val="00DC2772"/>
    <w:rPr>
      <w:vertAlign w:val="superscript"/>
    </w:rPr>
  </w:style>
  <w:style w:type="paragraph" w:styleId="ListParagraph">
    <w:name w:val="List Paragraph"/>
    <w:basedOn w:val="Normal"/>
    <w:uiPriority w:val="34"/>
    <w:qFormat/>
    <w:rsid w:val="006126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 Char,ALTS FOOTNOTE,fn,f"/>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 Char Char,fn Char"/>
    <w:link w:val="FootnoteText"/>
    <w:semiHidden/>
    <w:locked/>
    <w:rsid w:val="00553BB7"/>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Emphasis">
    <w:name w:val="Emphasis"/>
    <w:qFormat/>
    <w:rsid w:val="00A63F4A"/>
    <w:rPr>
      <w:i/>
      <w:iCs/>
    </w:rPr>
  </w:style>
  <w:style w:type="character" w:styleId="CommentReference">
    <w:name w:val="annotation reference"/>
    <w:uiPriority w:val="99"/>
    <w:semiHidden/>
    <w:unhideWhenUsed/>
    <w:rsid w:val="00E754D9"/>
    <w:rPr>
      <w:sz w:val="16"/>
      <w:szCs w:val="16"/>
    </w:rPr>
  </w:style>
  <w:style w:type="paragraph" w:styleId="CommentText">
    <w:name w:val="annotation text"/>
    <w:basedOn w:val="Normal"/>
    <w:link w:val="CommentTextChar"/>
    <w:uiPriority w:val="99"/>
    <w:semiHidden/>
    <w:unhideWhenUsed/>
    <w:rsid w:val="00E754D9"/>
    <w:rPr>
      <w:sz w:val="20"/>
    </w:rPr>
  </w:style>
  <w:style w:type="character" w:customStyle="1" w:styleId="CommentTextChar">
    <w:name w:val="Comment Text Char"/>
    <w:basedOn w:val="DefaultParagraphFont"/>
    <w:link w:val="CommentText"/>
    <w:uiPriority w:val="99"/>
    <w:semiHidden/>
    <w:rsid w:val="00E754D9"/>
  </w:style>
  <w:style w:type="paragraph" w:styleId="CommentSubject">
    <w:name w:val="annotation subject"/>
    <w:basedOn w:val="CommentText"/>
    <w:next w:val="CommentText"/>
    <w:link w:val="CommentSubjectChar"/>
    <w:uiPriority w:val="99"/>
    <w:semiHidden/>
    <w:unhideWhenUsed/>
    <w:rsid w:val="00E754D9"/>
    <w:rPr>
      <w:b/>
      <w:bCs/>
    </w:rPr>
  </w:style>
  <w:style w:type="character" w:customStyle="1" w:styleId="CommentSubjectChar">
    <w:name w:val="Comment Subject Char"/>
    <w:link w:val="CommentSubject"/>
    <w:uiPriority w:val="99"/>
    <w:semiHidden/>
    <w:rsid w:val="00E754D9"/>
    <w:rPr>
      <w:b/>
      <w:bCs/>
    </w:rPr>
  </w:style>
  <w:style w:type="paragraph" w:styleId="EndnoteText">
    <w:name w:val="endnote text"/>
    <w:basedOn w:val="Normal"/>
    <w:link w:val="EndnoteTextChar"/>
    <w:uiPriority w:val="99"/>
    <w:semiHidden/>
    <w:unhideWhenUsed/>
    <w:rsid w:val="00DC2772"/>
    <w:rPr>
      <w:sz w:val="20"/>
    </w:rPr>
  </w:style>
  <w:style w:type="character" w:customStyle="1" w:styleId="EndnoteTextChar">
    <w:name w:val="Endnote Text Char"/>
    <w:basedOn w:val="DefaultParagraphFont"/>
    <w:link w:val="EndnoteText"/>
    <w:uiPriority w:val="99"/>
    <w:semiHidden/>
    <w:rsid w:val="00DC2772"/>
  </w:style>
  <w:style w:type="character" w:styleId="EndnoteReference">
    <w:name w:val="endnote reference"/>
    <w:uiPriority w:val="99"/>
    <w:semiHidden/>
    <w:unhideWhenUsed/>
    <w:rsid w:val="00DC2772"/>
    <w:rPr>
      <w:vertAlign w:val="superscript"/>
    </w:rPr>
  </w:style>
  <w:style w:type="paragraph" w:styleId="ListParagraph">
    <w:name w:val="List Paragraph"/>
    <w:basedOn w:val="Normal"/>
    <w:uiPriority w:val="34"/>
    <w:qFormat/>
    <w:rsid w:val="006126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657033127">
      <w:bodyDiv w:val="1"/>
      <w:marLeft w:val="0"/>
      <w:marRight w:val="0"/>
      <w:marTop w:val="0"/>
      <w:marBottom w:val="0"/>
      <w:divBdr>
        <w:top w:val="none" w:sz="0" w:space="0" w:color="auto"/>
        <w:left w:val="none" w:sz="0" w:space="0" w:color="auto"/>
        <w:bottom w:val="none" w:sz="0" w:space="0" w:color="auto"/>
        <w:right w:val="none" w:sz="0" w:space="0" w:color="auto"/>
      </w:divBdr>
    </w:div>
    <w:div w:id="183063846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Craig.Glenn@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6786</CharactersWithSpaces>
  <SharedDoc>false</SharedDoc>
  <HyperlinkBase> </HyperlinkBase>
  <HLinks>
    <vt:vector size="18" baseType="variant">
      <vt:variant>
        <vt:i4>8323103</vt:i4>
      </vt:variant>
      <vt:variant>
        <vt:i4>6</vt:i4>
      </vt:variant>
      <vt:variant>
        <vt:i4>0</vt:i4>
      </vt:variant>
      <vt:variant>
        <vt:i4>5</vt:i4>
      </vt:variant>
      <vt:variant>
        <vt:lpwstr>mailto:Craig.Glenn@fcc.gov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2009-03-17T14:43:00Z</cp:lastPrinted>
  <dcterms:created xsi:type="dcterms:W3CDTF">2014-09-22T14:47:00Z</dcterms:created>
  <dcterms:modified xsi:type="dcterms:W3CDTF">2014-09-22T14:47:00Z</dcterms:modified>
  <cp:category> </cp:category>
  <cp:contentStatus> </cp:contentStatus>
</cp:coreProperties>
</file>