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92" w:rsidRDefault="008D49D2" w:rsidP="009F3786">
      <w:pPr>
        <w:rPr>
          <w:sz w:val="22"/>
        </w:rPr>
      </w:pPr>
      <w:bookmarkStart w:id="0" w:name="_GoBack"/>
      <w:bookmarkEnd w:id="0"/>
      <w:r>
        <w:rPr>
          <w:sz w:val="22"/>
        </w:rPr>
        <w:t>Jeffrey D. Southmayd, Esq.</w:t>
      </w:r>
    </w:p>
    <w:p w:rsidR="008D49D2" w:rsidRDefault="008D49D2" w:rsidP="009F3786">
      <w:pPr>
        <w:rPr>
          <w:sz w:val="22"/>
        </w:rPr>
      </w:pPr>
      <w:r>
        <w:rPr>
          <w:sz w:val="22"/>
        </w:rPr>
        <w:t>Southmayd &amp; Miller</w:t>
      </w:r>
    </w:p>
    <w:p w:rsidR="008D49D2" w:rsidRDefault="008D49D2" w:rsidP="009F3786">
      <w:pPr>
        <w:rPr>
          <w:sz w:val="22"/>
        </w:rPr>
      </w:pPr>
      <w:r>
        <w:rPr>
          <w:sz w:val="22"/>
        </w:rPr>
        <w:t>4 Ocean Ridge Blvd. South</w:t>
      </w:r>
    </w:p>
    <w:p w:rsidR="008D49D2" w:rsidRDefault="008D49D2" w:rsidP="009F3786">
      <w:pPr>
        <w:rPr>
          <w:sz w:val="22"/>
        </w:rPr>
      </w:pPr>
      <w:r>
        <w:rPr>
          <w:sz w:val="22"/>
        </w:rPr>
        <w:t>Palm Coast, FL 32137</w:t>
      </w:r>
    </w:p>
    <w:p w:rsidR="00A262ED" w:rsidRDefault="00A262ED" w:rsidP="009F3786">
      <w:pPr>
        <w:rPr>
          <w:sz w:val="22"/>
        </w:rPr>
      </w:pPr>
    </w:p>
    <w:p w:rsidR="00A262ED" w:rsidRDefault="00A262ED" w:rsidP="009F3786">
      <w:pPr>
        <w:rPr>
          <w:sz w:val="22"/>
        </w:rPr>
      </w:pPr>
      <w:r>
        <w:rPr>
          <w:sz w:val="22"/>
        </w:rPr>
        <w:t>Michael Couzens, Esq.</w:t>
      </w:r>
    </w:p>
    <w:p w:rsidR="00A262ED" w:rsidRDefault="00A262ED" w:rsidP="009F3786">
      <w:pPr>
        <w:rPr>
          <w:sz w:val="22"/>
        </w:rPr>
      </w:pPr>
      <w:r>
        <w:rPr>
          <w:sz w:val="22"/>
        </w:rPr>
        <w:t>6536 Telegraph Avenue</w:t>
      </w:r>
    </w:p>
    <w:p w:rsidR="00A262ED" w:rsidRDefault="00A262ED" w:rsidP="009F3786">
      <w:pPr>
        <w:rPr>
          <w:sz w:val="22"/>
        </w:rPr>
      </w:pPr>
      <w:r>
        <w:rPr>
          <w:sz w:val="22"/>
        </w:rPr>
        <w:t>Suite B201</w:t>
      </w:r>
    </w:p>
    <w:p w:rsidR="00A262ED" w:rsidRDefault="00A262ED" w:rsidP="009F3786">
      <w:pPr>
        <w:rPr>
          <w:sz w:val="22"/>
        </w:rPr>
      </w:pPr>
      <w:r>
        <w:rPr>
          <w:sz w:val="22"/>
        </w:rPr>
        <w:t>Oakland, C</w:t>
      </w:r>
      <w:r w:rsidR="008C3590">
        <w:rPr>
          <w:sz w:val="22"/>
        </w:rPr>
        <w:t>A</w:t>
      </w:r>
      <w:r>
        <w:rPr>
          <w:sz w:val="22"/>
        </w:rPr>
        <w:t xml:space="preserve"> 95609</w:t>
      </w:r>
    </w:p>
    <w:p w:rsidR="004A511B" w:rsidRDefault="009F3786" w:rsidP="00AE4ECD">
      <w:pPr>
        <w:rPr>
          <w:sz w:val="22"/>
        </w:rPr>
      </w:pPr>
      <w:r w:rsidRPr="000B1025">
        <w:rPr>
          <w:sz w:val="22"/>
        </w:rPr>
        <w:tab/>
      </w:r>
      <w:r w:rsidRPr="000B1025">
        <w:rPr>
          <w:sz w:val="22"/>
        </w:rPr>
        <w:tab/>
      </w:r>
      <w:r w:rsidRPr="000B1025">
        <w:rPr>
          <w:sz w:val="22"/>
        </w:rPr>
        <w:tab/>
      </w:r>
      <w:r w:rsidR="00AE4ECD">
        <w:rPr>
          <w:sz w:val="22"/>
        </w:rPr>
        <w:tab/>
      </w:r>
      <w:r w:rsidR="00AE4ECD">
        <w:rPr>
          <w:sz w:val="22"/>
        </w:rPr>
        <w:tab/>
      </w:r>
    </w:p>
    <w:p w:rsidR="009F3786" w:rsidRPr="000B1025" w:rsidRDefault="004A511B" w:rsidP="00AE4ECD">
      <w:pPr>
        <w:rPr>
          <w:b/>
          <w:sz w:val="22"/>
        </w:rPr>
      </w:pPr>
      <w:r>
        <w:rPr>
          <w:sz w:val="22"/>
        </w:rPr>
        <w:tab/>
      </w:r>
      <w:r>
        <w:rPr>
          <w:sz w:val="22"/>
        </w:rPr>
        <w:tab/>
      </w:r>
      <w:r>
        <w:rPr>
          <w:sz w:val="22"/>
        </w:rPr>
        <w:tab/>
      </w:r>
      <w:r>
        <w:rPr>
          <w:sz w:val="22"/>
        </w:rPr>
        <w:tab/>
      </w:r>
      <w:r>
        <w:rPr>
          <w:sz w:val="22"/>
        </w:rPr>
        <w:tab/>
      </w:r>
      <w:r w:rsidR="00AE4ECD">
        <w:rPr>
          <w:sz w:val="22"/>
        </w:rPr>
        <w:tab/>
        <w:t>I</w:t>
      </w:r>
      <w:r w:rsidR="009F3786" w:rsidRPr="000B1025">
        <w:rPr>
          <w:sz w:val="22"/>
        </w:rPr>
        <w:t xml:space="preserve">n Re:   </w:t>
      </w:r>
      <w:r w:rsidR="00AC2406" w:rsidRPr="000B1025">
        <w:rPr>
          <w:b/>
          <w:sz w:val="22"/>
        </w:rPr>
        <w:t xml:space="preserve">Reserved Allotment Group </w:t>
      </w:r>
      <w:r w:rsidR="00A00B08">
        <w:rPr>
          <w:b/>
          <w:sz w:val="22"/>
        </w:rPr>
        <w:t>4</w:t>
      </w:r>
      <w:r w:rsidR="006E0CBD">
        <w:rPr>
          <w:b/>
          <w:sz w:val="22"/>
        </w:rPr>
        <w:t>7</w:t>
      </w:r>
      <w:r w:rsidR="00727430" w:rsidRPr="000B1025">
        <w:rPr>
          <w:b/>
          <w:sz w:val="22"/>
        </w:rPr>
        <w:t xml:space="preserve"> </w:t>
      </w:r>
    </w:p>
    <w:p w:rsidR="00727430" w:rsidRPr="000B1025" w:rsidRDefault="009D533C" w:rsidP="0012591E">
      <w:pPr>
        <w:rPr>
          <w:color w:val="000000"/>
          <w:sz w:val="22"/>
          <w:szCs w:val="22"/>
        </w:rPr>
      </w:pPr>
      <w:r w:rsidRPr="000B1025">
        <w:rPr>
          <w:b/>
          <w:sz w:val="22"/>
        </w:rPr>
        <w:tab/>
      </w:r>
      <w:r w:rsidRPr="000B1025">
        <w:rPr>
          <w:b/>
          <w:sz w:val="22"/>
        </w:rPr>
        <w:tab/>
      </w:r>
      <w:r w:rsidRPr="000B1025">
        <w:rPr>
          <w:b/>
          <w:sz w:val="22"/>
        </w:rPr>
        <w:tab/>
      </w:r>
      <w:r w:rsidRPr="000B1025">
        <w:rPr>
          <w:b/>
          <w:sz w:val="22"/>
        </w:rPr>
        <w:tab/>
      </w:r>
      <w:r w:rsidRPr="000B1025">
        <w:rPr>
          <w:b/>
          <w:sz w:val="22"/>
        </w:rPr>
        <w:tab/>
      </w:r>
      <w:r w:rsidRPr="000B1025">
        <w:rPr>
          <w:b/>
          <w:sz w:val="22"/>
        </w:rPr>
        <w:tab/>
      </w:r>
      <w:r w:rsidR="00AC2406" w:rsidRPr="000B1025">
        <w:rPr>
          <w:sz w:val="22"/>
          <w:szCs w:val="22"/>
        </w:rPr>
        <w:tab/>
      </w:r>
      <w:r w:rsidR="00727430" w:rsidRPr="000B1025">
        <w:rPr>
          <w:sz w:val="22"/>
          <w:szCs w:val="22"/>
        </w:rPr>
        <w:t xml:space="preserve">New NCE (FM), </w:t>
      </w:r>
      <w:r w:rsidR="00E71C77">
        <w:rPr>
          <w:color w:val="000000"/>
          <w:sz w:val="22"/>
          <w:szCs w:val="22"/>
        </w:rPr>
        <w:t>Wynnewood</w:t>
      </w:r>
      <w:r w:rsidR="00375AFF">
        <w:rPr>
          <w:color w:val="000000"/>
          <w:sz w:val="22"/>
          <w:szCs w:val="22"/>
        </w:rPr>
        <w:t>, Oklahoma</w:t>
      </w:r>
    </w:p>
    <w:p w:rsidR="00727430" w:rsidRPr="000B1025" w:rsidRDefault="00727430" w:rsidP="00727430">
      <w:pPr>
        <w:tabs>
          <w:tab w:val="left" w:pos="0"/>
        </w:tabs>
        <w:suppressAutoHyphens/>
        <w:ind w:left="5040" w:hanging="5040"/>
        <w:rPr>
          <w:color w:val="000000"/>
          <w:sz w:val="22"/>
          <w:szCs w:val="22"/>
        </w:rPr>
      </w:pPr>
      <w:r w:rsidRPr="000B1025">
        <w:rPr>
          <w:color w:val="000000"/>
          <w:sz w:val="22"/>
          <w:szCs w:val="22"/>
        </w:rPr>
        <w:tab/>
      </w:r>
      <w:r w:rsidR="00A11673">
        <w:rPr>
          <w:color w:val="000000"/>
          <w:sz w:val="22"/>
          <w:szCs w:val="22"/>
        </w:rPr>
        <w:t>Wynnewood Community Radio Association</w:t>
      </w:r>
    </w:p>
    <w:p w:rsidR="00AC2406" w:rsidRPr="000B1025" w:rsidRDefault="00727430" w:rsidP="00727430">
      <w:pPr>
        <w:tabs>
          <w:tab w:val="left" w:pos="0"/>
        </w:tabs>
        <w:suppressAutoHyphens/>
        <w:ind w:left="5040" w:hanging="5040"/>
        <w:rPr>
          <w:sz w:val="22"/>
        </w:rPr>
      </w:pPr>
      <w:r w:rsidRPr="000B1025">
        <w:rPr>
          <w:color w:val="000000"/>
          <w:sz w:val="22"/>
          <w:szCs w:val="22"/>
        </w:rPr>
        <w:tab/>
      </w:r>
      <w:r w:rsidR="00AC2406" w:rsidRPr="000B1025">
        <w:rPr>
          <w:sz w:val="22"/>
        </w:rPr>
        <w:t xml:space="preserve">Facility ID No. </w:t>
      </w:r>
      <w:r w:rsidR="00A11673">
        <w:rPr>
          <w:sz w:val="22"/>
        </w:rPr>
        <w:t>184597</w:t>
      </w:r>
      <w:r w:rsidR="00AC2406" w:rsidRPr="000B1025">
        <w:rPr>
          <w:sz w:val="22"/>
        </w:rPr>
        <w:tab/>
      </w:r>
      <w:r w:rsidR="00AC2406" w:rsidRPr="000B1025">
        <w:rPr>
          <w:sz w:val="22"/>
        </w:rPr>
        <w:tab/>
      </w:r>
      <w:r w:rsidR="00AC2406" w:rsidRPr="000B1025">
        <w:rPr>
          <w:sz w:val="22"/>
        </w:rPr>
        <w:tab/>
      </w:r>
    </w:p>
    <w:p w:rsidR="00727430" w:rsidRPr="000B1025" w:rsidRDefault="00AC2406" w:rsidP="00727430">
      <w:pPr>
        <w:tabs>
          <w:tab w:val="left" w:pos="0"/>
        </w:tabs>
        <w:suppressAutoHyphens/>
        <w:ind w:left="5040" w:hanging="5040"/>
        <w:rPr>
          <w:color w:val="000000"/>
          <w:sz w:val="22"/>
          <w:szCs w:val="22"/>
        </w:rPr>
      </w:pPr>
      <w:r w:rsidRPr="000B1025">
        <w:rPr>
          <w:sz w:val="22"/>
        </w:rPr>
        <w:tab/>
        <w:t>File No. BNPED-</w:t>
      </w:r>
      <w:r w:rsidR="00A11673">
        <w:rPr>
          <w:sz w:val="22"/>
        </w:rPr>
        <w:t>20100225ADV</w:t>
      </w:r>
    </w:p>
    <w:p w:rsidR="009F3786" w:rsidRDefault="009F3786" w:rsidP="009F3786">
      <w:pPr>
        <w:rPr>
          <w:sz w:val="22"/>
        </w:rPr>
      </w:pPr>
    </w:p>
    <w:p w:rsidR="00A262ED" w:rsidRDefault="00A262ED" w:rsidP="009F3786">
      <w:pPr>
        <w:rPr>
          <w:sz w:val="22"/>
        </w:rPr>
      </w:pPr>
      <w:r>
        <w:rPr>
          <w:sz w:val="22"/>
        </w:rPr>
        <w:tab/>
      </w:r>
      <w:r>
        <w:rPr>
          <w:sz w:val="22"/>
        </w:rPr>
        <w:tab/>
      </w:r>
      <w:r>
        <w:rPr>
          <w:sz w:val="22"/>
        </w:rPr>
        <w:tab/>
      </w:r>
      <w:r>
        <w:rPr>
          <w:sz w:val="22"/>
        </w:rPr>
        <w:tab/>
      </w:r>
      <w:r>
        <w:rPr>
          <w:sz w:val="22"/>
        </w:rPr>
        <w:tab/>
      </w:r>
      <w:r>
        <w:rPr>
          <w:sz w:val="22"/>
        </w:rPr>
        <w:tab/>
      </w:r>
      <w:r>
        <w:rPr>
          <w:sz w:val="22"/>
        </w:rPr>
        <w:tab/>
        <w:t>New NCE(FM), Wynnewood, Oklahoma</w:t>
      </w:r>
    </w:p>
    <w:p w:rsidR="00A262ED" w:rsidRDefault="00A262ED" w:rsidP="009F3786">
      <w:pPr>
        <w:rPr>
          <w:sz w:val="22"/>
        </w:rPr>
      </w:pPr>
      <w:r>
        <w:rPr>
          <w:sz w:val="22"/>
        </w:rPr>
        <w:tab/>
      </w:r>
      <w:r>
        <w:rPr>
          <w:sz w:val="22"/>
        </w:rPr>
        <w:tab/>
      </w:r>
      <w:r>
        <w:rPr>
          <w:sz w:val="22"/>
        </w:rPr>
        <w:tab/>
      </w:r>
      <w:r>
        <w:rPr>
          <w:sz w:val="22"/>
        </w:rPr>
        <w:tab/>
      </w:r>
      <w:r>
        <w:rPr>
          <w:sz w:val="22"/>
        </w:rPr>
        <w:tab/>
      </w:r>
      <w:r>
        <w:rPr>
          <w:sz w:val="22"/>
        </w:rPr>
        <w:tab/>
      </w:r>
      <w:r>
        <w:rPr>
          <w:sz w:val="22"/>
        </w:rPr>
        <w:tab/>
        <w:t>Norman Unitarian Universalist Fellowship</w:t>
      </w:r>
    </w:p>
    <w:p w:rsidR="00A262ED" w:rsidRDefault="00A262ED" w:rsidP="009F3786">
      <w:pPr>
        <w:rPr>
          <w:sz w:val="22"/>
        </w:rPr>
      </w:pPr>
      <w:r>
        <w:rPr>
          <w:sz w:val="22"/>
        </w:rPr>
        <w:tab/>
      </w:r>
      <w:r>
        <w:rPr>
          <w:sz w:val="22"/>
        </w:rPr>
        <w:tab/>
      </w:r>
      <w:r>
        <w:rPr>
          <w:sz w:val="22"/>
        </w:rPr>
        <w:tab/>
      </w:r>
      <w:r>
        <w:rPr>
          <w:sz w:val="22"/>
        </w:rPr>
        <w:tab/>
      </w:r>
      <w:r>
        <w:rPr>
          <w:sz w:val="22"/>
        </w:rPr>
        <w:tab/>
      </w:r>
      <w:r>
        <w:rPr>
          <w:sz w:val="22"/>
        </w:rPr>
        <w:tab/>
      </w:r>
      <w:r>
        <w:rPr>
          <w:sz w:val="22"/>
        </w:rPr>
        <w:tab/>
        <w:t>Facility ID No. 185094</w:t>
      </w:r>
    </w:p>
    <w:p w:rsidR="00A262ED" w:rsidRDefault="00A262ED" w:rsidP="009F3786">
      <w:pPr>
        <w:rPr>
          <w:sz w:val="22"/>
        </w:rPr>
      </w:pPr>
      <w:r>
        <w:rPr>
          <w:sz w:val="22"/>
        </w:rPr>
        <w:tab/>
      </w:r>
      <w:r>
        <w:rPr>
          <w:sz w:val="22"/>
        </w:rPr>
        <w:tab/>
      </w:r>
      <w:r>
        <w:rPr>
          <w:sz w:val="22"/>
        </w:rPr>
        <w:tab/>
      </w:r>
      <w:r>
        <w:rPr>
          <w:sz w:val="22"/>
        </w:rPr>
        <w:tab/>
      </w:r>
      <w:r>
        <w:rPr>
          <w:sz w:val="22"/>
        </w:rPr>
        <w:tab/>
      </w:r>
      <w:r>
        <w:rPr>
          <w:sz w:val="22"/>
        </w:rPr>
        <w:tab/>
      </w:r>
      <w:r>
        <w:rPr>
          <w:sz w:val="22"/>
        </w:rPr>
        <w:tab/>
        <w:t>File No. BNPED-20100226AJA</w:t>
      </w:r>
    </w:p>
    <w:p w:rsidR="00A262ED" w:rsidRPr="000B1025" w:rsidRDefault="00A262ED" w:rsidP="009F3786">
      <w:pPr>
        <w:rPr>
          <w:sz w:val="22"/>
        </w:rPr>
      </w:pPr>
      <w:r>
        <w:rPr>
          <w:sz w:val="22"/>
        </w:rPr>
        <w:tab/>
      </w:r>
      <w:r>
        <w:rPr>
          <w:sz w:val="22"/>
        </w:rPr>
        <w:tab/>
      </w:r>
      <w:r>
        <w:rPr>
          <w:sz w:val="22"/>
        </w:rPr>
        <w:tab/>
      </w:r>
      <w:r>
        <w:rPr>
          <w:sz w:val="22"/>
        </w:rPr>
        <w:tab/>
      </w:r>
    </w:p>
    <w:p w:rsidR="00C34B98" w:rsidRDefault="009F3786" w:rsidP="00EE1528">
      <w:pPr>
        <w:rPr>
          <w:b/>
          <w:sz w:val="22"/>
        </w:rPr>
      </w:pPr>
      <w:r w:rsidRPr="000B1025">
        <w:rPr>
          <w:sz w:val="22"/>
        </w:rPr>
        <w:tab/>
      </w:r>
      <w:r w:rsidRPr="000B1025">
        <w:rPr>
          <w:sz w:val="22"/>
        </w:rPr>
        <w:tab/>
      </w:r>
      <w:r w:rsidRPr="000B1025">
        <w:rPr>
          <w:sz w:val="22"/>
        </w:rPr>
        <w:tab/>
      </w:r>
      <w:r w:rsidRPr="000B1025">
        <w:rPr>
          <w:sz w:val="22"/>
        </w:rPr>
        <w:tab/>
      </w:r>
      <w:r w:rsidRPr="000B1025">
        <w:rPr>
          <w:sz w:val="22"/>
        </w:rPr>
        <w:tab/>
      </w:r>
      <w:r w:rsidRPr="000B1025">
        <w:rPr>
          <w:sz w:val="22"/>
        </w:rPr>
        <w:tab/>
      </w:r>
      <w:r w:rsidRPr="000B1025">
        <w:rPr>
          <w:sz w:val="22"/>
        </w:rPr>
        <w:tab/>
      </w:r>
      <w:r w:rsidR="00B42DAD">
        <w:rPr>
          <w:b/>
          <w:sz w:val="22"/>
        </w:rPr>
        <w:t>Petition for Reconsideration</w:t>
      </w:r>
      <w:r w:rsidRPr="000B1025">
        <w:rPr>
          <w:b/>
          <w:sz w:val="22"/>
        </w:rPr>
        <w:t xml:space="preserve"> </w:t>
      </w:r>
    </w:p>
    <w:p w:rsidR="009F3786" w:rsidRPr="000B1025" w:rsidRDefault="009F3786" w:rsidP="00EE1528">
      <w:pPr>
        <w:rPr>
          <w:b/>
          <w:sz w:val="22"/>
        </w:rPr>
      </w:pPr>
    </w:p>
    <w:p w:rsidR="009F3786" w:rsidRPr="00A34893" w:rsidRDefault="009F3786" w:rsidP="00EE1528">
      <w:pPr>
        <w:rPr>
          <w:sz w:val="22"/>
          <w:szCs w:val="22"/>
        </w:rPr>
      </w:pPr>
      <w:r w:rsidRPr="00A34893">
        <w:rPr>
          <w:sz w:val="22"/>
          <w:szCs w:val="22"/>
        </w:rPr>
        <w:t xml:space="preserve">Dear </w:t>
      </w:r>
      <w:r w:rsidR="00514015" w:rsidRPr="00A34893">
        <w:rPr>
          <w:sz w:val="22"/>
          <w:szCs w:val="22"/>
        </w:rPr>
        <w:t>Counsel</w:t>
      </w:r>
      <w:r w:rsidRPr="00A34893">
        <w:rPr>
          <w:sz w:val="22"/>
          <w:szCs w:val="22"/>
        </w:rPr>
        <w:t>:</w:t>
      </w:r>
    </w:p>
    <w:p w:rsidR="009F3786" w:rsidRPr="00A34893" w:rsidRDefault="009F3786" w:rsidP="00EE1528">
      <w:pPr>
        <w:rPr>
          <w:sz w:val="22"/>
          <w:szCs w:val="22"/>
        </w:rPr>
      </w:pPr>
    </w:p>
    <w:p w:rsidR="005B4390" w:rsidRDefault="009F3786" w:rsidP="00EE1528">
      <w:pPr>
        <w:pStyle w:val="BodyText3"/>
        <w:tabs>
          <w:tab w:val="left" w:pos="720"/>
          <w:tab w:val="left" w:pos="4680"/>
        </w:tabs>
        <w:jc w:val="left"/>
        <w:rPr>
          <w:sz w:val="22"/>
          <w:szCs w:val="22"/>
        </w:rPr>
      </w:pPr>
      <w:r w:rsidRPr="00A34893">
        <w:rPr>
          <w:sz w:val="22"/>
          <w:szCs w:val="22"/>
        </w:rPr>
        <w:tab/>
      </w:r>
      <w:r w:rsidR="00B42DAD">
        <w:rPr>
          <w:sz w:val="22"/>
          <w:szCs w:val="22"/>
        </w:rPr>
        <w:t xml:space="preserve">The sole issue in this case is whether </w:t>
      </w:r>
      <w:r w:rsidR="009B7D0F">
        <w:rPr>
          <w:sz w:val="22"/>
          <w:szCs w:val="22"/>
        </w:rPr>
        <w:t xml:space="preserve">we correctly determined that </w:t>
      </w:r>
      <w:r w:rsidR="00A56B83" w:rsidRPr="00A34893">
        <w:rPr>
          <w:sz w:val="22"/>
          <w:szCs w:val="22"/>
        </w:rPr>
        <w:t>Wynnewood Commu</w:t>
      </w:r>
      <w:r w:rsidR="00B42DAD">
        <w:rPr>
          <w:sz w:val="22"/>
          <w:szCs w:val="22"/>
        </w:rPr>
        <w:t xml:space="preserve">nity Radio Association (“WCRA”), an unincorporated </w:t>
      </w:r>
      <w:r w:rsidR="00847598">
        <w:rPr>
          <w:sz w:val="22"/>
          <w:szCs w:val="22"/>
        </w:rPr>
        <w:t>applicant</w:t>
      </w:r>
      <w:r w:rsidR="002904B8">
        <w:rPr>
          <w:sz w:val="22"/>
          <w:szCs w:val="22"/>
        </w:rPr>
        <w:t xml:space="preserve"> comprised o</w:t>
      </w:r>
      <w:r w:rsidR="00FA3F92">
        <w:rPr>
          <w:sz w:val="22"/>
          <w:szCs w:val="22"/>
        </w:rPr>
        <w:t xml:space="preserve">f a single person, </w:t>
      </w:r>
      <w:r w:rsidR="009B7D0F">
        <w:rPr>
          <w:sz w:val="22"/>
          <w:szCs w:val="22"/>
        </w:rPr>
        <w:t>is</w:t>
      </w:r>
      <w:r w:rsidR="00EA1216">
        <w:rPr>
          <w:sz w:val="22"/>
          <w:szCs w:val="22"/>
        </w:rPr>
        <w:t xml:space="preserve"> ineligible to </w:t>
      </w:r>
      <w:r w:rsidR="00B42DAD">
        <w:rPr>
          <w:sz w:val="22"/>
          <w:szCs w:val="22"/>
        </w:rPr>
        <w:t>construct</w:t>
      </w:r>
      <w:r w:rsidR="00E77977">
        <w:rPr>
          <w:sz w:val="22"/>
          <w:szCs w:val="22"/>
        </w:rPr>
        <w:t xml:space="preserve"> </w:t>
      </w:r>
      <w:r w:rsidR="00B42DAD">
        <w:rPr>
          <w:sz w:val="22"/>
          <w:szCs w:val="22"/>
        </w:rPr>
        <w:t xml:space="preserve">a </w:t>
      </w:r>
      <w:r w:rsidR="00B42DAD" w:rsidRPr="00A34893">
        <w:rPr>
          <w:sz w:val="22"/>
          <w:szCs w:val="22"/>
        </w:rPr>
        <w:t>new noncommercia</w:t>
      </w:r>
      <w:r w:rsidR="002904B8">
        <w:rPr>
          <w:sz w:val="22"/>
          <w:szCs w:val="22"/>
        </w:rPr>
        <w:t>l educational (“NCE”) FM station</w:t>
      </w:r>
      <w:r w:rsidR="004536FA">
        <w:rPr>
          <w:sz w:val="22"/>
          <w:szCs w:val="22"/>
        </w:rPr>
        <w:t xml:space="preserve"> at </w:t>
      </w:r>
      <w:r w:rsidR="00F07F72">
        <w:rPr>
          <w:sz w:val="22"/>
        </w:rPr>
        <w:t>Wynnewood, Oklahoma</w:t>
      </w:r>
      <w:r w:rsidR="00147BFD">
        <w:rPr>
          <w:sz w:val="22"/>
          <w:szCs w:val="22"/>
        </w:rPr>
        <w:t>.</w:t>
      </w:r>
      <w:r w:rsidR="000359BE">
        <w:rPr>
          <w:rStyle w:val="FootnoteReference"/>
          <w:szCs w:val="22"/>
        </w:rPr>
        <w:footnoteReference w:id="1"/>
      </w:r>
      <w:r w:rsidR="00147BFD">
        <w:rPr>
          <w:sz w:val="22"/>
          <w:szCs w:val="22"/>
        </w:rPr>
        <w:t xml:space="preserve">  </w:t>
      </w:r>
      <w:r w:rsidR="007C636A">
        <w:rPr>
          <w:sz w:val="22"/>
          <w:szCs w:val="22"/>
        </w:rPr>
        <w:t>For the reasons discussed below, w</w:t>
      </w:r>
      <w:r w:rsidR="00963899">
        <w:rPr>
          <w:sz w:val="22"/>
          <w:szCs w:val="22"/>
        </w:rPr>
        <w:t>e uphold our dismissal of WCRA’s application.</w:t>
      </w:r>
      <w:r w:rsidR="00837AEA">
        <w:rPr>
          <w:i/>
          <w:sz w:val="22"/>
          <w:szCs w:val="22"/>
        </w:rPr>
        <w:t xml:space="preserve"> </w:t>
      </w:r>
      <w:r w:rsidR="00DB61D2">
        <w:rPr>
          <w:i/>
          <w:sz w:val="22"/>
          <w:szCs w:val="22"/>
        </w:rPr>
        <w:t xml:space="preserve"> </w:t>
      </w:r>
      <w:r w:rsidR="00DB61D2">
        <w:rPr>
          <w:sz w:val="22"/>
          <w:szCs w:val="22"/>
        </w:rPr>
        <w:t xml:space="preserve">We also grant </w:t>
      </w:r>
      <w:r w:rsidR="00107102">
        <w:rPr>
          <w:sz w:val="22"/>
          <w:szCs w:val="22"/>
        </w:rPr>
        <w:t xml:space="preserve">a construction </w:t>
      </w:r>
      <w:r w:rsidR="00107102">
        <w:rPr>
          <w:sz w:val="22"/>
          <w:szCs w:val="22"/>
        </w:rPr>
        <w:lastRenderedPageBreak/>
        <w:t xml:space="preserve">permit to </w:t>
      </w:r>
      <w:r w:rsidR="00925388">
        <w:rPr>
          <w:sz w:val="22"/>
          <w:szCs w:val="22"/>
        </w:rPr>
        <w:t xml:space="preserve">the </w:t>
      </w:r>
      <w:r w:rsidR="003A1666">
        <w:rPr>
          <w:sz w:val="22"/>
          <w:szCs w:val="22"/>
        </w:rPr>
        <w:t xml:space="preserve">group’s </w:t>
      </w:r>
      <w:r w:rsidR="0015713B">
        <w:rPr>
          <w:sz w:val="22"/>
          <w:szCs w:val="22"/>
        </w:rPr>
        <w:t>sole remaining applica</w:t>
      </w:r>
      <w:r w:rsidR="00925388">
        <w:rPr>
          <w:sz w:val="22"/>
          <w:szCs w:val="22"/>
        </w:rPr>
        <w:t>nt</w:t>
      </w:r>
      <w:r w:rsidR="00643939">
        <w:rPr>
          <w:sz w:val="22"/>
          <w:szCs w:val="22"/>
        </w:rPr>
        <w:t xml:space="preserve">, </w:t>
      </w:r>
      <w:r w:rsidR="004536FA">
        <w:rPr>
          <w:sz w:val="22"/>
          <w:szCs w:val="22"/>
        </w:rPr>
        <w:t>NUUF</w:t>
      </w:r>
      <w:r w:rsidR="008D36FC">
        <w:rPr>
          <w:sz w:val="22"/>
          <w:szCs w:val="22"/>
        </w:rPr>
        <w:t xml:space="preserve">, </w:t>
      </w:r>
      <w:r w:rsidR="00EB66CD">
        <w:rPr>
          <w:sz w:val="22"/>
          <w:szCs w:val="22"/>
        </w:rPr>
        <w:t>which was</w:t>
      </w:r>
      <w:r w:rsidR="003A1666">
        <w:rPr>
          <w:sz w:val="22"/>
          <w:szCs w:val="22"/>
        </w:rPr>
        <w:t xml:space="preserve"> </w:t>
      </w:r>
      <w:r w:rsidR="00643939">
        <w:rPr>
          <w:sz w:val="22"/>
          <w:szCs w:val="22"/>
        </w:rPr>
        <w:t>tentative</w:t>
      </w:r>
      <w:r w:rsidR="00616D15">
        <w:rPr>
          <w:sz w:val="22"/>
          <w:szCs w:val="22"/>
        </w:rPr>
        <w:t>ly selected</w:t>
      </w:r>
      <w:r w:rsidR="003A1666">
        <w:rPr>
          <w:sz w:val="22"/>
          <w:szCs w:val="22"/>
        </w:rPr>
        <w:t xml:space="preserve"> </w:t>
      </w:r>
      <w:r w:rsidR="00756A32">
        <w:rPr>
          <w:sz w:val="22"/>
          <w:szCs w:val="22"/>
        </w:rPr>
        <w:t xml:space="preserve">for grant </w:t>
      </w:r>
      <w:r w:rsidR="003A1666">
        <w:rPr>
          <w:sz w:val="22"/>
          <w:szCs w:val="22"/>
        </w:rPr>
        <w:t>in the same document that dismissed WCRA</w:t>
      </w:r>
      <w:r w:rsidR="00690677">
        <w:rPr>
          <w:sz w:val="22"/>
          <w:szCs w:val="22"/>
        </w:rPr>
        <w:t>’s</w:t>
      </w:r>
      <w:r w:rsidR="003A1666">
        <w:rPr>
          <w:sz w:val="22"/>
          <w:szCs w:val="22"/>
        </w:rPr>
        <w:t xml:space="preserve"> application</w:t>
      </w:r>
      <w:r w:rsidR="008D36FC">
        <w:rPr>
          <w:sz w:val="22"/>
          <w:szCs w:val="22"/>
        </w:rPr>
        <w:t>.</w:t>
      </w:r>
      <w:r w:rsidR="00107102">
        <w:rPr>
          <w:rStyle w:val="FootnoteReference"/>
          <w:szCs w:val="22"/>
        </w:rPr>
        <w:footnoteReference w:id="2"/>
      </w:r>
      <w:r w:rsidR="008D36FC">
        <w:rPr>
          <w:sz w:val="22"/>
          <w:szCs w:val="22"/>
        </w:rPr>
        <w:t xml:space="preserve">  </w:t>
      </w:r>
    </w:p>
    <w:p w:rsidR="00667B17" w:rsidRDefault="00667B17" w:rsidP="00EE1528">
      <w:pPr>
        <w:pStyle w:val="BodyText3"/>
        <w:tabs>
          <w:tab w:val="left" w:pos="720"/>
          <w:tab w:val="left" w:pos="4680"/>
        </w:tabs>
        <w:jc w:val="left"/>
        <w:rPr>
          <w:sz w:val="22"/>
          <w:szCs w:val="22"/>
        </w:rPr>
      </w:pPr>
    </w:p>
    <w:p w:rsidR="000A62B7" w:rsidRDefault="00925388" w:rsidP="00A6177D">
      <w:pPr>
        <w:pStyle w:val="BodyText3"/>
        <w:tabs>
          <w:tab w:val="left" w:pos="720"/>
          <w:tab w:val="left" w:pos="4680"/>
        </w:tabs>
        <w:jc w:val="left"/>
        <w:rPr>
          <w:sz w:val="22"/>
          <w:szCs w:val="22"/>
        </w:rPr>
      </w:pPr>
      <w:r>
        <w:rPr>
          <w:sz w:val="22"/>
          <w:szCs w:val="22"/>
        </w:rPr>
        <w:tab/>
      </w:r>
      <w:r w:rsidR="005E26C6">
        <w:rPr>
          <w:b/>
          <w:sz w:val="22"/>
          <w:szCs w:val="22"/>
        </w:rPr>
        <w:t>Background</w:t>
      </w:r>
      <w:r w:rsidR="006346BE" w:rsidRPr="00A34893">
        <w:rPr>
          <w:b/>
          <w:sz w:val="22"/>
          <w:szCs w:val="22"/>
        </w:rPr>
        <w:t>.</w:t>
      </w:r>
      <w:r w:rsidR="006346BE" w:rsidRPr="00A34893">
        <w:rPr>
          <w:sz w:val="22"/>
          <w:szCs w:val="22"/>
        </w:rPr>
        <w:t xml:space="preserve"> </w:t>
      </w:r>
      <w:r w:rsidR="00B468B3">
        <w:rPr>
          <w:sz w:val="22"/>
          <w:szCs w:val="22"/>
        </w:rPr>
        <w:t xml:space="preserve">  </w:t>
      </w:r>
      <w:r w:rsidR="00B42DAD">
        <w:rPr>
          <w:sz w:val="22"/>
          <w:szCs w:val="22"/>
        </w:rPr>
        <w:t xml:space="preserve">Section 73.503(a) of the </w:t>
      </w:r>
      <w:r w:rsidR="00FB105C">
        <w:rPr>
          <w:sz w:val="22"/>
          <w:szCs w:val="22"/>
        </w:rPr>
        <w:t xml:space="preserve">Commission’s rules (the “Rules”) </w:t>
      </w:r>
      <w:r w:rsidR="0060722C">
        <w:rPr>
          <w:sz w:val="22"/>
          <w:szCs w:val="22"/>
        </w:rPr>
        <w:t xml:space="preserve">provides that </w:t>
      </w:r>
      <w:r w:rsidR="009B4A9E">
        <w:rPr>
          <w:sz w:val="22"/>
          <w:szCs w:val="22"/>
        </w:rPr>
        <w:t>“a noncommercial educational FM broadcast station will be licensed only to a nonprofit educational organization and upon showing that the station will be used for the advancement of an educational program.”</w:t>
      </w:r>
      <w:r w:rsidR="0050461B">
        <w:rPr>
          <w:rStyle w:val="FootnoteReference"/>
          <w:szCs w:val="22"/>
        </w:rPr>
        <w:footnoteReference w:id="3"/>
      </w:r>
      <w:r w:rsidR="009B4A9E">
        <w:rPr>
          <w:sz w:val="22"/>
          <w:szCs w:val="22"/>
        </w:rPr>
        <w:t xml:space="preserve">  </w:t>
      </w:r>
      <w:r w:rsidR="00294D52">
        <w:rPr>
          <w:color w:val="000000"/>
          <w:sz w:val="22"/>
          <w:szCs w:val="22"/>
        </w:rPr>
        <w:t>Individuals and sole proprietors are in</w:t>
      </w:r>
      <w:r w:rsidR="00F17FA9">
        <w:rPr>
          <w:color w:val="000000"/>
          <w:sz w:val="22"/>
          <w:szCs w:val="22"/>
        </w:rPr>
        <w:t>eligible</w:t>
      </w:r>
      <w:r w:rsidR="001C01C7">
        <w:rPr>
          <w:color w:val="000000"/>
          <w:sz w:val="22"/>
          <w:szCs w:val="22"/>
        </w:rPr>
        <w:t xml:space="preserve"> in the NCE service</w:t>
      </w:r>
      <w:r w:rsidR="00294D52" w:rsidRPr="00A34893">
        <w:rPr>
          <w:color w:val="000000"/>
          <w:sz w:val="22"/>
          <w:szCs w:val="22"/>
        </w:rPr>
        <w:t>.</w:t>
      </w:r>
      <w:r w:rsidR="00FA68E7">
        <w:rPr>
          <w:rStyle w:val="FootnoteReference"/>
          <w:color w:val="000000"/>
          <w:szCs w:val="22"/>
        </w:rPr>
        <w:footnoteReference w:id="4"/>
      </w:r>
      <w:r w:rsidR="00294D52" w:rsidRPr="00A34893">
        <w:rPr>
          <w:color w:val="000000"/>
          <w:sz w:val="22"/>
          <w:szCs w:val="22"/>
        </w:rPr>
        <w:t xml:space="preserve">   </w:t>
      </w:r>
      <w:r w:rsidR="00CC3DAF">
        <w:rPr>
          <w:color w:val="000000"/>
          <w:sz w:val="22"/>
          <w:szCs w:val="22"/>
        </w:rPr>
        <w:t xml:space="preserve">In evaluating the </w:t>
      </w:r>
      <w:r w:rsidR="00CC3DAF" w:rsidRPr="00D04002">
        <w:rPr>
          <w:i/>
          <w:color w:val="000000"/>
          <w:sz w:val="22"/>
          <w:szCs w:val="22"/>
        </w:rPr>
        <w:t>bona fides</w:t>
      </w:r>
      <w:r w:rsidR="009254EF">
        <w:rPr>
          <w:color w:val="000000"/>
          <w:sz w:val="22"/>
          <w:szCs w:val="22"/>
        </w:rPr>
        <w:t xml:space="preserve"> of an </w:t>
      </w:r>
      <w:r w:rsidR="00CC3DAF">
        <w:rPr>
          <w:color w:val="000000"/>
          <w:sz w:val="22"/>
          <w:szCs w:val="22"/>
        </w:rPr>
        <w:t>NCE applicant</w:t>
      </w:r>
      <w:r w:rsidR="009254EF">
        <w:rPr>
          <w:color w:val="000000"/>
          <w:sz w:val="22"/>
          <w:szCs w:val="22"/>
        </w:rPr>
        <w:t xml:space="preserve"> whose </w:t>
      </w:r>
      <w:r w:rsidR="004F5B37">
        <w:rPr>
          <w:color w:val="000000"/>
          <w:sz w:val="22"/>
          <w:szCs w:val="22"/>
        </w:rPr>
        <w:t xml:space="preserve">legal </w:t>
      </w:r>
      <w:r w:rsidR="009254EF">
        <w:rPr>
          <w:color w:val="000000"/>
          <w:sz w:val="22"/>
          <w:szCs w:val="22"/>
        </w:rPr>
        <w:t>qualifications have been challenged</w:t>
      </w:r>
      <w:r w:rsidR="00CC3DAF">
        <w:rPr>
          <w:color w:val="000000"/>
          <w:sz w:val="22"/>
          <w:szCs w:val="22"/>
        </w:rPr>
        <w:t>, the Commission gener</w:t>
      </w:r>
      <w:r w:rsidR="0064277F">
        <w:rPr>
          <w:color w:val="000000"/>
          <w:sz w:val="22"/>
          <w:szCs w:val="22"/>
        </w:rPr>
        <w:t xml:space="preserve">ally defers to the requirements of </w:t>
      </w:r>
      <w:r w:rsidR="00CC3DAF">
        <w:rPr>
          <w:color w:val="000000"/>
          <w:sz w:val="22"/>
          <w:szCs w:val="22"/>
        </w:rPr>
        <w:t xml:space="preserve">the state </w:t>
      </w:r>
      <w:r w:rsidR="00437DCF">
        <w:rPr>
          <w:color w:val="000000"/>
          <w:sz w:val="22"/>
          <w:szCs w:val="22"/>
        </w:rPr>
        <w:t xml:space="preserve">where </w:t>
      </w:r>
      <w:r w:rsidR="00CC3DAF">
        <w:rPr>
          <w:color w:val="000000"/>
          <w:sz w:val="22"/>
          <w:szCs w:val="22"/>
        </w:rPr>
        <w:t>the applicant was formed.</w:t>
      </w:r>
      <w:r w:rsidR="008C45CF">
        <w:rPr>
          <w:rStyle w:val="FootnoteReference"/>
          <w:color w:val="000000"/>
          <w:szCs w:val="22"/>
        </w:rPr>
        <w:footnoteReference w:id="5"/>
      </w:r>
      <w:r w:rsidR="00CC3DAF">
        <w:rPr>
          <w:color w:val="000000"/>
          <w:sz w:val="22"/>
          <w:szCs w:val="22"/>
        </w:rPr>
        <w:t xml:space="preserve">  </w:t>
      </w:r>
      <w:r w:rsidR="008451F2">
        <w:rPr>
          <w:color w:val="000000"/>
          <w:sz w:val="22"/>
          <w:szCs w:val="22"/>
        </w:rPr>
        <w:t>NUUF</w:t>
      </w:r>
      <w:r w:rsidR="000B0EFA">
        <w:rPr>
          <w:color w:val="000000"/>
          <w:sz w:val="22"/>
          <w:szCs w:val="22"/>
        </w:rPr>
        <w:t xml:space="preserve"> has argued that</w:t>
      </w:r>
      <w:r w:rsidR="00F557F9">
        <w:rPr>
          <w:color w:val="000000"/>
          <w:sz w:val="22"/>
          <w:szCs w:val="22"/>
        </w:rPr>
        <w:t xml:space="preserve"> </w:t>
      </w:r>
      <w:r w:rsidR="00F505EC" w:rsidRPr="00A34893">
        <w:rPr>
          <w:sz w:val="22"/>
          <w:szCs w:val="22"/>
        </w:rPr>
        <w:t xml:space="preserve">WCRA </w:t>
      </w:r>
      <w:r w:rsidR="00F557F9">
        <w:rPr>
          <w:sz w:val="22"/>
          <w:szCs w:val="22"/>
        </w:rPr>
        <w:t>is not</w:t>
      </w:r>
      <w:r w:rsidR="008451F2">
        <w:rPr>
          <w:sz w:val="22"/>
          <w:szCs w:val="22"/>
        </w:rPr>
        <w:t xml:space="preserve"> a </w:t>
      </w:r>
      <w:r w:rsidR="00636E03" w:rsidRPr="00A34893">
        <w:rPr>
          <w:sz w:val="22"/>
          <w:szCs w:val="22"/>
        </w:rPr>
        <w:t xml:space="preserve">legal </w:t>
      </w:r>
      <w:r w:rsidR="00F505EC" w:rsidRPr="00A34893">
        <w:rPr>
          <w:sz w:val="22"/>
          <w:szCs w:val="22"/>
        </w:rPr>
        <w:t>entity</w:t>
      </w:r>
      <w:r w:rsidR="008451F2">
        <w:rPr>
          <w:sz w:val="22"/>
          <w:szCs w:val="22"/>
        </w:rPr>
        <w:t xml:space="preserve"> recognized in the State of Oklahoma</w:t>
      </w:r>
      <w:r w:rsidR="00F505EC" w:rsidRPr="00A34893">
        <w:rPr>
          <w:sz w:val="22"/>
          <w:szCs w:val="22"/>
        </w:rPr>
        <w:t xml:space="preserve">, but rather </w:t>
      </w:r>
      <w:r w:rsidR="004310E9" w:rsidRPr="00A34893">
        <w:rPr>
          <w:sz w:val="22"/>
          <w:szCs w:val="22"/>
        </w:rPr>
        <w:t xml:space="preserve">the alter ego of </w:t>
      </w:r>
      <w:r w:rsidR="00F505EC" w:rsidRPr="00A34893">
        <w:rPr>
          <w:sz w:val="22"/>
          <w:szCs w:val="22"/>
        </w:rPr>
        <w:t>one individual, Tony Malaska</w:t>
      </w:r>
      <w:r w:rsidR="00D75C27" w:rsidRPr="00A34893">
        <w:rPr>
          <w:sz w:val="22"/>
          <w:szCs w:val="22"/>
        </w:rPr>
        <w:t xml:space="preserve"> (“Malaska”)</w:t>
      </w:r>
      <w:r w:rsidR="00A6177D">
        <w:rPr>
          <w:sz w:val="22"/>
          <w:szCs w:val="22"/>
        </w:rPr>
        <w:t xml:space="preserve">.  </w:t>
      </w:r>
      <w:r w:rsidR="00035950">
        <w:rPr>
          <w:sz w:val="22"/>
          <w:szCs w:val="22"/>
        </w:rPr>
        <w:t>WCRA</w:t>
      </w:r>
      <w:r w:rsidR="0088682E">
        <w:rPr>
          <w:sz w:val="22"/>
          <w:szCs w:val="22"/>
        </w:rPr>
        <w:t>, however,</w:t>
      </w:r>
      <w:r w:rsidR="008C1069">
        <w:rPr>
          <w:sz w:val="22"/>
          <w:szCs w:val="22"/>
        </w:rPr>
        <w:t xml:space="preserve"> </w:t>
      </w:r>
      <w:r w:rsidR="000B0EFA">
        <w:rPr>
          <w:sz w:val="22"/>
          <w:szCs w:val="22"/>
        </w:rPr>
        <w:t xml:space="preserve">has </w:t>
      </w:r>
      <w:r w:rsidR="008C1069">
        <w:rPr>
          <w:sz w:val="22"/>
          <w:szCs w:val="22"/>
        </w:rPr>
        <w:t>maintain</w:t>
      </w:r>
      <w:r w:rsidR="000B0EFA">
        <w:rPr>
          <w:sz w:val="22"/>
          <w:szCs w:val="22"/>
        </w:rPr>
        <w:t>ed</w:t>
      </w:r>
      <w:r w:rsidR="00035950">
        <w:rPr>
          <w:sz w:val="22"/>
          <w:szCs w:val="22"/>
        </w:rPr>
        <w:t xml:space="preserve"> that it </w:t>
      </w:r>
      <w:r w:rsidR="00E8475A">
        <w:rPr>
          <w:sz w:val="22"/>
          <w:szCs w:val="22"/>
        </w:rPr>
        <w:t>is an unincorporated associat</w:t>
      </w:r>
      <w:r w:rsidR="00D24F04">
        <w:rPr>
          <w:sz w:val="22"/>
          <w:szCs w:val="22"/>
        </w:rPr>
        <w:t>ion</w:t>
      </w:r>
      <w:r w:rsidR="00035950">
        <w:rPr>
          <w:sz w:val="22"/>
          <w:szCs w:val="22"/>
        </w:rPr>
        <w:t xml:space="preserve"> and that the Commission has licensed such entities previously.  WCRA submitted a </w:t>
      </w:r>
      <w:r w:rsidR="006371B5">
        <w:rPr>
          <w:sz w:val="22"/>
          <w:szCs w:val="22"/>
        </w:rPr>
        <w:t>statement by Mala</w:t>
      </w:r>
      <w:r w:rsidR="00682575">
        <w:rPr>
          <w:sz w:val="22"/>
          <w:szCs w:val="22"/>
        </w:rPr>
        <w:t xml:space="preserve">ska that such </w:t>
      </w:r>
      <w:r w:rsidR="00035950">
        <w:rPr>
          <w:sz w:val="22"/>
          <w:szCs w:val="22"/>
        </w:rPr>
        <w:t>form</w:t>
      </w:r>
      <w:r w:rsidR="00682575">
        <w:rPr>
          <w:sz w:val="22"/>
          <w:szCs w:val="22"/>
        </w:rPr>
        <w:t>s of business are</w:t>
      </w:r>
      <w:r w:rsidR="00035950">
        <w:rPr>
          <w:sz w:val="22"/>
          <w:szCs w:val="22"/>
        </w:rPr>
        <w:t xml:space="preserve"> </w:t>
      </w:r>
      <w:r w:rsidR="00D24F04">
        <w:rPr>
          <w:sz w:val="22"/>
          <w:szCs w:val="22"/>
        </w:rPr>
        <w:t>permitt</w:t>
      </w:r>
      <w:r w:rsidR="00035950">
        <w:rPr>
          <w:sz w:val="22"/>
          <w:szCs w:val="22"/>
        </w:rPr>
        <w:t>ed under</w:t>
      </w:r>
      <w:r w:rsidR="00E8475A">
        <w:rPr>
          <w:sz w:val="22"/>
          <w:szCs w:val="22"/>
        </w:rPr>
        <w:t xml:space="preserve"> Oklahoma</w:t>
      </w:r>
      <w:r w:rsidR="00035950">
        <w:rPr>
          <w:sz w:val="22"/>
          <w:szCs w:val="22"/>
        </w:rPr>
        <w:t xml:space="preserve"> law but</w:t>
      </w:r>
      <w:r w:rsidR="0003101E">
        <w:rPr>
          <w:sz w:val="22"/>
          <w:szCs w:val="22"/>
        </w:rPr>
        <w:t xml:space="preserve"> </w:t>
      </w:r>
      <w:r w:rsidR="004959F2">
        <w:rPr>
          <w:sz w:val="22"/>
          <w:szCs w:val="22"/>
        </w:rPr>
        <w:t>w</w:t>
      </w:r>
      <w:r w:rsidR="0088682E" w:rsidRPr="00A2549C">
        <w:rPr>
          <w:sz w:val="22"/>
          <w:szCs w:val="22"/>
        </w:rPr>
        <w:t>e</w:t>
      </w:r>
      <w:r w:rsidR="006371B5">
        <w:rPr>
          <w:sz w:val="22"/>
          <w:szCs w:val="22"/>
        </w:rPr>
        <w:t xml:space="preserve"> did not credit Mala</w:t>
      </w:r>
      <w:r w:rsidR="0088682E">
        <w:rPr>
          <w:sz w:val="22"/>
          <w:szCs w:val="22"/>
        </w:rPr>
        <w:t>ska’</w:t>
      </w:r>
      <w:r w:rsidR="00F243F0">
        <w:rPr>
          <w:sz w:val="22"/>
          <w:szCs w:val="22"/>
        </w:rPr>
        <w:t xml:space="preserve">s opinion </w:t>
      </w:r>
      <w:r w:rsidR="0003101E">
        <w:rPr>
          <w:sz w:val="22"/>
          <w:szCs w:val="22"/>
        </w:rPr>
        <w:t xml:space="preserve">in the </w:t>
      </w:r>
      <w:r w:rsidR="0003101E">
        <w:rPr>
          <w:i/>
          <w:sz w:val="22"/>
          <w:szCs w:val="22"/>
        </w:rPr>
        <w:t xml:space="preserve">Dismissal Letter </w:t>
      </w:r>
      <w:r w:rsidR="00524CCD">
        <w:rPr>
          <w:sz w:val="22"/>
          <w:szCs w:val="22"/>
        </w:rPr>
        <w:t xml:space="preserve">because </w:t>
      </w:r>
      <w:r w:rsidR="00035950">
        <w:rPr>
          <w:sz w:val="22"/>
          <w:szCs w:val="22"/>
        </w:rPr>
        <w:t xml:space="preserve">he </w:t>
      </w:r>
      <w:r w:rsidR="0088682E">
        <w:rPr>
          <w:sz w:val="22"/>
          <w:szCs w:val="22"/>
        </w:rPr>
        <w:t xml:space="preserve">had not </w:t>
      </w:r>
      <w:r w:rsidR="000510F4">
        <w:rPr>
          <w:sz w:val="22"/>
          <w:szCs w:val="22"/>
        </w:rPr>
        <w:t>established any qualifications</w:t>
      </w:r>
      <w:r w:rsidR="00035950">
        <w:rPr>
          <w:sz w:val="22"/>
          <w:szCs w:val="22"/>
        </w:rPr>
        <w:t xml:space="preserve"> on such matters</w:t>
      </w:r>
      <w:r w:rsidR="0088682E">
        <w:rPr>
          <w:sz w:val="22"/>
          <w:szCs w:val="22"/>
        </w:rPr>
        <w:t>.</w:t>
      </w:r>
      <w:r w:rsidR="0088682E">
        <w:rPr>
          <w:rStyle w:val="FootnoteReference"/>
          <w:szCs w:val="22"/>
        </w:rPr>
        <w:footnoteReference w:id="6"/>
      </w:r>
      <w:r w:rsidR="0088682E">
        <w:rPr>
          <w:sz w:val="22"/>
          <w:szCs w:val="22"/>
        </w:rPr>
        <w:t xml:space="preserve"> </w:t>
      </w:r>
      <w:r w:rsidR="00D87C45">
        <w:rPr>
          <w:sz w:val="22"/>
          <w:szCs w:val="22"/>
        </w:rPr>
        <w:t xml:space="preserve"> Moreover, </w:t>
      </w:r>
      <w:r w:rsidR="00A2549C">
        <w:rPr>
          <w:sz w:val="22"/>
          <w:szCs w:val="22"/>
        </w:rPr>
        <w:t>we observed that</w:t>
      </w:r>
      <w:r w:rsidR="00BE042F">
        <w:rPr>
          <w:sz w:val="22"/>
          <w:szCs w:val="22"/>
        </w:rPr>
        <w:t xml:space="preserve"> </w:t>
      </w:r>
      <w:r w:rsidR="00A2549C">
        <w:rPr>
          <w:sz w:val="22"/>
          <w:szCs w:val="22"/>
        </w:rPr>
        <w:t>unincorporated associations</w:t>
      </w:r>
      <w:r w:rsidR="00D87C45">
        <w:rPr>
          <w:sz w:val="22"/>
          <w:szCs w:val="22"/>
        </w:rPr>
        <w:t xml:space="preserve"> generally consist of two or more people</w:t>
      </w:r>
      <w:r w:rsidR="005E26C6">
        <w:rPr>
          <w:sz w:val="22"/>
          <w:szCs w:val="22"/>
        </w:rPr>
        <w:t>,</w:t>
      </w:r>
      <w:r w:rsidR="00D87C45">
        <w:rPr>
          <w:sz w:val="22"/>
          <w:szCs w:val="22"/>
        </w:rPr>
        <w:t xml:space="preserve"> whereas </w:t>
      </w:r>
      <w:r w:rsidR="00A8391A">
        <w:rPr>
          <w:sz w:val="22"/>
          <w:szCs w:val="22"/>
        </w:rPr>
        <w:t>Ma</w:t>
      </w:r>
      <w:r w:rsidR="006371B5">
        <w:rPr>
          <w:sz w:val="22"/>
          <w:szCs w:val="22"/>
        </w:rPr>
        <w:t>la</w:t>
      </w:r>
      <w:r w:rsidR="00C06192">
        <w:rPr>
          <w:sz w:val="22"/>
          <w:szCs w:val="22"/>
        </w:rPr>
        <w:t>ska is the sole off</w:t>
      </w:r>
      <w:r w:rsidR="002552EB">
        <w:rPr>
          <w:sz w:val="22"/>
          <w:szCs w:val="22"/>
        </w:rPr>
        <w:t>icer and director of WCRA</w:t>
      </w:r>
      <w:r w:rsidR="000E772F">
        <w:rPr>
          <w:sz w:val="22"/>
          <w:szCs w:val="22"/>
        </w:rPr>
        <w:t>.</w:t>
      </w:r>
      <w:r w:rsidR="002552EB">
        <w:rPr>
          <w:rStyle w:val="FootnoteReference"/>
          <w:szCs w:val="22"/>
        </w:rPr>
        <w:footnoteReference w:id="7"/>
      </w:r>
      <w:r w:rsidR="002552EB">
        <w:rPr>
          <w:sz w:val="22"/>
          <w:szCs w:val="22"/>
        </w:rPr>
        <w:t xml:space="preserve"> </w:t>
      </w:r>
      <w:r w:rsidR="000E772F">
        <w:rPr>
          <w:sz w:val="22"/>
          <w:szCs w:val="22"/>
        </w:rPr>
        <w:t xml:space="preserve">  </w:t>
      </w:r>
      <w:r w:rsidR="00320A31">
        <w:rPr>
          <w:sz w:val="22"/>
          <w:szCs w:val="22"/>
        </w:rPr>
        <w:t>W</w:t>
      </w:r>
      <w:r w:rsidR="00686088">
        <w:rPr>
          <w:sz w:val="22"/>
          <w:szCs w:val="22"/>
        </w:rPr>
        <w:t xml:space="preserve">e </w:t>
      </w:r>
      <w:r w:rsidR="00057DAD">
        <w:rPr>
          <w:sz w:val="22"/>
          <w:szCs w:val="22"/>
        </w:rPr>
        <w:t xml:space="preserve">recognized that we have on occasion granted permits to </w:t>
      </w:r>
      <w:r w:rsidR="00320A31">
        <w:rPr>
          <w:sz w:val="22"/>
          <w:szCs w:val="22"/>
        </w:rPr>
        <w:t xml:space="preserve">unincorporated </w:t>
      </w:r>
      <w:r w:rsidR="00BB4B23">
        <w:rPr>
          <w:sz w:val="22"/>
          <w:szCs w:val="22"/>
        </w:rPr>
        <w:t xml:space="preserve">NCE </w:t>
      </w:r>
      <w:r w:rsidR="0018247D">
        <w:rPr>
          <w:sz w:val="22"/>
          <w:szCs w:val="22"/>
        </w:rPr>
        <w:t>applicants</w:t>
      </w:r>
      <w:r w:rsidR="00057DAD">
        <w:rPr>
          <w:sz w:val="22"/>
          <w:szCs w:val="22"/>
        </w:rPr>
        <w:t xml:space="preserve"> but stated that</w:t>
      </w:r>
      <w:r w:rsidR="00BB4B23">
        <w:rPr>
          <w:sz w:val="22"/>
          <w:szCs w:val="22"/>
        </w:rPr>
        <w:t xml:space="preserve"> those applicants</w:t>
      </w:r>
      <w:r w:rsidR="0018247D">
        <w:rPr>
          <w:sz w:val="22"/>
          <w:szCs w:val="22"/>
        </w:rPr>
        <w:t>,</w:t>
      </w:r>
      <w:r w:rsidR="000E416E">
        <w:rPr>
          <w:sz w:val="22"/>
          <w:szCs w:val="22"/>
        </w:rPr>
        <w:t xml:space="preserve"> </w:t>
      </w:r>
      <w:r w:rsidR="00CD0B78">
        <w:rPr>
          <w:sz w:val="22"/>
          <w:szCs w:val="22"/>
        </w:rPr>
        <w:t xml:space="preserve">unlike WCRA, had </w:t>
      </w:r>
      <w:r w:rsidR="00057DAD">
        <w:rPr>
          <w:sz w:val="22"/>
          <w:szCs w:val="22"/>
        </w:rPr>
        <w:t xml:space="preserve">demonstrated </w:t>
      </w:r>
      <w:r w:rsidR="00CD0B78">
        <w:rPr>
          <w:sz w:val="22"/>
          <w:szCs w:val="22"/>
        </w:rPr>
        <w:t xml:space="preserve">state recognition </w:t>
      </w:r>
      <w:r w:rsidR="005E26C6">
        <w:rPr>
          <w:sz w:val="22"/>
          <w:szCs w:val="22"/>
        </w:rPr>
        <w:t xml:space="preserve">of </w:t>
      </w:r>
      <w:r w:rsidR="0009491A">
        <w:rPr>
          <w:sz w:val="22"/>
          <w:szCs w:val="22"/>
        </w:rPr>
        <w:t xml:space="preserve">their </w:t>
      </w:r>
      <w:r w:rsidR="005E26C6">
        <w:rPr>
          <w:sz w:val="22"/>
          <w:szCs w:val="22"/>
        </w:rPr>
        <w:t xml:space="preserve">organizational status </w:t>
      </w:r>
      <w:r w:rsidR="00057DAD">
        <w:rPr>
          <w:sz w:val="22"/>
          <w:szCs w:val="22"/>
        </w:rPr>
        <w:t xml:space="preserve">either </w:t>
      </w:r>
      <w:r w:rsidR="005D63FF">
        <w:rPr>
          <w:sz w:val="22"/>
          <w:szCs w:val="22"/>
        </w:rPr>
        <w:t xml:space="preserve">by registering </w:t>
      </w:r>
      <w:r w:rsidR="00664CD0">
        <w:rPr>
          <w:sz w:val="22"/>
          <w:szCs w:val="22"/>
        </w:rPr>
        <w:t xml:space="preserve">with </w:t>
      </w:r>
      <w:r w:rsidR="00D01F81">
        <w:rPr>
          <w:sz w:val="22"/>
          <w:szCs w:val="22"/>
        </w:rPr>
        <w:t xml:space="preserve">a </w:t>
      </w:r>
      <w:r w:rsidR="00057DAD">
        <w:rPr>
          <w:sz w:val="22"/>
          <w:szCs w:val="22"/>
        </w:rPr>
        <w:t>Secretary of State’s o</w:t>
      </w:r>
      <w:r w:rsidR="0088682E">
        <w:rPr>
          <w:sz w:val="22"/>
          <w:szCs w:val="22"/>
        </w:rPr>
        <w:t>ffice</w:t>
      </w:r>
      <w:r w:rsidR="00CD0B78">
        <w:rPr>
          <w:sz w:val="22"/>
          <w:szCs w:val="22"/>
        </w:rPr>
        <w:t xml:space="preserve"> or </w:t>
      </w:r>
      <w:r w:rsidR="00057DAD">
        <w:rPr>
          <w:sz w:val="22"/>
          <w:szCs w:val="22"/>
        </w:rPr>
        <w:t>by submitting</w:t>
      </w:r>
      <w:r w:rsidR="00CD0B78">
        <w:rPr>
          <w:sz w:val="22"/>
          <w:szCs w:val="22"/>
        </w:rPr>
        <w:t xml:space="preserve"> an opinion from a qualified attorney</w:t>
      </w:r>
      <w:r w:rsidR="005E26C6">
        <w:rPr>
          <w:sz w:val="22"/>
          <w:szCs w:val="22"/>
        </w:rPr>
        <w:t xml:space="preserve"> that the applica</w:t>
      </w:r>
      <w:r w:rsidR="00847598">
        <w:rPr>
          <w:sz w:val="22"/>
          <w:szCs w:val="22"/>
        </w:rPr>
        <w:t>n</w:t>
      </w:r>
      <w:r w:rsidR="005E26C6">
        <w:rPr>
          <w:sz w:val="22"/>
          <w:szCs w:val="22"/>
        </w:rPr>
        <w:t>t is an unincorporated association under state law</w:t>
      </w:r>
      <w:r w:rsidR="0088682E">
        <w:rPr>
          <w:sz w:val="22"/>
          <w:szCs w:val="22"/>
        </w:rPr>
        <w:t>.</w:t>
      </w:r>
      <w:r w:rsidR="006C3197">
        <w:rPr>
          <w:rStyle w:val="FootnoteReference"/>
          <w:szCs w:val="22"/>
        </w:rPr>
        <w:footnoteReference w:id="8"/>
      </w:r>
      <w:r w:rsidR="0088682E">
        <w:rPr>
          <w:sz w:val="22"/>
          <w:szCs w:val="22"/>
        </w:rPr>
        <w:t xml:space="preserve"> </w:t>
      </w:r>
    </w:p>
    <w:p w:rsidR="000A62B7" w:rsidRDefault="000A62B7" w:rsidP="00A6177D">
      <w:pPr>
        <w:pStyle w:val="BodyText3"/>
        <w:tabs>
          <w:tab w:val="left" w:pos="720"/>
          <w:tab w:val="left" w:pos="4680"/>
        </w:tabs>
        <w:jc w:val="left"/>
        <w:rPr>
          <w:sz w:val="22"/>
          <w:szCs w:val="22"/>
        </w:rPr>
      </w:pPr>
    </w:p>
    <w:p w:rsidR="0060722C" w:rsidRDefault="00BE042F" w:rsidP="00A6177D">
      <w:pPr>
        <w:pStyle w:val="BodyText3"/>
        <w:tabs>
          <w:tab w:val="left" w:pos="720"/>
          <w:tab w:val="left" w:pos="4680"/>
        </w:tabs>
        <w:jc w:val="left"/>
        <w:rPr>
          <w:sz w:val="22"/>
          <w:szCs w:val="22"/>
        </w:rPr>
      </w:pPr>
      <w:r>
        <w:rPr>
          <w:sz w:val="22"/>
          <w:szCs w:val="22"/>
        </w:rPr>
        <w:tab/>
      </w:r>
      <w:r w:rsidR="007955EF">
        <w:rPr>
          <w:b/>
          <w:sz w:val="22"/>
          <w:szCs w:val="22"/>
        </w:rPr>
        <w:t xml:space="preserve">Discussion.  </w:t>
      </w:r>
      <w:r w:rsidR="000A62B7" w:rsidRPr="00C17ADD">
        <w:rPr>
          <w:sz w:val="22"/>
          <w:szCs w:val="22"/>
        </w:rPr>
        <w:t>Recon</w:t>
      </w:r>
      <w:r w:rsidR="000A62B7">
        <w:rPr>
          <w:sz w:val="22"/>
          <w:szCs w:val="22"/>
        </w:rPr>
        <w:t xml:space="preserve">sideration is appropriate if a </w:t>
      </w:r>
      <w:r w:rsidR="000A62B7" w:rsidRPr="00C17ADD">
        <w:rPr>
          <w:sz w:val="22"/>
          <w:szCs w:val="22"/>
        </w:rPr>
        <w:t xml:space="preserve">petitioner demonstrates a material error or omission in the underlying order or raises additional facts not known or not existing until after the petitioner's last opportunity to present such matters. </w:t>
      </w:r>
      <w:r w:rsidR="005C531B">
        <w:rPr>
          <w:sz w:val="22"/>
          <w:szCs w:val="22"/>
        </w:rPr>
        <w:t xml:space="preserve"> Reconsideration is not </w:t>
      </w:r>
      <w:r w:rsidR="000A62B7">
        <w:rPr>
          <w:sz w:val="22"/>
          <w:szCs w:val="22"/>
        </w:rPr>
        <w:t>granted to debate matters already decided.</w:t>
      </w:r>
      <w:r w:rsidR="000A62B7">
        <w:rPr>
          <w:rStyle w:val="FootnoteReference"/>
          <w:szCs w:val="22"/>
        </w:rPr>
        <w:footnoteReference w:id="9"/>
      </w:r>
      <w:r>
        <w:rPr>
          <w:sz w:val="22"/>
          <w:szCs w:val="22"/>
        </w:rPr>
        <w:t xml:space="preserve">  </w:t>
      </w:r>
      <w:r w:rsidR="00E85116">
        <w:rPr>
          <w:sz w:val="22"/>
          <w:szCs w:val="22"/>
        </w:rPr>
        <w:t xml:space="preserve">WCRA </w:t>
      </w:r>
      <w:r w:rsidR="00B96A68">
        <w:rPr>
          <w:sz w:val="22"/>
          <w:szCs w:val="22"/>
        </w:rPr>
        <w:t>seeks reconsideration based on arguments that our decision wa</w:t>
      </w:r>
      <w:r w:rsidR="00E85116">
        <w:rPr>
          <w:sz w:val="22"/>
          <w:szCs w:val="22"/>
        </w:rPr>
        <w:t xml:space="preserve">s </w:t>
      </w:r>
      <w:r w:rsidR="004F4A11">
        <w:rPr>
          <w:sz w:val="22"/>
          <w:szCs w:val="22"/>
        </w:rPr>
        <w:t>u</w:t>
      </w:r>
      <w:r w:rsidR="003F5DCA">
        <w:rPr>
          <w:sz w:val="22"/>
          <w:szCs w:val="22"/>
        </w:rPr>
        <w:t>nsupported by the record</w:t>
      </w:r>
      <w:r w:rsidR="00BA7859">
        <w:rPr>
          <w:sz w:val="22"/>
          <w:szCs w:val="22"/>
        </w:rPr>
        <w:t xml:space="preserve"> and </w:t>
      </w:r>
      <w:r w:rsidR="004F4A11">
        <w:rPr>
          <w:sz w:val="22"/>
          <w:szCs w:val="22"/>
        </w:rPr>
        <w:t>misint</w:t>
      </w:r>
      <w:r w:rsidR="00B96A68">
        <w:rPr>
          <w:sz w:val="22"/>
          <w:szCs w:val="22"/>
        </w:rPr>
        <w:t>erpreted</w:t>
      </w:r>
      <w:r w:rsidR="00BA7859">
        <w:rPr>
          <w:sz w:val="22"/>
          <w:szCs w:val="22"/>
        </w:rPr>
        <w:t xml:space="preserve"> </w:t>
      </w:r>
      <w:r w:rsidR="009E630E">
        <w:rPr>
          <w:sz w:val="22"/>
          <w:szCs w:val="22"/>
        </w:rPr>
        <w:t>Oklahoma law.  In particular, WCRA</w:t>
      </w:r>
      <w:r w:rsidR="002501AA">
        <w:rPr>
          <w:sz w:val="22"/>
          <w:szCs w:val="22"/>
        </w:rPr>
        <w:t xml:space="preserve"> contends </w:t>
      </w:r>
      <w:r w:rsidR="007626C9">
        <w:rPr>
          <w:sz w:val="22"/>
          <w:szCs w:val="22"/>
        </w:rPr>
        <w:t xml:space="preserve">that we </w:t>
      </w:r>
      <w:r w:rsidR="002501AA">
        <w:rPr>
          <w:sz w:val="22"/>
          <w:szCs w:val="22"/>
        </w:rPr>
        <w:t>erred by</w:t>
      </w:r>
      <w:r w:rsidR="00562D62">
        <w:rPr>
          <w:sz w:val="22"/>
          <w:szCs w:val="22"/>
        </w:rPr>
        <w:t xml:space="preserve"> (1) </w:t>
      </w:r>
      <w:r w:rsidR="002501AA">
        <w:rPr>
          <w:sz w:val="22"/>
          <w:szCs w:val="22"/>
        </w:rPr>
        <w:t>examining</w:t>
      </w:r>
      <w:r w:rsidR="00C81B86">
        <w:rPr>
          <w:sz w:val="22"/>
          <w:szCs w:val="22"/>
        </w:rPr>
        <w:t xml:space="preserve"> </w:t>
      </w:r>
      <w:r w:rsidR="00C8326B">
        <w:rPr>
          <w:sz w:val="22"/>
          <w:szCs w:val="22"/>
        </w:rPr>
        <w:t xml:space="preserve">WCRA’s </w:t>
      </w:r>
      <w:r w:rsidR="00C81B86">
        <w:rPr>
          <w:sz w:val="22"/>
          <w:szCs w:val="22"/>
        </w:rPr>
        <w:t xml:space="preserve">eligibility under </w:t>
      </w:r>
      <w:r w:rsidR="007626C9">
        <w:rPr>
          <w:sz w:val="22"/>
          <w:szCs w:val="22"/>
        </w:rPr>
        <w:t xml:space="preserve">Section </w:t>
      </w:r>
      <w:r w:rsidR="004F35C1">
        <w:rPr>
          <w:sz w:val="22"/>
          <w:szCs w:val="22"/>
        </w:rPr>
        <w:t>73.</w:t>
      </w:r>
      <w:r w:rsidR="007626C9">
        <w:rPr>
          <w:sz w:val="22"/>
          <w:szCs w:val="22"/>
        </w:rPr>
        <w:t xml:space="preserve">503(a) of the </w:t>
      </w:r>
      <w:r w:rsidR="002D6282">
        <w:rPr>
          <w:sz w:val="22"/>
          <w:szCs w:val="22"/>
        </w:rPr>
        <w:t>R</w:t>
      </w:r>
      <w:r w:rsidR="007626C9">
        <w:rPr>
          <w:sz w:val="22"/>
          <w:szCs w:val="22"/>
        </w:rPr>
        <w:t xml:space="preserve">ules </w:t>
      </w:r>
      <w:r w:rsidR="006F6581">
        <w:rPr>
          <w:sz w:val="22"/>
          <w:szCs w:val="22"/>
        </w:rPr>
        <w:t>instead of</w:t>
      </w:r>
      <w:r w:rsidR="007626C9">
        <w:rPr>
          <w:sz w:val="22"/>
          <w:szCs w:val="22"/>
        </w:rPr>
        <w:t xml:space="preserve"> </w:t>
      </w:r>
      <w:r w:rsidR="004F4A11">
        <w:rPr>
          <w:sz w:val="22"/>
          <w:szCs w:val="22"/>
        </w:rPr>
        <w:t xml:space="preserve">Section 397(6)(A) of the Communications Act </w:t>
      </w:r>
      <w:r w:rsidR="00847598">
        <w:rPr>
          <w:sz w:val="22"/>
          <w:szCs w:val="22"/>
        </w:rPr>
        <w:t xml:space="preserve">of 1934, </w:t>
      </w:r>
      <w:r w:rsidR="00B7111E">
        <w:rPr>
          <w:sz w:val="22"/>
          <w:szCs w:val="22"/>
        </w:rPr>
        <w:t xml:space="preserve">as amended (the “Act”), </w:t>
      </w:r>
      <w:r w:rsidR="007626C9">
        <w:rPr>
          <w:sz w:val="22"/>
          <w:szCs w:val="22"/>
        </w:rPr>
        <w:t xml:space="preserve">which explicitly </w:t>
      </w:r>
      <w:r w:rsidR="007F3553">
        <w:rPr>
          <w:sz w:val="22"/>
          <w:szCs w:val="22"/>
        </w:rPr>
        <w:t xml:space="preserve">mentions </w:t>
      </w:r>
      <w:r w:rsidR="00005F44">
        <w:rPr>
          <w:sz w:val="22"/>
          <w:szCs w:val="22"/>
        </w:rPr>
        <w:t>associations</w:t>
      </w:r>
      <w:r w:rsidR="00B36018">
        <w:rPr>
          <w:sz w:val="22"/>
          <w:szCs w:val="22"/>
        </w:rPr>
        <w:t xml:space="preserve">; (2) </w:t>
      </w:r>
      <w:r w:rsidR="004C5FB9">
        <w:rPr>
          <w:sz w:val="22"/>
          <w:szCs w:val="22"/>
        </w:rPr>
        <w:t xml:space="preserve">breaking with </w:t>
      </w:r>
      <w:r w:rsidR="002A3AE1">
        <w:rPr>
          <w:sz w:val="22"/>
          <w:szCs w:val="22"/>
        </w:rPr>
        <w:t xml:space="preserve">general </w:t>
      </w:r>
      <w:r w:rsidR="004C5FB9">
        <w:rPr>
          <w:sz w:val="22"/>
          <w:szCs w:val="22"/>
        </w:rPr>
        <w:t xml:space="preserve">Commission policy of </w:t>
      </w:r>
      <w:r w:rsidR="008F2F59">
        <w:rPr>
          <w:sz w:val="22"/>
          <w:szCs w:val="22"/>
        </w:rPr>
        <w:t>leav</w:t>
      </w:r>
      <w:r w:rsidR="001B2CD6">
        <w:rPr>
          <w:sz w:val="22"/>
          <w:szCs w:val="22"/>
        </w:rPr>
        <w:t>ing interpretation of state law</w:t>
      </w:r>
      <w:r w:rsidR="008F2F59">
        <w:rPr>
          <w:sz w:val="22"/>
          <w:szCs w:val="22"/>
        </w:rPr>
        <w:t xml:space="preserve"> to the states</w:t>
      </w:r>
      <w:r w:rsidR="004C5FB9">
        <w:rPr>
          <w:sz w:val="22"/>
          <w:szCs w:val="22"/>
        </w:rPr>
        <w:t xml:space="preserve">; (3) </w:t>
      </w:r>
      <w:r w:rsidR="00E85116">
        <w:rPr>
          <w:sz w:val="22"/>
          <w:szCs w:val="22"/>
        </w:rPr>
        <w:t xml:space="preserve">improperly </w:t>
      </w:r>
      <w:r w:rsidR="002501AA">
        <w:rPr>
          <w:sz w:val="22"/>
          <w:szCs w:val="22"/>
        </w:rPr>
        <w:t>faulting</w:t>
      </w:r>
      <w:r w:rsidR="00856DEC">
        <w:rPr>
          <w:sz w:val="22"/>
          <w:szCs w:val="22"/>
        </w:rPr>
        <w:t xml:space="preserve"> WCRA for not </w:t>
      </w:r>
      <w:r w:rsidR="00562D62">
        <w:rPr>
          <w:sz w:val="22"/>
          <w:szCs w:val="22"/>
        </w:rPr>
        <w:t>formally filing or registering</w:t>
      </w:r>
      <w:r w:rsidR="00B36018">
        <w:rPr>
          <w:sz w:val="22"/>
          <w:szCs w:val="22"/>
        </w:rPr>
        <w:t xml:space="preserve"> w</w:t>
      </w:r>
      <w:r w:rsidR="006F6581">
        <w:rPr>
          <w:sz w:val="22"/>
          <w:szCs w:val="22"/>
        </w:rPr>
        <w:t xml:space="preserve">ith the State of Oklahoma </w:t>
      </w:r>
      <w:r w:rsidR="00E85116">
        <w:rPr>
          <w:sz w:val="22"/>
          <w:szCs w:val="22"/>
        </w:rPr>
        <w:t>when</w:t>
      </w:r>
      <w:r w:rsidR="00037022">
        <w:rPr>
          <w:sz w:val="22"/>
          <w:szCs w:val="22"/>
        </w:rPr>
        <w:t xml:space="preserve"> the </w:t>
      </w:r>
      <w:r w:rsidR="00037022">
        <w:rPr>
          <w:sz w:val="22"/>
          <w:szCs w:val="22"/>
        </w:rPr>
        <w:lastRenderedPageBreak/>
        <w:t xml:space="preserve">State </w:t>
      </w:r>
      <w:r w:rsidR="00B36018">
        <w:rPr>
          <w:sz w:val="22"/>
          <w:szCs w:val="22"/>
        </w:rPr>
        <w:t xml:space="preserve">has no such </w:t>
      </w:r>
      <w:r w:rsidR="000C4049">
        <w:rPr>
          <w:sz w:val="22"/>
          <w:szCs w:val="22"/>
        </w:rPr>
        <w:t xml:space="preserve">process or </w:t>
      </w:r>
      <w:r w:rsidR="00B36018">
        <w:rPr>
          <w:sz w:val="22"/>
          <w:szCs w:val="22"/>
        </w:rPr>
        <w:t xml:space="preserve">requirement; </w:t>
      </w:r>
      <w:r w:rsidR="004C5FB9">
        <w:rPr>
          <w:sz w:val="22"/>
          <w:szCs w:val="22"/>
        </w:rPr>
        <w:t>and (4</w:t>
      </w:r>
      <w:r w:rsidR="002501AA">
        <w:rPr>
          <w:sz w:val="22"/>
          <w:szCs w:val="22"/>
        </w:rPr>
        <w:t xml:space="preserve">) disregarding </w:t>
      </w:r>
      <w:r w:rsidR="00436D84">
        <w:rPr>
          <w:sz w:val="22"/>
          <w:szCs w:val="22"/>
        </w:rPr>
        <w:t>Mala</w:t>
      </w:r>
      <w:r w:rsidR="00291B88">
        <w:rPr>
          <w:sz w:val="22"/>
          <w:szCs w:val="22"/>
        </w:rPr>
        <w:t xml:space="preserve">ska’s statement </w:t>
      </w:r>
      <w:r w:rsidR="00556E5A">
        <w:rPr>
          <w:sz w:val="22"/>
          <w:szCs w:val="22"/>
        </w:rPr>
        <w:t>that</w:t>
      </w:r>
      <w:r w:rsidR="00291B88">
        <w:rPr>
          <w:sz w:val="22"/>
          <w:szCs w:val="22"/>
        </w:rPr>
        <w:t xml:space="preserve"> unincorporated associations </w:t>
      </w:r>
      <w:r w:rsidR="00556E5A">
        <w:rPr>
          <w:sz w:val="22"/>
          <w:szCs w:val="22"/>
        </w:rPr>
        <w:t xml:space="preserve">are legitimate </w:t>
      </w:r>
      <w:r w:rsidR="00291B88">
        <w:rPr>
          <w:sz w:val="22"/>
          <w:szCs w:val="22"/>
        </w:rPr>
        <w:t xml:space="preserve">in Oklahoma. </w:t>
      </w:r>
      <w:r w:rsidR="004F4A11">
        <w:rPr>
          <w:sz w:val="22"/>
          <w:szCs w:val="22"/>
        </w:rPr>
        <w:t xml:space="preserve">WCRA </w:t>
      </w:r>
      <w:r w:rsidR="003F0D75">
        <w:rPr>
          <w:sz w:val="22"/>
          <w:szCs w:val="22"/>
        </w:rPr>
        <w:t xml:space="preserve">also </w:t>
      </w:r>
      <w:r w:rsidR="004F4A11">
        <w:rPr>
          <w:sz w:val="22"/>
          <w:szCs w:val="22"/>
        </w:rPr>
        <w:t>submits new evidence, an opinion letter fr</w:t>
      </w:r>
      <w:r w:rsidR="00856DEC">
        <w:rPr>
          <w:sz w:val="22"/>
          <w:szCs w:val="22"/>
        </w:rPr>
        <w:t xml:space="preserve">om </w:t>
      </w:r>
      <w:r w:rsidR="0027136A">
        <w:rPr>
          <w:sz w:val="22"/>
          <w:szCs w:val="22"/>
        </w:rPr>
        <w:t xml:space="preserve">an </w:t>
      </w:r>
      <w:r w:rsidR="00856DEC">
        <w:rPr>
          <w:sz w:val="22"/>
          <w:szCs w:val="22"/>
        </w:rPr>
        <w:t>Oklahoma l</w:t>
      </w:r>
      <w:r w:rsidR="004F4A11">
        <w:rPr>
          <w:sz w:val="22"/>
          <w:szCs w:val="22"/>
        </w:rPr>
        <w:t xml:space="preserve">aw firm, </w:t>
      </w:r>
      <w:r w:rsidR="007C6A17">
        <w:rPr>
          <w:sz w:val="22"/>
          <w:szCs w:val="22"/>
        </w:rPr>
        <w:t xml:space="preserve">which concludes that Oklahoma </w:t>
      </w:r>
      <w:r w:rsidR="009462C7">
        <w:rPr>
          <w:sz w:val="22"/>
          <w:szCs w:val="22"/>
        </w:rPr>
        <w:t xml:space="preserve">law permits unincorporated associations </w:t>
      </w:r>
      <w:r w:rsidR="00980CB9">
        <w:rPr>
          <w:sz w:val="22"/>
          <w:szCs w:val="22"/>
        </w:rPr>
        <w:t xml:space="preserve">and </w:t>
      </w:r>
      <w:r w:rsidR="009462C7">
        <w:rPr>
          <w:sz w:val="22"/>
          <w:szCs w:val="22"/>
        </w:rPr>
        <w:t xml:space="preserve">has no </w:t>
      </w:r>
      <w:r w:rsidR="00775AE1">
        <w:rPr>
          <w:sz w:val="22"/>
          <w:szCs w:val="22"/>
        </w:rPr>
        <w:t>requirement that they</w:t>
      </w:r>
      <w:r w:rsidR="00B96A68">
        <w:rPr>
          <w:sz w:val="22"/>
          <w:szCs w:val="22"/>
        </w:rPr>
        <w:t xml:space="preserve"> register</w:t>
      </w:r>
      <w:r w:rsidR="00D06A3B">
        <w:rPr>
          <w:sz w:val="22"/>
          <w:szCs w:val="22"/>
        </w:rPr>
        <w:t xml:space="preserve"> with the State</w:t>
      </w:r>
      <w:r w:rsidR="004F4A11">
        <w:rPr>
          <w:sz w:val="22"/>
          <w:szCs w:val="22"/>
        </w:rPr>
        <w:t>.</w:t>
      </w:r>
      <w:r w:rsidR="004F4A11">
        <w:rPr>
          <w:rStyle w:val="FootnoteReference"/>
          <w:szCs w:val="22"/>
        </w:rPr>
        <w:footnoteReference w:id="10"/>
      </w:r>
      <w:r w:rsidR="009462C7">
        <w:rPr>
          <w:sz w:val="22"/>
          <w:szCs w:val="22"/>
        </w:rPr>
        <w:t xml:space="preserve"> In opposition, NUUF argues that neither the new evidence nor </w:t>
      </w:r>
      <w:r w:rsidR="00402787">
        <w:rPr>
          <w:sz w:val="22"/>
          <w:szCs w:val="22"/>
        </w:rPr>
        <w:t>any Oklahoma case</w:t>
      </w:r>
      <w:r w:rsidR="009462C7">
        <w:rPr>
          <w:sz w:val="22"/>
          <w:szCs w:val="22"/>
        </w:rPr>
        <w:t xml:space="preserve"> cited therein addresses the question of whether an entity like WCRA, comprised of one individual, can be recognized as an unincorporated association in Oklahoma.</w:t>
      </w:r>
    </w:p>
    <w:p w:rsidR="001E7FE7" w:rsidRDefault="001E7FE7" w:rsidP="00A6177D">
      <w:pPr>
        <w:pStyle w:val="BodyText3"/>
        <w:tabs>
          <w:tab w:val="left" w:pos="720"/>
          <w:tab w:val="left" w:pos="4680"/>
        </w:tabs>
        <w:jc w:val="left"/>
        <w:rPr>
          <w:sz w:val="22"/>
          <w:szCs w:val="22"/>
        </w:rPr>
      </w:pPr>
    </w:p>
    <w:p w:rsidR="001203BE" w:rsidRDefault="00571267" w:rsidP="000E6134">
      <w:pPr>
        <w:pStyle w:val="BodyText3"/>
        <w:tabs>
          <w:tab w:val="left" w:pos="720"/>
          <w:tab w:val="left" w:pos="4680"/>
        </w:tabs>
        <w:jc w:val="left"/>
        <w:rPr>
          <w:sz w:val="22"/>
          <w:szCs w:val="22"/>
        </w:rPr>
      </w:pPr>
      <w:r>
        <w:rPr>
          <w:sz w:val="22"/>
          <w:szCs w:val="22"/>
        </w:rPr>
        <w:tab/>
      </w:r>
      <w:r w:rsidR="00C30E48">
        <w:rPr>
          <w:sz w:val="22"/>
          <w:szCs w:val="22"/>
        </w:rPr>
        <w:t xml:space="preserve">As an initial matter, we confirm that </w:t>
      </w:r>
      <w:r w:rsidR="00F81832">
        <w:rPr>
          <w:sz w:val="22"/>
          <w:szCs w:val="22"/>
        </w:rPr>
        <w:t xml:space="preserve">the appropriate standard </w:t>
      </w:r>
      <w:r w:rsidR="0043684E">
        <w:rPr>
          <w:sz w:val="22"/>
          <w:szCs w:val="22"/>
        </w:rPr>
        <w:t xml:space="preserve">for </w:t>
      </w:r>
      <w:r w:rsidR="00F81832">
        <w:rPr>
          <w:sz w:val="22"/>
          <w:szCs w:val="22"/>
        </w:rPr>
        <w:t>consider</w:t>
      </w:r>
      <w:r w:rsidR="0043684E">
        <w:rPr>
          <w:sz w:val="22"/>
          <w:szCs w:val="22"/>
        </w:rPr>
        <w:t>ing</w:t>
      </w:r>
      <w:r w:rsidR="00F81832">
        <w:rPr>
          <w:sz w:val="22"/>
          <w:szCs w:val="22"/>
        </w:rPr>
        <w:t xml:space="preserve"> </w:t>
      </w:r>
      <w:r w:rsidR="0043684E">
        <w:rPr>
          <w:sz w:val="22"/>
          <w:szCs w:val="22"/>
        </w:rPr>
        <w:t>eligibility</w:t>
      </w:r>
      <w:r w:rsidR="00030109">
        <w:rPr>
          <w:sz w:val="22"/>
          <w:szCs w:val="22"/>
        </w:rPr>
        <w:t xml:space="preserve"> </w:t>
      </w:r>
      <w:r w:rsidR="00F37B40">
        <w:rPr>
          <w:sz w:val="22"/>
          <w:szCs w:val="22"/>
        </w:rPr>
        <w:t xml:space="preserve">for licensure as </w:t>
      </w:r>
      <w:r w:rsidR="004F35C1">
        <w:rPr>
          <w:sz w:val="22"/>
          <w:szCs w:val="22"/>
        </w:rPr>
        <w:t>an NCE F</w:t>
      </w:r>
      <w:r w:rsidR="0063446B">
        <w:rPr>
          <w:sz w:val="22"/>
          <w:szCs w:val="22"/>
        </w:rPr>
        <w:t>M station</w:t>
      </w:r>
      <w:r w:rsidR="0043684E">
        <w:rPr>
          <w:sz w:val="22"/>
          <w:szCs w:val="22"/>
        </w:rPr>
        <w:t xml:space="preserve"> is Section 73.503(a) of the Rules</w:t>
      </w:r>
      <w:r w:rsidR="00454E6C">
        <w:rPr>
          <w:sz w:val="22"/>
          <w:szCs w:val="22"/>
        </w:rPr>
        <w:t>.</w:t>
      </w:r>
      <w:r w:rsidR="00E400E7">
        <w:rPr>
          <w:sz w:val="22"/>
          <w:szCs w:val="22"/>
        </w:rPr>
        <w:t xml:space="preserve">  </w:t>
      </w:r>
      <w:r w:rsidR="00F81832">
        <w:rPr>
          <w:sz w:val="22"/>
          <w:szCs w:val="22"/>
        </w:rPr>
        <w:t>T</w:t>
      </w:r>
      <w:r w:rsidR="0063446B">
        <w:rPr>
          <w:sz w:val="22"/>
          <w:szCs w:val="22"/>
        </w:rPr>
        <w:t xml:space="preserve">hat provision, </w:t>
      </w:r>
      <w:r w:rsidR="00E400E7">
        <w:rPr>
          <w:sz w:val="22"/>
          <w:szCs w:val="22"/>
        </w:rPr>
        <w:t>entitled “Licensing requirements and service,”</w:t>
      </w:r>
      <w:r w:rsidR="00F81832">
        <w:rPr>
          <w:sz w:val="22"/>
          <w:szCs w:val="22"/>
        </w:rPr>
        <w:t xml:space="preserve"> </w:t>
      </w:r>
      <w:r w:rsidR="0063446B">
        <w:rPr>
          <w:sz w:val="22"/>
          <w:szCs w:val="22"/>
        </w:rPr>
        <w:t xml:space="preserve">is </w:t>
      </w:r>
      <w:r w:rsidR="00F81832">
        <w:rPr>
          <w:sz w:val="22"/>
          <w:szCs w:val="22"/>
        </w:rPr>
        <w:t xml:space="preserve">contained </w:t>
      </w:r>
      <w:r w:rsidR="0063446B">
        <w:rPr>
          <w:sz w:val="22"/>
          <w:szCs w:val="22"/>
        </w:rPr>
        <w:t>with</w:t>
      </w:r>
      <w:r w:rsidR="00556516">
        <w:rPr>
          <w:sz w:val="22"/>
          <w:szCs w:val="22"/>
        </w:rPr>
        <w:t>in the rule part</w:t>
      </w:r>
      <w:r w:rsidR="00E04460">
        <w:rPr>
          <w:sz w:val="22"/>
          <w:szCs w:val="22"/>
        </w:rPr>
        <w:t xml:space="preserve"> </w:t>
      </w:r>
      <w:r w:rsidR="00473C16">
        <w:rPr>
          <w:sz w:val="22"/>
          <w:szCs w:val="22"/>
        </w:rPr>
        <w:t xml:space="preserve">governing </w:t>
      </w:r>
      <w:r w:rsidR="00556516">
        <w:rPr>
          <w:sz w:val="22"/>
          <w:szCs w:val="22"/>
        </w:rPr>
        <w:t xml:space="preserve">NCE FM </w:t>
      </w:r>
      <w:r w:rsidR="0063446B">
        <w:rPr>
          <w:sz w:val="22"/>
          <w:szCs w:val="22"/>
        </w:rPr>
        <w:t>broadcast s</w:t>
      </w:r>
      <w:r w:rsidR="00E400E7">
        <w:rPr>
          <w:sz w:val="22"/>
          <w:szCs w:val="22"/>
        </w:rPr>
        <w:t xml:space="preserve">tations.  </w:t>
      </w:r>
      <w:r w:rsidR="00301DBE">
        <w:rPr>
          <w:sz w:val="22"/>
          <w:szCs w:val="22"/>
        </w:rPr>
        <w:t>The Commission has used that</w:t>
      </w:r>
      <w:r w:rsidR="00DA7217">
        <w:rPr>
          <w:sz w:val="22"/>
          <w:szCs w:val="22"/>
        </w:rPr>
        <w:t xml:space="preserve"> rule to determine</w:t>
      </w:r>
      <w:r w:rsidR="00D21527">
        <w:rPr>
          <w:sz w:val="22"/>
          <w:szCs w:val="22"/>
        </w:rPr>
        <w:t xml:space="preserve"> NCE </w:t>
      </w:r>
      <w:r w:rsidR="0033095B">
        <w:rPr>
          <w:sz w:val="22"/>
          <w:szCs w:val="22"/>
        </w:rPr>
        <w:t xml:space="preserve">FM </w:t>
      </w:r>
      <w:r w:rsidR="009756A7">
        <w:rPr>
          <w:sz w:val="22"/>
          <w:szCs w:val="22"/>
        </w:rPr>
        <w:t>eligibility for almost 5</w:t>
      </w:r>
      <w:r w:rsidR="00D21527">
        <w:rPr>
          <w:sz w:val="22"/>
          <w:szCs w:val="22"/>
        </w:rPr>
        <w:t>0 years</w:t>
      </w:r>
      <w:r w:rsidR="00DA7217">
        <w:rPr>
          <w:sz w:val="22"/>
          <w:szCs w:val="22"/>
        </w:rPr>
        <w:t>.</w:t>
      </w:r>
      <w:r w:rsidR="005A00A1">
        <w:rPr>
          <w:sz w:val="22"/>
          <w:szCs w:val="22"/>
        </w:rPr>
        <w:t xml:space="preserve">  </w:t>
      </w:r>
      <w:r w:rsidR="00F81832">
        <w:rPr>
          <w:sz w:val="22"/>
          <w:szCs w:val="22"/>
        </w:rPr>
        <w:t xml:space="preserve">The </w:t>
      </w:r>
      <w:r w:rsidR="00DA7217">
        <w:rPr>
          <w:sz w:val="22"/>
          <w:szCs w:val="22"/>
        </w:rPr>
        <w:t xml:space="preserve">alternative </w:t>
      </w:r>
      <w:r w:rsidR="00F81832">
        <w:rPr>
          <w:sz w:val="22"/>
          <w:szCs w:val="22"/>
        </w:rPr>
        <w:t>advance</w:t>
      </w:r>
      <w:r w:rsidR="00D21527">
        <w:rPr>
          <w:sz w:val="22"/>
          <w:szCs w:val="22"/>
        </w:rPr>
        <w:t>d by WCRA, Section 397(6</w:t>
      </w:r>
      <w:r w:rsidR="00E04460">
        <w:rPr>
          <w:sz w:val="22"/>
          <w:szCs w:val="22"/>
        </w:rPr>
        <w:t xml:space="preserve">)(A) </w:t>
      </w:r>
      <w:r w:rsidR="00CA2820">
        <w:rPr>
          <w:sz w:val="22"/>
          <w:szCs w:val="22"/>
        </w:rPr>
        <w:t xml:space="preserve">of the Act </w:t>
      </w:r>
      <w:r w:rsidR="00470D1F">
        <w:rPr>
          <w:sz w:val="22"/>
          <w:szCs w:val="22"/>
        </w:rPr>
        <w:t xml:space="preserve">is also </w:t>
      </w:r>
      <w:r w:rsidR="00E40D97">
        <w:rPr>
          <w:sz w:val="22"/>
          <w:szCs w:val="22"/>
        </w:rPr>
        <w:t xml:space="preserve">a </w:t>
      </w:r>
      <w:r w:rsidR="00470D1F">
        <w:rPr>
          <w:sz w:val="22"/>
          <w:szCs w:val="22"/>
        </w:rPr>
        <w:t xml:space="preserve">longstanding </w:t>
      </w:r>
      <w:r w:rsidR="00E40D97">
        <w:rPr>
          <w:sz w:val="22"/>
          <w:szCs w:val="22"/>
        </w:rPr>
        <w:t xml:space="preserve">provision, </w:t>
      </w:r>
      <w:r w:rsidR="005A00A1">
        <w:rPr>
          <w:sz w:val="22"/>
          <w:szCs w:val="22"/>
        </w:rPr>
        <w:t xml:space="preserve">albeit </w:t>
      </w:r>
      <w:r w:rsidR="00470D1F">
        <w:rPr>
          <w:sz w:val="22"/>
          <w:szCs w:val="22"/>
        </w:rPr>
        <w:t xml:space="preserve">newer than </w:t>
      </w:r>
      <w:r w:rsidR="005A00A1">
        <w:rPr>
          <w:sz w:val="22"/>
          <w:szCs w:val="22"/>
        </w:rPr>
        <w:t xml:space="preserve">Section 73.503(a).  </w:t>
      </w:r>
      <w:r w:rsidR="00971F29">
        <w:rPr>
          <w:sz w:val="22"/>
          <w:szCs w:val="22"/>
        </w:rPr>
        <w:t xml:space="preserve">This provision is found </w:t>
      </w:r>
      <w:r w:rsidR="00CA2820">
        <w:rPr>
          <w:sz w:val="22"/>
          <w:szCs w:val="22"/>
        </w:rPr>
        <w:t xml:space="preserve">within a portion of </w:t>
      </w:r>
      <w:r w:rsidR="00A856CA">
        <w:rPr>
          <w:sz w:val="22"/>
          <w:szCs w:val="22"/>
        </w:rPr>
        <w:t xml:space="preserve">the </w:t>
      </w:r>
      <w:r w:rsidR="00C474D8">
        <w:rPr>
          <w:sz w:val="22"/>
          <w:szCs w:val="22"/>
        </w:rPr>
        <w:t>Act</w:t>
      </w:r>
      <w:r w:rsidR="00CA2820">
        <w:rPr>
          <w:sz w:val="22"/>
          <w:szCs w:val="22"/>
        </w:rPr>
        <w:t xml:space="preserve"> nam</w:t>
      </w:r>
      <w:r w:rsidR="00DA7217">
        <w:rPr>
          <w:sz w:val="22"/>
          <w:szCs w:val="22"/>
        </w:rPr>
        <w:t>ed “</w:t>
      </w:r>
      <w:r w:rsidR="00D21527">
        <w:rPr>
          <w:sz w:val="22"/>
          <w:szCs w:val="22"/>
        </w:rPr>
        <w:t>Ass</w:t>
      </w:r>
      <w:r w:rsidR="00971F29">
        <w:rPr>
          <w:sz w:val="22"/>
          <w:szCs w:val="22"/>
        </w:rPr>
        <w:t xml:space="preserve">istance for Telecommunications </w:t>
      </w:r>
      <w:r w:rsidR="00D21527">
        <w:rPr>
          <w:sz w:val="22"/>
          <w:szCs w:val="22"/>
        </w:rPr>
        <w:t xml:space="preserve">Facilities; Telecommunications Demonstrations; </w:t>
      </w:r>
      <w:r w:rsidR="00DA7217">
        <w:rPr>
          <w:sz w:val="22"/>
          <w:szCs w:val="22"/>
        </w:rPr>
        <w:t>Corp</w:t>
      </w:r>
      <w:r w:rsidR="00CA2820">
        <w:rPr>
          <w:sz w:val="22"/>
          <w:szCs w:val="22"/>
        </w:rPr>
        <w:t>oration for Public Broadcasting,</w:t>
      </w:r>
      <w:r w:rsidR="00DA7217">
        <w:rPr>
          <w:sz w:val="22"/>
          <w:szCs w:val="22"/>
        </w:rPr>
        <w:t>”</w:t>
      </w:r>
      <w:r w:rsidR="00CA2820">
        <w:rPr>
          <w:sz w:val="22"/>
          <w:szCs w:val="22"/>
        </w:rPr>
        <w:t xml:space="preserve"> </w:t>
      </w:r>
      <w:r w:rsidR="007564E4">
        <w:rPr>
          <w:sz w:val="22"/>
          <w:szCs w:val="22"/>
        </w:rPr>
        <w:t xml:space="preserve">which </w:t>
      </w:r>
      <w:r w:rsidR="005A00A1">
        <w:rPr>
          <w:sz w:val="22"/>
          <w:szCs w:val="22"/>
        </w:rPr>
        <w:t xml:space="preserve">primarily governs </w:t>
      </w:r>
      <w:r w:rsidR="00D768DA">
        <w:rPr>
          <w:sz w:val="22"/>
          <w:szCs w:val="22"/>
        </w:rPr>
        <w:t xml:space="preserve">non-Commission entities </w:t>
      </w:r>
      <w:r w:rsidR="00997E61">
        <w:rPr>
          <w:sz w:val="22"/>
          <w:szCs w:val="22"/>
        </w:rPr>
        <w:t>that</w:t>
      </w:r>
      <w:r w:rsidR="00B84915">
        <w:rPr>
          <w:sz w:val="22"/>
          <w:szCs w:val="22"/>
        </w:rPr>
        <w:t xml:space="preserve"> </w:t>
      </w:r>
      <w:r w:rsidR="00EE7E5A">
        <w:rPr>
          <w:sz w:val="22"/>
          <w:szCs w:val="22"/>
        </w:rPr>
        <w:t>provide</w:t>
      </w:r>
      <w:r w:rsidR="00D44041">
        <w:rPr>
          <w:sz w:val="22"/>
          <w:szCs w:val="22"/>
        </w:rPr>
        <w:t xml:space="preserve"> </w:t>
      </w:r>
      <w:r w:rsidR="00B84915">
        <w:rPr>
          <w:sz w:val="22"/>
          <w:szCs w:val="22"/>
        </w:rPr>
        <w:t>f</w:t>
      </w:r>
      <w:r w:rsidR="00587562">
        <w:rPr>
          <w:sz w:val="22"/>
          <w:szCs w:val="22"/>
        </w:rPr>
        <w:t xml:space="preserve">inancial </w:t>
      </w:r>
      <w:r w:rsidR="00B84915">
        <w:rPr>
          <w:sz w:val="22"/>
          <w:szCs w:val="22"/>
        </w:rPr>
        <w:t>grant</w:t>
      </w:r>
      <w:r w:rsidR="00D44041">
        <w:rPr>
          <w:sz w:val="22"/>
          <w:szCs w:val="22"/>
        </w:rPr>
        <w:t>s</w:t>
      </w:r>
      <w:r w:rsidR="00B84915">
        <w:rPr>
          <w:sz w:val="22"/>
          <w:szCs w:val="22"/>
        </w:rPr>
        <w:t xml:space="preserve"> </w:t>
      </w:r>
      <w:r w:rsidR="00D44041">
        <w:rPr>
          <w:sz w:val="22"/>
          <w:szCs w:val="22"/>
        </w:rPr>
        <w:t>to</w:t>
      </w:r>
      <w:r w:rsidR="00006216">
        <w:rPr>
          <w:sz w:val="22"/>
          <w:szCs w:val="22"/>
        </w:rPr>
        <w:t xml:space="preserve"> </w:t>
      </w:r>
      <w:r w:rsidR="00E115D8">
        <w:rPr>
          <w:sz w:val="22"/>
          <w:szCs w:val="22"/>
        </w:rPr>
        <w:t xml:space="preserve">NCE </w:t>
      </w:r>
      <w:r w:rsidR="00E53876">
        <w:rPr>
          <w:sz w:val="22"/>
          <w:szCs w:val="22"/>
        </w:rPr>
        <w:t>broadcasters</w:t>
      </w:r>
      <w:r w:rsidR="00B91553">
        <w:rPr>
          <w:sz w:val="22"/>
          <w:szCs w:val="22"/>
        </w:rPr>
        <w:t>.</w:t>
      </w:r>
      <w:r w:rsidR="009E4537">
        <w:rPr>
          <w:rStyle w:val="FootnoteReference"/>
          <w:szCs w:val="22"/>
        </w:rPr>
        <w:footnoteReference w:id="11"/>
      </w:r>
      <w:r w:rsidR="009E4537">
        <w:rPr>
          <w:sz w:val="22"/>
          <w:szCs w:val="22"/>
        </w:rPr>
        <w:t xml:space="preserve">  </w:t>
      </w:r>
      <w:r w:rsidR="004D0E51">
        <w:rPr>
          <w:sz w:val="22"/>
          <w:szCs w:val="22"/>
        </w:rPr>
        <w:t xml:space="preserve">Section 397(6)(A) defines </w:t>
      </w:r>
      <w:r w:rsidR="00A856CA">
        <w:rPr>
          <w:sz w:val="22"/>
          <w:szCs w:val="22"/>
        </w:rPr>
        <w:t>the term</w:t>
      </w:r>
      <w:r w:rsidR="004D0E51">
        <w:rPr>
          <w:sz w:val="22"/>
          <w:szCs w:val="22"/>
        </w:rPr>
        <w:t xml:space="preserve"> “noncommercial educational broadcast station” </w:t>
      </w:r>
      <w:r w:rsidR="00DD035C">
        <w:rPr>
          <w:sz w:val="22"/>
          <w:szCs w:val="22"/>
        </w:rPr>
        <w:t>as one</w:t>
      </w:r>
      <w:r w:rsidR="004D0E51">
        <w:rPr>
          <w:sz w:val="22"/>
          <w:szCs w:val="22"/>
        </w:rPr>
        <w:t xml:space="preserve"> which “under the rules and regulations of the Commission . . . is eligible to be licensed by the Commission as a noncommercial educational radio or television station and which is owned by </w:t>
      </w:r>
      <w:r w:rsidR="00CD61EA">
        <w:rPr>
          <w:sz w:val="22"/>
          <w:szCs w:val="22"/>
        </w:rPr>
        <w:t xml:space="preserve">a public agency or nonprofit private foundation, corporation, or </w:t>
      </w:r>
      <w:r w:rsidR="00CD61EA" w:rsidRPr="00931248">
        <w:rPr>
          <w:i/>
          <w:sz w:val="22"/>
          <w:szCs w:val="22"/>
        </w:rPr>
        <w:t>association</w:t>
      </w:r>
      <w:r w:rsidR="00CD61EA">
        <w:rPr>
          <w:i/>
          <w:sz w:val="22"/>
          <w:szCs w:val="22"/>
        </w:rPr>
        <w:t>.</w:t>
      </w:r>
      <w:r w:rsidR="00CD61EA">
        <w:rPr>
          <w:sz w:val="22"/>
          <w:szCs w:val="22"/>
        </w:rPr>
        <w:t>”</w:t>
      </w:r>
      <w:r w:rsidR="004D0E51" w:rsidRPr="004D0E51">
        <w:rPr>
          <w:rStyle w:val="FootnoteReference"/>
          <w:szCs w:val="22"/>
        </w:rPr>
        <w:t xml:space="preserve"> </w:t>
      </w:r>
      <w:r w:rsidR="004D0E51">
        <w:rPr>
          <w:rStyle w:val="FootnoteReference"/>
          <w:szCs w:val="22"/>
        </w:rPr>
        <w:footnoteReference w:id="12"/>
      </w:r>
      <w:r w:rsidR="004D0E51">
        <w:rPr>
          <w:sz w:val="22"/>
          <w:szCs w:val="22"/>
        </w:rPr>
        <w:t xml:space="preserve"> </w:t>
      </w:r>
      <w:r w:rsidR="00C241A2">
        <w:rPr>
          <w:sz w:val="22"/>
          <w:szCs w:val="22"/>
        </w:rPr>
        <w:t xml:space="preserve"> </w:t>
      </w:r>
      <w:r w:rsidR="00357BD8">
        <w:rPr>
          <w:sz w:val="22"/>
          <w:szCs w:val="22"/>
        </w:rPr>
        <w:t xml:space="preserve"> </w:t>
      </w:r>
      <w:r w:rsidR="00A856CA">
        <w:rPr>
          <w:sz w:val="22"/>
          <w:szCs w:val="22"/>
        </w:rPr>
        <w:t xml:space="preserve">In other words, an association can potentially own an NCE station but only if it first </w:t>
      </w:r>
      <w:r w:rsidR="00A91810">
        <w:rPr>
          <w:sz w:val="22"/>
          <w:szCs w:val="22"/>
        </w:rPr>
        <w:t xml:space="preserve">meets </w:t>
      </w:r>
      <w:r w:rsidR="00B47F4E">
        <w:rPr>
          <w:sz w:val="22"/>
          <w:szCs w:val="22"/>
        </w:rPr>
        <w:t xml:space="preserve">Commission </w:t>
      </w:r>
      <w:r w:rsidR="00644D27">
        <w:rPr>
          <w:sz w:val="22"/>
          <w:szCs w:val="22"/>
        </w:rPr>
        <w:t>licensing</w:t>
      </w:r>
      <w:r w:rsidR="00F73A00">
        <w:rPr>
          <w:sz w:val="22"/>
          <w:szCs w:val="22"/>
        </w:rPr>
        <w:t xml:space="preserve"> </w:t>
      </w:r>
      <w:r w:rsidR="00A91810">
        <w:rPr>
          <w:sz w:val="22"/>
          <w:szCs w:val="22"/>
        </w:rPr>
        <w:t xml:space="preserve">requirements </w:t>
      </w:r>
      <w:r w:rsidR="00FB3E5E">
        <w:rPr>
          <w:sz w:val="22"/>
          <w:szCs w:val="22"/>
        </w:rPr>
        <w:t>such as those in</w:t>
      </w:r>
      <w:r w:rsidR="00A91810">
        <w:rPr>
          <w:i/>
          <w:sz w:val="22"/>
          <w:szCs w:val="22"/>
        </w:rPr>
        <w:t xml:space="preserve"> </w:t>
      </w:r>
      <w:r w:rsidR="00FB3E5E">
        <w:rPr>
          <w:sz w:val="22"/>
          <w:szCs w:val="22"/>
        </w:rPr>
        <w:t>Section 73.503(a)</w:t>
      </w:r>
      <w:r w:rsidR="00C0606F">
        <w:rPr>
          <w:sz w:val="22"/>
          <w:szCs w:val="22"/>
        </w:rPr>
        <w:t>.</w:t>
      </w:r>
      <w:r w:rsidR="001203BE">
        <w:rPr>
          <w:sz w:val="22"/>
          <w:szCs w:val="22"/>
        </w:rPr>
        <w:t xml:space="preserve">  </w:t>
      </w:r>
      <w:r w:rsidR="00F73A00">
        <w:rPr>
          <w:sz w:val="22"/>
          <w:szCs w:val="22"/>
        </w:rPr>
        <w:t>T</w:t>
      </w:r>
      <w:r w:rsidR="0049223F">
        <w:rPr>
          <w:sz w:val="22"/>
          <w:szCs w:val="22"/>
        </w:rPr>
        <w:t xml:space="preserve">he </w:t>
      </w:r>
      <w:r w:rsidR="001C7CD3">
        <w:rPr>
          <w:sz w:val="22"/>
          <w:szCs w:val="22"/>
        </w:rPr>
        <w:t xml:space="preserve">Dismissal Letter correctly framed the issue here as </w:t>
      </w:r>
      <w:r w:rsidR="0049223F">
        <w:rPr>
          <w:sz w:val="22"/>
          <w:szCs w:val="22"/>
        </w:rPr>
        <w:t xml:space="preserve">whether </w:t>
      </w:r>
      <w:r w:rsidR="00C418CC">
        <w:rPr>
          <w:sz w:val="22"/>
          <w:szCs w:val="22"/>
        </w:rPr>
        <w:t xml:space="preserve">WCRA </w:t>
      </w:r>
      <w:r w:rsidR="00C241A2">
        <w:rPr>
          <w:sz w:val="22"/>
          <w:szCs w:val="22"/>
        </w:rPr>
        <w:t xml:space="preserve">adequately </w:t>
      </w:r>
      <w:r w:rsidR="00C418CC">
        <w:rPr>
          <w:sz w:val="22"/>
          <w:szCs w:val="22"/>
        </w:rPr>
        <w:t>supported its</w:t>
      </w:r>
      <w:r w:rsidR="00102101">
        <w:rPr>
          <w:sz w:val="22"/>
          <w:szCs w:val="22"/>
        </w:rPr>
        <w:t xml:space="preserve"> claim</w:t>
      </w:r>
      <w:r w:rsidR="00CE65AC">
        <w:rPr>
          <w:sz w:val="22"/>
          <w:szCs w:val="22"/>
        </w:rPr>
        <w:t xml:space="preserve"> </w:t>
      </w:r>
      <w:r w:rsidR="00383E35">
        <w:rPr>
          <w:sz w:val="22"/>
          <w:szCs w:val="22"/>
        </w:rPr>
        <w:t xml:space="preserve">under </w:t>
      </w:r>
      <w:r w:rsidR="001C7CD3">
        <w:rPr>
          <w:sz w:val="22"/>
          <w:szCs w:val="22"/>
        </w:rPr>
        <w:t xml:space="preserve">Section 73.503(a) of the Rules </w:t>
      </w:r>
      <w:r w:rsidR="00847598">
        <w:rPr>
          <w:sz w:val="22"/>
          <w:szCs w:val="22"/>
        </w:rPr>
        <w:t>that, as of the application filing date, it was</w:t>
      </w:r>
      <w:r w:rsidR="0059708B">
        <w:rPr>
          <w:sz w:val="22"/>
          <w:szCs w:val="22"/>
        </w:rPr>
        <w:t xml:space="preserve"> </w:t>
      </w:r>
      <w:r w:rsidR="001C7CD3">
        <w:rPr>
          <w:sz w:val="22"/>
          <w:szCs w:val="22"/>
        </w:rPr>
        <w:t xml:space="preserve">an </w:t>
      </w:r>
      <w:r w:rsidR="0059708B">
        <w:rPr>
          <w:sz w:val="22"/>
          <w:szCs w:val="22"/>
        </w:rPr>
        <w:t>organization</w:t>
      </w:r>
      <w:r w:rsidR="00383E35">
        <w:rPr>
          <w:sz w:val="22"/>
          <w:szCs w:val="22"/>
        </w:rPr>
        <w:t xml:space="preserve"> eligible to hold an NCE </w:t>
      </w:r>
      <w:r w:rsidR="00A42085">
        <w:rPr>
          <w:sz w:val="22"/>
          <w:szCs w:val="22"/>
        </w:rPr>
        <w:t>license</w:t>
      </w:r>
      <w:r w:rsidR="0049223F">
        <w:rPr>
          <w:sz w:val="22"/>
          <w:szCs w:val="22"/>
        </w:rPr>
        <w:t xml:space="preserve">.  </w:t>
      </w:r>
    </w:p>
    <w:p w:rsidR="001203BE" w:rsidRDefault="001203BE" w:rsidP="000E6134">
      <w:pPr>
        <w:pStyle w:val="BodyText3"/>
        <w:tabs>
          <w:tab w:val="left" w:pos="720"/>
          <w:tab w:val="left" w:pos="4680"/>
        </w:tabs>
        <w:jc w:val="left"/>
        <w:rPr>
          <w:sz w:val="22"/>
          <w:szCs w:val="22"/>
        </w:rPr>
      </w:pPr>
    </w:p>
    <w:p w:rsidR="000D3E42" w:rsidRDefault="000D3E42" w:rsidP="000D3E42">
      <w:pPr>
        <w:pStyle w:val="BodyText3"/>
        <w:tabs>
          <w:tab w:val="left" w:pos="720"/>
          <w:tab w:val="left" w:pos="4680"/>
        </w:tabs>
        <w:jc w:val="left"/>
        <w:rPr>
          <w:sz w:val="22"/>
          <w:szCs w:val="22"/>
        </w:rPr>
      </w:pPr>
      <w:r>
        <w:rPr>
          <w:sz w:val="22"/>
          <w:szCs w:val="22"/>
        </w:rPr>
        <w:tab/>
        <w:t xml:space="preserve">WCRA’s </w:t>
      </w:r>
      <w:r w:rsidR="00ED5472">
        <w:rPr>
          <w:sz w:val="22"/>
          <w:szCs w:val="22"/>
        </w:rPr>
        <w:t xml:space="preserve">claim that we erred as to its </w:t>
      </w:r>
      <w:r w:rsidR="00FB1765">
        <w:rPr>
          <w:sz w:val="22"/>
          <w:szCs w:val="22"/>
        </w:rPr>
        <w:t>in</w:t>
      </w:r>
      <w:r w:rsidR="00ED5472">
        <w:rPr>
          <w:sz w:val="22"/>
          <w:szCs w:val="22"/>
        </w:rPr>
        <w:t xml:space="preserve">eligibility </w:t>
      </w:r>
      <w:r w:rsidR="002B1F82">
        <w:rPr>
          <w:sz w:val="22"/>
          <w:szCs w:val="22"/>
        </w:rPr>
        <w:t xml:space="preserve">is based largely upon a </w:t>
      </w:r>
      <w:r>
        <w:rPr>
          <w:sz w:val="22"/>
          <w:szCs w:val="22"/>
        </w:rPr>
        <w:t>new legal opinion</w:t>
      </w:r>
      <w:r w:rsidR="002B1F82">
        <w:rPr>
          <w:sz w:val="22"/>
          <w:szCs w:val="22"/>
        </w:rPr>
        <w:t>, which allegedly confirms</w:t>
      </w:r>
      <w:r w:rsidR="00ED5472">
        <w:rPr>
          <w:sz w:val="22"/>
          <w:szCs w:val="22"/>
        </w:rPr>
        <w:t xml:space="preserve"> and bolsters</w:t>
      </w:r>
      <w:r w:rsidR="002B1F82">
        <w:rPr>
          <w:sz w:val="22"/>
          <w:szCs w:val="22"/>
        </w:rPr>
        <w:t xml:space="preserve"> information </w:t>
      </w:r>
      <w:r w:rsidR="00A40B8D">
        <w:rPr>
          <w:sz w:val="22"/>
          <w:szCs w:val="22"/>
        </w:rPr>
        <w:t xml:space="preserve">that we </w:t>
      </w:r>
      <w:r w:rsidR="00934D62" w:rsidRPr="00934D62">
        <w:rPr>
          <w:sz w:val="22"/>
          <w:szCs w:val="22"/>
        </w:rPr>
        <w:t xml:space="preserve">previously rejected </w:t>
      </w:r>
      <w:r w:rsidR="002B1F82">
        <w:rPr>
          <w:sz w:val="22"/>
          <w:szCs w:val="22"/>
        </w:rPr>
        <w:t>from WCRA’s p</w:t>
      </w:r>
      <w:r w:rsidR="00ED5472">
        <w:rPr>
          <w:sz w:val="22"/>
          <w:szCs w:val="22"/>
        </w:rPr>
        <w:t>rincipal</w:t>
      </w:r>
      <w:r w:rsidR="00FB1765">
        <w:rPr>
          <w:sz w:val="22"/>
          <w:szCs w:val="22"/>
        </w:rPr>
        <w:t xml:space="preserve"> about Oklahoma law</w:t>
      </w:r>
      <w:r>
        <w:rPr>
          <w:sz w:val="22"/>
          <w:szCs w:val="22"/>
        </w:rPr>
        <w:t xml:space="preserve">.  This new evidence is inadmissible under the Rules and </w:t>
      </w:r>
      <w:r w:rsidR="00FD029E">
        <w:rPr>
          <w:sz w:val="22"/>
          <w:szCs w:val="22"/>
        </w:rPr>
        <w:t xml:space="preserve">thus </w:t>
      </w:r>
      <w:r>
        <w:rPr>
          <w:sz w:val="22"/>
          <w:szCs w:val="22"/>
        </w:rPr>
        <w:t>forms no basis for reconsideration.</w:t>
      </w:r>
      <w:r>
        <w:rPr>
          <w:rStyle w:val="FootnoteReference"/>
          <w:szCs w:val="22"/>
        </w:rPr>
        <w:footnoteReference w:id="13"/>
      </w:r>
      <w:r>
        <w:rPr>
          <w:sz w:val="22"/>
          <w:szCs w:val="22"/>
        </w:rPr>
        <w:t xml:space="preserve">  Specifically, WCRA does not show that it could not have submitted the</w:t>
      </w:r>
      <w:r w:rsidR="00F84DE0">
        <w:rPr>
          <w:sz w:val="22"/>
          <w:szCs w:val="22"/>
        </w:rPr>
        <w:t xml:space="preserve"> </w:t>
      </w:r>
      <w:r>
        <w:rPr>
          <w:sz w:val="22"/>
          <w:szCs w:val="22"/>
        </w:rPr>
        <w:t>legal opinion previously.</w:t>
      </w:r>
      <w:r>
        <w:rPr>
          <w:rStyle w:val="FootnoteReference"/>
          <w:szCs w:val="22"/>
        </w:rPr>
        <w:footnoteReference w:id="14"/>
      </w:r>
      <w:r>
        <w:rPr>
          <w:sz w:val="22"/>
          <w:szCs w:val="22"/>
        </w:rPr>
        <w:t xml:space="preserve">  Nor does WCRA show that consideration of the legal opinion at the present time is required in the public interest.</w:t>
      </w:r>
      <w:r>
        <w:rPr>
          <w:rStyle w:val="FootnoteReference"/>
          <w:szCs w:val="22"/>
        </w:rPr>
        <w:footnoteReference w:id="15"/>
      </w:r>
      <w:r>
        <w:rPr>
          <w:sz w:val="22"/>
          <w:szCs w:val="22"/>
        </w:rPr>
        <w:t xml:space="preserve"> Accordingly, we shall dismiss the Petition</w:t>
      </w:r>
      <w:r w:rsidR="002B1F82">
        <w:rPr>
          <w:sz w:val="22"/>
          <w:szCs w:val="22"/>
        </w:rPr>
        <w:t xml:space="preserve"> as procedurally defective</w:t>
      </w:r>
      <w:r>
        <w:rPr>
          <w:sz w:val="22"/>
          <w:szCs w:val="22"/>
        </w:rPr>
        <w:t xml:space="preserve">.  </w:t>
      </w:r>
    </w:p>
    <w:p w:rsidR="000D3E42" w:rsidRDefault="000D3E42" w:rsidP="000D3E42">
      <w:pPr>
        <w:pStyle w:val="BodyText3"/>
        <w:tabs>
          <w:tab w:val="left" w:pos="720"/>
          <w:tab w:val="left" w:pos="4680"/>
        </w:tabs>
        <w:jc w:val="left"/>
        <w:rPr>
          <w:sz w:val="22"/>
          <w:szCs w:val="22"/>
        </w:rPr>
      </w:pPr>
    </w:p>
    <w:p w:rsidR="00EE1528" w:rsidRPr="001203BE" w:rsidRDefault="000D3E42" w:rsidP="000E6134">
      <w:pPr>
        <w:pStyle w:val="BodyText3"/>
        <w:tabs>
          <w:tab w:val="left" w:pos="720"/>
          <w:tab w:val="left" w:pos="4680"/>
        </w:tabs>
        <w:jc w:val="left"/>
        <w:rPr>
          <w:sz w:val="22"/>
          <w:szCs w:val="22"/>
        </w:rPr>
      </w:pPr>
      <w:r>
        <w:rPr>
          <w:sz w:val="22"/>
          <w:szCs w:val="22"/>
        </w:rPr>
        <w:tab/>
      </w:r>
      <w:r w:rsidR="002B1F82">
        <w:rPr>
          <w:sz w:val="22"/>
          <w:szCs w:val="22"/>
        </w:rPr>
        <w:t xml:space="preserve">Moreover, even had </w:t>
      </w:r>
      <w:r>
        <w:rPr>
          <w:sz w:val="22"/>
          <w:szCs w:val="22"/>
        </w:rPr>
        <w:t xml:space="preserve">the new evidence </w:t>
      </w:r>
      <w:r w:rsidR="002B1F82">
        <w:rPr>
          <w:sz w:val="22"/>
          <w:szCs w:val="22"/>
        </w:rPr>
        <w:t>been properl</w:t>
      </w:r>
      <w:r w:rsidR="00F84DE0">
        <w:rPr>
          <w:sz w:val="22"/>
          <w:szCs w:val="22"/>
        </w:rPr>
        <w:t>y before us</w:t>
      </w:r>
      <w:r>
        <w:rPr>
          <w:sz w:val="22"/>
          <w:szCs w:val="22"/>
        </w:rPr>
        <w:t>, we would have found no error</w:t>
      </w:r>
      <w:r w:rsidR="00F84DE0">
        <w:rPr>
          <w:sz w:val="22"/>
          <w:szCs w:val="22"/>
        </w:rPr>
        <w:t xml:space="preserve"> in our determination that WCRA is ineligible to hold an NCE license</w:t>
      </w:r>
      <w:r>
        <w:rPr>
          <w:sz w:val="22"/>
          <w:szCs w:val="22"/>
        </w:rPr>
        <w:t xml:space="preserve">.  </w:t>
      </w:r>
      <w:r w:rsidR="00DC450A">
        <w:rPr>
          <w:sz w:val="22"/>
          <w:szCs w:val="22"/>
        </w:rPr>
        <w:t>When</w:t>
      </w:r>
      <w:r w:rsidR="0075284D">
        <w:rPr>
          <w:sz w:val="22"/>
          <w:szCs w:val="22"/>
        </w:rPr>
        <w:t xml:space="preserve">, as here, </w:t>
      </w:r>
      <w:r w:rsidR="00102101">
        <w:rPr>
          <w:sz w:val="22"/>
          <w:szCs w:val="22"/>
        </w:rPr>
        <w:t xml:space="preserve">an </w:t>
      </w:r>
      <w:r w:rsidR="00FC75F8">
        <w:rPr>
          <w:sz w:val="22"/>
          <w:szCs w:val="22"/>
        </w:rPr>
        <w:t xml:space="preserve">NCE </w:t>
      </w:r>
      <w:r w:rsidR="00102101">
        <w:rPr>
          <w:sz w:val="22"/>
          <w:szCs w:val="22"/>
        </w:rPr>
        <w:t xml:space="preserve">applicant’s organizational status has been challenged before the Commission, and the </w:t>
      </w:r>
      <w:r w:rsidR="0075284D">
        <w:rPr>
          <w:sz w:val="22"/>
          <w:szCs w:val="22"/>
        </w:rPr>
        <w:t>applicant</w:t>
      </w:r>
      <w:r w:rsidR="003D2F67">
        <w:rPr>
          <w:sz w:val="22"/>
          <w:szCs w:val="22"/>
        </w:rPr>
        <w:t xml:space="preserve"> is not accredited by a state department of education or recognized by another accrediting authority, </w:t>
      </w:r>
      <w:r w:rsidR="00102101">
        <w:rPr>
          <w:sz w:val="22"/>
          <w:szCs w:val="22"/>
        </w:rPr>
        <w:t xml:space="preserve">the entity’s </w:t>
      </w:r>
      <w:r w:rsidR="008C1069">
        <w:rPr>
          <w:sz w:val="22"/>
          <w:szCs w:val="22"/>
        </w:rPr>
        <w:t xml:space="preserve">legal status under state law </w:t>
      </w:r>
      <w:r w:rsidR="00C418CC">
        <w:rPr>
          <w:sz w:val="22"/>
          <w:szCs w:val="22"/>
        </w:rPr>
        <w:t xml:space="preserve">is </w:t>
      </w:r>
      <w:r w:rsidR="00F05E01">
        <w:rPr>
          <w:sz w:val="22"/>
          <w:szCs w:val="22"/>
        </w:rPr>
        <w:t>germane</w:t>
      </w:r>
      <w:r w:rsidR="008C1069" w:rsidRPr="00A34893">
        <w:rPr>
          <w:sz w:val="22"/>
          <w:szCs w:val="22"/>
        </w:rPr>
        <w:t>.</w:t>
      </w:r>
      <w:r w:rsidR="008C1069" w:rsidRPr="00A34893">
        <w:rPr>
          <w:rStyle w:val="FootnoteReference"/>
          <w:rFonts w:ascii="Times New Roman" w:hAnsi="Times New Roman"/>
          <w:sz w:val="22"/>
          <w:szCs w:val="22"/>
        </w:rPr>
        <w:footnoteReference w:id="16"/>
      </w:r>
      <w:r w:rsidR="008C1069" w:rsidRPr="00A34893">
        <w:rPr>
          <w:sz w:val="22"/>
          <w:szCs w:val="22"/>
        </w:rPr>
        <w:t xml:space="preserve">  </w:t>
      </w:r>
      <w:bookmarkStart w:id="1" w:name="sp_1511_2461"/>
      <w:bookmarkStart w:id="2" w:name="SDU_2461"/>
      <w:bookmarkStart w:id="3" w:name="citeas((Cite_as:_23_F.C.C.R._2459,_*2461"/>
      <w:bookmarkStart w:id="4" w:name="FN[FN12]"/>
      <w:bookmarkStart w:id="5" w:name="SR;717"/>
      <w:bookmarkEnd w:id="1"/>
      <w:bookmarkEnd w:id="2"/>
      <w:bookmarkEnd w:id="3"/>
      <w:bookmarkEnd w:id="4"/>
      <w:bookmarkEnd w:id="5"/>
      <w:r w:rsidR="005678EB">
        <w:rPr>
          <w:sz w:val="22"/>
          <w:szCs w:val="22"/>
        </w:rPr>
        <w:t>The Commission</w:t>
      </w:r>
      <w:r w:rsidR="0045790A">
        <w:rPr>
          <w:sz w:val="22"/>
          <w:szCs w:val="22"/>
        </w:rPr>
        <w:t xml:space="preserve"> has previously resolved some challenges in the favor of </w:t>
      </w:r>
      <w:r w:rsidR="003740D9" w:rsidRPr="00A34893">
        <w:rPr>
          <w:sz w:val="22"/>
          <w:szCs w:val="22"/>
        </w:rPr>
        <w:t>unincorporated association</w:t>
      </w:r>
      <w:r w:rsidR="00E21E09">
        <w:rPr>
          <w:sz w:val="22"/>
          <w:szCs w:val="22"/>
        </w:rPr>
        <w:t>s</w:t>
      </w:r>
      <w:r w:rsidR="00BD1901">
        <w:rPr>
          <w:sz w:val="22"/>
          <w:szCs w:val="22"/>
        </w:rPr>
        <w:t>,</w:t>
      </w:r>
      <w:r w:rsidR="00BC5B7F">
        <w:rPr>
          <w:sz w:val="22"/>
          <w:szCs w:val="22"/>
        </w:rPr>
        <w:t xml:space="preserve"> </w:t>
      </w:r>
      <w:r w:rsidR="0045790A">
        <w:rPr>
          <w:sz w:val="22"/>
          <w:szCs w:val="22"/>
        </w:rPr>
        <w:t>but</w:t>
      </w:r>
      <w:r w:rsidR="00BD1901">
        <w:rPr>
          <w:sz w:val="22"/>
          <w:szCs w:val="22"/>
        </w:rPr>
        <w:t xml:space="preserve"> </w:t>
      </w:r>
      <w:r w:rsidR="008954BE">
        <w:rPr>
          <w:sz w:val="22"/>
          <w:szCs w:val="22"/>
        </w:rPr>
        <w:t>only</w:t>
      </w:r>
      <w:r w:rsidR="00E21E09">
        <w:rPr>
          <w:sz w:val="22"/>
          <w:szCs w:val="22"/>
        </w:rPr>
        <w:t xml:space="preserve"> </w:t>
      </w:r>
      <w:r w:rsidR="00253CA7">
        <w:rPr>
          <w:sz w:val="22"/>
          <w:szCs w:val="22"/>
        </w:rPr>
        <w:t>if t</w:t>
      </w:r>
      <w:r w:rsidR="00BC5B7F">
        <w:rPr>
          <w:sz w:val="22"/>
          <w:szCs w:val="22"/>
        </w:rPr>
        <w:t xml:space="preserve">he applicant </w:t>
      </w:r>
      <w:r w:rsidR="001D7D4A">
        <w:rPr>
          <w:sz w:val="22"/>
          <w:szCs w:val="22"/>
        </w:rPr>
        <w:t>demonstrate</w:t>
      </w:r>
      <w:r w:rsidR="005678EB">
        <w:rPr>
          <w:sz w:val="22"/>
          <w:szCs w:val="22"/>
        </w:rPr>
        <w:t>d</w:t>
      </w:r>
      <w:r w:rsidR="001D7D4A">
        <w:rPr>
          <w:sz w:val="22"/>
          <w:szCs w:val="22"/>
        </w:rPr>
        <w:t xml:space="preserve"> </w:t>
      </w:r>
      <w:r w:rsidR="00B95493">
        <w:rPr>
          <w:sz w:val="22"/>
          <w:szCs w:val="22"/>
        </w:rPr>
        <w:t xml:space="preserve">that it took </w:t>
      </w:r>
      <w:r w:rsidR="003740D9" w:rsidRPr="00A34893">
        <w:rPr>
          <w:sz w:val="22"/>
          <w:szCs w:val="22"/>
        </w:rPr>
        <w:t>steps to obtain state recognition</w:t>
      </w:r>
      <w:r w:rsidR="003740D9" w:rsidRPr="00A34893">
        <w:rPr>
          <w:rStyle w:val="FootnoteReference"/>
          <w:rFonts w:ascii="Times New Roman" w:hAnsi="Times New Roman"/>
          <w:sz w:val="22"/>
          <w:szCs w:val="22"/>
        </w:rPr>
        <w:footnoteReference w:id="17"/>
      </w:r>
      <w:r w:rsidR="003740D9" w:rsidRPr="00A34893">
        <w:rPr>
          <w:sz w:val="22"/>
          <w:szCs w:val="22"/>
        </w:rPr>
        <w:t xml:space="preserve"> or furnish</w:t>
      </w:r>
      <w:r w:rsidR="003740D9">
        <w:rPr>
          <w:sz w:val="22"/>
          <w:szCs w:val="22"/>
        </w:rPr>
        <w:t>ed</w:t>
      </w:r>
      <w:r w:rsidR="003740D9" w:rsidRPr="00A34893">
        <w:rPr>
          <w:sz w:val="22"/>
          <w:szCs w:val="22"/>
        </w:rPr>
        <w:t xml:space="preserve"> t</w:t>
      </w:r>
      <w:r w:rsidR="003740D9">
        <w:rPr>
          <w:sz w:val="22"/>
          <w:szCs w:val="22"/>
        </w:rPr>
        <w:t xml:space="preserve">he opinion of a qualified </w:t>
      </w:r>
      <w:r w:rsidR="003740D9" w:rsidRPr="00A34893">
        <w:rPr>
          <w:sz w:val="22"/>
          <w:szCs w:val="22"/>
        </w:rPr>
        <w:t xml:space="preserve">attorney that </w:t>
      </w:r>
      <w:r w:rsidR="00BC5B7F">
        <w:rPr>
          <w:sz w:val="22"/>
          <w:szCs w:val="22"/>
        </w:rPr>
        <w:t>law</w:t>
      </w:r>
      <w:r w:rsidR="006F3DDF">
        <w:rPr>
          <w:sz w:val="22"/>
          <w:szCs w:val="22"/>
        </w:rPr>
        <w:t>s</w:t>
      </w:r>
      <w:r w:rsidR="00BC5B7F">
        <w:rPr>
          <w:sz w:val="22"/>
          <w:szCs w:val="22"/>
        </w:rPr>
        <w:t xml:space="preserve"> of the</w:t>
      </w:r>
      <w:r w:rsidR="003740D9">
        <w:rPr>
          <w:sz w:val="22"/>
          <w:szCs w:val="22"/>
        </w:rPr>
        <w:t xml:space="preserve"> relevant </w:t>
      </w:r>
      <w:r w:rsidR="00BC5B7F">
        <w:rPr>
          <w:sz w:val="22"/>
          <w:szCs w:val="22"/>
        </w:rPr>
        <w:t xml:space="preserve">state </w:t>
      </w:r>
      <w:r w:rsidR="00953B87">
        <w:rPr>
          <w:sz w:val="22"/>
          <w:szCs w:val="22"/>
        </w:rPr>
        <w:t xml:space="preserve">already </w:t>
      </w:r>
      <w:r w:rsidR="006F3DDF">
        <w:rPr>
          <w:sz w:val="22"/>
          <w:szCs w:val="22"/>
        </w:rPr>
        <w:t>recognize</w:t>
      </w:r>
      <w:r w:rsidR="00E23F27">
        <w:rPr>
          <w:sz w:val="22"/>
          <w:szCs w:val="22"/>
        </w:rPr>
        <w:t xml:space="preserve"> the</w:t>
      </w:r>
      <w:r w:rsidR="003740D9" w:rsidRPr="00A34893">
        <w:rPr>
          <w:sz w:val="22"/>
          <w:szCs w:val="22"/>
        </w:rPr>
        <w:t xml:space="preserve"> </w:t>
      </w:r>
      <w:r w:rsidR="00953B87">
        <w:rPr>
          <w:sz w:val="22"/>
          <w:szCs w:val="22"/>
        </w:rPr>
        <w:t>applicant’s status</w:t>
      </w:r>
      <w:r w:rsidR="00A778A0">
        <w:rPr>
          <w:sz w:val="22"/>
          <w:szCs w:val="22"/>
        </w:rPr>
        <w:t xml:space="preserve"> as an unincorporated association</w:t>
      </w:r>
      <w:r w:rsidR="003740D9" w:rsidRPr="00A34893">
        <w:rPr>
          <w:sz w:val="22"/>
          <w:szCs w:val="22"/>
        </w:rPr>
        <w:t>.</w:t>
      </w:r>
      <w:r w:rsidR="003740D9" w:rsidRPr="00A34893">
        <w:rPr>
          <w:rStyle w:val="FootnoteReference"/>
          <w:rFonts w:ascii="Times New Roman" w:hAnsi="Times New Roman"/>
          <w:sz w:val="22"/>
          <w:szCs w:val="22"/>
        </w:rPr>
        <w:footnoteReference w:id="18"/>
      </w:r>
      <w:r w:rsidR="003740D9" w:rsidRPr="00A34893">
        <w:rPr>
          <w:sz w:val="22"/>
          <w:szCs w:val="22"/>
        </w:rPr>
        <w:t xml:space="preserve">  </w:t>
      </w:r>
      <w:r w:rsidR="00A778A0">
        <w:rPr>
          <w:sz w:val="22"/>
          <w:szCs w:val="22"/>
        </w:rPr>
        <w:t xml:space="preserve">  Although this type of inquiry does not take place in the context of commercial broadcast applications, the </w:t>
      </w:r>
      <w:r w:rsidR="00A778A0" w:rsidRPr="00920CE4">
        <w:rPr>
          <w:i/>
          <w:sz w:val="22"/>
          <w:szCs w:val="22"/>
        </w:rPr>
        <w:t>Dismissal Letter</w:t>
      </w:r>
      <w:r w:rsidR="00A778A0">
        <w:rPr>
          <w:sz w:val="22"/>
          <w:szCs w:val="22"/>
        </w:rPr>
        <w:t xml:space="preserve"> correctly applied our Rules and precedent in the context of an NCE application.</w:t>
      </w:r>
      <w:r w:rsidR="00D1714D">
        <w:rPr>
          <w:rStyle w:val="FootnoteReference"/>
          <w:szCs w:val="22"/>
        </w:rPr>
        <w:footnoteReference w:id="19"/>
      </w:r>
      <w:r w:rsidR="00A778A0" w:rsidRPr="00A778A0">
        <w:rPr>
          <w:rStyle w:val="FootnoteReference"/>
          <w:rFonts w:ascii="Times New Roman" w:hAnsi="Times New Roman"/>
          <w:sz w:val="22"/>
          <w:szCs w:val="22"/>
        </w:rPr>
        <w:t xml:space="preserve"> </w:t>
      </w:r>
    </w:p>
    <w:p w:rsidR="00E87918" w:rsidRPr="00A34893" w:rsidRDefault="00E87918" w:rsidP="00E87918">
      <w:pPr>
        <w:ind w:firstLine="720"/>
        <w:rPr>
          <w:sz w:val="22"/>
          <w:szCs w:val="22"/>
        </w:rPr>
      </w:pPr>
    </w:p>
    <w:p w:rsidR="00BB2FDF" w:rsidRDefault="00250574" w:rsidP="00304A1A">
      <w:pPr>
        <w:ind w:firstLine="720"/>
        <w:rPr>
          <w:sz w:val="22"/>
          <w:szCs w:val="22"/>
        </w:rPr>
      </w:pPr>
      <w:r>
        <w:rPr>
          <w:sz w:val="22"/>
          <w:szCs w:val="22"/>
        </w:rPr>
        <w:t xml:space="preserve">The </w:t>
      </w:r>
      <w:r w:rsidR="00CB5BFB">
        <w:rPr>
          <w:sz w:val="22"/>
          <w:szCs w:val="22"/>
        </w:rPr>
        <w:t xml:space="preserve">legal </w:t>
      </w:r>
      <w:r>
        <w:rPr>
          <w:sz w:val="22"/>
          <w:szCs w:val="22"/>
        </w:rPr>
        <w:t>opinion</w:t>
      </w:r>
      <w:r w:rsidR="00C660D6">
        <w:rPr>
          <w:sz w:val="22"/>
          <w:szCs w:val="22"/>
        </w:rPr>
        <w:t>’s</w:t>
      </w:r>
      <w:r>
        <w:rPr>
          <w:sz w:val="22"/>
          <w:szCs w:val="22"/>
        </w:rPr>
        <w:t xml:space="preserve"> </w:t>
      </w:r>
      <w:r w:rsidR="003D2898">
        <w:rPr>
          <w:sz w:val="22"/>
          <w:szCs w:val="22"/>
        </w:rPr>
        <w:t>general</w:t>
      </w:r>
      <w:r w:rsidR="00C660D6">
        <w:rPr>
          <w:sz w:val="22"/>
          <w:szCs w:val="22"/>
        </w:rPr>
        <w:t xml:space="preserve"> </w:t>
      </w:r>
      <w:r w:rsidR="00215D6F">
        <w:rPr>
          <w:sz w:val="22"/>
          <w:szCs w:val="22"/>
        </w:rPr>
        <w:t>conclu</w:t>
      </w:r>
      <w:r w:rsidR="00A06C5E">
        <w:rPr>
          <w:sz w:val="22"/>
          <w:szCs w:val="22"/>
        </w:rPr>
        <w:t>sion</w:t>
      </w:r>
      <w:r w:rsidR="00215D6F">
        <w:rPr>
          <w:sz w:val="22"/>
          <w:szCs w:val="22"/>
        </w:rPr>
        <w:t xml:space="preserve"> that </w:t>
      </w:r>
      <w:r w:rsidR="00C418CC">
        <w:rPr>
          <w:sz w:val="22"/>
          <w:szCs w:val="22"/>
        </w:rPr>
        <w:t>Oklahoma recogni</w:t>
      </w:r>
      <w:r w:rsidR="00215D6F">
        <w:rPr>
          <w:sz w:val="22"/>
          <w:szCs w:val="22"/>
        </w:rPr>
        <w:t>zes</w:t>
      </w:r>
      <w:r w:rsidR="00C418CC">
        <w:rPr>
          <w:sz w:val="22"/>
          <w:szCs w:val="22"/>
        </w:rPr>
        <w:t xml:space="preserve"> unincorporated associations</w:t>
      </w:r>
      <w:r w:rsidR="00C660D6">
        <w:rPr>
          <w:sz w:val="22"/>
          <w:szCs w:val="22"/>
        </w:rPr>
        <w:t xml:space="preserve"> </w:t>
      </w:r>
      <w:r w:rsidR="00215D6F">
        <w:rPr>
          <w:sz w:val="22"/>
          <w:szCs w:val="22"/>
        </w:rPr>
        <w:t xml:space="preserve">is silent on </w:t>
      </w:r>
      <w:r w:rsidR="00C358DC">
        <w:rPr>
          <w:sz w:val="22"/>
          <w:szCs w:val="22"/>
        </w:rPr>
        <w:t>a</w:t>
      </w:r>
      <w:r>
        <w:rPr>
          <w:sz w:val="22"/>
          <w:szCs w:val="22"/>
        </w:rPr>
        <w:t xml:space="preserve"> </w:t>
      </w:r>
      <w:r w:rsidR="00C660D6">
        <w:rPr>
          <w:sz w:val="22"/>
          <w:szCs w:val="22"/>
        </w:rPr>
        <w:t>specific</w:t>
      </w:r>
      <w:r w:rsidR="000F69C1">
        <w:rPr>
          <w:sz w:val="22"/>
          <w:szCs w:val="22"/>
        </w:rPr>
        <w:t xml:space="preserve"> issue</w:t>
      </w:r>
      <w:r w:rsidR="001878DC">
        <w:rPr>
          <w:sz w:val="22"/>
          <w:szCs w:val="22"/>
        </w:rPr>
        <w:t xml:space="preserve"> central to this case</w:t>
      </w:r>
      <w:r w:rsidR="00C358DC">
        <w:rPr>
          <w:sz w:val="22"/>
          <w:szCs w:val="22"/>
        </w:rPr>
        <w:t xml:space="preserve"> </w:t>
      </w:r>
      <w:r w:rsidR="00C660D6">
        <w:rPr>
          <w:sz w:val="22"/>
          <w:szCs w:val="22"/>
        </w:rPr>
        <w:t xml:space="preserve"> --</w:t>
      </w:r>
      <w:r>
        <w:rPr>
          <w:sz w:val="22"/>
          <w:szCs w:val="22"/>
        </w:rPr>
        <w:t xml:space="preserve"> </w:t>
      </w:r>
      <w:r w:rsidR="00C418CC">
        <w:rPr>
          <w:sz w:val="22"/>
          <w:szCs w:val="22"/>
        </w:rPr>
        <w:t xml:space="preserve">whether </w:t>
      </w:r>
      <w:r w:rsidR="008B51E1">
        <w:rPr>
          <w:sz w:val="22"/>
          <w:szCs w:val="22"/>
        </w:rPr>
        <w:t xml:space="preserve">Oklahoma </w:t>
      </w:r>
      <w:r w:rsidR="003D2898">
        <w:rPr>
          <w:sz w:val="22"/>
          <w:szCs w:val="22"/>
        </w:rPr>
        <w:t>recognizes</w:t>
      </w:r>
      <w:r w:rsidR="00132CF6">
        <w:rPr>
          <w:sz w:val="22"/>
          <w:szCs w:val="22"/>
        </w:rPr>
        <w:t xml:space="preserve"> </w:t>
      </w:r>
      <w:r w:rsidR="00215D6F">
        <w:rPr>
          <w:sz w:val="22"/>
          <w:szCs w:val="22"/>
        </w:rPr>
        <w:t xml:space="preserve">entities like WCRA, </w:t>
      </w:r>
      <w:r w:rsidR="00DA2A6D">
        <w:rPr>
          <w:sz w:val="22"/>
          <w:szCs w:val="22"/>
        </w:rPr>
        <w:t>comprised of a single person</w:t>
      </w:r>
      <w:r w:rsidR="00215D6F">
        <w:rPr>
          <w:sz w:val="22"/>
          <w:szCs w:val="22"/>
        </w:rPr>
        <w:t>, as association</w:t>
      </w:r>
      <w:r w:rsidR="00132CF6">
        <w:rPr>
          <w:sz w:val="22"/>
          <w:szCs w:val="22"/>
        </w:rPr>
        <w:t>s</w:t>
      </w:r>
      <w:r w:rsidR="008B51E1">
        <w:rPr>
          <w:sz w:val="22"/>
          <w:szCs w:val="22"/>
        </w:rPr>
        <w:t xml:space="preserve">.  Black’s Law Dictionary defines “association” as “a </w:t>
      </w:r>
      <w:r w:rsidR="008B51E1" w:rsidRPr="000E4EB7">
        <w:rPr>
          <w:i/>
          <w:sz w:val="22"/>
          <w:szCs w:val="22"/>
        </w:rPr>
        <w:t>gathering of people</w:t>
      </w:r>
      <w:r w:rsidR="008B51E1">
        <w:rPr>
          <w:sz w:val="22"/>
          <w:szCs w:val="22"/>
        </w:rPr>
        <w:t xml:space="preserve"> for a common purpose; an unincorporated organization that is not a legal entity separate from </w:t>
      </w:r>
      <w:r w:rsidR="008B51E1" w:rsidRPr="000E4EB7">
        <w:rPr>
          <w:i/>
          <w:sz w:val="22"/>
          <w:szCs w:val="22"/>
        </w:rPr>
        <w:t>the persons</w:t>
      </w:r>
      <w:r w:rsidR="008B51E1">
        <w:rPr>
          <w:sz w:val="22"/>
          <w:szCs w:val="22"/>
        </w:rPr>
        <w:t xml:space="preserve"> who compose it.”</w:t>
      </w:r>
      <w:r>
        <w:rPr>
          <w:rStyle w:val="FootnoteReference"/>
          <w:szCs w:val="22"/>
        </w:rPr>
        <w:footnoteReference w:id="20"/>
      </w:r>
      <w:r w:rsidR="008B51E1">
        <w:rPr>
          <w:sz w:val="22"/>
          <w:szCs w:val="22"/>
        </w:rPr>
        <w:t xml:space="preserve">  Thus, the general </w:t>
      </w:r>
      <w:r w:rsidR="00D319D6">
        <w:rPr>
          <w:sz w:val="22"/>
          <w:szCs w:val="22"/>
        </w:rPr>
        <w:t xml:space="preserve">legal </w:t>
      </w:r>
      <w:r w:rsidR="008B51E1">
        <w:rPr>
          <w:sz w:val="22"/>
          <w:szCs w:val="22"/>
        </w:rPr>
        <w:t>u</w:t>
      </w:r>
      <w:r w:rsidR="00D319D6">
        <w:rPr>
          <w:sz w:val="22"/>
          <w:szCs w:val="22"/>
        </w:rPr>
        <w:t xml:space="preserve">nderstanding of an association </w:t>
      </w:r>
      <w:r w:rsidR="008B51E1">
        <w:rPr>
          <w:sz w:val="22"/>
          <w:szCs w:val="22"/>
        </w:rPr>
        <w:t>is an entity comprised of more than one person.</w:t>
      </w:r>
      <w:r w:rsidR="005B3363">
        <w:rPr>
          <w:rStyle w:val="FootnoteReference"/>
          <w:szCs w:val="22"/>
        </w:rPr>
        <w:footnoteReference w:id="21"/>
      </w:r>
      <w:r w:rsidR="005B3363" w:rsidRPr="00A34893">
        <w:rPr>
          <w:sz w:val="22"/>
          <w:szCs w:val="22"/>
        </w:rPr>
        <w:t xml:space="preserve"> </w:t>
      </w:r>
      <w:r w:rsidR="008B51E1">
        <w:rPr>
          <w:sz w:val="22"/>
          <w:szCs w:val="22"/>
        </w:rPr>
        <w:t xml:space="preserve"> </w:t>
      </w:r>
      <w:r w:rsidR="00D319D6">
        <w:rPr>
          <w:sz w:val="22"/>
          <w:szCs w:val="22"/>
        </w:rPr>
        <w:t>WCRA has not shown that Oklahoma law acco</w:t>
      </w:r>
      <w:r w:rsidR="00795D57">
        <w:rPr>
          <w:sz w:val="22"/>
          <w:szCs w:val="22"/>
        </w:rPr>
        <w:t>rds a different meaning to this term</w:t>
      </w:r>
      <w:r w:rsidR="00536368">
        <w:rPr>
          <w:sz w:val="22"/>
          <w:szCs w:val="22"/>
        </w:rPr>
        <w:t xml:space="preserve"> and n</w:t>
      </w:r>
      <w:r w:rsidR="00EF28BC">
        <w:rPr>
          <w:sz w:val="22"/>
          <w:szCs w:val="22"/>
        </w:rPr>
        <w:t xml:space="preserve">one of the </w:t>
      </w:r>
      <w:r w:rsidR="00D11D2D">
        <w:rPr>
          <w:sz w:val="22"/>
          <w:szCs w:val="22"/>
        </w:rPr>
        <w:t xml:space="preserve">Oklahoma cases that </w:t>
      </w:r>
      <w:r w:rsidR="005D302D">
        <w:rPr>
          <w:sz w:val="22"/>
          <w:szCs w:val="22"/>
        </w:rPr>
        <w:t>WCRA c</w:t>
      </w:r>
      <w:r w:rsidR="00EF28BC">
        <w:rPr>
          <w:sz w:val="22"/>
          <w:szCs w:val="22"/>
        </w:rPr>
        <w:t>ite</w:t>
      </w:r>
      <w:r w:rsidR="00D11D2D">
        <w:rPr>
          <w:sz w:val="22"/>
          <w:szCs w:val="22"/>
        </w:rPr>
        <w:t>s</w:t>
      </w:r>
      <w:r w:rsidR="00EF28BC">
        <w:rPr>
          <w:sz w:val="22"/>
          <w:szCs w:val="22"/>
        </w:rPr>
        <w:t xml:space="preserve"> </w:t>
      </w:r>
      <w:r w:rsidR="00A84B2F">
        <w:rPr>
          <w:sz w:val="22"/>
          <w:szCs w:val="22"/>
        </w:rPr>
        <w:t xml:space="preserve">concerning associations </w:t>
      </w:r>
      <w:r w:rsidR="00934E68">
        <w:rPr>
          <w:sz w:val="22"/>
          <w:szCs w:val="22"/>
        </w:rPr>
        <w:t>involved a s</w:t>
      </w:r>
      <w:r w:rsidR="00536368">
        <w:rPr>
          <w:sz w:val="22"/>
          <w:szCs w:val="22"/>
        </w:rPr>
        <w:t>ingle person.</w:t>
      </w:r>
      <w:r w:rsidR="00536368">
        <w:rPr>
          <w:rStyle w:val="FootnoteReference"/>
          <w:szCs w:val="22"/>
        </w:rPr>
        <w:footnoteReference w:id="22"/>
      </w:r>
      <w:r w:rsidR="00536368">
        <w:rPr>
          <w:sz w:val="22"/>
          <w:szCs w:val="22"/>
        </w:rPr>
        <w:t xml:space="preserve">  </w:t>
      </w:r>
      <w:r w:rsidR="00934E68">
        <w:rPr>
          <w:sz w:val="22"/>
          <w:szCs w:val="22"/>
        </w:rPr>
        <w:t xml:space="preserve">  </w:t>
      </w:r>
      <w:r w:rsidR="00523EED">
        <w:rPr>
          <w:sz w:val="22"/>
          <w:szCs w:val="22"/>
        </w:rPr>
        <w:t>Since Mala</w:t>
      </w:r>
      <w:r w:rsidR="003D302F">
        <w:rPr>
          <w:sz w:val="22"/>
          <w:szCs w:val="22"/>
        </w:rPr>
        <w:t xml:space="preserve">ska would not be eligible in the NCE service as an individual, sole proprietorship, or similar form of business, it follows that </w:t>
      </w:r>
      <w:r w:rsidR="00523EED">
        <w:rPr>
          <w:sz w:val="22"/>
          <w:szCs w:val="22"/>
        </w:rPr>
        <w:t>Mala</w:t>
      </w:r>
      <w:r w:rsidR="00B8278F">
        <w:rPr>
          <w:sz w:val="22"/>
          <w:szCs w:val="22"/>
        </w:rPr>
        <w:t>ska</w:t>
      </w:r>
      <w:r w:rsidR="003D302F">
        <w:rPr>
          <w:sz w:val="22"/>
          <w:szCs w:val="22"/>
        </w:rPr>
        <w:t>, the individual,</w:t>
      </w:r>
      <w:r w:rsidR="00B8278F">
        <w:rPr>
          <w:sz w:val="22"/>
          <w:szCs w:val="22"/>
        </w:rPr>
        <w:t xml:space="preserve"> doing business as WCRA is </w:t>
      </w:r>
      <w:r w:rsidR="002E529D">
        <w:rPr>
          <w:sz w:val="22"/>
          <w:szCs w:val="22"/>
        </w:rPr>
        <w:t xml:space="preserve">also </w:t>
      </w:r>
      <w:r w:rsidR="00B8278F">
        <w:rPr>
          <w:sz w:val="22"/>
          <w:szCs w:val="22"/>
        </w:rPr>
        <w:t>n</w:t>
      </w:r>
      <w:r w:rsidR="002E529D">
        <w:rPr>
          <w:sz w:val="22"/>
          <w:szCs w:val="22"/>
        </w:rPr>
        <w:t>ot eligible</w:t>
      </w:r>
      <w:r w:rsidR="00B8278F">
        <w:rPr>
          <w:sz w:val="22"/>
          <w:szCs w:val="22"/>
        </w:rPr>
        <w:t xml:space="preserve">.  </w:t>
      </w:r>
      <w:r w:rsidR="00AB2CD0">
        <w:rPr>
          <w:sz w:val="22"/>
          <w:szCs w:val="22"/>
        </w:rPr>
        <w:t xml:space="preserve">An individual </w:t>
      </w:r>
      <w:r w:rsidR="00DE2F4F">
        <w:rPr>
          <w:sz w:val="22"/>
          <w:szCs w:val="22"/>
        </w:rPr>
        <w:t>doing business under a</w:t>
      </w:r>
      <w:r w:rsidR="007232C2">
        <w:rPr>
          <w:sz w:val="22"/>
          <w:szCs w:val="22"/>
        </w:rPr>
        <w:t>n assumed</w:t>
      </w:r>
      <w:r w:rsidR="00DE2F4F">
        <w:rPr>
          <w:sz w:val="22"/>
          <w:szCs w:val="22"/>
        </w:rPr>
        <w:t xml:space="preserve"> </w:t>
      </w:r>
      <w:r w:rsidR="00AB2CD0">
        <w:rPr>
          <w:sz w:val="22"/>
          <w:szCs w:val="22"/>
        </w:rPr>
        <w:t xml:space="preserve">name </w:t>
      </w:r>
      <w:r w:rsidR="00200304">
        <w:rPr>
          <w:sz w:val="22"/>
          <w:szCs w:val="22"/>
        </w:rPr>
        <w:t>can</w:t>
      </w:r>
      <w:r w:rsidR="00AB2CD0">
        <w:rPr>
          <w:sz w:val="22"/>
          <w:szCs w:val="22"/>
        </w:rPr>
        <w:t xml:space="preserve">not </w:t>
      </w:r>
      <w:r w:rsidR="00200304">
        <w:rPr>
          <w:sz w:val="22"/>
          <w:szCs w:val="22"/>
        </w:rPr>
        <w:t xml:space="preserve">side-step </w:t>
      </w:r>
      <w:r w:rsidR="00B8278F">
        <w:rPr>
          <w:sz w:val="22"/>
          <w:szCs w:val="22"/>
        </w:rPr>
        <w:t xml:space="preserve">Commission </w:t>
      </w:r>
      <w:r w:rsidR="00127AF8">
        <w:rPr>
          <w:sz w:val="22"/>
          <w:szCs w:val="22"/>
        </w:rPr>
        <w:t xml:space="preserve">NCE </w:t>
      </w:r>
      <w:r w:rsidR="00B8278F">
        <w:rPr>
          <w:sz w:val="22"/>
          <w:szCs w:val="22"/>
        </w:rPr>
        <w:t xml:space="preserve">eligibility requirements simply </w:t>
      </w:r>
      <w:r w:rsidR="00B275B0">
        <w:rPr>
          <w:sz w:val="22"/>
          <w:szCs w:val="22"/>
        </w:rPr>
        <w:t xml:space="preserve">by choosing a </w:t>
      </w:r>
      <w:r w:rsidR="00200304">
        <w:rPr>
          <w:sz w:val="22"/>
          <w:szCs w:val="22"/>
        </w:rPr>
        <w:t xml:space="preserve">name </w:t>
      </w:r>
      <w:r w:rsidR="00B275B0">
        <w:rPr>
          <w:sz w:val="22"/>
          <w:szCs w:val="22"/>
        </w:rPr>
        <w:t xml:space="preserve">that </w:t>
      </w:r>
      <w:r w:rsidR="00200304">
        <w:rPr>
          <w:sz w:val="22"/>
          <w:szCs w:val="22"/>
        </w:rPr>
        <w:t>contain</w:t>
      </w:r>
      <w:r w:rsidR="00B8278F">
        <w:rPr>
          <w:sz w:val="22"/>
          <w:szCs w:val="22"/>
        </w:rPr>
        <w:t>s the</w:t>
      </w:r>
      <w:r w:rsidR="00AB2CD0">
        <w:rPr>
          <w:sz w:val="22"/>
          <w:szCs w:val="22"/>
        </w:rPr>
        <w:t xml:space="preserve"> word </w:t>
      </w:r>
      <w:r w:rsidR="00B8278F">
        <w:rPr>
          <w:sz w:val="22"/>
          <w:szCs w:val="22"/>
        </w:rPr>
        <w:t>“</w:t>
      </w:r>
      <w:r w:rsidR="00AB2CD0">
        <w:rPr>
          <w:sz w:val="22"/>
          <w:szCs w:val="22"/>
        </w:rPr>
        <w:t>association</w:t>
      </w:r>
      <w:r w:rsidR="00B8278F">
        <w:rPr>
          <w:sz w:val="22"/>
          <w:szCs w:val="22"/>
        </w:rPr>
        <w:t>”</w:t>
      </w:r>
      <w:r w:rsidR="00AB2CD0">
        <w:rPr>
          <w:sz w:val="22"/>
          <w:szCs w:val="22"/>
        </w:rPr>
        <w:t xml:space="preserve"> or </w:t>
      </w:r>
      <w:r w:rsidR="00B8278F">
        <w:rPr>
          <w:sz w:val="22"/>
          <w:szCs w:val="22"/>
        </w:rPr>
        <w:t>“</w:t>
      </w:r>
      <w:r w:rsidR="00AB2CD0">
        <w:rPr>
          <w:sz w:val="22"/>
          <w:szCs w:val="22"/>
        </w:rPr>
        <w:t>organization.</w:t>
      </w:r>
      <w:r w:rsidR="00B8278F">
        <w:rPr>
          <w:sz w:val="22"/>
          <w:szCs w:val="22"/>
        </w:rPr>
        <w:t>”</w:t>
      </w:r>
      <w:r w:rsidR="00AB2CD0">
        <w:rPr>
          <w:sz w:val="22"/>
          <w:szCs w:val="22"/>
        </w:rPr>
        <w:t xml:space="preserve">  </w:t>
      </w:r>
      <w:r w:rsidR="00304A1A">
        <w:rPr>
          <w:sz w:val="22"/>
          <w:szCs w:val="22"/>
        </w:rPr>
        <w:t xml:space="preserve">Such a name choice supplies none of the safeguards, checks, and balances provided by </w:t>
      </w:r>
      <w:r w:rsidR="00676669">
        <w:rPr>
          <w:sz w:val="22"/>
          <w:szCs w:val="22"/>
        </w:rPr>
        <w:t>organizational structure and state law</w:t>
      </w:r>
      <w:r w:rsidR="00304A1A">
        <w:rPr>
          <w:sz w:val="22"/>
          <w:szCs w:val="22"/>
        </w:rPr>
        <w:t xml:space="preserve"> to</w:t>
      </w:r>
      <w:r w:rsidR="00676669">
        <w:rPr>
          <w:sz w:val="22"/>
          <w:szCs w:val="22"/>
        </w:rPr>
        <w:t>ward ensuring</w:t>
      </w:r>
      <w:r w:rsidR="00304A1A">
        <w:rPr>
          <w:sz w:val="22"/>
          <w:szCs w:val="22"/>
        </w:rPr>
        <w:t xml:space="preserve"> that </w:t>
      </w:r>
      <w:r w:rsidR="00676669">
        <w:rPr>
          <w:sz w:val="22"/>
          <w:szCs w:val="22"/>
        </w:rPr>
        <w:t xml:space="preserve">non-profit </w:t>
      </w:r>
      <w:r w:rsidR="00304A1A">
        <w:rPr>
          <w:sz w:val="22"/>
          <w:szCs w:val="22"/>
        </w:rPr>
        <w:t xml:space="preserve">entities adhere to </w:t>
      </w:r>
      <w:r w:rsidR="00AB3708">
        <w:rPr>
          <w:sz w:val="22"/>
          <w:szCs w:val="22"/>
        </w:rPr>
        <w:t xml:space="preserve">the </w:t>
      </w:r>
      <w:r w:rsidR="00676669">
        <w:rPr>
          <w:sz w:val="22"/>
          <w:szCs w:val="22"/>
        </w:rPr>
        <w:t xml:space="preserve">noncommercial </w:t>
      </w:r>
      <w:r w:rsidR="00304A1A">
        <w:rPr>
          <w:sz w:val="22"/>
          <w:szCs w:val="22"/>
        </w:rPr>
        <w:t xml:space="preserve">educational </w:t>
      </w:r>
      <w:r w:rsidR="00D962A3">
        <w:rPr>
          <w:sz w:val="22"/>
          <w:szCs w:val="22"/>
        </w:rPr>
        <w:t>principle</w:t>
      </w:r>
      <w:r w:rsidR="00676669">
        <w:rPr>
          <w:sz w:val="22"/>
          <w:szCs w:val="22"/>
        </w:rPr>
        <w:t>s</w:t>
      </w:r>
      <w:r w:rsidR="00AB3708">
        <w:rPr>
          <w:sz w:val="22"/>
          <w:szCs w:val="22"/>
        </w:rPr>
        <w:t xml:space="preserve"> essential for NCE broadcasting</w:t>
      </w:r>
      <w:r w:rsidR="00304A1A">
        <w:rPr>
          <w:sz w:val="22"/>
          <w:szCs w:val="22"/>
        </w:rPr>
        <w:t xml:space="preserve">. </w:t>
      </w:r>
    </w:p>
    <w:p w:rsidR="00934E68" w:rsidRDefault="00934E68" w:rsidP="00EE1528">
      <w:pPr>
        <w:ind w:firstLine="720"/>
        <w:rPr>
          <w:sz w:val="22"/>
          <w:szCs w:val="22"/>
        </w:rPr>
      </w:pPr>
    </w:p>
    <w:p w:rsidR="00680228" w:rsidRDefault="00D11D2D" w:rsidP="00304A1A">
      <w:pPr>
        <w:ind w:firstLine="720"/>
        <w:rPr>
          <w:sz w:val="22"/>
          <w:szCs w:val="22"/>
        </w:rPr>
      </w:pPr>
      <w:r>
        <w:rPr>
          <w:sz w:val="22"/>
          <w:szCs w:val="22"/>
        </w:rPr>
        <w:t>WCRA’s citation to a case in which we license</w:t>
      </w:r>
      <w:r w:rsidR="00B656A4">
        <w:rPr>
          <w:sz w:val="22"/>
          <w:szCs w:val="22"/>
        </w:rPr>
        <w:t>d</w:t>
      </w:r>
      <w:r>
        <w:rPr>
          <w:sz w:val="22"/>
          <w:szCs w:val="22"/>
        </w:rPr>
        <w:t xml:space="preserve"> an unincorporated nonprofit organi</w:t>
      </w:r>
      <w:r w:rsidR="0065283E">
        <w:rPr>
          <w:sz w:val="22"/>
          <w:szCs w:val="22"/>
        </w:rPr>
        <w:t xml:space="preserve">zation in Marlow, Oklahoma </w:t>
      </w:r>
      <w:r>
        <w:rPr>
          <w:sz w:val="22"/>
          <w:szCs w:val="22"/>
        </w:rPr>
        <w:t xml:space="preserve">is </w:t>
      </w:r>
      <w:r w:rsidR="00B656A4">
        <w:rPr>
          <w:sz w:val="22"/>
          <w:szCs w:val="22"/>
        </w:rPr>
        <w:t>misguided</w:t>
      </w:r>
      <w:r>
        <w:rPr>
          <w:sz w:val="22"/>
          <w:szCs w:val="22"/>
        </w:rPr>
        <w:t>.</w:t>
      </w:r>
      <w:r w:rsidRPr="00A34893">
        <w:rPr>
          <w:rStyle w:val="FootnoteReference"/>
          <w:rFonts w:ascii="Times New Roman" w:hAnsi="Times New Roman"/>
          <w:sz w:val="22"/>
          <w:szCs w:val="22"/>
        </w:rPr>
        <w:footnoteReference w:id="23"/>
      </w:r>
      <w:r w:rsidRPr="00A34893">
        <w:rPr>
          <w:sz w:val="22"/>
          <w:szCs w:val="22"/>
        </w:rPr>
        <w:t xml:space="preserve"> </w:t>
      </w:r>
      <w:r>
        <w:rPr>
          <w:sz w:val="22"/>
          <w:szCs w:val="22"/>
        </w:rPr>
        <w:t xml:space="preserve">  That applicant, unlike WCRA, was not comprised of a single person.  Moreover, that organization’s</w:t>
      </w:r>
      <w:r w:rsidRPr="00A34893">
        <w:rPr>
          <w:sz w:val="22"/>
          <w:szCs w:val="22"/>
        </w:rPr>
        <w:t xml:space="preserve"> eligib</w:t>
      </w:r>
      <w:r>
        <w:rPr>
          <w:sz w:val="22"/>
          <w:szCs w:val="22"/>
        </w:rPr>
        <w:t xml:space="preserve">ility to hold an NCE license had been resolved in </w:t>
      </w:r>
      <w:r w:rsidRPr="00A34893">
        <w:rPr>
          <w:sz w:val="22"/>
          <w:szCs w:val="22"/>
        </w:rPr>
        <w:t xml:space="preserve">another </w:t>
      </w:r>
      <w:r>
        <w:rPr>
          <w:sz w:val="22"/>
          <w:szCs w:val="22"/>
        </w:rPr>
        <w:t xml:space="preserve">Commission </w:t>
      </w:r>
      <w:r w:rsidRPr="00A34893">
        <w:rPr>
          <w:sz w:val="22"/>
          <w:szCs w:val="22"/>
        </w:rPr>
        <w:t>proceedi</w:t>
      </w:r>
      <w:r>
        <w:rPr>
          <w:sz w:val="22"/>
          <w:szCs w:val="22"/>
        </w:rPr>
        <w:t>ng, where the organization demonstrated steps it had taken to register</w:t>
      </w:r>
      <w:r w:rsidRPr="00A34893">
        <w:rPr>
          <w:sz w:val="22"/>
          <w:szCs w:val="22"/>
        </w:rPr>
        <w:t xml:space="preserve"> with the State of Florida. </w:t>
      </w:r>
      <w:r>
        <w:rPr>
          <w:sz w:val="22"/>
          <w:szCs w:val="22"/>
        </w:rPr>
        <w:t xml:space="preserve">As we observed in the </w:t>
      </w:r>
      <w:r>
        <w:rPr>
          <w:i/>
          <w:sz w:val="22"/>
          <w:szCs w:val="22"/>
        </w:rPr>
        <w:t xml:space="preserve">Dismissal Letter, </w:t>
      </w:r>
      <w:r w:rsidRPr="00A34893">
        <w:rPr>
          <w:sz w:val="22"/>
          <w:szCs w:val="22"/>
        </w:rPr>
        <w:t xml:space="preserve">WCRA has not shown </w:t>
      </w:r>
      <w:r>
        <w:rPr>
          <w:sz w:val="22"/>
          <w:szCs w:val="22"/>
        </w:rPr>
        <w:t xml:space="preserve">that </w:t>
      </w:r>
      <w:r w:rsidRPr="00A34893">
        <w:rPr>
          <w:sz w:val="22"/>
          <w:szCs w:val="22"/>
        </w:rPr>
        <w:t xml:space="preserve">it is recognized by </w:t>
      </w:r>
      <w:r w:rsidRPr="00A34893">
        <w:rPr>
          <w:i/>
          <w:sz w:val="22"/>
          <w:szCs w:val="22"/>
        </w:rPr>
        <w:t xml:space="preserve">any </w:t>
      </w:r>
      <w:r w:rsidRPr="00A34893">
        <w:rPr>
          <w:sz w:val="22"/>
          <w:szCs w:val="22"/>
        </w:rPr>
        <w:t>state.</w:t>
      </w:r>
      <w:r>
        <w:rPr>
          <w:rStyle w:val="FootnoteReference"/>
          <w:szCs w:val="22"/>
        </w:rPr>
        <w:footnoteReference w:id="24"/>
      </w:r>
      <w:r w:rsidRPr="00A34893">
        <w:rPr>
          <w:sz w:val="22"/>
          <w:szCs w:val="22"/>
        </w:rPr>
        <w:t xml:space="preserve">  </w:t>
      </w:r>
    </w:p>
    <w:p w:rsidR="00680228" w:rsidRDefault="00680228" w:rsidP="004735EA">
      <w:pPr>
        <w:ind w:firstLine="720"/>
        <w:rPr>
          <w:sz w:val="22"/>
          <w:szCs w:val="22"/>
        </w:rPr>
      </w:pPr>
    </w:p>
    <w:p w:rsidR="00EE1528" w:rsidRPr="00A34893" w:rsidRDefault="00EE1528" w:rsidP="00886C05">
      <w:pPr>
        <w:ind w:firstLine="720"/>
        <w:rPr>
          <w:spacing w:val="-2"/>
          <w:sz w:val="22"/>
          <w:szCs w:val="22"/>
        </w:rPr>
      </w:pPr>
      <w:r w:rsidRPr="00A34893">
        <w:rPr>
          <w:b/>
          <w:spacing w:val="-2"/>
          <w:sz w:val="22"/>
          <w:szCs w:val="22"/>
        </w:rPr>
        <w:t>Conclusion</w:t>
      </w:r>
      <w:r w:rsidRPr="00A34893">
        <w:rPr>
          <w:spacing w:val="-2"/>
          <w:sz w:val="22"/>
          <w:szCs w:val="22"/>
        </w:rPr>
        <w:t>/</w:t>
      </w:r>
      <w:r w:rsidRPr="00A34893">
        <w:rPr>
          <w:b/>
          <w:spacing w:val="-2"/>
          <w:sz w:val="22"/>
          <w:szCs w:val="22"/>
        </w:rPr>
        <w:t>Actions</w:t>
      </w:r>
      <w:r w:rsidRPr="00A34893">
        <w:rPr>
          <w:spacing w:val="-2"/>
          <w:sz w:val="22"/>
          <w:szCs w:val="22"/>
        </w:rPr>
        <w:t xml:space="preserve">.  Accordingly, IT IS ORDERED that the Petition </w:t>
      </w:r>
      <w:r w:rsidR="00BD2166">
        <w:rPr>
          <w:spacing w:val="-2"/>
          <w:sz w:val="22"/>
          <w:szCs w:val="22"/>
        </w:rPr>
        <w:t xml:space="preserve">for Reconsideration </w:t>
      </w:r>
      <w:r w:rsidRPr="00A34893">
        <w:rPr>
          <w:spacing w:val="-2"/>
          <w:sz w:val="22"/>
          <w:szCs w:val="22"/>
        </w:rPr>
        <w:t xml:space="preserve">filed by </w:t>
      </w:r>
      <w:r w:rsidR="00BD2166" w:rsidRPr="00A34893">
        <w:rPr>
          <w:color w:val="000000"/>
          <w:sz w:val="22"/>
          <w:szCs w:val="22"/>
        </w:rPr>
        <w:t xml:space="preserve">Wynnewood Community Radio Association </w:t>
      </w:r>
      <w:r w:rsidR="00886C05">
        <w:rPr>
          <w:spacing w:val="-2"/>
          <w:sz w:val="22"/>
          <w:szCs w:val="22"/>
        </w:rPr>
        <w:t>on February 15</w:t>
      </w:r>
      <w:r w:rsidR="00BD2166">
        <w:rPr>
          <w:spacing w:val="-2"/>
          <w:sz w:val="22"/>
          <w:szCs w:val="22"/>
        </w:rPr>
        <w:t>, 2013</w:t>
      </w:r>
      <w:r w:rsidR="00886C05">
        <w:rPr>
          <w:spacing w:val="-2"/>
          <w:sz w:val="22"/>
          <w:szCs w:val="22"/>
        </w:rPr>
        <w:t>, IS D</w:t>
      </w:r>
      <w:r w:rsidR="005E56C2">
        <w:rPr>
          <w:spacing w:val="-2"/>
          <w:sz w:val="22"/>
          <w:szCs w:val="22"/>
        </w:rPr>
        <w:t>ISMISS</w:t>
      </w:r>
      <w:r w:rsidRPr="00A34893">
        <w:rPr>
          <w:spacing w:val="-2"/>
          <w:sz w:val="22"/>
          <w:szCs w:val="22"/>
        </w:rPr>
        <w:t>ED.</w:t>
      </w:r>
    </w:p>
    <w:p w:rsidR="00EE1528" w:rsidRPr="00A34893" w:rsidRDefault="00EE1528" w:rsidP="00EE1528">
      <w:pPr>
        <w:ind w:firstLine="720"/>
        <w:rPr>
          <w:sz w:val="22"/>
          <w:szCs w:val="22"/>
        </w:rPr>
      </w:pPr>
    </w:p>
    <w:p w:rsidR="00A56B83" w:rsidRPr="00A34893" w:rsidRDefault="00EE1528" w:rsidP="00EE1528">
      <w:pPr>
        <w:ind w:firstLine="720"/>
        <w:rPr>
          <w:sz w:val="22"/>
          <w:szCs w:val="22"/>
        </w:rPr>
      </w:pPr>
      <w:r w:rsidRPr="00A34893">
        <w:rPr>
          <w:sz w:val="22"/>
          <w:szCs w:val="22"/>
        </w:rPr>
        <w:t xml:space="preserve">IT IS FURTHER ORDERED, that the application filed by </w:t>
      </w:r>
      <w:r w:rsidRPr="00A34893">
        <w:rPr>
          <w:color w:val="000000"/>
          <w:sz w:val="22"/>
          <w:szCs w:val="22"/>
        </w:rPr>
        <w:t>Norman Unitarian Universalist Fellowship (File No. BNPED-</w:t>
      </w:r>
      <w:r w:rsidRPr="00A34893">
        <w:rPr>
          <w:sz w:val="22"/>
          <w:szCs w:val="22"/>
        </w:rPr>
        <w:t xml:space="preserve"> </w:t>
      </w:r>
      <w:r w:rsidRPr="00A34893">
        <w:rPr>
          <w:color w:val="000000"/>
          <w:sz w:val="22"/>
          <w:szCs w:val="22"/>
        </w:rPr>
        <w:t xml:space="preserve">20100226AJA) </w:t>
      </w:r>
      <w:r w:rsidRPr="00A34893">
        <w:rPr>
          <w:sz w:val="22"/>
          <w:szCs w:val="22"/>
        </w:rPr>
        <w:t xml:space="preserve">is ACCEPTED FOR FILING </w:t>
      </w:r>
      <w:r w:rsidR="00886C05">
        <w:rPr>
          <w:sz w:val="22"/>
          <w:szCs w:val="22"/>
        </w:rPr>
        <w:t>for permit to construct</w:t>
      </w:r>
      <w:r w:rsidRPr="00A34893">
        <w:rPr>
          <w:sz w:val="22"/>
          <w:szCs w:val="22"/>
        </w:rPr>
        <w:t xml:space="preserve"> a new NCE FM station at </w:t>
      </w:r>
      <w:r w:rsidRPr="00A34893">
        <w:rPr>
          <w:color w:val="000000"/>
          <w:sz w:val="22"/>
          <w:szCs w:val="22"/>
        </w:rPr>
        <w:t>Wynnewood, Oklahoma</w:t>
      </w:r>
      <w:r w:rsidR="00886C05">
        <w:rPr>
          <w:color w:val="000000"/>
          <w:sz w:val="22"/>
          <w:szCs w:val="22"/>
        </w:rPr>
        <w:t xml:space="preserve"> IS GRANTED </w:t>
      </w:r>
      <w:r w:rsidRPr="00A34893">
        <w:rPr>
          <w:sz w:val="22"/>
          <w:szCs w:val="22"/>
        </w:rPr>
        <w:t>CONDITIONED UPON its compliance with Section 73.7002(c) of the Rules.</w:t>
      </w:r>
      <w:r w:rsidRPr="00A34893">
        <w:rPr>
          <w:rStyle w:val="FootnoteReference"/>
          <w:rFonts w:ascii="Times New Roman" w:hAnsi="Times New Roman"/>
          <w:sz w:val="22"/>
          <w:szCs w:val="22"/>
        </w:rPr>
        <w:footnoteReference w:id="25"/>
      </w:r>
    </w:p>
    <w:p w:rsidR="00DB2B73" w:rsidRPr="00A34893" w:rsidRDefault="00DB2B73" w:rsidP="009F3786">
      <w:pPr>
        <w:ind w:firstLine="720"/>
        <w:rPr>
          <w:sz w:val="22"/>
          <w:szCs w:val="22"/>
        </w:rPr>
      </w:pPr>
    </w:p>
    <w:p w:rsidR="001A31B0" w:rsidRPr="00A34893" w:rsidRDefault="001A31B0" w:rsidP="009F3786">
      <w:pPr>
        <w:pStyle w:val="BodyText"/>
        <w:rPr>
          <w:szCs w:val="22"/>
        </w:rPr>
      </w:pPr>
    </w:p>
    <w:p w:rsidR="009F3786" w:rsidRPr="00A34893" w:rsidRDefault="009F3786" w:rsidP="009F3786">
      <w:pPr>
        <w:pStyle w:val="BodyText"/>
        <w:rPr>
          <w:szCs w:val="22"/>
        </w:rPr>
      </w:pPr>
      <w:r w:rsidRPr="00A34893">
        <w:rPr>
          <w:szCs w:val="22"/>
        </w:rPr>
        <w:tab/>
      </w:r>
      <w:r w:rsidRPr="00A34893">
        <w:rPr>
          <w:szCs w:val="22"/>
        </w:rPr>
        <w:tab/>
      </w:r>
      <w:r w:rsidRPr="00A34893">
        <w:rPr>
          <w:szCs w:val="22"/>
        </w:rPr>
        <w:tab/>
      </w:r>
      <w:r w:rsidRPr="00A34893">
        <w:rPr>
          <w:szCs w:val="22"/>
        </w:rPr>
        <w:tab/>
      </w:r>
      <w:r w:rsidRPr="00A34893">
        <w:rPr>
          <w:szCs w:val="22"/>
        </w:rPr>
        <w:tab/>
      </w:r>
      <w:r w:rsidR="00DF5464" w:rsidRPr="00A34893">
        <w:rPr>
          <w:szCs w:val="22"/>
        </w:rPr>
        <w:tab/>
      </w:r>
      <w:r w:rsidR="00DF5464" w:rsidRPr="00A34893">
        <w:rPr>
          <w:szCs w:val="22"/>
        </w:rPr>
        <w:tab/>
      </w:r>
      <w:r w:rsidRPr="00A34893">
        <w:rPr>
          <w:szCs w:val="22"/>
        </w:rPr>
        <w:t>Sincerely,</w:t>
      </w:r>
    </w:p>
    <w:p w:rsidR="009F3786" w:rsidRPr="00A34893" w:rsidRDefault="009F3786" w:rsidP="009F3786">
      <w:pPr>
        <w:pStyle w:val="BodyText"/>
        <w:rPr>
          <w:szCs w:val="22"/>
        </w:rPr>
      </w:pPr>
    </w:p>
    <w:p w:rsidR="001A31B0" w:rsidRPr="00A34893" w:rsidRDefault="001A31B0" w:rsidP="009F3786">
      <w:pPr>
        <w:pStyle w:val="BodyText"/>
        <w:rPr>
          <w:szCs w:val="22"/>
        </w:rPr>
      </w:pPr>
    </w:p>
    <w:p w:rsidR="009F3786" w:rsidRPr="00A34893" w:rsidRDefault="009F3786" w:rsidP="009F3786">
      <w:pPr>
        <w:pStyle w:val="BodyText"/>
        <w:rPr>
          <w:szCs w:val="22"/>
        </w:rPr>
      </w:pPr>
    </w:p>
    <w:p w:rsidR="009F3786" w:rsidRPr="00A34893" w:rsidRDefault="009F3786" w:rsidP="009F3786">
      <w:pPr>
        <w:pStyle w:val="BodyText"/>
        <w:rPr>
          <w:szCs w:val="22"/>
        </w:rPr>
      </w:pPr>
      <w:r w:rsidRPr="00A34893">
        <w:rPr>
          <w:szCs w:val="22"/>
        </w:rPr>
        <w:tab/>
      </w:r>
      <w:r w:rsidRPr="00A34893">
        <w:rPr>
          <w:szCs w:val="22"/>
        </w:rPr>
        <w:tab/>
      </w:r>
      <w:r w:rsidRPr="00A34893">
        <w:rPr>
          <w:szCs w:val="22"/>
        </w:rPr>
        <w:tab/>
      </w:r>
      <w:r w:rsidRPr="00A34893">
        <w:rPr>
          <w:szCs w:val="22"/>
        </w:rPr>
        <w:tab/>
      </w:r>
      <w:r w:rsidRPr="00A34893">
        <w:rPr>
          <w:szCs w:val="22"/>
        </w:rPr>
        <w:tab/>
      </w:r>
      <w:r w:rsidR="00DF5464" w:rsidRPr="00A34893">
        <w:rPr>
          <w:szCs w:val="22"/>
        </w:rPr>
        <w:tab/>
      </w:r>
      <w:r w:rsidR="00DF5464" w:rsidRPr="00A34893">
        <w:rPr>
          <w:szCs w:val="22"/>
        </w:rPr>
        <w:tab/>
      </w:r>
      <w:r w:rsidRPr="00A34893">
        <w:rPr>
          <w:szCs w:val="22"/>
        </w:rPr>
        <w:t xml:space="preserve">Peter H. Doyle </w:t>
      </w:r>
    </w:p>
    <w:p w:rsidR="009F3786" w:rsidRPr="00A34893" w:rsidRDefault="009F3786" w:rsidP="009F3786">
      <w:pPr>
        <w:pStyle w:val="BodyText"/>
        <w:rPr>
          <w:szCs w:val="22"/>
        </w:rPr>
      </w:pPr>
      <w:r w:rsidRPr="00A34893">
        <w:rPr>
          <w:szCs w:val="22"/>
        </w:rPr>
        <w:tab/>
      </w:r>
      <w:r w:rsidRPr="00A34893">
        <w:rPr>
          <w:szCs w:val="22"/>
        </w:rPr>
        <w:tab/>
      </w:r>
      <w:r w:rsidRPr="00A34893">
        <w:rPr>
          <w:szCs w:val="22"/>
        </w:rPr>
        <w:tab/>
      </w:r>
      <w:r w:rsidRPr="00A34893">
        <w:rPr>
          <w:szCs w:val="22"/>
        </w:rPr>
        <w:tab/>
      </w:r>
      <w:r w:rsidRPr="00A34893">
        <w:rPr>
          <w:szCs w:val="22"/>
        </w:rPr>
        <w:tab/>
      </w:r>
      <w:r w:rsidR="00DF5464" w:rsidRPr="00A34893">
        <w:rPr>
          <w:szCs w:val="22"/>
        </w:rPr>
        <w:tab/>
      </w:r>
      <w:r w:rsidR="00DF5464" w:rsidRPr="00A34893">
        <w:rPr>
          <w:szCs w:val="22"/>
        </w:rPr>
        <w:tab/>
      </w:r>
      <w:r w:rsidR="00994A42" w:rsidRPr="00A34893">
        <w:rPr>
          <w:szCs w:val="22"/>
        </w:rPr>
        <w:t xml:space="preserve">Chief, </w:t>
      </w:r>
      <w:r w:rsidRPr="00A34893">
        <w:rPr>
          <w:szCs w:val="22"/>
        </w:rPr>
        <w:t>Audio Division</w:t>
      </w:r>
    </w:p>
    <w:p w:rsidR="00901EE2" w:rsidRPr="00A34893" w:rsidRDefault="009F3786" w:rsidP="00A473E7">
      <w:pPr>
        <w:rPr>
          <w:sz w:val="22"/>
          <w:szCs w:val="22"/>
        </w:rPr>
      </w:pPr>
      <w:r w:rsidRPr="00A34893">
        <w:rPr>
          <w:sz w:val="22"/>
          <w:szCs w:val="22"/>
        </w:rPr>
        <w:tab/>
      </w:r>
      <w:r w:rsidRPr="00A34893">
        <w:rPr>
          <w:sz w:val="22"/>
          <w:szCs w:val="22"/>
        </w:rPr>
        <w:tab/>
      </w:r>
      <w:r w:rsidRPr="00A34893">
        <w:rPr>
          <w:sz w:val="22"/>
          <w:szCs w:val="22"/>
        </w:rPr>
        <w:tab/>
      </w:r>
      <w:r w:rsidRPr="00A34893">
        <w:rPr>
          <w:sz w:val="22"/>
          <w:szCs w:val="22"/>
        </w:rPr>
        <w:tab/>
      </w:r>
      <w:r w:rsidRPr="00A34893">
        <w:rPr>
          <w:sz w:val="22"/>
          <w:szCs w:val="22"/>
        </w:rPr>
        <w:tab/>
      </w:r>
      <w:r w:rsidR="00DF5464" w:rsidRPr="00A34893">
        <w:rPr>
          <w:sz w:val="22"/>
          <w:szCs w:val="22"/>
        </w:rPr>
        <w:tab/>
      </w:r>
      <w:r w:rsidR="00DF5464" w:rsidRPr="00A34893">
        <w:rPr>
          <w:sz w:val="22"/>
          <w:szCs w:val="22"/>
        </w:rPr>
        <w:tab/>
      </w:r>
      <w:r w:rsidRPr="00A34893">
        <w:rPr>
          <w:sz w:val="22"/>
          <w:szCs w:val="22"/>
        </w:rPr>
        <w:t>Media Bureau</w:t>
      </w:r>
    </w:p>
    <w:sectPr w:rsidR="00901EE2" w:rsidRPr="00A34893" w:rsidSect="009C36E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51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07" w:rsidRDefault="00A93E07">
      <w:r>
        <w:separator/>
      </w:r>
    </w:p>
  </w:endnote>
  <w:endnote w:type="continuationSeparator" w:id="0">
    <w:p w:rsidR="00A93E07" w:rsidRDefault="00A9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99" w:rsidRDefault="004C5F7C">
    <w:pPr>
      <w:pStyle w:val="Footer"/>
      <w:framePr w:wrap="around" w:vAnchor="text" w:hAnchor="margin" w:xAlign="center" w:y="1"/>
      <w:rPr>
        <w:rStyle w:val="PageNumber"/>
      </w:rPr>
    </w:pPr>
    <w:r>
      <w:rPr>
        <w:rStyle w:val="PageNumber"/>
      </w:rPr>
      <w:fldChar w:fldCharType="begin"/>
    </w:r>
    <w:r w:rsidR="00412199">
      <w:rPr>
        <w:rStyle w:val="PageNumber"/>
      </w:rPr>
      <w:instrText xml:space="preserve">PAGE  </w:instrText>
    </w:r>
    <w:r>
      <w:rPr>
        <w:rStyle w:val="PageNumber"/>
      </w:rPr>
      <w:fldChar w:fldCharType="end"/>
    </w:r>
  </w:p>
  <w:p w:rsidR="00412199" w:rsidRDefault="004121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99" w:rsidRDefault="004C5F7C">
    <w:pPr>
      <w:pStyle w:val="Footer"/>
      <w:framePr w:wrap="around" w:vAnchor="text" w:hAnchor="margin" w:xAlign="center" w:y="1"/>
      <w:rPr>
        <w:rStyle w:val="PageNumber"/>
      </w:rPr>
    </w:pPr>
    <w:r>
      <w:rPr>
        <w:rStyle w:val="PageNumber"/>
      </w:rPr>
      <w:fldChar w:fldCharType="begin"/>
    </w:r>
    <w:r w:rsidR="00412199">
      <w:rPr>
        <w:rStyle w:val="PageNumber"/>
      </w:rPr>
      <w:instrText xml:space="preserve">PAGE  </w:instrText>
    </w:r>
    <w:r>
      <w:rPr>
        <w:rStyle w:val="PageNumber"/>
      </w:rPr>
      <w:fldChar w:fldCharType="separate"/>
    </w:r>
    <w:r w:rsidR="00B12C0C">
      <w:rPr>
        <w:rStyle w:val="PageNumber"/>
        <w:noProof/>
      </w:rPr>
      <w:t>2</w:t>
    </w:r>
    <w:r>
      <w:rPr>
        <w:rStyle w:val="PageNumber"/>
      </w:rPr>
      <w:fldChar w:fldCharType="end"/>
    </w:r>
  </w:p>
  <w:p w:rsidR="00412199" w:rsidRDefault="00412199">
    <w:pPr>
      <w:spacing w:before="140" w:line="100" w:lineRule="exact"/>
      <w:rPr>
        <w:sz w:val="10"/>
      </w:rPr>
    </w:pPr>
  </w:p>
  <w:p w:rsidR="00412199" w:rsidRDefault="00412199">
    <w:pPr>
      <w:suppressAutoHyphens/>
      <w:spacing w:line="227" w:lineRule="auto"/>
      <w:jc w:val="both"/>
    </w:pPr>
  </w:p>
  <w:p w:rsidR="00412199" w:rsidRDefault="0041219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AC" w:rsidRDefault="005D7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07" w:rsidRDefault="00A93E07">
      <w:r>
        <w:separator/>
      </w:r>
    </w:p>
  </w:footnote>
  <w:footnote w:type="continuationSeparator" w:id="0">
    <w:p w:rsidR="00A93E07" w:rsidRDefault="00A93E07">
      <w:r>
        <w:continuationSeparator/>
      </w:r>
    </w:p>
  </w:footnote>
  <w:footnote w:id="1">
    <w:p w:rsidR="00412199" w:rsidRPr="00847598" w:rsidRDefault="00412199">
      <w:pPr>
        <w:pStyle w:val="FootnoteText"/>
      </w:pPr>
      <w:r w:rsidRPr="00847598">
        <w:rPr>
          <w:rStyle w:val="FootnoteReference"/>
          <w:rFonts w:ascii="Times New Roman" w:hAnsi="Times New Roman"/>
        </w:rPr>
        <w:footnoteRef/>
      </w:r>
      <w:r w:rsidRPr="00847598">
        <w:t xml:space="preserve"> The Commission directed the Media Bureau (“Bureau”) to review WCRA’s qualifications after tentatively selecting WCRA for grant in a point system analysis of six mutually exclusive applications.  </w:t>
      </w:r>
      <w:r w:rsidRPr="00847598">
        <w:rPr>
          <w:i/>
          <w:iCs/>
        </w:rPr>
        <w:t>See Comparative Consideration of 33 Groups of Mutually Exclusive Applications for Permits to Construct New or Modified Noncommercial Educational FM Stations</w:t>
      </w:r>
      <w:r w:rsidRPr="00847598">
        <w:rPr>
          <w:iCs/>
        </w:rPr>
        <w:t>,</w:t>
      </w:r>
      <w:r w:rsidRPr="00847598">
        <w:rPr>
          <w:i/>
          <w:iCs/>
        </w:rPr>
        <w:t xml:space="preserve"> </w:t>
      </w:r>
      <w:r w:rsidRPr="00847598">
        <w:t>Memorandum Opinion and Order, 26 FCC Rcd 9058, 9074, 9099 (2011) (“</w:t>
      </w:r>
      <w:r w:rsidRPr="00847598">
        <w:rPr>
          <w:i/>
          <w:iCs/>
        </w:rPr>
        <w:t>Comparative Order</w:t>
      </w:r>
      <w:r w:rsidRPr="00847598">
        <w:t xml:space="preserve">”).  Subsequent to the </w:t>
      </w:r>
      <w:r w:rsidRPr="00847598">
        <w:rPr>
          <w:i/>
        </w:rPr>
        <w:t>Comparative Order</w:t>
      </w:r>
      <w:r w:rsidRPr="00847598">
        <w:t xml:space="preserve">, a second tentative selectee that had been tied with WCRA withdrew and a non-selected applicant, Norman Unitarian Universalist Fellowship (“NUUF”), challenged WCRA’s eligibility in a July 21, 2011 petition to deny.  On September 21, 2012, the Bureau issued a Letter of Inquiry requiring WCRA to provide additional information about its NCE eligibility.  </w:t>
      </w:r>
      <w:r w:rsidRPr="00847598">
        <w:rPr>
          <w:i/>
        </w:rPr>
        <w:t xml:space="preserve">Jeffrey D. Southmayd, Esq., </w:t>
      </w:r>
      <w:r w:rsidRPr="00847598">
        <w:t xml:space="preserve">Letter, Ref.  No. 1800B3-ATS (Sept. 21, 2012).  WCRA responded on October 18, 2012.  By letter of January 14, 2013, we dismissed WCRA’s application.  </w:t>
      </w:r>
      <w:r w:rsidRPr="00847598">
        <w:rPr>
          <w:i/>
        </w:rPr>
        <w:t>Jeffrey D. Southmayd, Esq., et. al</w:t>
      </w:r>
      <w:r w:rsidRPr="00847598">
        <w:t>, Letter, Ref.  No. 1800B3-ATS (Jan. 14, 2013) (“</w:t>
      </w:r>
      <w:r w:rsidRPr="00847598">
        <w:rPr>
          <w:i/>
        </w:rPr>
        <w:t>Dismissal Letter</w:t>
      </w:r>
      <w:r w:rsidRPr="00847598">
        <w:t>”).  WCRA filed a Petition for Reconsideration (“</w:t>
      </w:r>
      <w:r w:rsidRPr="00847598">
        <w:rPr>
          <w:i/>
        </w:rPr>
        <w:t>Petition</w:t>
      </w:r>
      <w:r w:rsidRPr="00847598">
        <w:t>”)</w:t>
      </w:r>
      <w:r w:rsidRPr="00847598">
        <w:rPr>
          <w:i/>
        </w:rPr>
        <w:t xml:space="preserve"> </w:t>
      </w:r>
      <w:r w:rsidRPr="00847598">
        <w:t>on February 15, 2013.  Also before us are NUUF’s Opposition of February 28, 2013, and WCRA’s Reply of March 14, 2013.</w:t>
      </w:r>
    </w:p>
  </w:footnote>
  <w:footnote w:id="2">
    <w:p w:rsidR="00412199" w:rsidRPr="00847598" w:rsidRDefault="00412199">
      <w:pPr>
        <w:pStyle w:val="FootnoteText"/>
      </w:pPr>
      <w:r w:rsidRPr="00847598">
        <w:rPr>
          <w:rStyle w:val="FootnoteReference"/>
          <w:rFonts w:ascii="Times New Roman" w:hAnsi="Times New Roman"/>
        </w:rPr>
        <w:footnoteRef/>
      </w:r>
      <w:r w:rsidRPr="00847598">
        <w:t xml:space="preserve"> </w:t>
      </w:r>
      <w:r w:rsidRPr="00847598">
        <w:rPr>
          <w:i/>
        </w:rPr>
        <w:t xml:space="preserve">See Dismissal Letter </w:t>
      </w:r>
      <w:r w:rsidRPr="00847598">
        <w:t xml:space="preserve">at 5.  We received no petition to deny the NUUF application.  </w:t>
      </w:r>
    </w:p>
  </w:footnote>
  <w:footnote w:id="3">
    <w:p w:rsidR="00412199" w:rsidRPr="00847598" w:rsidRDefault="00412199">
      <w:pPr>
        <w:pStyle w:val="FootnoteText"/>
      </w:pPr>
      <w:r w:rsidRPr="00847598">
        <w:rPr>
          <w:rStyle w:val="FootnoteReference"/>
          <w:rFonts w:ascii="Times New Roman" w:hAnsi="Times New Roman"/>
        </w:rPr>
        <w:footnoteRef/>
      </w:r>
      <w:r w:rsidRPr="00847598">
        <w:t xml:space="preserve"> 47 C.F.R. § 73.503(a).  An entity applying for a permit to construct a new NCE FM station must certify to its eligibility as part of its application.  </w:t>
      </w:r>
      <w:r w:rsidRPr="008910B6">
        <w:rPr>
          <w:i/>
        </w:rPr>
        <w:t>See</w:t>
      </w:r>
      <w:r w:rsidRPr="008910B6">
        <w:t xml:space="preserve"> FCC Form 340, Section II, Question 2, and corresponding instructions.  </w:t>
      </w:r>
    </w:p>
  </w:footnote>
  <w:footnote w:id="4">
    <w:p w:rsidR="00412199" w:rsidRPr="00847598" w:rsidRDefault="00412199">
      <w:pPr>
        <w:pStyle w:val="FootnoteText"/>
      </w:pPr>
      <w:r w:rsidRPr="00847598">
        <w:rPr>
          <w:rStyle w:val="FootnoteReference"/>
          <w:rFonts w:ascii="Times New Roman" w:hAnsi="Times New Roman"/>
        </w:rPr>
        <w:footnoteRef/>
      </w:r>
      <w:r w:rsidRPr="00847598">
        <w:t xml:space="preserve"> 47 C.F.R. § 73.503(a).  In contrast, the Rules that apply to commercial broadcast service contain no such requirement. </w:t>
      </w:r>
      <w:r w:rsidRPr="00847598">
        <w:rPr>
          <w:szCs w:val="22"/>
        </w:rPr>
        <w:t xml:space="preserve">The exclusion of individuals and </w:t>
      </w:r>
      <w:r w:rsidR="009119C3">
        <w:rPr>
          <w:szCs w:val="22"/>
        </w:rPr>
        <w:t xml:space="preserve">sole proprietorships </w:t>
      </w:r>
      <w:r w:rsidRPr="00847598">
        <w:rPr>
          <w:szCs w:val="22"/>
        </w:rPr>
        <w:t xml:space="preserve">from NCE broadcasting, but not from commercial broadcasting, is directly tied to major differences between these two services and the need for an organizational structure that will support that distinction. </w:t>
      </w:r>
    </w:p>
  </w:footnote>
  <w:footnote w:id="5">
    <w:p w:rsidR="00412199" w:rsidRPr="00847598" w:rsidRDefault="00412199">
      <w:pPr>
        <w:pStyle w:val="FootnoteText"/>
      </w:pPr>
      <w:r w:rsidRPr="00847598">
        <w:rPr>
          <w:rStyle w:val="FootnoteReference"/>
          <w:rFonts w:ascii="Times New Roman" w:hAnsi="Times New Roman"/>
        </w:rPr>
        <w:footnoteRef/>
      </w:r>
      <w:r w:rsidRPr="00847598">
        <w:t xml:space="preserve"> </w:t>
      </w:r>
      <w:r w:rsidRPr="00847598">
        <w:rPr>
          <w:i/>
        </w:rPr>
        <w:t xml:space="preserve">E.g., </w:t>
      </w:r>
      <w:r w:rsidRPr="00847598">
        <w:t>47 C.F.R. § 73.503(a)(1) and (2) (eligibility determinations shall consider any accreditation by State departments of education and regional accrediting authorities).</w:t>
      </w:r>
    </w:p>
  </w:footnote>
  <w:footnote w:id="6">
    <w:p w:rsidR="00412199" w:rsidRPr="00847598" w:rsidRDefault="00412199">
      <w:pPr>
        <w:pStyle w:val="FootnoteText"/>
      </w:pPr>
      <w:r w:rsidRPr="00847598">
        <w:rPr>
          <w:rStyle w:val="FootnoteReference"/>
          <w:rFonts w:ascii="Times New Roman" w:hAnsi="Times New Roman"/>
        </w:rPr>
        <w:footnoteRef/>
      </w:r>
      <w:r w:rsidRPr="00847598">
        <w:t xml:space="preserve"> </w:t>
      </w:r>
      <w:r w:rsidRPr="00847598">
        <w:rPr>
          <w:i/>
        </w:rPr>
        <w:t xml:space="preserve">Dismissal Letter </w:t>
      </w:r>
      <w:r w:rsidRPr="00847598">
        <w:t>at 4.</w:t>
      </w:r>
    </w:p>
  </w:footnote>
  <w:footnote w:id="7">
    <w:p w:rsidR="00412199" w:rsidRPr="00847598" w:rsidRDefault="00412199" w:rsidP="002552EB">
      <w:pPr>
        <w:pStyle w:val="FootnoteText"/>
      </w:pPr>
      <w:r w:rsidRPr="00847598">
        <w:rPr>
          <w:rStyle w:val="FootnoteReference"/>
          <w:rFonts w:ascii="Times New Roman" w:hAnsi="Times New Roman"/>
        </w:rPr>
        <w:footnoteRef/>
      </w:r>
      <w:r w:rsidRPr="00847598">
        <w:t xml:space="preserve"> </w:t>
      </w:r>
      <w:r w:rsidRPr="00847598">
        <w:rPr>
          <w:i/>
        </w:rPr>
        <w:t xml:space="preserve">Id. </w:t>
      </w:r>
      <w:r w:rsidRPr="00847598">
        <w:t xml:space="preserve">at 4, nn. 27 and 29.  WCRA’s governing documents further specify that WCRA shall have no members.  </w:t>
      </w:r>
      <w:r w:rsidRPr="00847598">
        <w:rPr>
          <w:i/>
        </w:rPr>
        <w:t xml:space="preserve">See </w:t>
      </w:r>
      <w:r w:rsidRPr="00847598">
        <w:t>Articles of Association and Bylaws of WCRA, Article IV, Section 4.01.</w:t>
      </w:r>
    </w:p>
  </w:footnote>
  <w:footnote w:id="8">
    <w:p w:rsidR="00412199" w:rsidRPr="00847598" w:rsidRDefault="00412199">
      <w:pPr>
        <w:pStyle w:val="FootnoteText"/>
      </w:pPr>
      <w:r w:rsidRPr="00847598">
        <w:rPr>
          <w:rStyle w:val="FootnoteReference"/>
          <w:rFonts w:ascii="Times New Roman" w:hAnsi="Times New Roman"/>
        </w:rPr>
        <w:footnoteRef/>
      </w:r>
      <w:r w:rsidRPr="00847598">
        <w:t xml:space="preserve"> </w:t>
      </w:r>
      <w:r w:rsidRPr="00847598">
        <w:rPr>
          <w:i/>
        </w:rPr>
        <w:t xml:space="preserve">Dismissal Letter </w:t>
      </w:r>
      <w:r w:rsidRPr="00847598">
        <w:t xml:space="preserve">at 4, citing </w:t>
      </w:r>
      <w:r w:rsidRPr="00847598">
        <w:rPr>
          <w:i/>
        </w:rPr>
        <w:t>Hammock Environmental and Educational Community Service</w:t>
      </w:r>
      <w:r w:rsidRPr="00847598">
        <w:t>, Letter, 25 FCC Rcd 12804, 12807 (MB 2010) (“</w:t>
      </w:r>
      <w:r w:rsidRPr="00847598">
        <w:rPr>
          <w:i/>
        </w:rPr>
        <w:t>Hammock Letter</w:t>
      </w:r>
      <w:r w:rsidRPr="00847598">
        <w:t xml:space="preserve">”) and </w:t>
      </w:r>
      <w:r w:rsidRPr="00847598">
        <w:rPr>
          <w:i/>
        </w:rPr>
        <w:t>M&amp;M Community Development, Inc.</w:t>
      </w:r>
      <w:r w:rsidRPr="00847598">
        <w:t>, Letter, 21 FCC Rcd 7983, 7984 (MB 2006)</w:t>
      </w:r>
      <w:r>
        <w:t xml:space="preserve"> (“</w:t>
      </w:r>
      <w:r>
        <w:rPr>
          <w:i/>
        </w:rPr>
        <w:t>M&amp;M Letter</w:t>
      </w:r>
      <w:r>
        <w:t>”)</w:t>
      </w:r>
      <w:r w:rsidRPr="00847598">
        <w:t>.</w:t>
      </w:r>
    </w:p>
  </w:footnote>
  <w:footnote w:id="9">
    <w:p w:rsidR="00412199" w:rsidRPr="00847598" w:rsidRDefault="00412199" w:rsidP="000A62B7">
      <w:pPr>
        <w:pStyle w:val="FootnoteText"/>
      </w:pPr>
      <w:r w:rsidRPr="00847598">
        <w:rPr>
          <w:rStyle w:val="FootnoteReference"/>
          <w:rFonts w:ascii="Times New Roman" w:hAnsi="Times New Roman"/>
        </w:rPr>
        <w:footnoteRef/>
      </w:r>
      <w:r w:rsidRPr="00847598">
        <w:t xml:space="preserve"> </w:t>
      </w:r>
      <w:r w:rsidRPr="00847598">
        <w:rPr>
          <w:i/>
          <w:iCs/>
        </w:rPr>
        <w:t>See WWIZ, Inc.</w:t>
      </w:r>
      <w:hyperlink r:id="rId1" w:history="1">
        <w:r w:rsidRPr="008910B6">
          <w:rPr>
            <w:rStyle w:val="Hyperlink"/>
            <w:color w:val="auto"/>
            <w:u w:val="none"/>
          </w:rPr>
          <w:t>, 37 FCC 685, 686 (1964)</w:t>
        </w:r>
      </w:hyperlink>
      <w:r w:rsidRPr="008910B6">
        <w:rPr>
          <w:rStyle w:val="Hyperlink"/>
          <w:color w:val="auto"/>
          <w:u w:val="none"/>
        </w:rPr>
        <w:t>,</w:t>
      </w:r>
      <w:r w:rsidRPr="00847598">
        <w:t xml:space="preserve"> </w:t>
      </w:r>
      <w:r w:rsidRPr="00847598">
        <w:rPr>
          <w:i/>
          <w:iCs/>
          <w:szCs w:val="22"/>
        </w:rPr>
        <w:t xml:space="preserve">aff'd sub. nom </w:t>
      </w:r>
      <w:hyperlink r:id="rId2" w:history="1">
        <w:r w:rsidRPr="008910B6">
          <w:rPr>
            <w:rStyle w:val="Hyperlink"/>
            <w:i/>
            <w:iCs/>
            <w:color w:val="auto"/>
            <w:szCs w:val="22"/>
            <w:u w:val="none"/>
          </w:rPr>
          <w:t>Lorain Journal Co. v. FCC</w:t>
        </w:r>
        <w:r w:rsidRPr="008910B6">
          <w:rPr>
            <w:rStyle w:val="Hyperlink"/>
            <w:color w:val="auto"/>
            <w:szCs w:val="22"/>
            <w:u w:val="none"/>
          </w:rPr>
          <w:t>, 351 F.2d 824 (D.C. Cir. 1965)</w:t>
        </w:r>
      </w:hyperlink>
      <w:r w:rsidRPr="00847598">
        <w:rPr>
          <w:szCs w:val="22"/>
        </w:rPr>
        <w:t>.</w:t>
      </w:r>
    </w:p>
  </w:footnote>
  <w:footnote w:id="10">
    <w:p w:rsidR="00412199" w:rsidRPr="00847598" w:rsidRDefault="00412199" w:rsidP="004F4A11">
      <w:pPr>
        <w:pStyle w:val="FootnoteText"/>
      </w:pPr>
      <w:r w:rsidRPr="00847598">
        <w:rPr>
          <w:rStyle w:val="FootnoteReference"/>
          <w:rFonts w:ascii="Times New Roman" w:hAnsi="Times New Roman"/>
        </w:rPr>
        <w:footnoteRef/>
      </w:r>
      <w:r w:rsidRPr="00847598">
        <w:t xml:space="preserve"> </w:t>
      </w:r>
      <w:r w:rsidRPr="00847598">
        <w:rPr>
          <w:i/>
        </w:rPr>
        <w:t xml:space="preserve">See Letter from Kent P. Sullivan, Esq., Leach and Sullivan to WCRA </w:t>
      </w:r>
      <w:r w:rsidRPr="00847598">
        <w:t xml:space="preserve">(Feb. 14, 2013) (submitted as </w:t>
      </w:r>
      <w:r w:rsidRPr="00847598">
        <w:rPr>
          <w:i/>
        </w:rPr>
        <w:t xml:space="preserve">Petition, </w:t>
      </w:r>
      <w:r w:rsidRPr="00847598">
        <w:t xml:space="preserve">Exh. C).  The letter provides citations to statutes and cases for the principles that unincorporated associations in Oklahoma have the capacity to sue and be sued, receive service of process, and hold title to real property.  </w:t>
      </w:r>
      <w:r w:rsidRPr="00847598">
        <w:rPr>
          <w:i/>
        </w:rPr>
        <w:t>E.g.,</w:t>
      </w:r>
      <w:r w:rsidRPr="00847598">
        <w:t xml:space="preserve"> OK ST T. 12 §§ 182, 2017 B, and 2023.2;</w:t>
      </w:r>
      <w:r w:rsidRPr="00847598">
        <w:rPr>
          <w:i/>
        </w:rPr>
        <w:t xml:space="preserve"> Oliver v. Farmers Insurance Group of Companies, </w:t>
      </w:r>
      <w:r w:rsidRPr="00847598">
        <w:t>941 P.2d 985 (1997);</w:t>
      </w:r>
      <w:r w:rsidRPr="00847598">
        <w:rPr>
          <w:i/>
        </w:rPr>
        <w:t xml:space="preserve"> Mozingo v. Oklahoma Secondary School Activities Ass’n, </w:t>
      </w:r>
      <w:r w:rsidRPr="00847598">
        <w:t>575 P.2d 1379 (1978).</w:t>
      </w:r>
    </w:p>
  </w:footnote>
  <w:footnote w:id="11">
    <w:p w:rsidR="00412199" w:rsidRPr="00847598" w:rsidRDefault="00412199">
      <w:pPr>
        <w:pStyle w:val="FootnoteText"/>
      </w:pPr>
      <w:r w:rsidRPr="00847598">
        <w:rPr>
          <w:rStyle w:val="FootnoteReference"/>
          <w:rFonts w:ascii="Times New Roman" w:hAnsi="Times New Roman"/>
        </w:rPr>
        <w:footnoteRef/>
      </w:r>
      <w:r w:rsidRPr="00847598">
        <w:t xml:space="preserve">  Because the Commission does not administer any grant programs and not all NCE broadcasters qualify for grants administered by others, Section 397(6)(A) has historically been of limited relevance to the Commission.  Mainly, our reference to that provision began after Congress, in the late1990s, amended the Act to exempt applicants from spectrum auctions when applying for stations that meet the Section 397(6)(A) definition.  </w:t>
      </w:r>
      <w:r w:rsidRPr="00847598">
        <w:rPr>
          <w:i/>
        </w:rPr>
        <w:t>See</w:t>
      </w:r>
      <w:r w:rsidRPr="00847598">
        <w:t xml:space="preserve"> </w:t>
      </w:r>
      <w:hyperlink r:id="rId3" w:tgtFrame="_top" w:history="1">
        <w:r w:rsidRPr="008910B6">
          <w:rPr>
            <w:rStyle w:val="Hyperlink"/>
            <w:color w:val="auto"/>
            <w:u w:val="none"/>
          </w:rPr>
          <w:t>Pub. L. No. 105-33, Title III, 111</w:t>
        </w:r>
      </w:hyperlink>
      <w:r w:rsidRPr="00847598">
        <w:t xml:space="preserve"> Stat. 251 (1997); </w:t>
      </w:r>
      <w:r w:rsidRPr="00847598">
        <w:rPr>
          <w:i/>
        </w:rPr>
        <w:t xml:space="preserve">See also </w:t>
      </w:r>
      <w:r w:rsidRPr="00847598">
        <w:t xml:space="preserve">47 U.S.C. § 309(j)(2)(C).  While we have since, on occasion, cited Section 397(6)(A) in non-auction comparative cases, the outcome of such cases has been identical to the instant proceeding concerning ineligibility of unincorporated applicants that did not exist in a form recognized under state law when the application was filed.  </w:t>
      </w:r>
      <w:r w:rsidRPr="00847598">
        <w:rPr>
          <w:i/>
        </w:rPr>
        <w:t>See, e.g., Six Applications for New Low Power FM Stations,</w:t>
      </w:r>
      <w:r w:rsidRPr="00847598">
        <w:t xml:space="preserve"> Memorandum Opinion and Order, 28 FCC Rcd 13390, 13393-94 (2013) (“</w:t>
      </w:r>
      <w:r w:rsidRPr="00847598">
        <w:rPr>
          <w:i/>
        </w:rPr>
        <w:t>Six Applications</w:t>
      </w:r>
      <w:r w:rsidRPr="00847598">
        <w:t xml:space="preserve">”).   </w:t>
      </w:r>
    </w:p>
  </w:footnote>
  <w:footnote w:id="12">
    <w:p w:rsidR="00412199" w:rsidRPr="00847598" w:rsidRDefault="00412199" w:rsidP="004D0E51">
      <w:pPr>
        <w:pStyle w:val="FootnoteText"/>
      </w:pPr>
      <w:r w:rsidRPr="00847598">
        <w:rPr>
          <w:rStyle w:val="FootnoteReference"/>
          <w:rFonts w:ascii="Times New Roman" w:hAnsi="Times New Roman"/>
        </w:rPr>
        <w:footnoteRef/>
      </w:r>
      <w:r w:rsidRPr="00847598">
        <w:t xml:space="preserve"> 47 U.S.C. § 396(6)(A) (</w:t>
      </w:r>
      <w:r w:rsidRPr="008910B6">
        <w:t>emphasis added</w:t>
      </w:r>
      <w:r w:rsidRPr="00847598">
        <w:t>).</w:t>
      </w:r>
    </w:p>
  </w:footnote>
  <w:footnote w:id="13">
    <w:p w:rsidR="00412199" w:rsidRPr="00847598" w:rsidRDefault="00412199" w:rsidP="000D3E42">
      <w:pPr>
        <w:pStyle w:val="FootnoteText"/>
      </w:pPr>
      <w:r w:rsidRPr="00847598">
        <w:rPr>
          <w:rStyle w:val="FootnoteReference"/>
          <w:rFonts w:ascii="Times New Roman" w:hAnsi="Times New Roman"/>
        </w:rPr>
        <w:footnoteRef/>
      </w:r>
      <w:r w:rsidRPr="00847598">
        <w:t xml:space="preserve"> </w:t>
      </w:r>
      <w:r w:rsidRPr="00847598">
        <w:rPr>
          <w:i/>
        </w:rPr>
        <w:t xml:space="preserve">See </w:t>
      </w:r>
      <w:r w:rsidRPr="00847598">
        <w:t>47 C.F.R. § 1.106(c).</w:t>
      </w:r>
    </w:p>
  </w:footnote>
  <w:footnote w:id="14">
    <w:p w:rsidR="00412199" w:rsidRPr="00847598" w:rsidRDefault="00412199" w:rsidP="000D3E42">
      <w:pPr>
        <w:pStyle w:val="FootnoteText"/>
      </w:pPr>
      <w:r w:rsidRPr="00847598">
        <w:rPr>
          <w:rStyle w:val="FootnoteReference"/>
          <w:rFonts w:ascii="Times New Roman" w:hAnsi="Times New Roman"/>
        </w:rPr>
        <w:footnoteRef/>
      </w:r>
      <w:r w:rsidRPr="00847598">
        <w:t xml:space="preserve"> WCRA merely claims that our Letter of Inquiry did not ask specifically for a lawyer’s statement but rather for “a declaration by a person qualified to render an opinion on Oklahoma corporate law” and Malaska viewed himself as so qualified.  Petition at 3, 7.  Malaska continues to claim that he is “fully qualified to give an opinion on Oklahoma law” but again provides no information to support his bare assertion.  </w:t>
      </w:r>
      <w:r w:rsidRPr="00847598">
        <w:rPr>
          <w:i/>
        </w:rPr>
        <w:t xml:space="preserve">Id. </w:t>
      </w:r>
      <w:r w:rsidRPr="00847598">
        <w:t>at 4.</w:t>
      </w:r>
    </w:p>
  </w:footnote>
  <w:footnote w:id="15">
    <w:p w:rsidR="00412199" w:rsidRPr="00847598" w:rsidRDefault="00412199" w:rsidP="000D3E42">
      <w:pPr>
        <w:pStyle w:val="FootnoteText"/>
      </w:pPr>
      <w:r w:rsidRPr="00847598">
        <w:rPr>
          <w:rStyle w:val="FootnoteReference"/>
          <w:rFonts w:ascii="Times New Roman" w:hAnsi="Times New Roman"/>
        </w:rPr>
        <w:footnoteRef/>
      </w:r>
      <w:r w:rsidRPr="00847598">
        <w:t xml:space="preserve"> </w:t>
      </w:r>
      <w:r w:rsidRPr="00847598">
        <w:rPr>
          <w:i/>
        </w:rPr>
        <w:t xml:space="preserve">See </w:t>
      </w:r>
      <w:r w:rsidRPr="00847598">
        <w:t>47 C.F.R. § 1.106(c)(2).</w:t>
      </w:r>
    </w:p>
  </w:footnote>
  <w:footnote w:id="16">
    <w:p w:rsidR="00412199" w:rsidRPr="00847598" w:rsidRDefault="00412199" w:rsidP="008C1069">
      <w:pPr>
        <w:pStyle w:val="FootnoteText"/>
      </w:pPr>
      <w:r w:rsidRPr="00847598">
        <w:rPr>
          <w:rStyle w:val="FootnoteReference"/>
          <w:rFonts w:ascii="Times New Roman" w:hAnsi="Times New Roman"/>
        </w:rPr>
        <w:footnoteRef/>
      </w:r>
      <w:r w:rsidRPr="00847598">
        <w:t xml:space="preserve"> </w:t>
      </w:r>
      <w:r w:rsidRPr="00847598">
        <w:rPr>
          <w:i/>
        </w:rPr>
        <w:t>See Hammock Letter</w:t>
      </w:r>
      <w:r w:rsidRPr="00847598">
        <w:t>, 25 FCC Rcd at 12807 (Commission inquiry about NCE applicant’s existence under state law) citing</w:t>
      </w:r>
      <w:r w:rsidRPr="00847598">
        <w:rPr>
          <w:i/>
        </w:rPr>
        <w:t xml:space="preserve"> Cosmopolitan Enterprises</w:t>
      </w:r>
      <w:r w:rsidRPr="00847598">
        <w:t xml:space="preserve">, Memorandum Opinion and Order, 47 FCC 2d 325, 326 (1974).  </w:t>
      </w:r>
    </w:p>
  </w:footnote>
  <w:footnote w:id="17">
    <w:p w:rsidR="00412199" w:rsidRPr="00847598" w:rsidRDefault="00412199" w:rsidP="003740D9">
      <w:pPr>
        <w:pStyle w:val="FootnoteText"/>
      </w:pPr>
      <w:r w:rsidRPr="00847598">
        <w:rPr>
          <w:rStyle w:val="FootnoteReference"/>
          <w:rFonts w:ascii="Times New Roman" w:hAnsi="Times New Roman"/>
        </w:rPr>
        <w:footnoteRef/>
      </w:r>
      <w:r w:rsidRPr="00847598">
        <w:t xml:space="preserve"> </w:t>
      </w:r>
      <w:r w:rsidRPr="00847598">
        <w:rPr>
          <w:i/>
        </w:rPr>
        <w:t>Hammock Letter</w:t>
      </w:r>
      <w:r w:rsidRPr="00847598">
        <w:t>, 25 FCC Rcd at 12807 (NCE applicant showed steps taken to be recognized by Florida Secretary of State, including a stamped copy of its articles of incorporation and bylaws).</w:t>
      </w:r>
    </w:p>
  </w:footnote>
  <w:footnote w:id="18">
    <w:p w:rsidR="00412199" w:rsidRPr="00847598" w:rsidRDefault="00412199" w:rsidP="003740D9">
      <w:pPr>
        <w:pStyle w:val="FootnoteText"/>
      </w:pPr>
      <w:r w:rsidRPr="00847598">
        <w:rPr>
          <w:rStyle w:val="FootnoteReference"/>
          <w:rFonts w:ascii="Times New Roman" w:hAnsi="Times New Roman"/>
        </w:rPr>
        <w:footnoteRef/>
      </w:r>
      <w:r w:rsidRPr="00847598">
        <w:t xml:space="preserve"> </w:t>
      </w:r>
      <w:r w:rsidRPr="00847598">
        <w:rPr>
          <w:i/>
        </w:rPr>
        <w:t xml:space="preserve">See M&amp;M </w:t>
      </w:r>
      <w:r w:rsidRPr="00783976">
        <w:rPr>
          <w:i/>
        </w:rPr>
        <w:t>Letter</w:t>
      </w:r>
      <w:r w:rsidRPr="00847598">
        <w:t xml:space="preserve">, 21 FCC Rcd </w:t>
      </w:r>
      <w:r>
        <w:t>at</w:t>
      </w:r>
      <w:r w:rsidRPr="00847598">
        <w:t xml:space="preserve"> 7984 (Applicant for a Low Power FM station in Ohio demonstrated that it was a legally recognized unincorporated nonprofit association at the time of application by submitting a letter from an attorney licensed in Ohio stating that Ohio law authorizes unincorporated associations and that the applicant met the State’s definition).  </w:t>
      </w:r>
    </w:p>
  </w:footnote>
  <w:footnote w:id="19">
    <w:p w:rsidR="00412199" w:rsidRPr="003127E8" w:rsidRDefault="00412199">
      <w:pPr>
        <w:pStyle w:val="FootnoteText"/>
      </w:pPr>
      <w:r w:rsidRPr="00847598">
        <w:rPr>
          <w:rStyle w:val="FootnoteReference"/>
          <w:rFonts w:ascii="Times New Roman" w:hAnsi="Times New Roman"/>
        </w:rPr>
        <w:footnoteRef/>
      </w:r>
      <w:r w:rsidRPr="00847598">
        <w:t xml:space="preserve"> </w:t>
      </w:r>
      <w:r w:rsidRPr="00847598">
        <w:rPr>
          <w:i/>
        </w:rPr>
        <w:t xml:space="preserve">See supra </w:t>
      </w:r>
      <w:r w:rsidRPr="00847598">
        <w:t xml:space="preserve">at n.4; </w:t>
      </w:r>
      <w:r w:rsidRPr="00847598">
        <w:rPr>
          <w:i/>
        </w:rPr>
        <w:t xml:space="preserve">see also Six Applications, </w:t>
      </w:r>
      <w:r w:rsidRPr="00847598">
        <w:t xml:space="preserve">28 FCC Rcd at 13394 (non-compliance with state corporation law is generally not a basis for denial of a commercial broadcast application </w:t>
      </w:r>
      <w:r>
        <w:t xml:space="preserve">if the matter has not been contested in state court and the determination is more appropriately a matter for state resolution, </w:t>
      </w:r>
      <w:r w:rsidRPr="003127E8">
        <w:t xml:space="preserve">but NCE applicants must demonstrate their legal existence </w:t>
      </w:r>
      <w:r>
        <w:t xml:space="preserve">as an organization </w:t>
      </w:r>
      <w:r w:rsidRPr="003127E8">
        <w:t>under pertinent state law at the time their applications are filed).   In the NCE context, operation of an unincorporated entity within a</w:t>
      </w:r>
      <w:r>
        <w:t>n organizational</w:t>
      </w:r>
      <w:r w:rsidRPr="003127E8">
        <w:t xml:space="preserve"> format that is state-recognized provides a system of accountability outside of the Commission for meeting shared not-for-profit goals, generally expressed in publicly available documents</w:t>
      </w:r>
      <w:r>
        <w:t xml:space="preserve"> or in association meetings</w:t>
      </w:r>
      <w:r w:rsidRPr="003127E8">
        <w:t xml:space="preserve">, thereby preventing unilateral action for pecuniary gain.  </w:t>
      </w:r>
    </w:p>
  </w:footnote>
  <w:footnote w:id="20">
    <w:p w:rsidR="00412199" w:rsidRPr="003127E8" w:rsidRDefault="00412199">
      <w:pPr>
        <w:pStyle w:val="FootnoteText"/>
      </w:pPr>
      <w:r w:rsidRPr="003127E8">
        <w:rPr>
          <w:rStyle w:val="FootnoteReference"/>
          <w:rFonts w:ascii="Times New Roman" w:hAnsi="Times New Roman"/>
        </w:rPr>
        <w:footnoteRef/>
      </w:r>
      <w:r w:rsidRPr="003127E8">
        <w:t xml:space="preserve"> Black’s Law Dictionary (9</w:t>
      </w:r>
      <w:r w:rsidRPr="003127E8">
        <w:rPr>
          <w:vertAlign w:val="superscript"/>
        </w:rPr>
        <w:t>th</w:t>
      </w:r>
      <w:r w:rsidRPr="003127E8">
        <w:t xml:space="preserve"> ed. 2009) </w:t>
      </w:r>
      <w:r>
        <w:t>(</w:t>
      </w:r>
      <w:r w:rsidRPr="008910B6">
        <w:t>emphasis added</w:t>
      </w:r>
      <w:r>
        <w:t>)</w:t>
      </w:r>
      <w:r w:rsidRPr="003127E8">
        <w:t>.</w:t>
      </w:r>
    </w:p>
  </w:footnote>
  <w:footnote w:id="21">
    <w:p w:rsidR="00412199" w:rsidRPr="00847598" w:rsidRDefault="00412199" w:rsidP="005B3363">
      <w:pPr>
        <w:pStyle w:val="FootnoteText"/>
      </w:pPr>
      <w:r w:rsidRPr="00847598">
        <w:rPr>
          <w:rStyle w:val="FootnoteReference"/>
          <w:rFonts w:ascii="Times New Roman" w:hAnsi="Times New Roman"/>
        </w:rPr>
        <w:footnoteRef/>
      </w:r>
      <w:r w:rsidRPr="00847598">
        <w:t xml:space="preserve"> The </w:t>
      </w:r>
      <w:r w:rsidRPr="00847598">
        <w:rPr>
          <w:i/>
        </w:rPr>
        <w:t xml:space="preserve">Dismissal Letter </w:t>
      </w:r>
      <w:r w:rsidRPr="00847598">
        <w:t xml:space="preserve">correctly rejected WCRA’s reliance on the Revised Uniform Unincorporated Nonprofit Association Act (“RUUNAA”), a provision not adopted in Oklahoma, and showed that RUUNAA undercuts, rather than supports, WCRA’s position because it specifies that an “unincorporated nonprofit association” consists of two or more members.  </w:t>
      </w:r>
      <w:r w:rsidRPr="00847598">
        <w:rPr>
          <w:i/>
        </w:rPr>
        <w:t xml:space="preserve">See Dismissal Letter </w:t>
      </w:r>
      <w:r w:rsidRPr="00847598">
        <w:t xml:space="preserve">at 4, n.27, citing RUUNAA Section 2(8), </w:t>
      </w:r>
      <w:r w:rsidRPr="00847598">
        <w:rPr>
          <w:i/>
        </w:rPr>
        <w:t>available at</w:t>
      </w:r>
      <w:r w:rsidRPr="00847598">
        <w:t xml:space="preserve"> </w:t>
      </w:r>
      <w:hyperlink r:id="rId4" w:history="1">
        <w:r w:rsidRPr="008910B6">
          <w:rPr>
            <w:rStyle w:val="Hyperlink"/>
            <w:color w:val="auto"/>
            <w:u w:val="none"/>
          </w:rPr>
          <w:t>http://apps.americanbar.org/intlaw/leadership/policy/RUUNAA_Final_08.pdf</w:t>
        </w:r>
      </w:hyperlink>
      <w:r w:rsidRPr="00847598">
        <w:t>.  RUUNAA explains that while there are other business models that can be formed by a single individual, at least two persons are required for an association because that i</w:t>
      </w:r>
      <w:r>
        <w:t>s</w:t>
      </w:r>
      <w:r w:rsidRPr="00847598">
        <w:t xml:space="preserve"> the minimum necessary to have an agreement under general legal principles.  RUUNAA Section 2(8).</w:t>
      </w:r>
    </w:p>
  </w:footnote>
  <w:footnote w:id="22">
    <w:p w:rsidR="00412199" w:rsidRPr="003127E8" w:rsidRDefault="00412199" w:rsidP="00536368">
      <w:pPr>
        <w:pStyle w:val="FootnoteText"/>
      </w:pPr>
      <w:r w:rsidRPr="00847598">
        <w:rPr>
          <w:rStyle w:val="FootnoteReference"/>
          <w:rFonts w:ascii="Times New Roman" w:hAnsi="Times New Roman"/>
        </w:rPr>
        <w:footnoteRef/>
      </w:r>
      <w:r w:rsidRPr="00847598">
        <w:t xml:space="preserve"> WCRA argues that although </w:t>
      </w:r>
      <w:r>
        <w:t>the relevant</w:t>
      </w:r>
      <w:r w:rsidRPr="003127E8">
        <w:t xml:space="preserve"> Oklahoma statute refers to “when two or more persons associate themselves” for business purposes as an unincorporated association, that law does not require associations to have at least two principals nor indicate that an unincorporated non-profit association cannot exist with a single principal.  Reply at 3 citing 12 O.S. § 182.  The legal opinion of WCRA’s Oklahoma attorney is silent on this matter.</w:t>
      </w:r>
    </w:p>
  </w:footnote>
  <w:footnote w:id="23">
    <w:p w:rsidR="00412199" w:rsidRPr="00847598" w:rsidRDefault="00412199" w:rsidP="00D11D2D">
      <w:pPr>
        <w:pStyle w:val="FootnoteText"/>
      </w:pPr>
      <w:r w:rsidRPr="00847598">
        <w:rPr>
          <w:rStyle w:val="FootnoteReference"/>
          <w:rFonts w:ascii="Times New Roman" w:hAnsi="Times New Roman"/>
        </w:rPr>
        <w:footnoteRef/>
      </w:r>
      <w:r w:rsidRPr="00847598">
        <w:t xml:space="preserve"> </w:t>
      </w:r>
      <w:r w:rsidRPr="00847598">
        <w:rPr>
          <w:i/>
        </w:rPr>
        <w:t>See Hammock Letter</w:t>
      </w:r>
      <w:r w:rsidRPr="00847598">
        <w:t>,</w:t>
      </w:r>
      <w:r w:rsidRPr="00847598">
        <w:rPr>
          <w:i/>
        </w:rPr>
        <w:t xml:space="preserve"> </w:t>
      </w:r>
      <w:r w:rsidRPr="00847598">
        <w:t>25 FCC Rcd at 12807.</w:t>
      </w:r>
    </w:p>
  </w:footnote>
  <w:footnote w:id="24">
    <w:p w:rsidR="00412199" w:rsidRPr="00847598" w:rsidRDefault="00412199" w:rsidP="00D11D2D">
      <w:pPr>
        <w:pStyle w:val="FootnoteText"/>
      </w:pPr>
      <w:r w:rsidRPr="00847598">
        <w:rPr>
          <w:rStyle w:val="FootnoteReference"/>
          <w:rFonts w:ascii="Times New Roman" w:hAnsi="Times New Roman"/>
        </w:rPr>
        <w:footnoteRef/>
      </w:r>
      <w:r w:rsidRPr="00847598">
        <w:t xml:space="preserve"> </w:t>
      </w:r>
      <w:r w:rsidRPr="00847598">
        <w:rPr>
          <w:i/>
        </w:rPr>
        <w:t xml:space="preserve">Dismissal Letter </w:t>
      </w:r>
      <w:r w:rsidRPr="00847598">
        <w:t>at 5.</w:t>
      </w:r>
    </w:p>
  </w:footnote>
  <w:footnote w:id="25">
    <w:p w:rsidR="00412199" w:rsidRPr="00847598" w:rsidRDefault="00412199" w:rsidP="003F2728">
      <w:pPr>
        <w:pStyle w:val="FootnoteText"/>
      </w:pPr>
      <w:r w:rsidRPr="00847598">
        <w:rPr>
          <w:rStyle w:val="FootnoteReference"/>
          <w:rFonts w:ascii="Times New Roman" w:hAnsi="Times New Roman"/>
        </w:rPr>
        <w:footnoteRef/>
      </w:r>
      <w:r w:rsidRPr="00847598">
        <w:t xml:space="preserve"> 47 C.F.R. § 73.7002(c).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EAC" w:rsidRDefault="005D7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99" w:rsidRDefault="00412199">
    <w:pPr>
      <w:tabs>
        <w:tab w:val="center" w:pos="4680"/>
        <w:tab w:val="right" w:pos="9360"/>
      </w:tabs>
      <w:suppressAutoHyphens/>
      <w:spacing w:line="227" w:lineRule="auto"/>
      <w:jc w:val="both"/>
      <w:rPr>
        <w:rFonts w:ascii="Calisto MT" w:hAnsi="Calisto MT"/>
        <w:spacing w:val="-2"/>
      </w:rPr>
    </w:pPr>
  </w:p>
  <w:p w:rsidR="00412199" w:rsidRDefault="00412199">
    <w:pPr>
      <w:tabs>
        <w:tab w:val="left" w:pos="-720"/>
      </w:tabs>
      <w:suppressAutoHyphens/>
      <w:spacing w:line="19" w:lineRule="exact"/>
      <w:jc w:val="both"/>
      <w:rPr>
        <w:sz w:val="10"/>
      </w:rPr>
    </w:pPr>
  </w:p>
  <w:p w:rsidR="00412199" w:rsidRDefault="00412199">
    <w:pPr>
      <w:tabs>
        <w:tab w:val="left" w:pos="-720"/>
      </w:tabs>
      <w:suppressAutoHyphens/>
      <w:spacing w:line="19" w:lineRule="exact"/>
      <w:jc w:val="both"/>
      <w:rPr>
        <w:sz w:val="10"/>
      </w:rPr>
    </w:pPr>
  </w:p>
  <w:p w:rsidR="00412199" w:rsidRDefault="00412199">
    <w:pPr>
      <w:tabs>
        <w:tab w:val="left" w:pos="-720"/>
      </w:tabs>
      <w:suppressAutoHyphens/>
      <w:spacing w:line="19" w:lineRule="exact"/>
      <w:jc w:val="both"/>
      <w:rPr>
        <w:sz w:val="10"/>
      </w:rPr>
    </w:pPr>
  </w:p>
  <w:p w:rsidR="00412199" w:rsidRDefault="00412199">
    <w:pPr>
      <w:tabs>
        <w:tab w:val="left" w:pos="-720"/>
      </w:tabs>
      <w:suppressAutoHyphens/>
      <w:spacing w:line="19" w:lineRule="exact"/>
      <w:jc w:val="both"/>
      <w:rPr>
        <w:sz w:val="10"/>
      </w:rPr>
    </w:pPr>
  </w:p>
  <w:p w:rsidR="00412199" w:rsidRDefault="00412199">
    <w:pPr>
      <w:tabs>
        <w:tab w:val="left" w:pos="-720"/>
      </w:tabs>
      <w:suppressAutoHyphens/>
      <w:spacing w:line="19"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99" w:rsidRPr="0012591E" w:rsidRDefault="00B12C0C">
    <w:pPr>
      <w:pStyle w:val="Heading2"/>
      <w:spacing w:line="240" w:lineRule="auto"/>
      <w:rPr>
        <w:color w:val="000000"/>
      </w:rPr>
    </w:pPr>
    <w:r>
      <w:rPr>
        <w:noProof/>
        <w:snapToGrid/>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8pt;margin-top:0;width:69.3pt;height:64.8pt;z-index:251657728;visibility:visible;mso-wrap-edited:f" o:allowincell="f" filled="t" fillcolor="#3cc">
          <v:imagedata r:id="rId1" o:title="" gain="69719f"/>
          <w10:wrap type="topAndBottom"/>
        </v:shape>
        <o:OLEObject Type="Embed" ProgID="Word.Picture.8" ShapeID="_x0000_s2049" DrawAspect="Content" ObjectID="_1450585872" r:id="rId2"/>
      </w:pict>
    </w:r>
    <w:r w:rsidR="00412199" w:rsidRPr="0012591E">
      <w:rPr>
        <w:color w:val="000000"/>
      </w:rPr>
      <w:t>Federal Communications Commission</w:t>
    </w:r>
  </w:p>
  <w:p w:rsidR="00412199" w:rsidRPr="0012591E" w:rsidRDefault="00412199">
    <w:pPr>
      <w:jc w:val="center"/>
      <w:rPr>
        <w:color w:val="000000"/>
        <w:spacing w:val="-2"/>
      </w:rPr>
    </w:pPr>
    <w:r w:rsidRPr="0012591E">
      <w:rPr>
        <w:color w:val="000000"/>
        <w:spacing w:val="-2"/>
      </w:rPr>
      <w:t>Washington, D.C. 20554</w:t>
    </w:r>
  </w:p>
  <w:p w:rsidR="00412199" w:rsidRPr="0012591E" w:rsidRDefault="00412199">
    <w:pPr>
      <w:jc w:val="center"/>
      <w:rPr>
        <w:color w:val="000000"/>
        <w:spacing w:val="-2"/>
        <w:sz w:val="22"/>
      </w:rPr>
    </w:pPr>
  </w:p>
  <w:p w:rsidR="00412199" w:rsidRPr="0012591E" w:rsidRDefault="00412199">
    <w:pPr>
      <w:jc w:val="center"/>
      <w:rPr>
        <w:spacing w:val="-2"/>
      </w:rPr>
    </w:pPr>
  </w:p>
  <w:p w:rsidR="00412199" w:rsidRPr="0012591E" w:rsidRDefault="008356C9">
    <w:pPr>
      <w:jc w:val="center"/>
      <w:rPr>
        <w:b/>
        <w:spacing w:val="-2"/>
        <w:sz w:val="20"/>
      </w:rPr>
    </w:pPr>
    <w:r>
      <w:rPr>
        <w:b/>
        <w:spacing w:val="-2"/>
        <w:sz w:val="20"/>
      </w:rPr>
      <w:t>January 7, 2014</w:t>
    </w:r>
  </w:p>
  <w:p w:rsidR="00412199" w:rsidRPr="004C7BD7" w:rsidRDefault="00412199" w:rsidP="004C7BD7">
    <w:pPr>
      <w:jc w:val="right"/>
      <w:rPr>
        <w:b/>
        <w:bCs/>
        <w:sz w:val="20"/>
      </w:rPr>
    </w:pPr>
    <w:r w:rsidRPr="0012591E">
      <w:rPr>
        <w:sz w:val="20"/>
      </w:rPr>
      <w:tab/>
    </w:r>
    <w:r w:rsidRPr="0012591E">
      <w:rPr>
        <w:sz w:val="20"/>
      </w:rPr>
      <w:tab/>
    </w:r>
    <w:r w:rsidRPr="0012591E">
      <w:rPr>
        <w:sz w:val="20"/>
      </w:rPr>
      <w:tab/>
    </w:r>
    <w:r w:rsidRPr="0012591E">
      <w:rPr>
        <w:sz w:val="20"/>
      </w:rPr>
      <w:tab/>
    </w:r>
    <w:r w:rsidRPr="0012591E">
      <w:rPr>
        <w:sz w:val="20"/>
      </w:rPr>
      <w:tab/>
    </w:r>
    <w:r w:rsidRPr="0012591E">
      <w:rPr>
        <w:sz w:val="20"/>
      </w:rPr>
      <w:tab/>
    </w:r>
    <w:r w:rsidRPr="0012591E">
      <w:rPr>
        <w:sz w:val="20"/>
      </w:rPr>
      <w:tab/>
    </w:r>
    <w:r w:rsidRPr="0012591E">
      <w:rPr>
        <w:sz w:val="20"/>
      </w:rPr>
      <w:tab/>
    </w:r>
    <w:r w:rsidRPr="0012591E">
      <w:rPr>
        <w:sz w:val="20"/>
      </w:rPr>
      <w:tab/>
    </w:r>
    <w:r w:rsidRPr="004C7BD7">
      <w:rPr>
        <w:sz w:val="20"/>
      </w:rPr>
      <w:t xml:space="preserve">          </w:t>
    </w:r>
    <w:r w:rsidR="008356C9">
      <w:rPr>
        <w:b/>
        <w:bCs/>
        <w:sz w:val="20"/>
      </w:rPr>
      <w:t xml:space="preserve">DA </w:t>
    </w:r>
    <w:r w:rsidR="0094479F" w:rsidRPr="0094479F">
      <w:rPr>
        <w:b/>
        <w:bCs/>
        <w:sz w:val="20"/>
      </w:rPr>
      <w:t>14-13</w:t>
    </w:r>
  </w:p>
  <w:p w:rsidR="00412199" w:rsidRPr="004C7BD7" w:rsidRDefault="00412199" w:rsidP="004C7BD7">
    <w:pPr>
      <w:ind w:left="5760"/>
      <w:jc w:val="right"/>
      <w:rPr>
        <w:sz w:val="20"/>
      </w:rPr>
    </w:pPr>
    <w:r w:rsidRPr="004C7BD7">
      <w:rPr>
        <w:sz w:val="20"/>
      </w:rPr>
      <w:t xml:space="preserve">          In Reply Refer To: </w:t>
    </w:r>
  </w:p>
  <w:p w:rsidR="00412199" w:rsidRPr="004C7BD7" w:rsidRDefault="00412199" w:rsidP="004C7BD7">
    <w:pPr>
      <w:ind w:left="5040"/>
      <w:jc w:val="right"/>
      <w:rPr>
        <w:sz w:val="20"/>
      </w:rPr>
    </w:pPr>
    <w:r w:rsidRPr="004C7BD7">
      <w:rPr>
        <w:sz w:val="20"/>
      </w:rPr>
      <w:t xml:space="preserve">          1800B3-IB </w:t>
    </w:r>
  </w:p>
  <w:p w:rsidR="00412199" w:rsidRPr="004C7BD7" w:rsidRDefault="00412199" w:rsidP="004C7BD7">
    <w:pPr>
      <w:ind w:left="6480"/>
      <w:jc w:val="right"/>
      <w:rPr>
        <w:sz w:val="20"/>
      </w:rPr>
    </w:pPr>
    <w:r w:rsidRPr="004C7BD7">
      <w:rPr>
        <w:sz w:val="20"/>
      </w:rPr>
      <w:t xml:space="preserve">    </w:t>
    </w:r>
    <w:r w:rsidR="008356C9">
      <w:rPr>
        <w:sz w:val="20"/>
      </w:rPr>
      <w:t>Released: January 7, 2014</w:t>
    </w:r>
    <w:r w:rsidRPr="004C7BD7">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79F0"/>
    <w:multiLevelType w:val="hybridMultilevel"/>
    <w:tmpl w:val="055AB39A"/>
    <w:lvl w:ilvl="0" w:tplc="DB8E55F4">
      <w:start w:val="1"/>
      <w:numFmt w:val="decimal"/>
      <w:lvlText w:val="(%1)"/>
      <w:lvlJc w:val="left"/>
      <w:pPr>
        <w:tabs>
          <w:tab w:val="num" w:pos="1755"/>
        </w:tabs>
        <w:ind w:left="1755" w:hanging="103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86"/>
    <w:rsid w:val="00003100"/>
    <w:rsid w:val="0000430F"/>
    <w:rsid w:val="00005334"/>
    <w:rsid w:val="00005F44"/>
    <w:rsid w:val="00006216"/>
    <w:rsid w:val="00007923"/>
    <w:rsid w:val="00011DD3"/>
    <w:rsid w:val="000143C5"/>
    <w:rsid w:val="00014E09"/>
    <w:rsid w:val="0001701B"/>
    <w:rsid w:val="00020072"/>
    <w:rsid w:val="00021B3C"/>
    <w:rsid w:val="0002304B"/>
    <w:rsid w:val="00024A7E"/>
    <w:rsid w:val="00026377"/>
    <w:rsid w:val="000264A2"/>
    <w:rsid w:val="00030109"/>
    <w:rsid w:val="000305E1"/>
    <w:rsid w:val="0003101E"/>
    <w:rsid w:val="00031F49"/>
    <w:rsid w:val="000322CF"/>
    <w:rsid w:val="00032C6E"/>
    <w:rsid w:val="0003421F"/>
    <w:rsid w:val="0003548F"/>
    <w:rsid w:val="00035950"/>
    <w:rsid w:val="000359BE"/>
    <w:rsid w:val="00037022"/>
    <w:rsid w:val="00044E17"/>
    <w:rsid w:val="0004600C"/>
    <w:rsid w:val="000510F4"/>
    <w:rsid w:val="00051A34"/>
    <w:rsid w:val="00056028"/>
    <w:rsid w:val="000572FE"/>
    <w:rsid w:val="00057DAD"/>
    <w:rsid w:val="00060723"/>
    <w:rsid w:val="000627A9"/>
    <w:rsid w:val="00062F2B"/>
    <w:rsid w:val="000663E1"/>
    <w:rsid w:val="00066AC4"/>
    <w:rsid w:val="000678CE"/>
    <w:rsid w:val="00071B78"/>
    <w:rsid w:val="00071D6F"/>
    <w:rsid w:val="000770E0"/>
    <w:rsid w:val="00080041"/>
    <w:rsid w:val="00083962"/>
    <w:rsid w:val="00086D5B"/>
    <w:rsid w:val="0008732C"/>
    <w:rsid w:val="0009157E"/>
    <w:rsid w:val="00092445"/>
    <w:rsid w:val="0009300E"/>
    <w:rsid w:val="00093E76"/>
    <w:rsid w:val="00093FB5"/>
    <w:rsid w:val="0009491A"/>
    <w:rsid w:val="00094986"/>
    <w:rsid w:val="000A2FDE"/>
    <w:rsid w:val="000A48DA"/>
    <w:rsid w:val="000A62B7"/>
    <w:rsid w:val="000B0EFA"/>
    <w:rsid w:val="000B1025"/>
    <w:rsid w:val="000B2520"/>
    <w:rsid w:val="000B3436"/>
    <w:rsid w:val="000C2F25"/>
    <w:rsid w:val="000C4049"/>
    <w:rsid w:val="000C52EA"/>
    <w:rsid w:val="000C5500"/>
    <w:rsid w:val="000D28B5"/>
    <w:rsid w:val="000D28E0"/>
    <w:rsid w:val="000D3E42"/>
    <w:rsid w:val="000D4277"/>
    <w:rsid w:val="000E2760"/>
    <w:rsid w:val="000E416E"/>
    <w:rsid w:val="000E4EB7"/>
    <w:rsid w:val="000E5281"/>
    <w:rsid w:val="000E6134"/>
    <w:rsid w:val="000E772F"/>
    <w:rsid w:val="000F0553"/>
    <w:rsid w:val="000F0793"/>
    <w:rsid w:val="000F24D9"/>
    <w:rsid w:val="000F2979"/>
    <w:rsid w:val="000F2ABF"/>
    <w:rsid w:val="000F426C"/>
    <w:rsid w:val="000F69C1"/>
    <w:rsid w:val="001019A2"/>
    <w:rsid w:val="00102101"/>
    <w:rsid w:val="0010325C"/>
    <w:rsid w:val="00103509"/>
    <w:rsid w:val="00107102"/>
    <w:rsid w:val="00111E6D"/>
    <w:rsid w:val="001125F4"/>
    <w:rsid w:val="0011267E"/>
    <w:rsid w:val="00112F00"/>
    <w:rsid w:val="00114A77"/>
    <w:rsid w:val="001160DC"/>
    <w:rsid w:val="0012032A"/>
    <w:rsid w:val="001203BE"/>
    <w:rsid w:val="001227AF"/>
    <w:rsid w:val="001228BC"/>
    <w:rsid w:val="00124E2E"/>
    <w:rsid w:val="001255F9"/>
    <w:rsid w:val="0012591E"/>
    <w:rsid w:val="00126196"/>
    <w:rsid w:val="0012625D"/>
    <w:rsid w:val="00127AF8"/>
    <w:rsid w:val="00127B46"/>
    <w:rsid w:val="00130C1E"/>
    <w:rsid w:val="00132CF6"/>
    <w:rsid w:val="0013341E"/>
    <w:rsid w:val="0013447B"/>
    <w:rsid w:val="00134E83"/>
    <w:rsid w:val="00140069"/>
    <w:rsid w:val="0014183C"/>
    <w:rsid w:val="00142985"/>
    <w:rsid w:val="00145A15"/>
    <w:rsid w:val="00145B07"/>
    <w:rsid w:val="00145CF5"/>
    <w:rsid w:val="00147BFD"/>
    <w:rsid w:val="00147ED2"/>
    <w:rsid w:val="00150DF4"/>
    <w:rsid w:val="001520EC"/>
    <w:rsid w:val="0015713B"/>
    <w:rsid w:val="0016205D"/>
    <w:rsid w:val="001639C9"/>
    <w:rsid w:val="00171F06"/>
    <w:rsid w:val="001722CE"/>
    <w:rsid w:val="00173398"/>
    <w:rsid w:val="001819A0"/>
    <w:rsid w:val="0018247D"/>
    <w:rsid w:val="0018426D"/>
    <w:rsid w:val="0018525D"/>
    <w:rsid w:val="00185F46"/>
    <w:rsid w:val="00187549"/>
    <w:rsid w:val="001877DD"/>
    <w:rsid w:val="001878DC"/>
    <w:rsid w:val="00190927"/>
    <w:rsid w:val="00197862"/>
    <w:rsid w:val="001A24A6"/>
    <w:rsid w:val="001A31B0"/>
    <w:rsid w:val="001A5FF9"/>
    <w:rsid w:val="001A69D0"/>
    <w:rsid w:val="001B0CEA"/>
    <w:rsid w:val="001B22A9"/>
    <w:rsid w:val="001B2CD6"/>
    <w:rsid w:val="001B4174"/>
    <w:rsid w:val="001B5763"/>
    <w:rsid w:val="001B612D"/>
    <w:rsid w:val="001B751B"/>
    <w:rsid w:val="001C01C7"/>
    <w:rsid w:val="001C1D60"/>
    <w:rsid w:val="001C4A81"/>
    <w:rsid w:val="001C5A58"/>
    <w:rsid w:val="001C7CD3"/>
    <w:rsid w:val="001D4970"/>
    <w:rsid w:val="001D740A"/>
    <w:rsid w:val="001D797E"/>
    <w:rsid w:val="001D79B6"/>
    <w:rsid w:val="001D7D4A"/>
    <w:rsid w:val="001E0A91"/>
    <w:rsid w:val="001E53E9"/>
    <w:rsid w:val="001E716D"/>
    <w:rsid w:val="001E7FE7"/>
    <w:rsid w:val="001F3AE5"/>
    <w:rsid w:val="001F48BE"/>
    <w:rsid w:val="001F4C7E"/>
    <w:rsid w:val="001F5884"/>
    <w:rsid w:val="001F5A0C"/>
    <w:rsid w:val="001F63A1"/>
    <w:rsid w:val="001F6DF6"/>
    <w:rsid w:val="001F75C6"/>
    <w:rsid w:val="0020027C"/>
    <w:rsid w:val="00200304"/>
    <w:rsid w:val="0020088B"/>
    <w:rsid w:val="00200B42"/>
    <w:rsid w:val="00203802"/>
    <w:rsid w:val="0020479E"/>
    <w:rsid w:val="002057F2"/>
    <w:rsid w:val="00206F19"/>
    <w:rsid w:val="00207A95"/>
    <w:rsid w:val="00207B60"/>
    <w:rsid w:val="00214770"/>
    <w:rsid w:val="002148CC"/>
    <w:rsid w:val="002156C4"/>
    <w:rsid w:val="00215D6F"/>
    <w:rsid w:val="00215DB3"/>
    <w:rsid w:val="002201F1"/>
    <w:rsid w:val="00220F1D"/>
    <w:rsid w:val="00222A73"/>
    <w:rsid w:val="00223B5C"/>
    <w:rsid w:val="00224A35"/>
    <w:rsid w:val="00226102"/>
    <w:rsid w:val="0022779B"/>
    <w:rsid w:val="002278E6"/>
    <w:rsid w:val="00231358"/>
    <w:rsid w:val="00232700"/>
    <w:rsid w:val="00232BD7"/>
    <w:rsid w:val="00234AEE"/>
    <w:rsid w:val="00235B60"/>
    <w:rsid w:val="0023618A"/>
    <w:rsid w:val="002373E0"/>
    <w:rsid w:val="002404CD"/>
    <w:rsid w:val="00244164"/>
    <w:rsid w:val="00245AD5"/>
    <w:rsid w:val="002501AA"/>
    <w:rsid w:val="00250574"/>
    <w:rsid w:val="00250F91"/>
    <w:rsid w:val="002516DA"/>
    <w:rsid w:val="00252308"/>
    <w:rsid w:val="00253CA7"/>
    <w:rsid w:val="002552EB"/>
    <w:rsid w:val="002566E7"/>
    <w:rsid w:val="00264C2A"/>
    <w:rsid w:val="00264C87"/>
    <w:rsid w:val="0026590B"/>
    <w:rsid w:val="00266E65"/>
    <w:rsid w:val="00267738"/>
    <w:rsid w:val="00270FE9"/>
    <w:rsid w:val="0027136A"/>
    <w:rsid w:val="00272452"/>
    <w:rsid w:val="002740BF"/>
    <w:rsid w:val="00274455"/>
    <w:rsid w:val="00282DA9"/>
    <w:rsid w:val="002904B8"/>
    <w:rsid w:val="00291B88"/>
    <w:rsid w:val="0029250E"/>
    <w:rsid w:val="00293809"/>
    <w:rsid w:val="00294B5B"/>
    <w:rsid w:val="00294D52"/>
    <w:rsid w:val="002A07C7"/>
    <w:rsid w:val="002A315C"/>
    <w:rsid w:val="002A3AE1"/>
    <w:rsid w:val="002A401B"/>
    <w:rsid w:val="002A5EDD"/>
    <w:rsid w:val="002A6C44"/>
    <w:rsid w:val="002B180C"/>
    <w:rsid w:val="002B1F82"/>
    <w:rsid w:val="002B2682"/>
    <w:rsid w:val="002B491B"/>
    <w:rsid w:val="002B5184"/>
    <w:rsid w:val="002B6443"/>
    <w:rsid w:val="002C0717"/>
    <w:rsid w:val="002C1792"/>
    <w:rsid w:val="002C79A1"/>
    <w:rsid w:val="002C7A41"/>
    <w:rsid w:val="002D140A"/>
    <w:rsid w:val="002D26C7"/>
    <w:rsid w:val="002D3DA3"/>
    <w:rsid w:val="002D6282"/>
    <w:rsid w:val="002E0F2E"/>
    <w:rsid w:val="002E1B43"/>
    <w:rsid w:val="002E259A"/>
    <w:rsid w:val="002E529D"/>
    <w:rsid w:val="002E7843"/>
    <w:rsid w:val="002F06E1"/>
    <w:rsid w:val="002F3933"/>
    <w:rsid w:val="00301DBE"/>
    <w:rsid w:val="003036FC"/>
    <w:rsid w:val="00304A1A"/>
    <w:rsid w:val="00305051"/>
    <w:rsid w:val="003116C0"/>
    <w:rsid w:val="00312216"/>
    <w:rsid w:val="003127E8"/>
    <w:rsid w:val="003131C3"/>
    <w:rsid w:val="00320A31"/>
    <w:rsid w:val="00321900"/>
    <w:rsid w:val="0033095B"/>
    <w:rsid w:val="00330ABF"/>
    <w:rsid w:val="00335442"/>
    <w:rsid w:val="003364CA"/>
    <w:rsid w:val="00341858"/>
    <w:rsid w:val="003448AE"/>
    <w:rsid w:val="003463DE"/>
    <w:rsid w:val="00350410"/>
    <w:rsid w:val="00350FAC"/>
    <w:rsid w:val="003544E1"/>
    <w:rsid w:val="00354ABF"/>
    <w:rsid w:val="00355812"/>
    <w:rsid w:val="00355B91"/>
    <w:rsid w:val="00357BD8"/>
    <w:rsid w:val="00360154"/>
    <w:rsid w:val="00362ECB"/>
    <w:rsid w:val="00367984"/>
    <w:rsid w:val="00372B39"/>
    <w:rsid w:val="003740D9"/>
    <w:rsid w:val="0037474D"/>
    <w:rsid w:val="00375AFF"/>
    <w:rsid w:val="00375B75"/>
    <w:rsid w:val="00383A91"/>
    <w:rsid w:val="00383E35"/>
    <w:rsid w:val="00384742"/>
    <w:rsid w:val="00386148"/>
    <w:rsid w:val="0038783C"/>
    <w:rsid w:val="00393664"/>
    <w:rsid w:val="003950FD"/>
    <w:rsid w:val="003A1666"/>
    <w:rsid w:val="003A3F68"/>
    <w:rsid w:val="003A6DAB"/>
    <w:rsid w:val="003B241A"/>
    <w:rsid w:val="003B32E7"/>
    <w:rsid w:val="003B42A3"/>
    <w:rsid w:val="003C006B"/>
    <w:rsid w:val="003D14B0"/>
    <w:rsid w:val="003D2898"/>
    <w:rsid w:val="003D2F67"/>
    <w:rsid w:val="003D302F"/>
    <w:rsid w:val="003E183B"/>
    <w:rsid w:val="003E3268"/>
    <w:rsid w:val="003E342E"/>
    <w:rsid w:val="003F0D75"/>
    <w:rsid w:val="003F2728"/>
    <w:rsid w:val="003F4F73"/>
    <w:rsid w:val="003F51DD"/>
    <w:rsid w:val="003F532D"/>
    <w:rsid w:val="003F5DCA"/>
    <w:rsid w:val="00402787"/>
    <w:rsid w:val="00412199"/>
    <w:rsid w:val="00416C9D"/>
    <w:rsid w:val="004202F8"/>
    <w:rsid w:val="00421332"/>
    <w:rsid w:val="00422092"/>
    <w:rsid w:val="004228C0"/>
    <w:rsid w:val="004310E9"/>
    <w:rsid w:val="0043388F"/>
    <w:rsid w:val="0043528F"/>
    <w:rsid w:val="0043684E"/>
    <w:rsid w:val="00436D84"/>
    <w:rsid w:val="00436EC0"/>
    <w:rsid w:val="00437DCF"/>
    <w:rsid w:val="004453E3"/>
    <w:rsid w:val="0044754C"/>
    <w:rsid w:val="004501EC"/>
    <w:rsid w:val="00450594"/>
    <w:rsid w:val="004536FA"/>
    <w:rsid w:val="00454E6C"/>
    <w:rsid w:val="0045790A"/>
    <w:rsid w:val="004643F7"/>
    <w:rsid w:val="004645BA"/>
    <w:rsid w:val="0046704B"/>
    <w:rsid w:val="00470D1F"/>
    <w:rsid w:val="00471E00"/>
    <w:rsid w:val="004721BE"/>
    <w:rsid w:val="004723CF"/>
    <w:rsid w:val="004735EA"/>
    <w:rsid w:val="00473939"/>
    <w:rsid w:val="00473C16"/>
    <w:rsid w:val="00475913"/>
    <w:rsid w:val="00477814"/>
    <w:rsid w:val="00477994"/>
    <w:rsid w:val="00480C4C"/>
    <w:rsid w:val="00480EB7"/>
    <w:rsid w:val="00481B53"/>
    <w:rsid w:val="0048259A"/>
    <w:rsid w:val="00483D66"/>
    <w:rsid w:val="0049223F"/>
    <w:rsid w:val="00495478"/>
    <w:rsid w:val="004958C9"/>
    <w:rsid w:val="004959F2"/>
    <w:rsid w:val="004A14D6"/>
    <w:rsid w:val="004A1FD5"/>
    <w:rsid w:val="004A416B"/>
    <w:rsid w:val="004A4939"/>
    <w:rsid w:val="004A511B"/>
    <w:rsid w:val="004A7653"/>
    <w:rsid w:val="004B1BC2"/>
    <w:rsid w:val="004B48FB"/>
    <w:rsid w:val="004B6215"/>
    <w:rsid w:val="004C0748"/>
    <w:rsid w:val="004C1887"/>
    <w:rsid w:val="004C2F6D"/>
    <w:rsid w:val="004C3906"/>
    <w:rsid w:val="004C3AAA"/>
    <w:rsid w:val="004C5F7C"/>
    <w:rsid w:val="004C5FB9"/>
    <w:rsid w:val="004C7BD7"/>
    <w:rsid w:val="004D0E51"/>
    <w:rsid w:val="004D1555"/>
    <w:rsid w:val="004D368C"/>
    <w:rsid w:val="004D39CA"/>
    <w:rsid w:val="004D46CF"/>
    <w:rsid w:val="004D4B99"/>
    <w:rsid w:val="004D4C17"/>
    <w:rsid w:val="004D4D38"/>
    <w:rsid w:val="004E0A16"/>
    <w:rsid w:val="004E3C27"/>
    <w:rsid w:val="004E3C7D"/>
    <w:rsid w:val="004E6AE6"/>
    <w:rsid w:val="004F0DE3"/>
    <w:rsid w:val="004F1480"/>
    <w:rsid w:val="004F35C1"/>
    <w:rsid w:val="004F42C2"/>
    <w:rsid w:val="004F4A11"/>
    <w:rsid w:val="004F5B37"/>
    <w:rsid w:val="004F5E7B"/>
    <w:rsid w:val="0050029E"/>
    <w:rsid w:val="00504284"/>
    <w:rsid w:val="0050461B"/>
    <w:rsid w:val="00511280"/>
    <w:rsid w:val="00514015"/>
    <w:rsid w:val="00515D07"/>
    <w:rsid w:val="00523EED"/>
    <w:rsid w:val="005245D4"/>
    <w:rsid w:val="00524CCD"/>
    <w:rsid w:val="00530D5C"/>
    <w:rsid w:val="00532281"/>
    <w:rsid w:val="00536368"/>
    <w:rsid w:val="005367DE"/>
    <w:rsid w:val="00536E86"/>
    <w:rsid w:val="005442CD"/>
    <w:rsid w:val="00546181"/>
    <w:rsid w:val="0054736D"/>
    <w:rsid w:val="00551710"/>
    <w:rsid w:val="005534C0"/>
    <w:rsid w:val="00554545"/>
    <w:rsid w:val="0055471A"/>
    <w:rsid w:val="005554D5"/>
    <w:rsid w:val="00556516"/>
    <w:rsid w:val="00556E5A"/>
    <w:rsid w:val="00561978"/>
    <w:rsid w:val="00561DAB"/>
    <w:rsid w:val="005621BF"/>
    <w:rsid w:val="00562D62"/>
    <w:rsid w:val="005678EB"/>
    <w:rsid w:val="00567DC0"/>
    <w:rsid w:val="00570B14"/>
    <w:rsid w:val="00571267"/>
    <w:rsid w:val="00571E3E"/>
    <w:rsid w:val="00572E51"/>
    <w:rsid w:val="00574C6A"/>
    <w:rsid w:val="00576708"/>
    <w:rsid w:val="00580331"/>
    <w:rsid w:val="005822A6"/>
    <w:rsid w:val="00583913"/>
    <w:rsid w:val="00585097"/>
    <w:rsid w:val="0058637E"/>
    <w:rsid w:val="005865DD"/>
    <w:rsid w:val="00587562"/>
    <w:rsid w:val="00595EA6"/>
    <w:rsid w:val="0059708B"/>
    <w:rsid w:val="005A00A1"/>
    <w:rsid w:val="005A2828"/>
    <w:rsid w:val="005A6D4C"/>
    <w:rsid w:val="005B3363"/>
    <w:rsid w:val="005B4390"/>
    <w:rsid w:val="005B449D"/>
    <w:rsid w:val="005B4869"/>
    <w:rsid w:val="005B56BF"/>
    <w:rsid w:val="005C06D3"/>
    <w:rsid w:val="005C27F5"/>
    <w:rsid w:val="005C4D11"/>
    <w:rsid w:val="005C4E77"/>
    <w:rsid w:val="005C531B"/>
    <w:rsid w:val="005C634C"/>
    <w:rsid w:val="005D00E0"/>
    <w:rsid w:val="005D302D"/>
    <w:rsid w:val="005D63FF"/>
    <w:rsid w:val="005D7EAC"/>
    <w:rsid w:val="005E26C6"/>
    <w:rsid w:val="005E4D5C"/>
    <w:rsid w:val="005E53AA"/>
    <w:rsid w:val="005E56C2"/>
    <w:rsid w:val="005F333E"/>
    <w:rsid w:val="005F42F9"/>
    <w:rsid w:val="005F500A"/>
    <w:rsid w:val="0060007A"/>
    <w:rsid w:val="0060722C"/>
    <w:rsid w:val="006107E4"/>
    <w:rsid w:val="00610BC1"/>
    <w:rsid w:val="00612DCD"/>
    <w:rsid w:val="00616D15"/>
    <w:rsid w:val="00622F1D"/>
    <w:rsid w:val="00625726"/>
    <w:rsid w:val="0063446B"/>
    <w:rsid w:val="006346BE"/>
    <w:rsid w:val="00635C4E"/>
    <w:rsid w:val="00636E03"/>
    <w:rsid w:val="006371B5"/>
    <w:rsid w:val="00641083"/>
    <w:rsid w:val="006417A1"/>
    <w:rsid w:val="0064277F"/>
    <w:rsid w:val="006429AC"/>
    <w:rsid w:val="00643534"/>
    <w:rsid w:val="00643939"/>
    <w:rsid w:val="00644D27"/>
    <w:rsid w:val="006472B9"/>
    <w:rsid w:val="0065283E"/>
    <w:rsid w:val="00661CD6"/>
    <w:rsid w:val="00664CD0"/>
    <w:rsid w:val="006674C3"/>
    <w:rsid w:val="00667B17"/>
    <w:rsid w:val="00672589"/>
    <w:rsid w:val="00672C64"/>
    <w:rsid w:val="00676669"/>
    <w:rsid w:val="00680228"/>
    <w:rsid w:val="00682575"/>
    <w:rsid w:val="00683075"/>
    <w:rsid w:val="00686088"/>
    <w:rsid w:val="00690260"/>
    <w:rsid w:val="00690677"/>
    <w:rsid w:val="00693A11"/>
    <w:rsid w:val="006A49CC"/>
    <w:rsid w:val="006B2F57"/>
    <w:rsid w:val="006B630C"/>
    <w:rsid w:val="006C194D"/>
    <w:rsid w:val="006C3197"/>
    <w:rsid w:val="006D0141"/>
    <w:rsid w:val="006D11E9"/>
    <w:rsid w:val="006D5CD8"/>
    <w:rsid w:val="006D645C"/>
    <w:rsid w:val="006D6543"/>
    <w:rsid w:val="006E0CBD"/>
    <w:rsid w:val="006E5E57"/>
    <w:rsid w:val="006E755E"/>
    <w:rsid w:val="006F1A0C"/>
    <w:rsid w:val="006F26E3"/>
    <w:rsid w:val="006F3DDF"/>
    <w:rsid w:val="006F6581"/>
    <w:rsid w:val="007007D2"/>
    <w:rsid w:val="00701DE9"/>
    <w:rsid w:val="007069A4"/>
    <w:rsid w:val="00706F57"/>
    <w:rsid w:val="00710986"/>
    <w:rsid w:val="00713603"/>
    <w:rsid w:val="0071477F"/>
    <w:rsid w:val="007217FE"/>
    <w:rsid w:val="007221B9"/>
    <w:rsid w:val="007232C2"/>
    <w:rsid w:val="0072386A"/>
    <w:rsid w:val="007256FE"/>
    <w:rsid w:val="00725C76"/>
    <w:rsid w:val="00727379"/>
    <w:rsid w:val="00727430"/>
    <w:rsid w:val="007306B7"/>
    <w:rsid w:val="00730781"/>
    <w:rsid w:val="00732A61"/>
    <w:rsid w:val="007340CE"/>
    <w:rsid w:val="00735527"/>
    <w:rsid w:val="00746BB5"/>
    <w:rsid w:val="0075284D"/>
    <w:rsid w:val="00754B56"/>
    <w:rsid w:val="007564E4"/>
    <w:rsid w:val="00756864"/>
    <w:rsid w:val="00756A32"/>
    <w:rsid w:val="00756A63"/>
    <w:rsid w:val="007626C9"/>
    <w:rsid w:val="0076480A"/>
    <w:rsid w:val="007674AC"/>
    <w:rsid w:val="0077028E"/>
    <w:rsid w:val="0077341E"/>
    <w:rsid w:val="0077372C"/>
    <w:rsid w:val="00775AE1"/>
    <w:rsid w:val="00782A79"/>
    <w:rsid w:val="00783976"/>
    <w:rsid w:val="0078471C"/>
    <w:rsid w:val="00790B8F"/>
    <w:rsid w:val="00793C61"/>
    <w:rsid w:val="007955EF"/>
    <w:rsid w:val="00795D57"/>
    <w:rsid w:val="00797AEF"/>
    <w:rsid w:val="007A02A2"/>
    <w:rsid w:val="007A200C"/>
    <w:rsid w:val="007A33A7"/>
    <w:rsid w:val="007A7E8D"/>
    <w:rsid w:val="007B1F65"/>
    <w:rsid w:val="007B2772"/>
    <w:rsid w:val="007B2FDB"/>
    <w:rsid w:val="007B6A53"/>
    <w:rsid w:val="007B7F46"/>
    <w:rsid w:val="007C636A"/>
    <w:rsid w:val="007C6A17"/>
    <w:rsid w:val="007D2B93"/>
    <w:rsid w:val="007D36FE"/>
    <w:rsid w:val="007E4B94"/>
    <w:rsid w:val="007E66A7"/>
    <w:rsid w:val="007F2673"/>
    <w:rsid w:val="007F3553"/>
    <w:rsid w:val="007F79CB"/>
    <w:rsid w:val="0080130E"/>
    <w:rsid w:val="0080141A"/>
    <w:rsid w:val="00804C26"/>
    <w:rsid w:val="0081069B"/>
    <w:rsid w:val="00810BEE"/>
    <w:rsid w:val="00814969"/>
    <w:rsid w:val="00820AE6"/>
    <w:rsid w:val="008221F2"/>
    <w:rsid w:val="00824834"/>
    <w:rsid w:val="008318CF"/>
    <w:rsid w:val="008356C9"/>
    <w:rsid w:val="00836B79"/>
    <w:rsid w:val="00836BB9"/>
    <w:rsid w:val="00836F71"/>
    <w:rsid w:val="00837AEA"/>
    <w:rsid w:val="00840A6C"/>
    <w:rsid w:val="00840E1D"/>
    <w:rsid w:val="00844DEF"/>
    <w:rsid w:val="008451F2"/>
    <w:rsid w:val="00847598"/>
    <w:rsid w:val="0084768B"/>
    <w:rsid w:val="00847C9F"/>
    <w:rsid w:val="00847D74"/>
    <w:rsid w:val="00850D41"/>
    <w:rsid w:val="00850FB8"/>
    <w:rsid w:val="008541EB"/>
    <w:rsid w:val="00856653"/>
    <w:rsid w:val="00856DEC"/>
    <w:rsid w:val="00857715"/>
    <w:rsid w:val="008613CC"/>
    <w:rsid w:val="008625A7"/>
    <w:rsid w:val="008657E7"/>
    <w:rsid w:val="00865A01"/>
    <w:rsid w:val="00875D39"/>
    <w:rsid w:val="0088682E"/>
    <w:rsid w:val="00886C05"/>
    <w:rsid w:val="008910B6"/>
    <w:rsid w:val="0089115C"/>
    <w:rsid w:val="00894098"/>
    <w:rsid w:val="008945D4"/>
    <w:rsid w:val="008954BE"/>
    <w:rsid w:val="00896076"/>
    <w:rsid w:val="00896F1F"/>
    <w:rsid w:val="008A143C"/>
    <w:rsid w:val="008A1D1F"/>
    <w:rsid w:val="008A54A9"/>
    <w:rsid w:val="008B0902"/>
    <w:rsid w:val="008B09B1"/>
    <w:rsid w:val="008B206B"/>
    <w:rsid w:val="008B3C0C"/>
    <w:rsid w:val="008B402F"/>
    <w:rsid w:val="008B4882"/>
    <w:rsid w:val="008B51E1"/>
    <w:rsid w:val="008B762E"/>
    <w:rsid w:val="008C1069"/>
    <w:rsid w:val="008C3590"/>
    <w:rsid w:val="008C45CF"/>
    <w:rsid w:val="008C4F5B"/>
    <w:rsid w:val="008C5339"/>
    <w:rsid w:val="008C533F"/>
    <w:rsid w:val="008D0855"/>
    <w:rsid w:val="008D2CE1"/>
    <w:rsid w:val="008D36FC"/>
    <w:rsid w:val="008D44DB"/>
    <w:rsid w:val="008D49D2"/>
    <w:rsid w:val="008E2255"/>
    <w:rsid w:val="008E22D1"/>
    <w:rsid w:val="008E3DCD"/>
    <w:rsid w:val="008E5364"/>
    <w:rsid w:val="008E64BC"/>
    <w:rsid w:val="008E66BB"/>
    <w:rsid w:val="008F2339"/>
    <w:rsid w:val="008F2F59"/>
    <w:rsid w:val="008F4B73"/>
    <w:rsid w:val="008F5823"/>
    <w:rsid w:val="008F75AA"/>
    <w:rsid w:val="00900AC4"/>
    <w:rsid w:val="00901EE2"/>
    <w:rsid w:val="00904591"/>
    <w:rsid w:val="009117C2"/>
    <w:rsid w:val="009119C3"/>
    <w:rsid w:val="009125B6"/>
    <w:rsid w:val="00912A27"/>
    <w:rsid w:val="00912C5C"/>
    <w:rsid w:val="00912E2F"/>
    <w:rsid w:val="00914ADB"/>
    <w:rsid w:val="00917F78"/>
    <w:rsid w:val="00920CE4"/>
    <w:rsid w:val="00920F75"/>
    <w:rsid w:val="00925388"/>
    <w:rsid w:val="009254EF"/>
    <w:rsid w:val="00926548"/>
    <w:rsid w:val="00930B88"/>
    <w:rsid w:val="00931248"/>
    <w:rsid w:val="00934AF7"/>
    <w:rsid w:val="00934D62"/>
    <w:rsid w:val="00934E68"/>
    <w:rsid w:val="0094479F"/>
    <w:rsid w:val="00945FF5"/>
    <w:rsid w:val="009462C7"/>
    <w:rsid w:val="00946AF2"/>
    <w:rsid w:val="00950A34"/>
    <w:rsid w:val="00953B87"/>
    <w:rsid w:val="00956596"/>
    <w:rsid w:val="00957601"/>
    <w:rsid w:val="00963899"/>
    <w:rsid w:val="009639DF"/>
    <w:rsid w:val="009642CB"/>
    <w:rsid w:val="00967B90"/>
    <w:rsid w:val="00971F29"/>
    <w:rsid w:val="00972ACA"/>
    <w:rsid w:val="00973F0A"/>
    <w:rsid w:val="009756A7"/>
    <w:rsid w:val="00980CB9"/>
    <w:rsid w:val="0098189B"/>
    <w:rsid w:val="00981DB7"/>
    <w:rsid w:val="00982795"/>
    <w:rsid w:val="00985C27"/>
    <w:rsid w:val="0098736F"/>
    <w:rsid w:val="00991206"/>
    <w:rsid w:val="00991961"/>
    <w:rsid w:val="00992AB7"/>
    <w:rsid w:val="00994A42"/>
    <w:rsid w:val="00996685"/>
    <w:rsid w:val="00997E61"/>
    <w:rsid w:val="009A3CA8"/>
    <w:rsid w:val="009A4138"/>
    <w:rsid w:val="009A4448"/>
    <w:rsid w:val="009A62B5"/>
    <w:rsid w:val="009B0A70"/>
    <w:rsid w:val="009B2702"/>
    <w:rsid w:val="009B3E7E"/>
    <w:rsid w:val="009B4A9E"/>
    <w:rsid w:val="009B58F9"/>
    <w:rsid w:val="009B7192"/>
    <w:rsid w:val="009B7BD6"/>
    <w:rsid w:val="009B7D0F"/>
    <w:rsid w:val="009C36EE"/>
    <w:rsid w:val="009C56C2"/>
    <w:rsid w:val="009C7A5B"/>
    <w:rsid w:val="009D22B0"/>
    <w:rsid w:val="009D3505"/>
    <w:rsid w:val="009D3EB0"/>
    <w:rsid w:val="009D456B"/>
    <w:rsid w:val="009D4B44"/>
    <w:rsid w:val="009D533C"/>
    <w:rsid w:val="009D5D6D"/>
    <w:rsid w:val="009D5FA4"/>
    <w:rsid w:val="009D66E0"/>
    <w:rsid w:val="009E0627"/>
    <w:rsid w:val="009E1B11"/>
    <w:rsid w:val="009E4537"/>
    <w:rsid w:val="009E630E"/>
    <w:rsid w:val="009E6AC9"/>
    <w:rsid w:val="009F256E"/>
    <w:rsid w:val="009F3786"/>
    <w:rsid w:val="009F436D"/>
    <w:rsid w:val="00A00B08"/>
    <w:rsid w:val="00A0160D"/>
    <w:rsid w:val="00A06C5E"/>
    <w:rsid w:val="00A11673"/>
    <w:rsid w:val="00A148B7"/>
    <w:rsid w:val="00A246AE"/>
    <w:rsid w:val="00A2549C"/>
    <w:rsid w:val="00A262ED"/>
    <w:rsid w:val="00A27561"/>
    <w:rsid w:val="00A32D5A"/>
    <w:rsid w:val="00A34893"/>
    <w:rsid w:val="00A34EE8"/>
    <w:rsid w:val="00A352EA"/>
    <w:rsid w:val="00A3685A"/>
    <w:rsid w:val="00A36C2C"/>
    <w:rsid w:val="00A40B8D"/>
    <w:rsid w:val="00A42085"/>
    <w:rsid w:val="00A44EE0"/>
    <w:rsid w:val="00A45904"/>
    <w:rsid w:val="00A473E7"/>
    <w:rsid w:val="00A52814"/>
    <w:rsid w:val="00A55204"/>
    <w:rsid w:val="00A55453"/>
    <w:rsid w:val="00A56B83"/>
    <w:rsid w:val="00A574ED"/>
    <w:rsid w:val="00A57CA0"/>
    <w:rsid w:val="00A602D1"/>
    <w:rsid w:val="00A6177D"/>
    <w:rsid w:val="00A650B7"/>
    <w:rsid w:val="00A714CD"/>
    <w:rsid w:val="00A74C4B"/>
    <w:rsid w:val="00A765C7"/>
    <w:rsid w:val="00A7731E"/>
    <w:rsid w:val="00A778A0"/>
    <w:rsid w:val="00A77927"/>
    <w:rsid w:val="00A83155"/>
    <w:rsid w:val="00A8391A"/>
    <w:rsid w:val="00A84B2F"/>
    <w:rsid w:val="00A84F56"/>
    <w:rsid w:val="00A856CA"/>
    <w:rsid w:val="00A903F3"/>
    <w:rsid w:val="00A91810"/>
    <w:rsid w:val="00A91F6A"/>
    <w:rsid w:val="00A92DF4"/>
    <w:rsid w:val="00A9306C"/>
    <w:rsid w:val="00A93E07"/>
    <w:rsid w:val="00A94649"/>
    <w:rsid w:val="00A9681F"/>
    <w:rsid w:val="00A97EF4"/>
    <w:rsid w:val="00AA048A"/>
    <w:rsid w:val="00AA62E4"/>
    <w:rsid w:val="00AB1C6E"/>
    <w:rsid w:val="00AB2CD0"/>
    <w:rsid w:val="00AB3708"/>
    <w:rsid w:val="00AB4B27"/>
    <w:rsid w:val="00AC0125"/>
    <w:rsid w:val="00AC2406"/>
    <w:rsid w:val="00AC6DA7"/>
    <w:rsid w:val="00AC7128"/>
    <w:rsid w:val="00AC72DC"/>
    <w:rsid w:val="00AD2CC8"/>
    <w:rsid w:val="00AD4B0B"/>
    <w:rsid w:val="00AD53C4"/>
    <w:rsid w:val="00AD5633"/>
    <w:rsid w:val="00AD5859"/>
    <w:rsid w:val="00AD722A"/>
    <w:rsid w:val="00AD7511"/>
    <w:rsid w:val="00AE4ECD"/>
    <w:rsid w:val="00AE67B7"/>
    <w:rsid w:val="00AE77B6"/>
    <w:rsid w:val="00AF26BF"/>
    <w:rsid w:val="00AF4D03"/>
    <w:rsid w:val="00AF6CE1"/>
    <w:rsid w:val="00AF7412"/>
    <w:rsid w:val="00B03499"/>
    <w:rsid w:val="00B04CDB"/>
    <w:rsid w:val="00B066EC"/>
    <w:rsid w:val="00B06A97"/>
    <w:rsid w:val="00B0775E"/>
    <w:rsid w:val="00B12C0C"/>
    <w:rsid w:val="00B158ED"/>
    <w:rsid w:val="00B25599"/>
    <w:rsid w:val="00B25BFD"/>
    <w:rsid w:val="00B2686D"/>
    <w:rsid w:val="00B26D06"/>
    <w:rsid w:val="00B275B0"/>
    <w:rsid w:val="00B316CA"/>
    <w:rsid w:val="00B32315"/>
    <w:rsid w:val="00B33479"/>
    <w:rsid w:val="00B34E15"/>
    <w:rsid w:val="00B36018"/>
    <w:rsid w:val="00B364EA"/>
    <w:rsid w:val="00B40D53"/>
    <w:rsid w:val="00B4166E"/>
    <w:rsid w:val="00B42DAD"/>
    <w:rsid w:val="00B43473"/>
    <w:rsid w:val="00B438E9"/>
    <w:rsid w:val="00B43CAF"/>
    <w:rsid w:val="00B44ACC"/>
    <w:rsid w:val="00B4613F"/>
    <w:rsid w:val="00B468B3"/>
    <w:rsid w:val="00B47F4E"/>
    <w:rsid w:val="00B52B18"/>
    <w:rsid w:val="00B53F1C"/>
    <w:rsid w:val="00B64B71"/>
    <w:rsid w:val="00B656A4"/>
    <w:rsid w:val="00B65A63"/>
    <w:rsid w:val="00B66954"/>
    <w:rsid w:val="00B70E0D"/>
    <w:rsid w:val="00B7111E"/>
    <w:rsid w:val="00B711C4"/>
    <w:rsid w:val="00B718CA"/>
    <w:rsid w:val="00B7412A"/>
    <w:rsid w:val="00B75D42"/>
    <w:rsid w:val="00B762D0"/>
    <w:rsid w:val="00B8278F"/>
    <w:rsid w:val="00B84915"/>
    <w:rsid w:val="00B91553"/>
    <w:rsid w:val="00B933DB"/>
    <w:rsid w:val="00B93C6C"/>
    <w:rsid w:val="00B95493"/>
    <w:rsid w:val="00B96A68"/>
    <w:rsid w:val="00B9748E"/>
    <w:rsid w:val="00BA493F"/>
    <w:rsid w:val="00BA7859"/>
    <w:rsid w:val="00BB29F9"/>
    <w:rsid w:val="00BB2FDF"/>
    <w:rsid w:val="00BB4B23"/>
    <w:rsid w:val="00BB7007"/>
    <w:rsid w:val="00BC4409"/>
    <w:rsid w:val="00BC466E"/>
    <w:rsid w:val="00BC5B7F"/>
    <w:rsid w:val="00BD1901"/>
    <w:rsid w:val="00BD2166"/>
    <w:rsid w:val="00BD5AF1"/>
    <w:rsid w:val="00BE042F"/>
    <w:rsid w:val="00BE07DB"/>
    <w:rsid w:val="00BE6CDE"/>
    <w:rsid w:val="00BF07E6"/>
    <w:rsid w:val="00BF1F33"/>
    <w:rsid w:val="00BF2814"/>
    <w:rsid w:val="00BF2F74"/>
    <w:rsid w:val="00BF3B52"/>
    <w:rsid w:val="00C00EC6"/>
    <w:rsid w:val="00C03A6E"/>
    <w:rsid w:val="00C0606F"/>
    <w:rsid w:val="00C06192"/>
    <w:rsid w:val="00C11DCE"/>
    <w:rsid w:val="00C16087"/>
    <w:rsid w:val="00C21C32"/>
    <w:rsid w:val="00C22255"/>
    <w:rsid w:val="00C241A2"/>
    <w:rsid w:val="00C24AF8"/>
    <w:rsid w:val="00C26CF9"/>
    <w:rsid w:val="00C27CFC"/>
    <w:rsid w:val="00C30E48"/>
    <w:rsid w:val="00C31536"/>
    <w:rsid w:val="00C3220F"/>
    <w:rsid w:val="00C33129"/>
    <w:rsid w:val="00C34B98"/>
    <w:rsid w:val="00C358DC"/>
    <w:rsid w:val="00C3683A"/>
    <w:rsid w:val="00C418CC"/>
    <w:rsid w:val="00C4257E"/>
    <w:rsid w:val="00C4312F"/>
    <w:rsid w:val="00C43AC8"/>
    <w:rsid w:val="00C4432C"/>
    <w:rsid w:val="00C474D8"/>
    <w:rsid w:val="00C64471"/>
    <w:rsid w:val="00C660D6"/>
    <w:rsid w:val="00C667AB"/>
    <w:rsid w:val="00C67AA3"/>
    <w:rsid w:val="00C70A84"/>
    <w:rsid w:val="00C722E9"/>
    <w:rsid w:val="00C80AFC"/>
    <w:rsid w:val="00C80F84"/>
    <w:rsid w:val="00C816F4"/>
    <w:rsid w:val="00C81B86"/>
    <w:rsid w:val="00C81CA2"/>
    <w:rsid w:val="00C8326B"/>
    <w:rsid w:val="00C85A48"/>
    <w:rsid w:val="00C87310"/>
    <w:rsid w:val="00C91A62"/>
    <w:rsid w:val="00C9335A"/>
    <w:rsid w:val="00C94062"/>
    <w:rsid w:val="00C94408"/>
    <w:rsid w:val="00C97A42"/>
    <w:rsid w:val="00CA2820"/>
    <w:rsid w:val="00CA2F2C"/>
    <w:rsid w:val="00CA39A7"/>
    <w:rsid w:val="00CA4AB7"/>
    <w:rsid w:val="00CA64CA"/>
    <w:rsid w:val="00CA65E1"/>
    <w:rsid w:val="00CB04A9"/>
    <w:rsid w:val="00CB5BFB"/>
    <w:rsid w:val="00CB62C8"/>
    <w:rsid w:val="00CC3AB2"/>
    <w:rsid w:val="00CC3DAF"/>
    <w:rsid w:val="00CC4CE7"/>
    <w:rsid w:val="00CC6CE5"/>
    <w:rsid w:val="00CD0B78"/>
    <w:rsid w:val="00CD0BE2"/>
    <w:rsid w:val="00CD61EA"/>
    <w:rsid w:val="00CE14FC"/>
    <w:rsid w:val="00CE2321"/>
    <w:rsid w:val="00CE610D"/>
    <w:rsid w:val="00CE65AC"/>
    <w:rsid w:val="00CE70B4"/>
    <w:rsid w:val="00CF1E88"/>
    <w:rsid w:val="00CF2240"/>
    <w:rsid w:val="00CF2AD4"/>
    <w:rsid w:val="00CF3B1A"/>
    <w:rsid w:val="00CF4A24"/>
    <w:rsid w:val="00CF6630"/>
    <w:rsid w:val="00CF713C"/>
    <w:rsid w:val="00D01238"/>
    <w:rsid w:val="00D01F81"/>
    <w:rsid w:val="00D04002"/>
    <w:rsid w:val="00D0474F"/>
    <w:rsid w:val="00D056A9"/>
    <w:rsid w:val="00D058D4"/>
    <w:rsid w:val="00D06A3B"/>
    <w:rsid w:val="00D11A7F"/>
    <w:rsid w:val="00D11D2D"/>
    <w:rsid w:val="00D160EA"/>
    <w:rsid w:val="00D1677C"/>
    <w:rsid w:val="00D1714D"/>
    <w:rsid w:val="00D17C6D"/>
    <w:rsid w:val="00D17CE4"/>
    <w:rsid w:val="00D20BB7"/>
    <w:rsid w:val="00D21527"/>
    <w:rsid w:val="00D2155E"/>
    <w:rsid w:val="00D23CA7"/>
    <w:rsid w:val="00D24F04"/>
    <w:rsid w:val="00D305E0"/>
    <w:rsid w:val="00D319D6"/>
    <w:rsid w:val="00D3378B"/>
    <w:rsid w:val="00D36F3D"/>
    <w:rsid w:val="00D41493"/>
    <w:rsid w:val="00D44041"/>
    <w:rsid w:val="00D4561C"/>
    <w:rsid w:val="00D506B7"/>
    <w:rsid w:val="00D51203"/>
    <w:rsid w:val="00D54E86"/>
    <w:rsid w:val="00D554DB"/>
    <w:rsid w:val="00D56B52"/>
    <w:rsid w:val="00D56DFB"/>
    <w:rsid w:val="00D62367"/>
    <w:rsid w:val="00D652AE"/>
    <w:rsid w:val="00D702BD"/>
    <w:rsid w:val="00D714C3"/>
    <w:rsid w:val="00D71783"/>
    <w:rsid w:val="00D737E4"/>
    <w:rsid w:val="00D7521C"/>
    <w:rsid w:val="00D75C27"/>
    <w:rsid w:val="00D768DA"/>
    <w:rsid w:val="00D76B4A"/>
    <w:rsid w:val="00D8419E"/>
    <w:rsid w:val="00D87C45"/>
    <w:rsid w:val="00D917FD"/>
    <w:rsid w:val="00D9232A"/>
    <w:rsid w:val="00D93220"/>
    <w:rsid w:val="00D95CF0"/>
    <w:rsid w:val="00D962A3"/>
    <w:rsid w:val="00DA05D3"/>
    <w:rsid w:val="00DA2A6D"/>
    <w:rsid w:val="00DA4287"/>
    <w:rsid w:val="00DA6F0A"/>
    <w:rsid w:val="00DA7217"/>
    <w:rsid w:val="00DA7555"/>
    <w:rsid w:val="00DB2B73"/>
    <w:rsid w:val="00DB3252"/>
    <w:rsid w:val="00DB61D2"/>
    <w:rsid w:val="00DC083A"/>
    <w:rsid w:val="00DC0DDA"/>
    <w:rsid w:val="00DC42DD"/>
    <w:rsid w:val="00DC450A"/>
    <w:rsid w:val="00DC4BC2"/>
    <w:rsid w:val="00DC5467"/>
    <w:rsid w:val="00DC7CAA"/>
    <w:rsid w:val="00DD035C"/>
    <w:rsid w:val="00DD1C2B"/>
    <w:rsid w:val="00DD5305"/>
    <w:rsid w:val="00DE0268"/>
    <w:rsid w:val="00DE2F4F"/>
    <w:rsid w:val="00DE3523"/>
    <w:rsid w:val="00DF25D1"/>
    <w:rsid w:val="00DF5464"/>
    <w:rsid w:val="00DF70A9"/>
    <w:rsid w:val="00E01668"/>
    <w:rsid w:val="00E03531"/>
    <w:rsid w:val="00E04460"/>
    <w:rsid w:val="00E1143D"/>
    <w:rsid w:val="00E115D8"/>
    <w:rsid w:val="00E15752"/>
    <w:rsid w:val="00E219BF"/>
    <w:rsid w:val="00E21E09"/>
    <w:rsid w:val="00E23F27"/>
    <w:rsid w:val="00E267F2"/>
    <w:rsid w:val="00E3245A"/>
    <w:rsid w:val="00E33BA0"/>
    <w:rsid w:val="00E33D13"/>
    <w:rsid w:val="00E33EE9"/>
    <w:rsid w:val="00E34D61"/>
    <w:rsid w:val="00E376FF"/>
    <w:rsid w:val="00E400DE"/>
    <w:rsid w:val="00E400E7"/>
    <w:rsid w:val="00E40D97"/>
    <w:rsid w:val="00E43E22"/>
    <w:rsid w:val="00E44330"/>
    <w:rsid w:val="00E46427"/>
    <w:rsid w:val="00E465FA"/>
    <w:rsid w:val="00E53876"/>
    <w:rsid w:val="00E53C34"/>
    <w:rsid w:val="00E55BC9"/>
    <w:rsid w:val="00E57DDD"/>
    <w:rsid w:val="00E61ECA"/>
    <w:rsid w:val="00E645BF"/>
    <w:rsid w:val="00E66394"/>
    <w:rsid w:val="00E6782E"/>
    <w:rsid w:val="00E704F2"/>
    <w:rsid w:val="00E7082A"/>
    <w:rsid w:val="00E71C77"/>
    <w:rsid w:val="00E7218B"/>
    <w:rsid w:val="00E72321"/>
    <w:rsid w:val="00E77977"/>
    <w:rsid w:val="00E80999"/>
    <w:rsid w:val="00E83225"/>
    <w:rsid w:val="00E8475A"/>
    <w:rsid w:val="00E850AB"/>
    <w:rsid w:val="00E85116"/>
    <w:rsid w:val="00E8583F"/>
    <w:rsid w:val="00E87918"/>
    <w:rsid w:val="00E928BD"/>
    <w:rsid w:val="00EA1216"/>
    <w:rsid w:val="00EB0097"/>
    <w:rsid w:val="00EB0419"/>
    <w:rsid w:val="00EB393A"/>
    <w:rsid w:val="00EB435A"/>
    <w:rsid w:val="00EB66CD"/>
    <w:rsid w:val="00EC1CA7"/>
    <w:rsid w:val="00EC4CCB"/>
    <w:rsid w:val="00EC5931"/>
    <w:rsid w:val="00ED003E"/>
    <w:rsid w:val="00ED1077"/>
    <w:rsid w:val="00ED22DF"/>
    <w:rsid w:val="00ED49ED"/>
    <w:rsid w:val="00ED5472"/>
    <w:rsid w:val="00ED5ACF"/>
    <w:rsid w:val="00ED5CDC"/>
    <w:rsid w:val="00ED759E"/>
    <w:rsid w:val="00ED79CA"/>
    <w:rsid w:val="00EE1528"/>
    <w:rsid w:val="00EE40DE"/>
    <w:rsid w:val="00EE4489"/>
    <w:rsid w:val="00EE5310"/>
    <w:rsid w:val="00EE5DD8"/>
    <w:rsid w:val="00EE74E2"/>
    <w:rsid w:val="00EE7E5A"/>
    <w:rsid w:val="00EF28BC"/>
    <w:rsid w:val="00F01A6B"/>
    <w:rsid w:val="00F02D10"/>
    <w:rsid w:val="00F034CC"/>
    <w:rsid w:val="00F05A76"/>
    <w:rsid w:val="00F05E01"/>
    <w:rsid w:val="00F0749E"/>
    <w:rsid w:val="00F07F72"/>
    <w:rsid w:val="00F10454"/>
    <w:rsid w:val="00F1054C"/>
    <w:rsid w:val="00F11688"/>
    <w:rsid w:val="00F1254E"/>
    <w:rsid w:val="00F1311B"/>
    <w:rsid w:val="00F131D1"/>
    <w:rsid w:val="00F14606"/>
    <w:rsid w:val="00F17FA9"/>
    <w:rsid w:val="00F21510"/>
    <w:rsid w:val="00F234ED"/>
    <w:rsid w:val="00F243F0"/>
    <w:rsid w:val="00F27CCA"/>
    <w:rsid w:val="00F3440A"/>
    <w:rsid w:val="00F37B40"/>
    <w:rsid w:val="00F41B3E"/>
    <w:rsid w:val="00F42CDE"/>
    <w:rsid w:val="00F44BA9"/>
    <w:rsid w:val="00F454FD"/>
    <w:rsid w:val="00F46D79"/>
    <w:rsid w:val="00F46EEE"/>
    <w:rsid w:val="00F505EC"/>
    <w:rsid w:val="00F50CB8"/>
    <w:rsid w:val="00F544BA"/>
    <w:rsid w:val="00F546EB"/>
    <w:rsid w:val="00F557F9"/>
    <w:rsid w:val="00F60420"/>
    <w:rsid w:val="00F604C4"/>
    <w:rsid w:val="00F60C2F"/>
    <w:rsid w:val="00F614FE"/>
    <w:rsid w:val="00F65C47"/>
    <w:rsid w:val="00F73A00"/>
    <w:rsid w:val="00F7566D"/>
    <w:rsid w:val="00F77547"/>
    <w:rsid w:val="00F81832"/>
    <w:rsid w:val="00F84DE0"/>
    <w:rsid w:val="00F85768"/>
    <w:rsid w:val="00F91247"/>
    <w:rsid w:val="00F92CB7"/>
    <w:rsid w:val="00F9312D"/>
    <w:rsid w:val="00F9502F"/>
    <w:rsid w:val="00FA0D89"/>
    <w:rsid w:val="00FA2EF9"/>
    <w:rsid w:val="00FA3426"/>
    <w:rsid w:val="00FA3F92"/>
    <w:rsid w:val="00FA412B"/>
    <w:rsid w:val="00FA600E"/>
    <w:rsid w:val="00FA68E7"/>
    <w:rsid w:val="00FB01D6"/>
    <w:rsid w:val="00FB105C"/>
    <w:rsid w:val="00FB133A"/>
    <w:rsid w:val="00FB1765"/>
    <w:rsid w:val="00FB3E5E"/>
    <w:rsid w:val="00FB4170"/>
    <w:rsid w:val="00FC2601"/>
    <w:rsid w:val="00FC4D0B"/>
    <w:rsid w:val="00FC6395"/>
    <w:rsid w:val="00FC75F8"/>
    <w:rsid w:val="00FD029E"/>
    <w:rsid w:val="00FD0339"/>
    <w:rsid w:val="00FD593B"/>
    <w:rsid w:val="00FD5DAF"/>
    <w:rsid w:val="00FE0178"/>
    <w:rsid w:val="00FE1CCC"/>
    <w:rsid w:val="00FE482C"/>
    <w:rsid w:val="00FE486B"/>
    <w:rsid w:val="00FE724D"/>
    <w:rsid w:val="00FF0F65"/>
    <w:rsid w:val="00FF3208"/>
    <w:rsid w:val="00FF391C"/>
    <w:rsid w:val="00FF4CA1"/>
    <w:rsid w:val="00FF52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786"/>
    <w:pPr>
      <w:widowControl w:val="0"/>
    </w:pPr>
    <w:rPr>
      <w:snapToGrid w:val="0"/>
      <w:sz w:val="24"/>
    </w:rPr>
  </w:style>
  <w:style w:type="paragraph" w:styleId="Heading2">
    <w:name w:val="heading 2"/>
    <w:basedOn w:val="Normal"/>
    <w:next w:val="Normal"/>
    <w:qFormat/>
    <w:rsid w:val="009F3786"/>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C80F84"/>
    <w:rPr>
      <w:rFonts w:ascii="Tahoma" w:hAnsi="Tahoma" w:cs="Tahoma"/>
      <w:sz w:val="16"/>
      <w:szCs w:val="16"/>
    </w:rPr>
  </w:style>
  <w:style w:type="character" w:customStyle="1" w:styleId="BalloonTextChar">
    <w:name w:val="Balloon Text Char"/>
    <w:basedOn w:val="DefaultParagraphFont"/>
    <w:uiPriority w:val="99"/>
    <w:semiHidden/>
    <w:rsid w:val="00BB386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B386E"/>
    <w:rPr>
      <w:rFonts w:ascii="Lucida Grande" w:hAnsi="Lucida Grande"/>
      <w:sz w:val="18"/>
      <w:szCs w:val="18"/>
    </w:r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1,Footnote Text Char2,fn Cha"/>
    <w:basedOn w:val="Normal"/>
    <w:link w:val="FootnoteTextChar3"/>
    <w:semiHidden/>
    <w:rsid w:val="009F3786"/>
    <w:pPr>
      <w:widowControl/>
      <w:spacing w:after="120"/>
    </w:pPr>
    <w:rPr>
      <w:sz w:val="20"/>
    </w:rPr>
  </w:style>
  <w:style w:type="character" w:styleId="FootnoteReference">
    <w:name w:val="footnote reference"/>
    <w:aliases w:val="Style 12,(NECG) Footnote Reference,Appel note de bas de p,Style 124,o,fr,Style 3"/>
    <w:semiHidden/>
    <w:rsid w:val="009F3786"/>
    <w:rPr>
      <w:rFonts w:ascii="CG Times" w:hAnsi="CG Times"/>
      <w:sz w:val="20"/>
      <w:vertAlign w:val="superscript"/>
    </w:rPr>
  </w:style>
  <w:style w:type="paragraph" w:styleId="Footer">
    <w:name w:val="footer"/>
    <w:basedOn w:val="Normal"/>
    <w:link w:val="FooterChar"/>
    <w:rsid w:val="009F3786"/>
    <w:pPr>
      <w:tabs>
        <w:tab w:val="center" w:pos="4320"/>
        <w:tab w:val="right" w:pos="8640"/>
      </w:tabs>
    </w:pPr>
  </w:style>
  <w:style w:type="character" w:styleId="PageNumber">
    <w:name w:val="page number"/>
    <w:basedOn w:val="DefaultParagraphFont"/>
    <w:rsid w:val="009F3786"/>
  </w:style>
  <w:style w:type="paragraph" w:styleId="BodyText">
    <w:name w:val="Body Text"/>
    <w:basedOn w:val="Normal"/>
    <w:rsid w:val="009F3786"/>
    <w:pPr>
      <w:widowControl/>
      <w:jc w:val="both"/>
    </w:pPr>
    <w:rPr>
      <w:snapToGrid/>
      <w:sz w:val="22"/>
    </w:rPr>
  </w:style>
  <w:style w:type="paragraph" w:styleId="BodyText3">
    <w:name w:val="Body Text 3"/>
    <w:basedOn w:val="Normal"/>
    <w:rsid w:val="009F3786"/>
    <w:pPr>
      <w:widowControl/>
      <w:jc w:val="both"/>
    </w:pPr>
    <w:rPr>
      <w:snapToGrid/>
    </w:rPr>
  </w:style>
  <w:style w:type="paragraph" w:styleId="Header">
    <w:name w:val="header"/>
    <w:basedOn w:val="Normal"/>
    <w:rsid w:val="009F3786"/>
    <w:pPr>
      <w:tabs>
        <w:tab w:val="center" w:pos="4320"/>
        <w:tab w:val="right" w:pos="8640"/>
      </w:tabs>
    </w:pPr>
  </w:style>
  <w:style w:type="character" w:customStyle="1" w:styleId="FootnoteTextChar3">
    <w:name w:val="Footnote Text Char3"/>
    <w:aliases w:val="Footnote Text Char Char1,Footnote Text Char1 Char Char1,Footnote Text Char Char Char Char,Footnote Text Char2 Char Char Char Char,Footnote Text Char1 Char1 Char Char Char Char,Footnote Text Char Char Char Char Char Char Char"/>
    <w:link w:val="FootnoteText"/>
    <w:rsid w:val="00026377"/>
    <w:rPr>
      <w:snapToGrid w:val="0"/>
      <w:lang w:val="en-US" w:eastAsia="en-US" w:bidi="ar-SA"/>
    </w:rPr>
  </w:style>
  <w:style w:type="character" w:customStyle="1" w:styleId="FootnoteTextCharChar">
    <w:name w:val="Footnote Text Char Char"/>
    <w:aliases w:val="Footnote Text Char1 Char Char,Footnote Text Char Char1 Char Char,Footnote Text Char2 Char1 Char Char Char,Footnote Text Char Char1 Char Char Char1 Char,Footnote Text Char1 Char Char Char1 Char Char Char,Footnote Text Char1 Char1"/>
    <w:locked/>
    <w:rsid w:val="002B180C"/>
    <w:rPr>
      <w:lang w:val="en-US" w:eastAsia="en-US" w:bidi="ar-SA"/>
    </w:rPr>
  </w:style>
  <w:style w:type="character" w:styleId="CommentReference">
    <w:name w:val="annotation reference"/>
    <w:semiHidden/>
    <w:rsid w:val="00A74C4B"/>
    <w:rPr>
      <w:sz w:val="16"/>
      <w:szCs w:val="16"/>
    </w:rPr>
  </w:style>
  <w:style w:type="paragraph" w:styleId="CommentText">
    <w:name w:val="annotation text"/>
    <w:basedOn w:val="Normal"/>
    <w:semiHidden/>
    <w:rsid w:val="00A74C4B"/>
    <w:rPr>
      <w:sz w:val="20"/>
    </w:rPr>
  </w:style>
  <w:style w:type="paragraph" w:styleId="CommentSubject">
    <w:name w:val="annotation subject"/>
    <w:basedOn w:val="CommentText"/>
    <w:next w:val="CommentText"/>
    <w:semiHidden/>
    <w:rsid w:val="00A74C4B"/>
    <w:rPr>
      <w:b/>
      <w:bCs/>
    </w:rPr>
  </w:style>
  <w:style w:type="character" w:customStyle="1" w:styleId="documentbody5">
    <w:name w:val="documentbody5"/>
    <w:rsid w:val="00DC42DD"/>
    <w:rPr>
      <w:rFonts w:ascii="Verdana" w:hAnsi="Verdana" w:hint="default"/>
      <w:sz w:val="19"/>
      <w:szCs w:val="19"/>
    </w:rPr>
  </w:style>
  <w:style w:type="character" w:customStyle="1" w:styleId="FooterChar">
    <w:name w:val="Footer Char"/>
    <w:link w:val="Footer"/>
    <w:rsid w:val="00DC42DD"/>
    <w:rPr>
      <w:snapToGrid w:val="0"/>
      <w:sz w:val="24"/>
      <w:lang w:val="en-US" w:eastAsia="en-US" w:bidi="ar-SA"/>
    </w:rPr>
  </w:style>
  <w:style w:type="character" w:styleId="Hyperlink">
    <w:name w:val="Hyperlink"/>
    <w:rsid w:val="003B241A"/>
    <w:rPr>
      <w:color w:val="0000FF"/>
      <w:u w:val="single"/>
    </w:rPr>
  </w:style>
  <w:style w:type="character" w:styleId="FollowedHyperlink">
    <w:name w:val="FollowedHyperlink"/>
    <w:rsid w:val="008C3590"/>
    <w:rPr>
      <w:color w:val="800080"/>
      <w:u w:val="single"/>
    </w:rPr>
  </w:style>
  <w:style w:type="character" w:customStyle="1" w:styleId="documentbody1">
    <w:name w:val="documentbody1"/>
    <w:rsid w:val="00032C6E"/>
    <w:rPr>
      <w:rFonts w:ascii="Verdana" w:hAnsi="Verdana" w:hint="default"/>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786"/>
    <w:pPr>
      <w:widowControl w:val="0"/>
    </w:pPr>
    <w:rPr>
      <w:snapToGrid w:val="0"/>
      <w:sz w:val="24"/>
    </w:rPr>
  </w:style>
  <w:style w:type="paragraph" w:styleId="Heading2">
    <w:name w:val="heading 2"/>
    <w:basedOn w:val="Normal"/>
    <w:next w:val="Normal"/>
    <w:qFormat/>
    <w:rsid w:val="009F3786"/>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C80F84"/>
    <w:rPr>
      <w:rFonts w:ascii="Tahoma" w:hAnsi="Tahoma" w:cs="Tahoma"/>
      <w:sz w:val="16"/>
      <w:szCs w:val="16"/>
    </w:rPr>
  </w:style>
  <w:style w:type="character" w:customStyle="1" w:styleId="BalloonTextChar">
    <w:name w:val="Balloon Text Char"/>
    <w:basedOn w:val="DefaultParagraphFont"/>
    <w:uiPriority w:val="99"/>
    <w:semiHidden/>
    <w:rsid w:val="00BB386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B386E"/>
    <w:rPr>
      <w:rFonts w:ascii="Lucida Grande" w:hAnsi="Lucida Grande"/>
      <w:sz w:val="18"/>
      <w:szCs w:val="18"/>
    </w:r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1,Footnote Text Char2,fn Cha"/>
    <w:basedOn w:val="Normal"/>
    <w:link w:val="FootnoteTextChar3"/>
    <w:semiHidden/>
    <w:rsid w:val="009F3786"/>
    <w:pPr>
      <w:widowControl/>
      <w:spacing w:after="120"/>
    </w:pPr>
    <w:rPr>
      <w:sz w:val="20"/>
    </w:rPr>
  </w:style>
  <w:style w:type="character" w:styleId="FootnoteReference">
    <w:name w:val="footnote reference"/>
    <w:aliases w:val="Style 12,(NECG) Footnote Reference,Appel note de bas de p,Style 124,o,fr,Style 3"/>
    <w:semiHidden/>
    <w:rsid w:val="009F3786"/>
    <w:rPr>
      <w:rFonts w:ascii="CG Times" w:hAnsi="CG Times"/>
      <w:sz w:val="20"/>
      <w:vertAlign w:val="superscript"/>
    </w:rPr>
  </w:style>
  <w:style w:type="paragraph" w:styleId="Footer">
    <w:name w:val="footer"/>
    <w:basedOn w:val="Normal"/>
    <w:link w:val="FooterChar"/>
    <w:rsid w:val="009F3786"/>
    <w:pPr>
      <w:tabs>
        <w:tab w:val="center" w:pos="4320"/>
        <w:tab w:val="right" w:pos="8640"/>
      </w:tabs>
    </w:pPr>
  </w:style>
  <w:style w:type="character" w:styleId="PageNumber">
    <w:name w:val="page number"/>
    <w:basedOn w:val="DefaultParagraphFont"/>
    <w:rsid w:val="009F3786"/>
  </w:style>
  <w:style w:type="paragraph" w:styleId="BodyText">
    <w:name w:val="Body Text"/>
    <w:basedOn w:val="Normal"/>
    <w:rsid w:val="009F3786"/>
    <w:pPr>
      <w:widowControl/>
      <w:jc w:val="both"/>
    </w:pPr>
    <w:rPr>
      <w:snapToGrid/>
      <w:sz w:val="22"/>
    </w:rPr>
  </w:style>
  <w:style w:type="paragraph" w:styleId="BodyText3">
    <w:name w:val="Body Text 3"/>
    <w:basedOn w:val="Normal"/>
    <w:rsid w:val="009F3786"/>
    <w:pPr>
      <w:widowControl/>
      <w:jc w:val="both"/>
    </w:pPr>
    <w:rPr>
      <w:snapToGrid/>
    </w:rPr>
  </w:style>
  <w:style w:type="paragraph" w:styleId="Header">
    <w:name w:val="header"/>
    <w:basedOn w:val="Normal"/>
    <w:rsid w:val="009F3786"/>
    <w:pPr>
      <w:tabs>
        <w:tab w:val="center" w:pos="4320"/>
        <w:tab w:val="right" w:pos="8640"/>
      </w:tabs>
    </w:pPr>
  </w:style>
  <w:style w:type="character" w:customStyle="1" w:styleId="FootnoteTextChar3">
    <w:name w:val="Footnote Text Char3"/>
    <w:aliases w:val="Footnote Text Char Char1,Footnote Text Char1 Char Char1,Footnote Text Char Char Char Char,Footnote Text Char2 Char Char Char Char,Footnote Text Char1 Char1 Char Char Char Char,Footnote Text Char Char Char Char Char Char Char"/>
    <w:link w:val="FootnoteText"/>
    <w:rsid w:val="00026377"/>
    <w:rPr>
      <w:snapToGrid w:val="0"/>
      <w:lang w:val="en-US" w:eastAsia="en-US" w:bidi="ar-SA"/>
    </w:rPr>
  </w:style>
  <w:style w:type="character" w:customStyle="1" w:styleId="FootnoteTextCharChar">
    <w:name w:val="Footnote Text Char Char"/>
    <w:aliases w:val="Footnote Text Char1 Char Char,Footnote Text Char Char1 Char Char,Footnote Text Char2 Char1 Char Char Char,Footnote Text Char Char1 Char Char Char1 Char,Footnote Text Char1 Char Char Char1 Char Char Char,Footnote Text Char1 Char1"/>
    <w:locked/>
    <w:rsid w:val="002B180C"/>
    <w:rPr>
      <w:lang w:val="en-US" w:eastAsia="en-US" w:bidi="ar-SA"/>
    </w:rPr>
  </w:style>
  <w:style w:type="character" w:styleId="CommentReference">
    <w:name w:val="annotation reference"/>
    <w:semiHidden/>
    <w:rsid w:val="00A74C4B"/>
    <w:rPr>
      <w:sz w:val="16"/>
      <w:szCs w:val="16"/>
    </w:rPr>
  </w:style>
  <w:style w:type="paragraph" w:styleId="CommentText">
    <w:name w:val="annotation text"/>
    <w:basedOn w:val="Normal"/>
    <w:semiHidden/>
    <w:rsid w:val="00A74C4B"/>
    <w:rPr>
      <w:sz w:val="20"/>
    </w:rPr>
  </w:style>
  <w:style w:type="paragraph" w:styleId="CommentSubject">
    <w:name w:val="annotation subject"/>
    <w:basedOn w:val="CommentText"/>
    <w:next w:val="CommentText"/>
    <w:semiHidden/>
    <w:rsid w:val="00A74C4B"/>
    <w:rPr>
      <w:b/>
      <w:bCs/>
    </w:rPr>
  </w:style>
  <w:style w:type="character" w:customStyle="1" w:styleId="documentbody5">
    <w:name w:val="documentbody5"/>
    <w:rsid w:val="00DC42DD"/>
    <w:rPr>
      <w:rFonts w:ascii="Verdana" w:hAnsi="Verdana" w:hint="default"/>
      <w:sz w:val="19"/>
      <w:szCs w:val="19"/>
    </w:rPr>
  </w:style>
  <w:style w:type="character" w:customStyle="1" w:styleId="FooterChar">
    <w:name w:val="Footer Char"/>
    <w:link w:val="Footer"/>
    <w:rsid w:val="00DC42DD"/>
    <w:rPr>
      <w:snapToGrid w:val="0"/>
      <w:sz w:val="24"/>
      <w:lang w:val="en-US" w:eastAsia="en-US" w:bidi="ar-SA"/>
    </w:rPr>
  </w:style>
  <w:style w:type="character" w:styleId="Hyperlink">
    <w:name w:val="Hyperlink"/>
    <w:rsid w:val="003B241A"/>
    <w:rPr>
      <w:color w:val="0000FF"/>
      <w:u w:val="single"/>
    </w:rPr>
  </w:style>
  <w:style w:type="character" w:styleId="FollowedHyperlink">
    <w:name w:val="FollowedHyperlink"/>
    <w:rsid w:val="008C3590"/>
    <w:rPr>
      <w:color w:val="800080"/>
      <w:u w:val="single"/>
    </w:rPr>
  </w:style>
  <w:style w:type="character" w:customStyle="1" w:styleId="documentbody1">
    <w:name w:val="documentbody1"/>
    <w:rsid w:val="00032C6E"/>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mt=Westlaw&amp;db=1000819&amp;docname=USPL105-33&amp;rp=%2ffind%2fdefault.wl&amp;findtype=L&amp;ordoc=2003275739&amp;tc=-1&amp;vr=2.0&amp;fn=_top&amp;sv=Split&amp;tf=-1&amp;pbc=4A4BD1EC&amp;rs=WLW13.10" TargetMode="External"/><Relationship Id="rId2" Type="http://schemas.openxmlformats.org/officeDocument/2006/relationships/hyperlink" Target="http://web2.westlaw.com/find/default.wl?mt=12&amp;db=350&amp;tc=-1&amp;rp=%2ffind%2fdefault.wl&amp;findtype=Y&amp;ordoc=2026607897&amp;serialnum=1965114957&amp;vr=2.0&amp;fn=_top&amp;sv=Split&amp;tf=-1&amp;pbc=9F543395&amp;rs=WLW12.01" TargetMode="External"/><Relationship Id="rId1" Type="http://schemas.openxmlformats.org/officeDocument/2006/relationships/hyperlink" Target="http://web2.westlaw.com/find/default.wl?mt=12&amp;db=0001016&amp;tc=-1&amp;rp=%2ffind%2fdefault.wl&amp;findtype=Y&amp;ordoc=2026607897&amp;serialnum=1964077552&amp;vr=2.0&amp;fn=_top&amp;sv=Split&amp;tf=-1&amp;referencepositiontype=S&amp;pbc=9F543395&amp;referenceposition=686&amp;rs=WLW12.01" TargetMode="External"/><Relationship Id="rId4" Type="http://schemas.openxmlformats.org/officeDocument/2006/relationships/hyperlink" Target="http://apps.americanbar.org/intlaw/leadership/policy/RUUNAA_Final_08.pdf"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8191</Characters>
  <Application>Microsoft Office Word</Application>
  <DocSecurity>0</DocSecurity>
  <Lines>139</Lines>
  <Paragraphs>33</Paragraphs>
  <ScaleCrop>false</ScaleCrop>
  <HeadingPairs>
    <vt:vector size="2" baseType="variant">
      <vt:variant>
        <vt:lpstr>Title</vt:lpstr>
      </vt:variant>
      <vt:variant>
        <vt:i4>1</vt:i4>
      </vt:variant>
    </vt:vector>
  </HeadingPairs>
  <TitlesOfParts>
    <vt:vector size="1" baseType="lpstr">
      <vt:lpstr>Hubbardston Community Radio</vt:lpstr>
    </vt:vector>
  </TitlesOfParts>
  <Manager/>
  <Company/>
  <LinksUpToDate>false</LinksUpToDate>
  <CharactersWithSpaces>9758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2013-12-20T14:39:00Z</cp:lastPrinted>
  <dcterms:created xsi:type="dcterms:W3CDTF">2014-01-07T12:45:00Z</dcterms:created>
  <dcterms:modified xsi:type="dcterms:W3CDTF">2014-01-07T12:45:00Z</dcterms:modified>
  <cp:category> </cp:category>
  <cp:contentStatus> </cp:contentStatus>
</cp:coreProperties>
</file>