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FC" w:rsidRDefault="00DA01E5">
      <w:pPr>
        <w:spacing w:before="60"/>
        <w:jc w:val="right"/>
        <w:rPr>
          <w:b/>
          <w:sz w:val="24"/>
        </w:rPr>
      </w:pPr>
      <w:bookmarkStart w:id="0" w:name="_GoBack"/>
      <w:bookmarkEnd w:id="0"/>
      <w:r>
        <w:rPr>
          <w:b/>
          <w:sz w:val="24"/>
        </w:rPr>
        <w:t>DA 1</w:t>
      </w:r>
      <w:r w:rsidR="00866B4C">
        <w:rPr>
          <w:b/>
          <w:sz w:val="24"/>
        </w:rPr>
        <w:t>4</w:t>
      </w:r>
      <w:r>
        <w:rPr>
          <w:b/>
          <w:sz w:val="24"/>
        </w:rPr>
        <w:t>-</w:t>
      </w:r>
      <w:r w:rsidR="006216A0">
        <w:rPr>
          <w:b/>
          <w:sz w:val="24"/>
        </w:rPr>
        <w:t>1412</w:t>
      </w:r>
    </w:p>
    <w:p w:rsidR="00DD5CFC" w:rsidRDefault="00DA01E5">
      <w:pPr>
        <w:spacing w:before="60"/>
        <w:jc w:val="right"/>
        <w:rPr>
          <w:b/>
          <w:sz w:val="24"/>
        </w:rPr>
      </w:pPr>
      <w:r>
        <w:rPr>
          <w:b/>
          <w:sz w:val="24"/>
        </w:rPr>
        <w:t xml:space="preserve">Released: </w:t>
      </w:r>
      <w:r w:rsidR="004F03A3">
        <w:rPr>
          <w:b/>
          <w:sz w:val="24"/>
        </w:rPr>
        <w:t>September</w:t>
      </w:r>
      <w:r>
        <w:rPr>
          <w:b/>
          <w:sz w:val="24"/>
        </w:rPr>
        <w:t xml:space="preserve"> </w:t>
      </w:r>
      <w:r w:rsidR="00877323">
        <w:rPr>
          <w:b/>
          <w:sz w:val="24"/>
        </w:rPr>
        <w:t>30</w:t>
      </w:r>
      <w:r>
        <w:rPr>
          <w:b/>
          <w:sz w:val="24"/>
        </w:rPr>
        <w:t>, 201</w:t>
      </w:r>
      <w:r w:rsidR="00866B4C">
        <w:rPr>
          <w:b/>
          <w:sz w:val="24"/>
        </w:rPr>
        <w:t>4</w:t>
      </w:r>
    </w:p>
    <w:p w:rsidR="00DD5CFC" w:rsidRDefault="00DD5CFC">
      <w:pPr>
        <w:pStyle w:val="Header"/>
        <w:tabs>
          <w:tab w:val="clear" w:pos="4320"/>
          <w:tab w:val="clear" w:pos="8640"/>
        </w:tabs>
        <w:rPr>
          <w:b/>
        </w:rPr>
        <w:sectPr w:rsidR="00DD5CF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720" w:footer="1440" w:gutter="0"/>
          <w:cols w:space="720"/>
          <w:titlePg/>
        </w:sectPr>
      </w:pPr>
    </w:p>
    <w:p w:rsidR="00DD5CFC" w:rsidRDefault="00DD5CFC">
      <w:pPr>
        <w:jc w:val="right"/>
        <w:rPr>
          <w:sz w:val="24"/>
        </w:rPr>
      </w:pPr>
    </w:p>
    <w:p w:rsidR="00DD5CFC" w:rsidRDefault="00DD5CFC">
      <w:pPr>
        <w:jc w:val="right"/>
        <w:rPr>
          <w:sz w:val="24"/>
        </w:rPr>
      </w:pPr>
    </w:p>
    <w:p w:rsidR="00DD5CFC" w:rsidRDefault="00DA01E5">
      <w:pPr>
        <w:spacing w:after="240"/>
        <w:jc w:val="center"/>
        <w:rPr>
          <w:b/>
          <w:szCs w:val="22"/>
        </w:rPr>
      </w:pPr>
      <w:r>
        <w:rPr>
          <w:b/>
          <w:szCs w:val="22"/>
        </w:rPr>
        <w:t>MEDIA BUREAU ACTION</w:t>
      </w:r>
    </w:p>
    <w:p w:rsidR="004F03A3" w:rsidRPr="004F03A3" w:rsidRDefault="004F03A3" w:rsidP="004F03A3">
      <w:pPr>
        <w:jc w:val="center"/>
        <w:rPr>
          <w:b/>
          <w:szCs w:val="22"/>
        </w:rPr>
      </w:pPr>
      <w:r w:rsidRPr="004F03A3">
        <w:rPr>
          <w:b/>
          <w:szCs w:val="22"/>
        </w:rPr>
        <w:t>“</w:t>
      </w:r>
      <w:r>
        <w:rPr>
          <w:b/>
          <w:szCs w:val="22"/>
        </w:rPr>
        <w:t>PERMIT BUT DISCLOSE</w:t>
      </w:r>
      <w:r w:rsidRPr="004F03A3">
        <w:rPr>
          <w:b/>
          <w:szCs w:val="22"/>
        </w:rPr>
        <w:t>” EX PARTE PROCEDURES ESTABLISHED FOR</w:t>
      </w:r>
      <w:r>
        <w:rPr>
          <w:b/>
          <w:szCs w:val="22"/>
        </w:rPr>
        <w:t xml:space="preserve"> DOCKET SEEKING COMMENT ON</w:t>
      </w:r>
      <w:r w:rsidRPr="004F03A3">
        <w:rPr>
          <w:b/>
          <w:szCs w:val="22"/>
        </w:rPr>
        <w:t xml:space="preserve"> INTERPRETATION OF THE TERMS</w:t>
      </w:r>
    </w:p>
    <w:p w:rsidR="004F03A3" w:rsidRPr="004F03A3" w:rsidRDefault="004F03A3" w:rsidP="004F03A3">
      <w:pPr>
        <w:jc w:val="center"/>
        <w:rPr>
          <w:b/>
          <w:szCs w:val="22"/>
        </w:rPr>
      </w:pPr>
      <w:r w:rsidRPr="004F03A3">
        <w:rPr>
          <w:b/>
          <w:szCs w:val="22"/>
        </w:rPr>
        <w:t xml:space="preserve">“MULTICHANNEL VIDEO PROGRAMMING DISTRIBUTOR” AND “CHANNEL” </w:t>
      </w:r>
    </w:p>
    <w:p w:rsidR="00DD5CFC" w:rsidRDefault="004F03A3" w:rsidP="004F03A3">
      <w:pPr>
        <w:jc w:val="center"/>
        <w:rPr>
          <w:b/>
          <w:szCs w:val="22"/>
        </w:rPr>
      </w:pPr>
      <w:r w:rsidRPr="004F03A3">
        <w:rPr>
          <w:b/>
          <w:szCs w:val="22"/>
        </w:rPr>
        <w:t>AS RAISED IN PENDING PROGRAM ACCESS COMPLAINT PROCEEDING</w:t>
      </w:r>
    </w:p>
    <w:p w:rsidR="00DD5CFC" w:rsidRDefault="00DD5CFC">
      <w:pPr>
        <w:jc w:val="center"/>
        <w:rPr>
          <w:b/>
          <w:szCs w:val="22"/>
        </w:rPr>
      </w:pPr>
    </w:p>
    <w:p w:rsidR="00DD5CFC" w:rsidRDefault="004F03A3">
      <w:pPr>
        <w:jc w:val="center"/>
        <w:rPr>
          <w:b/>
          <w:szCs w:val="22"/>
        </w:rPr>
      </w:pPr>
      <w:r>
        <w:rPr>
          <w:b/>
          <w:szCs w:val="22"/>
        </w:rPr>
        <w:t>MB</w:t>
      </w:r>
      <w:r w:rsidR="00DA01E5">
        <w:rPr>
          <w:b/>
          <w:szCs w:val="22"/>
        </w:rPr>
        <w:t xml:space="preserve"> Docket No. </w:t>
      </w:r>
      <w:r>
        <w:rPr>
          <w:b/>
          <w:szCs w:val="22"/>
        </w:rPr>
        <w:t>12</w:t>
      </w:r>
      <w:r w:rsidR="00866B4C">
        <w:rPr>
          <w:b/>
          <w:szCs w:val="22"/>
        </w:rPr>
        <w:t>-8</w:t>
      </w:r>
      <w:r>
        <w:rPr>
          <w:b/>
          <w:szCs w:val="22"/>
        </w:rPr>
        <w:t>3</w:t>
      </w:r>
    </w:p>
    <w:p w:rsidR="00DD5CFC" w:rsidRDefault="00DD5CFC">
      <w:pPr>
        <w:jc w:val="center"/>
        <w:rPr>
          <w:szCs w:val="22"/>
        </w:rPr>
      </w:pPr>
    </w:p>
    <w:p w:rsidR="00DD5CFC" w:rsidRDefault="00DD5CFC">
      <w:pPr>
        <w:jc w:val="both"/>
        <w:rPr>
          <w:szCs w:val="22"/>
        </w:rPr>
      </w:pPr>
    </w:p>
    <w:p w:rsidR="004F03A3" w:rsidRPr="004F03A3" w:rsidRDefault="004F03A3" w:rsidP="005762EB">
      <w:pPr>
        <w:pStyle w:val="ParaNum"/>
        <w:widowControl/>
        <w:tabs>
          <w:tab w:val="clear" w:pos="1080"/>
        </w:tabs>
        <w:ind w:firstLine="0"/>
        <w:jc w:val="left"/>
      </w:pPr>
      <w:r w:rsidRPr="004F03A3">
        <w:rPr>
          <w:szCs w:val="22"/>
        </w:rPr>
        <w:t xml:space="preserve">On </w:t>
      </w:r>
      <w:r>
        <w:rPr>
          <w:szCs w:val="22"/>
        </w:rPr>
        <w:t>March 30</w:t>
      </w:r>
      <w:r w:rsidRPr="004F03A3">
        <w:rPr>
          <w:szCs w:val="22"/>
        </w:rPr>
        <w:t xml:space="preserve">, </w:t>
      </w:r>
      <w:r>
        <w:rPr>
          <w:szCs w:val="22"/>
        </w:rPr>
        <w:t>2012</w:t>
      </w:r>
      <w:r w:rsidRPr="004F03A3">
        <w:rPr>
          <w:szCs w:val="22"/>
        </w:rPr>
        <w:t xml:space="preserve">, the Bureau issued a Public Notice </w:t>
      </w:r>
      <w:r w:rsidR="00FD75A3">
        <w:rPr>
          <w:szCs w:val="22"/>
        </w:rPr>
        <w:t>opening MB Docket 12-83 to seek</w:t>
      </w:r>
      <w:r>
        <w:rPr>
          <w:szCs w:val="22"/>
        </w:rPr>
        <w:t xml:space="preserve"> comment on </w:t>
      </w:r>
      <w:r w:rsidR="00EF2981">
        <w:rPr>
          <w:szCs w:val="22"/>
        </w:rPr>
        <w:t xml:space="preserve">certain issues raised in </w:t>
      </w:r>
      <w:r w:rsidR="006528F3">
        <w:rPr>
          <w:szCs w:val="22"/>
        </w:rPr>
        <w:t xml:space="preserve">a program access complaint filed by Sky Angel U.S., LLC (“Sky Angel”) against </w:t>
      </w:r>
      <w:r w:rsidR="006528F3" w:rsidRPr="006528F3">
        <w:rPr>
          <w:szCs w:val="22"/>
        </w:rPr>
        <w:t>Discovery Communications</w:t>
      </w:r>
      <w:r w:rsidR="006528F3">
        <w:rPr>
          <w:szCs w:val="22"/>
        </w:rPr>
        <w:t xml:space="preserve">, LLC and its affiliate, Animal </w:t>
      </w:r>
      <w:r w:rsidR="006528F3" w:rsidRPr="006528F3">
        <w:rPr>
          <w:szCs w:val="22"/>
        </w:rPr>
        <w:t>Planet, L.L.C. (collectively, “Discovery”)</w:t>
      </w:r>
      <w:r w:rsidR="006528F3">
        <w:rPr>
          <w:szCs w:val="22"/>
        </w:rPr>
        <w:t>.</w:t>
      </w:r>
      <w:r w:rsidR="009F724B">
        <w:rPr>
          <w:rStyle w:val="FootnoteReference"/>
          <w:szCs w:val="22"/>
        </w:rPr>
        <w:footnoteReference w:id="1"/>
      </w:r>
      <w:r w:rsidR="00FD75A3">
        <w:rPr>
          <w:szCs w:val="22"/>
        </w:rPr>
        <w:t xml:space="preserve">  </w:t>
      </w:r>
      <w:r w:rsidR="006528F3">
        <w:rPr>
          <w:szCs w:val="22"/>
        </w:rPr>
        <w:t xml:space="preserve">In the </w:t>
      </w:r>
      <w:r w:rsidR="006528F3" w:rsidRPr="00A12431">
        <w:rPr>
          <w:szCs w:val="22"/>
        </w:rPr>
        <w:t>Public Notice</w:t>
      </w:r>
      <w:r w:rsidR="006528F3" w:rsidRPr="006528F3">
        <w:rPr>
          <w:szCs w:val="22"/>
        </w:rPr>
        <w:t>, the Bureau designate</w:t>
      </w:r>
      <w:r w:rsidR="00EF2981">
        <w:rPr>
          <w:szCs w:val="22"/>
        </w:rPr>
        <w:t>d</w:t>
      </w:r>
      <w:r w:rsidR="006528F3" w:rsidRPr="006528F3">
        <w:rPr>
          <w:szCs w:val="22"/>
        </w:rPr>
        <w:t xml:space="preserve"> the proceeding initiated by th</w:t>
      </w:r>
      <w:r w:rsidR="00EF2981">
        <w:rPr>
          <w:szCs w:val="22"/>
        </w:rPr>
        <w:t>e</w:t>
      </w:r>
      <w:r w:rsidR="006528F3" w:rsidRPr="006528F3">
        <w:rPr>
          <w:szCs w:val="22"/>
        </w:rPr>
        <w:t xml:space="preserve"> Public Notice as </w:t>
      </w:r>
      <w:r w:rsidR="00EF2981">
        <w:rPr>
          <w:szCs w:val="22"/>
        </w:rPr>
        <w:t>“</w:t>
      </w:r>
      <w:r w:rsidR="006528F3" w:rsidRPr="006528F3">
        <w:rPr>
          <w:szCs w:val="22"/>
        </w:rPr>
        <w:t>restricted</w:t>
      </w:r>
      <w:r w:rsidR="00EF2981">
        <w:rPr>
          <w:szCs w:val="22"/>
        </w:rPr>
        <w:t>”</w:t>
      </w:r>
      <w:r w:rsidR="006528F3" w:rsidRPr="006528F3">
        <w:rPr>
          <w:szCs w:val="22"/>
        </w:rPr>
        <w:t xml:space="preserve"> for purposes of the ex parte rules</w:t>
      </w:r>
      <w:r w:rsidRPr="006528F3">
        <w:rPr>
          <w:szCs w:val="22"/>
        </w:rPr>
        <w:t>.</w:t>
      </w:r>
      <w:r w:rsidR="006528F3">
        <w:rPr>
          <w:rStyle w:val="FootnoteReference"/>
          <w:szCs w:val="22"/>
        </w:rPr>
        <w:footnoteReference w:id="2"/>
      </w:r>
      <w:r w:rsidR="00CD22C0">
        <w:rPr>
          <w:szCs w:val="22"/>
        </w:rPr>
        <w:t xml:space="preserve"> </w:t>
      </w:r>
      <w:r w:rsidR="00EF2821">
        <w:rPr>
          <w:szCs w:val="22"/>
        </w:rPr>
        <w:t xml:space="preserve"> </w:t>
      </w:r>
      <w:r w:rsidR="00EF2981">
        <w:rPr>
          <w:szCs w:val="22"/>
        </w:rPr>
        <w:t>In order to ensure broad public participation this matter</w:t>
      </w:r>
      <w:r w:rsidRPr="004F03A3">
        <w:rPr>
          <w:szCs w:val="22"/>
        </w:rPr>
        <w:t xml:space="preserve">, we believe it </w:t>
      </w:r>
      <w:r w:rsidR="00CD22C0">
        <w:rPr>
          <w:szCs w:val="22"/>
        </w:rPr>
        <w:t xml:space="preserve">is </w:t>
      </w:r>
      <w:r w:rsidRPr="004F03A3">
        <w:rPr>
          <w:szCs w:val="22"/>
        </w:rPr>
        <w:t xml:space="preserve">appropriate to </w:t>
      </w:r>
      <w:r w:rsidR="003E5822">
        <w:rPr>
          <w:szCs w:val="22"/>
        </w:rPr>
        <w:t xml:space="preserve">change the ex parte status of </w:t>
      </w:r>
      <w:r w:rsidR="00954CCD">
        <w:rPr>
          <w:szCs w:val="22"/>
        </w:rPr>
        <w:t>this proceeding</w:t>
      </w:r>
      <w:r w:rsidRPr="004F03A3">
        <w:rPr>
          <w:szCs w:val="22"/>
        </w:rPr>
        <w:t xml:space="preserve"> to </w:t>
      </w:r>
      <w:r w:rsidR="00954CCD">
        <w:rPr>
          <w:szCs w:val="22"/>
        </w:rPr>
        <w:t xml:space="preserve">“permit but disclose” </w:t>
      </w:r>
      <w:r w:rsidRPr="004F03A3">
        <w:rPr>
          <w:szCs w:val="22"/>
        </w:rPr>
        <w:t xml:space="preserve">status. </w:t>
      </w:r>
      <w:r w:rsidR="003E5822">
        <w:rPr>
          <w:szCs w:val="22"/>
        </w:rPr>
        <w:t xml:space="preserve"> </w:t>
      </w:r>
      <w:r w:rsidRPr="004F03A3">
        <w:rPr>
          <w:szCs w:val="22"/>
        </w:rPr>
        <w:t>Accordingly, pursuant to Section 1.1200(a)</w:t>
      </w:r>
      <w:r w:rsidR="00B1432F">
        <w:rPr>
          <w:szCs w:val="22"/>
        </w:rPr>
        <w:t xml:space="preserve"> of the Commission’s rules</w:t>
      </w:r>
      <w:r w:rsidRPr="004F03A3">
        <w:rPr>
          <w:szCs w:val="22"/>
        </w:rPr>
        <w:t xml:space="preserve">, we convert </w:t>
      </w:r>
      <w:r w:rsidR="009C7CF6">
        <w:rPr>
          <w:szCs w:val="22"/>
        </w:rPr>
        <w:t>MB Docket No. 12-83</w:t>
      </w:r>
      <w:r w:rsidRPr="004F03A3">
        <w:rPr>
          <w:szCs w:val="22"/>
        </w:rPr>
        <w:t xml:space="preserve"> to the status of “</w:t>
      </w:r>
      <w:r w:rsidR="003E5822">
        <w:rPr>
          <w:szCs w:val="22"/>
        </w:rPr>
        <w:t>permit but disclose</w:t>
      </w:r>
      <w:r w:rsidRPr="004F03A3">
        <w:rPr>
          <w:szCs w:val="22"/>
        </w:rPr>
        <w:t xml:space="preserve">” for purposes of ex parte </w:t>
      </w:r>
      <w:r w:rsidR="003E5822">
        <w:rPr>
          <w:szCs w:val="22"/>
        </w:rPr>
        <w:t>presentations</w:t>
      </w:r>
      <w:r w:rsidRPr="004F03A3">
        <w:rPr>
          <w:szCs w:val="22"/>
        </w:rPr>
        <w:t>.</w:t>
      </w:r>
      <w:r w:rsidR="00B1432F">
        <w:rPr>
          <w:rStyle w:val="FootnoteReference"/>
          <w:szCs w:val="22"/>
        </w:rPr>
        <w:footnoteReference w:id="3"/>
      </w:r>
      <w:r w:rsidR="009C7CF6">
        <w:rPr>
          <w:szCs w:val="22"/>
        </w:rPr>
        <w:t xml:space="preserve">  </w:t>
      </w:r>
      <w:r w:rsidR="005075C6">
        <w:rPr>
          <w:szCs w:val="22"/>
        </w:rPr>
        <w:t>Because consideration of t</w:t>
      </w:r>
      <w:r w:rsidR="009C7CF6">
        <w:rPr>
          <w:szCs w:val="22"/>
        </w:rPr>
        <w:t xml:space="preserve">he program access complaint that Sky Angel filed will remain </w:t>
      </w:r>
      <w:r w:rsidR="005075C6">
        <w:rPr>
          <w:szCs w:val="22"/>
        </w:rPr>
        <w:t xml:space="preserve">a </w:t>
      </w:r>
      <w:r w:rsidR="009C7CF6">
        <w:rPr>
          <w:szCs w:val="22"/>
        </w:rPr>
        <w:t xml:space="preserve">restricted </w:t>
      </w:r>
      <w:r w:rsidR="005075C6">
        <w:rPr>
          <w:szCs w:val="22"/>
        </w:rPr>
        <w:t xml:space="preserve">proceeding </w:t>
      </w:r>
      <w:r w:rsidR="009C7CF6">
        <w:rPr>
          <w:szCs w:val="22"/>
        </w:rPr>
        <w:t xml:space="preserve">under the Commission’s rules, parties shall not discuss the </w:t>
      </w:r>
      <w:r w:rsidR="007C1210">
        <w:rPr>
          <w:szCs w:val="22"/>
        </w:rPr>
        <w:t>merits</w:t>
      </w:r>
      <w:r w:rsidR="002C0E10">
        <w:rPr>
          <w:szCs w:val="22"/>
        </w:rPr>
        <w:t xml:space="preserve"> </w:t>
      </w:r>
      <w:r w:rsidR="009C7CF6">
        <w:rPr>
          <w:szCs w:val="22"/>
        </w:rPr>
        <w:t>of that case in their ex parte presentations</w:t>
      </w:r>
      <w:r w:rsidR="007C1210">
        <w:rPr>
          <w:szCs w:val="22"/>
        </w:rPr>
        <w:t xml:space="preserve"> in </w:t>
      </w:r>
      <w:r w:rsidR="005075C6">
        <w:rPr>
          <w:szCs w:val="22"/>
        </w:rPr>
        <w:t xml:space="preserve">MB </w:t>
      </w:r>
      <w:r w:rsidR="007C1210">
        <w:rPr>
          <w:szCs w:val="22"/>
        </w:rPr>
        <w:t>Docket No. 12-83</w:t>
      </w:r>
      <w:r w:rsidR="009C7CF6">
        <w:rPr>
          <w:szCs w:val="22"/>
        </w:rPr>
        <w:t>.</w:t>
      </w:r>
      <w:r w:rsidR="009C7CF6">
        <w:rPr>
          <w:rStyle w:val="FootnoteReference"/>
          <w:szCs w:val="22"/>
        </w:rPr>
        <w:footnoteReference w:id="4"/>
      </w:r>
    </w:p>
    <w:p w:rsidR="00DD5CFC" w:rsidRDefault="004F03A3" w:rsidP="00FD75A3">
      <w:pPr>
        <w:rPr>
          <w:szCs w:val="22"/>
        </w:rPr>
      </w:pPr>
      <w:r w:rsidRPr="004F03A3">
        <w:rPr>
          <w:szCs w:val="22"/>
        </w:rPr>
        <w:t>Under Section 1.1202(b) of the Commission</w:t>
      </w:r>
      <w:r w:rsidR="003E5822">
        <w:rPr>
          <w:szCs w:val="22"/>
        </w:rPr>
        <w:t>’</w:t>
      </w:r>
      <w:r w:rsidRPr="004F03A3">
        <w:rPr>
          <w:szCs w:val="22"/>
        </w:rPr>
        <w:t xml:space="preserve">s rules, an “ex parte presentation” is defined as any presentation which: “(1) </w:t>
      </w:r>
      <w:r w:rsidR="003E5822">
        <w:rPr>
          <w:szCs w:val="22"/>
        </w:rPr>
        <w:t>I</w:t>
      </w:r>
      <w:r w:rsidRPr="004F03A3">
        <w:rPr>
          <w:szCs w:val="22"/>
        </w:rPr>
        <w:t xml:space="preserve">f written, is not served on the parties to the proceeding; or (2) </w:t>
      </w:r>
      <w:r w:rsidR="003E5822">
        <w:rPr>
          <w:szCs w:val="22"/>
        </w:rPr>
        <w:t>I</w:t>
      </w:r>
      <w:r w:rsidRPr="004F03A3">
        <w:rPr>
          <w:szCs w:val="22"/>
        </w:rPr>
        <w:t xml:space="preserve">f oral, is made without advance notice to the parties and without opportunity </w:t>
      </w:r>
      <w:r w:rsidR="003E5822">
        <w:rPr>
          <w:szCs w:val="22"/>
        </w:rPr>
        <w:t>for them to be present</w:t>
      </w:r>
      <w:r w:rsidRPr="004F03A3">
        <w:rPr>
          <w:szCs w:val="22"/>
        </w:rPr>
        <w:t>.</w:t>
      </w:r>
      <w:r w:rsidR="003E5822">
        <w:rPr>
          <w:szCs w:val="22"/>
        </w:rPr>
        <w:t>”</w:t>
      </w:r>
      <w:r w:rsidR="003E5822">
        <w:rPr>
          <w:rStyle w:val="FootnoteReference"/>
          <w:szCs w:val="22"/>
        </w:rPr>
        <w:footnoteReference w:id="5"/>
      </w:r>
      <w:r w:rsidR="003E5822">
        <w:rPr>
          <w:szCs w:val="22"/>
        </w:rPr>
        <w:t xml:space="preserve"> </w:t>
      </w:r>
      <w:r w:rsidRPr="004F03A3">
        <w:rPr>
          <w:szCs w:val="22"/>
        </w:rPr>
        <w:t xml:space="preserve"> </w:t>
      </w:r>
      <w:r w:rsidR="003E5822">
        <w:rPr>
          <w:szCs w:val="22"/>
        </w:rPr>
        <w:t xml:space="preserve">Ex parte presentations </w:t>
      </w:r>
      <w:r w:rsidR="007C1210">
        <w:rPr>
          <w:szCs w:val="22"/>
        </w:rPr>
        <w:t xml:space="preserve">to </w:t>
      </w:r>
      <w:r w:rsidR="003E5822">
        <w:rPr>
          <w:szCs w:val="22"/>
        </w:rPr>
        <w:t xml:space="preserve">Commission decision-making </w:t>
      </w:r>
      <w:r w:rsidR="003E5822">
        <w:rPr>
          <w:szCs w:val="22"/>
        </w:rPr>
        <w:lastRenderedPageBreak/>
        <w:t>personnel</w:t>
      </w:r>
      <w:r w:rsidR="009A6CE2">
        <w:rPr>
          <w:szCs w:val="22"/>
        </w:rPr>
        <w:t>, as defined in Section 1.1202(c) of the Commission’s rules,</w:t>
      </w:r>
      <w:r w:rsidR="009A6CE2">
        <w:rPr>
          <w:rStyle w:val="FootnoteReference"/>
          <w:szCs w:val="22"/>
        </w:rPr>
        <w:footnoteReference w:id="6"/>
      </w:r>
      <w:r w:rsidR="009A6CE2">
        <w:rPr>
          <w:szCs w:val="22"/>
        </w:rPr>
        <w:t xml:space="preserve"> </w:t>
      </w:r>
      <w:r w:rsidR="003E5822">
        <w:rPr>
          <w:szCs w:val="22"/>
        </w:rPr>
        <w:t xml:space="preserve"> are permissible in a permit-but-disclose proceeding so long as the presentations are disclosed pursuant to Section 1.1206(b) of the rules</w:t>
      </w:r>
      <w:r w:rsidRPr="004F03A3">
        <w:rPr>
          <w:szCs w:val="22"/>
        </w:rPr>
        <w:t>.</w:t>
      </w:r>
      <w:r w:rsidR="003E5822">
        <w:rPr>
          <w:rStyle w:val="FootnoteReference"/>
          <w:szCs w:val="22"/>
        </w:rPr>
        <w:footnoteReference w:id="7"/>
      </w:r>
    </w:p>
    <w:p w:rsidR="00FD75A3" w:rsidRDefault="00FD75A3" w:rsidP="00FD75A3">
      <w:pPr>
        <w:rPr>
          <w:szCs w:val="22"/>
        </w:rPr>
      </w:pPr>
    </w:p>
    <w:p w:rsidR="00DD5CFC" w:rsidRDefault="004F03A3">
      <w:pPr>
        <w:pStyle w:val="ParaNum"/>
        <w:widowControl/>
        <w:tabs>
          <w:tab w:val="clear" w:pos="1080"/>
        </w:tabs>
        <w:ind w:firstLine="0"/>
        <w:jc w:val="left"/>
        <w:rPr>
          <w:szCs w:val="22"/>
        </w:rPr>
      </w:pPr>
      <w:r>
        <w:rPr>
          <w:szCs w:val="22"/>
        </w:rPr>
        <w:t>Ex parte notices</w:t>
      </w:r>
      <w:r w:rsidR="00DA01E5">
        <w:rPr>
          <w:szCs w:val="22"/>
        </w:rPr>
        <w:t xml:space="preserve"> may be filed using:  (1) </w:t>
      </w:r>
      <w:r w:rsidR="005075C6">
        <w:rPr>
          <w:szCs w:val="22"/>
        </w:rPr>
        <w:t xml:space="preserve">the Commission’s Electronic Comment Filing System </w:t>
      </w:r>
      <w:r w:rsidR="00DA01E5">
        <w:rPr>
          <w:szCs w:val="22"/>
        </w:rPr>
        <w:t>(ECFS), (2) the Federal Government’s eRulemaking Portal, or (3) by filing paper copies.</w:t>
      </w:r>
      <w:r w:rsidR="00DA01E5">
        <w:rPr>
          <w:rStyle w:val="FootnoteReference"/>
          <w:szCs w:val="22"/>
        </w:rPr>
        <w:footnoteReference w:id="8"/>
      </w:r>
      <w:r w:rsidR="00DA01E5">
        <w:rPr>
          <w:szCs w:val="22"/>
        </w:rPr>
        <w:t xml:space="preserve">    </w:t>
      </w:r>
    </w:p>
    <w:p w:rsidR="00DD5CFC" w:rsidRDefault="00DA01E5">
      <w:pPr>
        <w:pStyle w:val="ParaNum"/>
        <w:tabs>
          <w:tab w:val="clear" w:pos="1080"/>
        </w:tabs>
        <w:ind w:firstLine="0"/>
        <w:jc w:val="left"/>
        <w:rPr>
          <w:szCs w:val="22"/>
        </w:rPr>
      </w:pPr>
      <w:r>
        <w:rPr>
          <w:szCs w:val="22"/>
        </w:rPr>
        <w:t xml:space="preserve">Electronic Filers:  </w:t>
      </w:r>
      <w:r w:rsidR="004F03A3">
        <w:rPr>
          <w:szCs w:val="22"/>
        </w:rPr>
        <w:t>You may file</w:t>
      </w:r>
      <w:r>
        <w:rPr>
          <w:szCs w:val="22"/>
        </w:rPr>
        <w:t xml:space="preserve"> electronically using the Internet by accessing the ECFS: </w:t>
      </w:r>
      <w:hyperlink r:id="rId13" w:history="1">
        <w:r>
          <w:rPr>
            <w:rStyle w:val="Hyperlink"/>
          </w:rPr>
          <w:t>http://www.fcc.gov/cgb/ecfs/</w:t>
        </w:r>
      </w:hyperlink>
      <w:r>
        <w:rPr>
          <w:szCs w:val="22"/>
        </w:rPr>
        <w:t xml:space="preserve"> or the Federal eRulemaking Portal:  </w:t>
      </w:r>
      <w:hyperlink r:id="rId14" w:history="1">
        <w:r>
          <w:rPr>
            <w:rStyle w:val="Hyperlink"/>
          </w:rPr>
          <w:t>http://www.regulations.gov</w:t>
        </w:r>
      </w:hyperlink>
      <w:r>
        <w:rPr>
          <w:szCs w:val="22"/>
        </w:rPr>
        <w:t>.  Filers should follow the instructions provided on the website for submitting comments.</w:t>
      </w:r>
    </w:p>
    <w:p w:rsidR="00DD5CFC" w:rsidRDefault="00DA01E5">
      <w:pPr>
        <w:pStyle w:val="ParaNum"/>
        <w:tabs>
          <w:tab w:val="clear" w:pos="1080"/>
        </w:tabs>
        <w:ind w:firstLine="0"/>
        <w:jc w:val="left"/>
        <w:rPr>
          <w:szCs w:val="22"/>
        </w:rPr>
      </w:pPr>
      <w:r>
        <w:rPr>
          <w:szCs w:val="22"/>
        </w:rPr>
        <w:t xml:space="preserve">For ECFS filers, in completing the transmittal screen, filers should include their full name, U.S. Postal service mailing address, and the applicable docket number:  </w:t>
      </w:r>
      <w:r w:rsidR="004F03A3">
        <w:rPr>
          <w:szCs w:val="22"/>
        </w:rPr>
        <w:t>MB</w:t>
      </w:r>
      <w:r>
        <w:rPr>
          <w:szCs w:val="22"/>
        </w:rPr>
        <w:t xml:space="preserve"> Docket No. </w:t>
      </w:r>
      <w:r w:rsidR="004F03A3">
        <w:rPr>
          <w:szCs w:val="22"/>
        </w:rPr>
        <w:t>12</w:t>
      </w:r>
      <w:r w:rsidR="005C3F66">
        <w:rPr>
          <w:szCs w:val="22"/>
        </w:rPr>
        <w:t>-8</w:t>
      </w:r>
      <w:r w:rsidR="004F03A3">
        <w:rPr>
          <w:szCs w:val="22"/>
        </w:rPr>
        <w:t>3</w:t>
      </w:r>
      <w:r>
        <w:rPr>
          <w:szCs w:val="22"/>
        </w:rPr>
        <w:t xml:space="preserve">.  Parties may also submit an electronic comment by Internet e-mail.  To get filing instructions, filers should send an e-mail to </w:t>
      </w:r>
      <w:hyperlink r:id="rId15" w:history="1">
        <w:r>
          <w:rPr>
            <w:rStyle w:val="Hyperlink"/>
          </w:rPr>
          <w:t>ecfs@fcc.gov</w:t>
        </w:r>
      </w:hyperlink>
      <w:r>
        <w:rPr>
          <w:szCs w:val="22"/>
        </w:rPr>
        <w:t xml:space="preserve">, and include the following words in the body of the message:  “get form”. A sample form and instructions will be sent in response.  </w:t>
      </w:r>
    </w:p>
    <w:p w:rsidR="00DD5CFC" w:rsidRDefault="00DA01E5">
      <w:pPr>
        <w:pStyle w:val="ParaNum"/>
        <w:tabs>
          <w:tab w:val="clear" w:pos="1080"/>
        </w:tabs>
        <w:ind w:firstLine="0"/>
        <w:jc w:val="left"/>
        <w:rPr>
          <w:szCs w:val="22"/>
        </w:rPr>
      </w:pPr>
      <w:r>
        <w:rPr>
          <w:szCs w:val="22"/>
        </w:rPr>
        <w:t>Paper Filers: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DD5CFC" w:rsidRDefault="00DA01E5">
      <w:pPr>
        <w:pStyle w:val="ParaNum"/>
        <w:tabs>
          <w:tab w:val="clear" w:pos="1080"/>
        </w:tabs>
        <w:ind w:firstLine="0"/>
        <w:jc w:val="left"/>
      </w:pPr>
      <w:r>
        <w:t xml:space="preserve">All hand-delivered or messenger-delivered paper filings for the </w:t>
      </w:r>
      <w:r>
        <w:rPr>
          <w:szCs w:val="22"/>
        </w:rPr>
        <w:t>Commission’s</w:t>
      </w:r>
      <w:r>
        <w:t xml:space="preserve"> Secretary must be delivered to FCC Headquarters at 445 12</w:t>
      </w:r>
      <w:r>
        <w:rPr>
          <w:vertAlign w:val="superscript"/>
        </w:rPr>
        <w:t>th</w:t>
      </w:r>
      <w:r>
        <w:t xml:space="preserve"> St., SW, Room TW-A325, Washington, DC 20554.  All hand deliveries must be held together with rubber bands or fasteners.  Any envelop</w:t>
      </w:r>
      <w:r>
        <w:rPr>
          <w:szCs w:val="22"/>
        </w:rPr>
        <w:t>e</w:t>
      </w:r>
      <w:r>
        <w:t xml:space="preserve">s must be disposed of </w:t>
      </w:r>
      <w:r>
        <w:rPr>
          <w:u w:val="single"/>
        </w:rPr>
        <w:t>before</w:t>
      </w:r>
      <w:r>
        <w:t xml:space="preserve"> entering the building.  The filing hours are 8:00 a.m. to 7:00 p.m.</w:t>
      </w:r>
    </w:p>
    <w:p w:rsidR="00DD5CFC" w:rsidRDefault="00DA01E5">
      <w:pPr>
        <w:pStyle w:val="ParaNum"/>
        <w:tabs>
          <w:tab w:val="clear" w:pos="1080"/>
        </w:tabs>
        <w:ind w:firstLine="0"/>
        <w:jc w:val="left"/>
      </w:pPr>
      <w:r>
        <w:t>Commercial overnight mail (other than U.S. Postal Service Express Mail and Priority Mail) must be sent to 9300 East Hampton Drive, Capitol Heights, MD  20743.</w:t>
      </w:r>
    </w:p>
    <w:p w:rsidR="00DD5CFC" w:rsidRDefault="00DA01E5">
      <w:pPr>
        <w:pStyle w:val="ParaNum"/>
        <w:tabs>
          <w:tab w:val="clear" w:pos="1080"/>
        </w:tabs>
        <w:ind w:firstLine="0"/>
        <w:jc w:val="left"/>
      </w:pPr>
      <w:r>
        <w:t>U.S. Postal Service first-class, Express, and Priority mail must be addressed to 445 12</w:t>
      </w:r>
      <w:r>
        <w:rPr>
          <w:vertAlign w:val="superscript"/>
        </w:rPr>
        <w:t>th</w:t>
      </w:r>
      <w:r>
        <w:t xml:space="preserve"> Street, SW, Washington DC  20554.</w:t>
      </w:r>
      <w:r>
        <w:rPr>
          <w:szCs w:val="22"/>
        </w:rPr>
        <w:t xml:space="preserve"> </w:t>
      </w:r>
    </w:p>
    <w:p w:rsidR="00DD5CFC" w:rsidRDefault="00DA01E5">
      <w:pPr>
        <w:spacing w:after="240"/>
        <w:rPr>
          <w:szCs w:val="22"/>
        </w:rPr>
      </w:pPr>
      <w:r>
        <w:rPr>
          <w:szCs w:val="22"/>
        </w:rPr>
        <w:t>One copy of each pleading must be sent to Brendan M</w:t>
      </w:r>
      <w:r w:rsidR="005C3F66">
        <w:rPr>
          <w:szCs w:val="22"/>
        </w:rPr>
        <w:t>urray, Media Bureau, Room 4-A726</w:t>
      </w:r>
      <w:r>
        <w:rPr>
          <w:szCs w:val="22"/>
        </w:rPr>
        <w:t>, 445 12</w:t>
      </w:r>
      <w:r>
        <w:rPr>
          <w:szCs w:val="22"/>
          <w:vertAlign w:val="superscript"/>
        </w:rPr>
        <w:t>th</w:t>
      </w:r>
      <w:r>
        <w:rPr>
          <w:szCs w:val="22"/>
        </w:rPr>
        <w:t xml:space="preserve"> Street, S.W., Washington, D.C. 20554 or </w:t>
      </w:r>
      <w:hyperlink r:id="rId16" w:history="1">
        <w:r>
          <w:rPr>
            <w:rStyle w:val="Hyperlink"/>
          </w:rPr>
          <w:t>Brendan.Murray@fcc.gov</w:t>
        </w:r>
      </w:hyperlink>
      <w:r>
        <w:rPr>
          <w:szCs w:val="22"/>
        </w:rPr>
        <w:t xml:space="preserve">.  </w:t>
      </w:r>
    </w:p>
    <w:p w:rsidR="00DD5CFC" w:rsidRDefault="00DA01E5">
      <w:pPr>
        <w:spacing w:after="240"/>
        <w:rPr>
          <w:szCs w:val="22"/>
        </w:rPr>
      </w:pPr>
      <w:r>
        <w:rPr>
          <w:szCs w:val="22"/>
        </w:rPr>
        <w:t>Copies of the Waiver Request and any subsequently filed documents in this matter are also available for inspection in the Commission’s Reference Information Center:</w:t>
      </w:r>
    </w:p>
    <w:p w:rsidR="00DD5CFC" w:rsidRDefault="00DA01E5">
      <w:pPr>
        <w:ind w:left="720"/>
        <w:rPr>
          <w:szCs w:val="22"/>
        </w:rPr>
      </w:pPr>
      <w:r>
        <w:rPr>
          <w:szCs w:val="22"/>
        </w:rPr>
        <w:t>445 12</w:t>
      </w:r>
      <w:r>
        <w:rPr>
          <w:szCs w:val="22"/>
          <w:vertAlign w:val="superscript"/>
        </w:rPr>
        <w:t>th</w:t>
      </w:r>
      <w:r>
        <w:rPr>
          <w:szCs w:val="22"/>
        </w:rPr>
        <w:t xml:space="preserve"> Street, S.W., Room CY-B402</w:t>
      </w:r>
    </w:p>
    <w:p w:rsidR="00DD5CFC" w:rsidRDefault="00DA01E5">
      <w:pPr>
        <w:ind w:left="720"/>
        <w:rPr>
          <w:szCs w:val="22"/>
        </w:rPr>
      </w:pPr>
      <w:r>
        <w:rPr>
          <w:szCs w:val="22"/>
        </w:rPr>
        <w:t>Washington, D.C. 20554</w:t>
      </w:r>
    </w:p>
    <w:p w:rsidR="00DD5CFC" w:rsidRDefault="00DA01E5">
      <w:pPr>
        <w:ind w:left="720"/>
        <w:rPr>
          <w:szCs w:val="22"/>
        </w:rPr>
      </w:pPr>
      <w:r>
        <w:rPr>
          <w:szCs w:val="22"/>
        </w:rPr>
        <w:t>(202) 418-0270</w:t>
      </w:r>
    </w:p>
    <w:p w:rsidR="00DD5CFC" w:rsidRDefault="00DD5CFC">
      <w:pPr>
        <w:rPr>
          <w:szCs w:val="22"/>
        </w:rPr>
      </w:pPr>
    </w:p>
    <w:p w:rsidR="00DD5CFC" w:rsidRDefault="00DA01E5">
      <w:pPr>
        <w:spacing w:after="240"/>
        <w:rPr>
          <w:szCs w:val="22"/>
        </w:rPr>
      </w:pPr>
      <w:r>
        <w:rPr>
          <w:szCs w:val="22"/>
        </w:rPr>
        <w:t>Alternate formats of this Public Notice (computer diskette, large print, audio recording, or Braille) are available to persons with disabilities by contacting the Consumer and Governmental Affairs Bureau at (202) 418-0530 or (202) 418-7365 (TTY).</w:t>
      </w:r>
    </w:p>
    <w:p w:rsidR="00DD5CFC" w:rsidRDefault="00DA01E5">
      <w:pPr>
        <w:keepNext/>
        <w:keepLines/>
        <w:spacing w:after="240"/>
        <w:rPr>
          <w:szCs w:val="22"/>
        </w:rPr>
      </w:pPr>
      <w:r>
        <w:rPr>
          <w:szCs w:val="22"/>
        </w:rPr>
        <w:t>For further information, contact Brendan Murray of the Media Bureau, (202) 418-2120.  Press inquiries should be directed to Janice Wise, (202) 418-8165 or Janice.Wise@fcc.gov.  TTY: (202) 418-7172 or (888) 835-5322.</w:t>
      </w:r>
    </w:p>
    <w:p w:rsidR="00DA01E5" w:rsidRDefault="00DA01E5">
      <w:pPr>
        <w:jc w:val="center"/>
      </w:pPr>
      <w:r>
        <w:rPr>
          <w:szCs w:val="22"/>
        </w:rPr>
        <w:t>-FCC-</w:t>
      </w:r>
    </w:p>
    <w:sectPr w:rsidR="00DA01E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46" w:rsidRDefault="00FA3246">
      <w:r>
        <w:separator/>
      </w:r>
    </w:p>
  </w:endnote>
  <w:endnote w:type="continuationSeparator" w:id="0">
    <w:p w:rsidR="00FA3246" w:rsidRDefault="00FA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DA0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CFC" w:rsidRDefault="00DD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DA0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652">
      <w:rPr>
        <w:rStyle w:val="PageNumber"/>
        <w:noProof/>
      </w:rPr>
      <w:t>2</w:t>
    </w:r>
    <w:r>
      <w:rPr>
        <w:rStyle w:val="PageNumber"/>
      </w:rPr>
      <w:fldChar w:fldCharType="end"/>
    </w:r>
  </w:p>
  <w:p w:rsidR="00DD5CFC" w:rsidRDefault="00DD5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2" w:rsidRDefault="0009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46" w:rsidRDefault="00FA3246">
      <w:r>
        <w:separator/>
      </w:r>
    </w:p>
  </w:footnote>
  <w:footnote w:type="continuationSeparator" w:id="0">
    <w:p w:rsidR="00FA3246" w:rsidRDefault="00FA3246">
      <w:r>
        <w:continuationSeparator/>
      </w:r>
    </w:p>
  </w:footnote>
  <w:footnote w:id="1">
    <w:p w:rsidR="009F724B" w:rsidRDefault="009F724B">
      <w:pPr>
        <w:pStyle w:val="FootnoteText"/>
      </w:pPr>
      <w:r>
        <w:rPr>
          <w:rStyle w:val="FootnoteReference"/>
        </w:rPr>
        <w:footnoteRef/>
      </w:r>
      <w:r>
        <w:t xml:space="preserve"> </w:t>
      </w:r>
      <w:r w:rsidRPr="002459CD">
        <w:rPr>
          <w:i/>
        </w:rPr>
        <w:t>See</w:t>
      </w:r>
      <w:r w:rsidRPr="002459CD">
        <w:t xml:space="preserve"> Sky Angel Program Access Complaint; Sky Angel U.S., LLC, Emergency Petition for Temporary Standstill, MB Docket No. 12-80, File No. CSR-8605-P (March 24, 2010).</w:t>
      </w:r>
      <w:r>
        <w:t xml:space="preserve">  </w:t>
      </w:r>
    </w:p>
  </w:footnote>
  <w:footnote w:id="2">
    <w:p w:rsidR="006528F3" w:rsidRPr="006528F3" w:rsidRDefault="006528F3">
      <w:pPr>
        <w:pStyle w:val="FootnoteText"/>
      </w:pPr>
      <w:r>
        <w:rPr>
          <w:rStyle w:val="FootnoteReference"/>
        </w:rPr>
        <w:footnoteRef/>
      </w:r>
      <w:r>
        <w:t xml:space="preserve"> </w:t>
      </w:r>
      <w:r w:rsidR="00CD22C0" w:rsidRPr="006528F3">
        <w:rPr>
          <w:i/>
        </w:rPr>
        <w:t>Media Bureau Seeks Comment on Interpretation of the Terms “Multichannel Video Programming Distributor” and “Channel” as Raised in Pending Program Access Complaint Proceeding</w:t>
      </w:r>
      <w:r w:rsidR="00CD22C0">
        <w:t>, Public Notice, 27 FCC Rcd 3079, 3087 (MB 2012)</w:t>
      </w:r>
      <w:r>
        <w:rPr>
          <w:szCs w:val="22"/>
        </w:rPr>
        <w:t>.</w:t>
      </w:r>
    </w:p>
  </w:footnote>
  <w:footnote w:id="3">
    <w:p w:rsidR="00B1432F" w:rsidRDefault="00B1432F">
      <w:pPr>
        <w:pStyle w:val="FootnoteText"/>
      </w:pPr>
      <w:r>
        <w:rPr>
          <w:rStyle w:val="FootnoteReference"/>
        </w:rPr>
        <w:footnoteRef/>
      </w:r>
      <w:r>
        <w:t xml:space="preserve"> </w:t>
      </w:r>
      <w:r>
        <w:rPr>
          <w:szCs w:val="22"/>
        </w:rPr>
        <w:t>47 C.F.R. §§ 1.1200, 1.1206.</w:t>
      </w:r>
    </w:p>
  </w:footnote>
  <w:footnote w:id="4">
    <w:p w:rsidR="009C7CF6" w:rsidRDefault="009C7CF6">
      <w:pPr>
        <w:pStyle w:val="FootnoteText"/>
      </w:pPr>
      <w:r>
        <w:rPr>
          <w:rStyle w:val="FootnoteReference"/>
        </w:rPr>
        <w:footnoteRef/>
      </w:r>
      <w:r>
        <w:t xml:space="preserve"> 47 C.F.R. </w:t>
      </w:r>
      <w:r>
        <w:rPr>
          <w:szCs w:val="22"/>
        </w:rPr>
        <w:t>§ 1.1208.  The Sky Angel complaint record is available in MB Docket No. 12-80.</w:t>
      </w:r>
    </w:p>
  </w:footnote>
  <w:footnote w:id="5">
    <w:p w:rsidR="003E5822" w:rsidRDefault="003E5822">
      <w:pPr>
        <w:pStyle w:val="FootnoteText"/>
      </w:pPr>
      <w:r>
        <w:rPr>
          <w:rStyle w:val="FootnoteReference"/>
        </w:rPr>
        <w:footnoteRef/>
      </w:r>
      <w:r>
        <w:t xml:space="preserve"> </w:t>
      </w:r>
      <w:r>
        <w:rPr>
          <w:szCs w:val="22"/>
        </w:rPr>
        <w:t>47 C.F.R. §</w:t>
      </w:r>
      <w:r w:rsidR="00B1432F">
        <w:rPr>
          <w:szCs w:val="22"/>
        </w:rPr>
        <w:t xml:space="preserve"> </w:t>
      </w:r>
      <w:r>
        <w:rPr>
          <w:szCs w:val="22"/>
        </w:rPr>
        <w:t>1.1202(b).</w:t>
      </w:r>
    </w:p>
  </w:footnote>
  <w:footnote w:id="6">
    <w:p w:rsidR="009A6CE2" w:rsidRDefault="009A6CE2">
      <w:pPr>
        <w:pStyle w:val="FootnoteText"/>
      </w:pPr>
      <w:r>
        <w:rPr>
          <w:rStyle w:val="FootnoteReference"/>
        </w:rPr>
        <w:footnoteRef/>
      </w:r>
      <w:r>
        <w:t xml:space="preserve"> </w:t>
      </w:r>
      <w:r>
        <w:rPr>
          <w:szCs w:val="22"/>
        </w:rPr>
        <w:t>47 C.F.R. § 1.1202(c).</w:t>
      </w:r>
    </w:p>
  </w:footnote>
  <w:footnote w:id="7">
    <w:p w:rsidR="003E5822" w:rsidRDefault="003E5822">
      <w:pPr>
        <w:pStyle w:val="FootnoteText"/>
      </w:pPr>
      <w:r>
        <w:rPr>
          <w:rStyle w:val="FootnoteReference"/>
        </w:rPr>
        <w:footnoteRef/>
      </w:r>
      <w:r>
        <w:t xml:space="preserve"> </w:t>
      </w:r>
      <w:r>
        <w:rPr>
          <w:szCs w:val="22"/>
        </w:rPr>
        <w:t>47 C.F.R. §1.1206.</w:t>
      </w:r>
    </w:p>
  </w:footnote>
  <w:footnote w:id="8">
    <w:p w:rsidR="00DD5CFC" w:rsidRPr="000D33EC" w:rsidRDefault="00DA01E5">
      <w:pPr>
        <w:pStyle w:val="FootnoteText"/>
      </w:pPr>
      <w:r w:rsidRPr="000D33EC">
        <w:rPr>
          <w:rStyle w:val="FootnoteCharacters"/>
        </w:rPr>
        <w:footnoteRef/>
      </w:r>
      <w:r w:rsidRPr="000D33EC">
        <w:t xml:space="preserve"> </w:t>
      </w:r>
      <w:r w:rsidRPr="000D33EC">
        <w:rPr>
          <w:i/>
        </w:rPr>
        <w:t>See Electronic Filing of Documents in Rulemaking Proceedings</w:t>
      </w:r>
      <w:r w:rsidRPr="000D33EC">
        <w:t xml:space="preserve">, GC Docket No. 97-113, Report and Order, 13 FCC Rcd 11322, 11326, </w:t>
      </w:r>
      <w:r w:rsidR="00A12431" w:rsidRPr="002459CD">
        <w:t>¶</w:t>
      </w:r>
      <w:r w:rsidRPr="000D33EC">
        <w:t xml:space="preserve"> 8 (April 6, 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2" w:rsidRDefault="00094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2" w:rsidRDefault="0009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C" w:rsidRDefault="005C3F6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3A67AFA" wp14:editId="14C88A6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C71A8F7" wp14:editId="5F6C03FD">
              <wp:simplePos x="0" y="0"/>
              <wp:positionH relativeFrom="column">
                <wp:posOffset>604520</wp:posOffset>
              </wp:positionH>
              <wp:positionV relativeFrom="paragraph">
                <wp:posOffset>731520</wp:posOffset>
              </wp:positionV>
              <wp:extent cx="3108960" cy="640080"/>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FC" w:rsidRDefault="00DA01E5">
                          <w:pPr>
                            <w:rPr>
                              <w:rFonts w:ascii="Arial" w:hAnsi="Arial"/>
                              <w:b/>
                            </w:rPr>
                          </w:pPr>
                          <w:r>
                            <w:rPr>
                              <w:rFonts w:ascii="Arial" w:hAnsi="Arial"/>
                              <w:b/>
                            </w:rPr>
                            <w:t>Federal Communications Commission</w:t>
                          </w:r>
                        </w:p>
                        <w:p w:rsidR="00DD5CFC" w:rsidRDefault="00DA01E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D5CFC" w:rsidRDefault="00DA01E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D5CFC" w:rsidRDefault="00DA01E5">
                    <w:pPr>
                      <w:rPr>
                        <w:rFonts w:ascii="Arial" w:hAnsi="Arial"/>
                        <w:b/>
                      </w:rPr>
                    </w:pPr>
                    <w:r>
                      <w:rPr>
                        <w:rFonts w:ascii="Arial" w:hAnsi="Arial"/>
                        <w:b/>
                      </w:rPr>
                      <w:t>Federal Communications Commission</w:t>
                    </w:r>
                  </w:p>
                  <w:p w:rsidR="00DD5CFC" w:rsidRDefault="00DA01E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D5CFC" w:rsidRDefault="00DA01E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DA01E5">
      <w:rPr>
        <w:rFonts w:ascii="News Gothic MT" w:hAnsi="News Gothic MT"/>
        <w:b/>
        <w:kern w:val="28"/>
        <w:sz w:val="96"/>
      </w:rPr>
      <w:t>PUBLIC NOTICE</w:t>
    </w:r>
  </w:p>
  <w:p w:rsidR="00DD5CFC" w:rsidRDefault="005C3F6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DE1EF47" wp14:editId="6FA565FC">
              <wp:simplePos x="0" y="0"/>
              <wp:positionH relativeFrom="column">
                <wp:posOffset>0</wp:posOffset>
              </wp:positionH>
              <wp:positionV relativeFrom="paragraph">
                <wp:posOffset>697865</wp:posOffset>
              </wp:positionV>
              <wp:extent cx="6858000" cy="2540"/>
              <wp:effectExtent l="9525" t="12065"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74663AB" wp14:editId="226A58FC">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FC" w:rsidRDefault="00DA01E5">
                          <w:pPr>
                            <w:spacing w:before="40"/>
                            <w:jc w:val="right"/>
                            <w:rPr>
                              <w:rFonts w:ascii="Arial" w:hAnsi="Arial"/>
                              <w:b/>
                              <w:sz w:val="16"/>
                            </w:rPr>
                          </w:pPr>
                          <w:r>
                            <w:rPr>
                              <w:rFonts w:ascii="Arial" w:hAnsi="Arial"/>
                              <w:b/>
                              <w:sz w:val="16"/>
                            </w:rPr>
                            <w:t>News Media Information 202 / 418-0500</w:t>
                          </w:r>
                        </w:p>
                        <w:p w:rsidR="00DD5CFC" w:rsidRDefault="00DA01E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D5CFC" w:rsidRDefault="00DA01E5">
                          <w:pPr>
                            <w:jc w:val="right"/>
                            <w:rPr>
                              <w:rFonts w:ascii="Arial" w:hAnsi="Arial"/>
                              <w:b/>
                              <w:sz w:val="16"/>
                            </w:rPr>
                          </w:pPr>
                          <w:r>
                            <w:rPr>
                              <w:rFonts w:ascii="Arial" w:hAnsi="Arial"/>
                              <w:b/>
                              <w:sz w:val="16"/>
                            </w:rPr>
                            <w:t>TTY: 1-888-835-5322</w:t>
                          </w:r>
                        </w:p>
                        <w:p w:rsidR="00DD5CFC" w:rsidRDefault="00DD5C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D5CFC" w:rsidRDefault="00DA01E5">
                    <w:pPr>
                      <w:spacing w:before="40"/>
                      <w:jc w:val="right"/>
                      <w:rPr>
                        <w:rFonts w:ascii="Arial" w:hAnsi="Arial"/>
                        <w:b/>
                        <w:sz w:val="16"/>
                      </w:rPr>
                    </w:pPr>
                    <w:r>
                      <w:rPr>
                        <w:rFonts w:ascii="Arial" w:hAnsi="Arial"/>
                        <w:b/>
                        <w:sz w:val="16"/>
                      </w:rPr>
                      <w:t>News Media Information 202 / 418-0500</w:t>
                    </w:r>
                  </w:p>
                  <w:p w:rsidR="00DD5CFC" w:rsidRDefault="00DA01E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D5CFC" w:rsidRDefault="00DA01E5">
                    <w:pPr>
                      <w:jc w:val="right"/>
                      <w:rPr>
                        <w:rFonts w:ascii="Arial" w:hAnsi="Arial"/>
                        <w:b/>
                        <w:sz w:val="16"/>
                      </w:rPr>
                    </w:pPr>
                    <w:r>
                      <w:rPr>
                        <w:rFonts w:ascii="Arial" w:hAnsi="Arial"/>
                        <w:b/>
                        <w:sz w:val="16"/>
                      </w:rPr>
                      <w:t>TTY: 1-888-835-5322</w:t>
                    </w:r>
                  </w:p>
                  <w:p w:rsidR="00DD5CFC" w:rsidRDefault="00DD5CFC">
                    <w:pPr>
                      <w:jc w:val="right"/>
                    </w:pPr>
                  </w:p>
                </w:txbxContent>
              </v:textbox>
            </v:shape>
          </w:pict>
        </mc:Fallback>
      </mc:AlternateContent>
    </w:r>
  </w:p>
  <w:p w:rsidR="00DD5CFC" w:rsidRDefault="00DD5CFC">
    <w:pPr>
      <w:pStyle w:val="Header"/>
      <w:tabs>
        <w:tab w:val="clear" w:pos="4320"/>
        <w:tab w:val="clear" w:pos="8640"/>
        <w:tab w:val="left" w:pos="1080"/>
      </w:tabs>
      <w:ind w:left="720"/>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4C"/>
    <w:rsid w:val="00094652"/>
    <w:rsid w:val="000D33EC"/>
    <w:rsid w:val="000D5E22"/>
    <w:rsid w:val="00131571"/>
    <w:rsid w:val="00143B6B"/>
    <w:rsid w:val="00176F18"/>
    <w:rsid w:val="00184928"/>
    <w:rsid w:val="001B1C2B"/>
    <w:rsid w:val="001E7057"/>
    <w:rsid w:val="00232380"/>
    <w:rsid w:val="00251256"/>
    <w:rsid w:val="002C0A58"/>
    <w:rsid w:val="002C0E10"/>
    <w:rsid w:val="00365E9D"/>
    <w:rsid w:val="00370432"/>
    <w:rsid w:val="00377BF8"/>
    <w:rsid w:val="003E5822"/>
    <w:rsid w:val="00481BF4"/>
    <w:rsid w:val="004F03A3"/>
    <w:rsid w:val="005075C6"/>
    <w:rsid w:val="00507F74"/>
    <w:rsid w:val="005160EF"/>
    <w:rsid w:val="005307C3"/>
    <w:rsid w:val="005762EB"/>
    <w:rsid w:val="005C3F66"/>
    <w:rsid w:val="006216A0"/>
    <w:rsid w:val="006528F3"/>
    <w:rsid w:val="006B6901"/>
    <w:rsid w:val="0074023A"/>
    <w:rsid w:val="007A2C37"/>
    <w:rsid w:val="007C1210"/>
    <w:rsid w:val="00861FDE"/>
    <w:rsid w:val="00866B4C"/>
    <w:rsid w:val="00877323"/>
    <w:rsid w:val="00885EDF"/>
    <w:rsid w:val="00954CCD"/>
    <w:rsid w:val="009A6CE2"/>
    <w:rsid w:val="009C7CF6"/>
    <w:rsid w:val="009F724B"/>
    <w:rsid w:val="00A12431"/>
    <w:rsid w:val="00B1432F"/>
    <w:rsid w:val="00B743AB"/>
    <w:rsid w:val="00BB2C6A"/>
    <w:rsid w:val="00C0181D"/>
    <w:rsid w:val="00CD22C0"/>
    <w:rsid w:val="00CE0BFD"/>
    <w:rsid w:val="00CE4067"/>
    <w:rsid w:val="00D57037"/>
    <w:rsid w:val="00DA01E5"/>
    <w:rsid w:val="00DD5CFC"/>
    <w:rsid w:val="00E70740"/>
    <w:rsid w:val="00EF2821"/>
    <w:rsid w:val="00EF2981"/>
    <w:rsid w:val="00F727F9"/>
    <w:rsid w:val="00F7311D"/>
    <w:rsid w:val="00FA3246"/>
    <w:rsid w:val="00FA4F9C"/>
    <w:rsid w:val="00FC015F"/>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901"/>
  </w:style>
  <w:style w:type="character" w:default="1" w:styleId="DefaultParagraphFont">
    <w:name w:val="Default Paragraph Font"/>
    <w:semiHidden/>
    <w:rsid w:val="006B69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901"/>
  </w:style>
  <w:style w:type="paragraph" w:styleId="Header">
    <w:name w:val="header"/>
    <w:basedOn w:val="Normal"/>
    <w:rsid w:val="006B6901"/>
    <w:pPr>
      <w:tabs>
        <w:tab w:val="center" w:pos="4320"/>
        <w:tab w:val="right" w:pos="8640"/>
      </w:tabs>
    </w:pPr>
  </w:style>
  <w:style w:type="character" w:styleId="Hyperlink">
    <w:name w:val="Hyperlink"/>
    <w:rsid w:val="006B6901"/>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character" w:customStyle="1" w:styleId="FootnoteCharacters">
    <w:name w:val="Footnote Characters"/>
    <w:rPr>
      <w:vertAlign w:val="superscript"/>
    </w:rPr>
  </w:style>
  <w:style w:type="paragraph" w:customStyle="1" w:styleId="ParaNum">
    <w:name w:val="ParaNum"/>
    <w:basedOn w:val="Normal"/>
    <w:pPr>
      <w:widowControl w:val="0"/>
      <w:tabs>
        <w:tab w:val="left" w:pos="1080"/>
        <w:tab w:val="left" w:pos="1440"/>
      </w:tabs>
      <w:suppressAutoHyphens/>
      <w:spacing w:after="220"/>
      <w:ind w:firstLine="720"/>
      <w:jc w:val="both"/>
    </w:pPr>
    <w:rPr>
      <w:lang w:eastAsia="ar-SA"/>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6B6901"/>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901"/>
  </w:style>
  <w:style w:type="character" w:default="1" w:styleId="DefaultParagraphFont">
    <w:name w:val="Default Paragraph Font"/>
    <w:semiHidden/>
    <w:rsid w:val="006B69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901"/>
  </w:style>
  <w:style w:type="paragraph" w:styleId="Header">
    <w:name w:val="header"/>
    <w:basedOn w:val="Normal"/>
    <w:rsid w:val="006B6901"/>
    <w:pPr>
      <w:tabs>
        <w:tab w:val="center" w:pos="4320"/>
        <w:tab w:val="right" w:pos="8640"/>
      </w:tabs>
    </w:pPr>
  </w:style>
  <w:style w:type="character" w:styleId="Hyperlink">
    <w:name w:val="Hyperlink"/>
    <w:rsid w:val="006B6901"/>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character" w:customStyle="1" w:styleId="FootnoteCharacters">
    <w:name w:val="Footnote Characters"/>
    <w:rPr>
      <w:vertAlign w:val="superscript"/>
    </w:rPr>
  </w:style>
  <w:style w:type="paragraph" w:customStyle="1" w:styleId="ParaNum">
    <w:name w:val="ParaNum"/>
    <w:basedOn w:val="Normal"/>
    <w:pPr>
      <w:widowControl w:val="0"/>
      <w:tabs>
        <w:tab w:val="left" w:pos="1080"/>
        <w:tab w:val="left" w:pos="1440"/>
      </w:tabs>
      <w:suppressAutoHyphens/>
      <w:spacing w:after="220"/>
      <w:ind w:firstLine="720"/>
      <w:jc w:val="both"/>
    </w:pPr>
    <w:rPr>
      <w:lang w:eastAsia="ar-SA"/>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6B6901"/>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cc.gov/e-file/ecf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rendan.Murray@fcc.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cfs@fcc.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gulation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706</Words>
  <Characters>3979</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4694</CharactersWithSpaces>
  <SharedDoc>false</SharedDoc>
  <HyperlinkBase> </HyperlinkBase>
  <HLinks>
    <vt:vector size="24" baseType="variant">
      <vt:variant>
        <vt:i4>7536645</vt:i4>
      </vt:variant>
      <vt:variant>
        <vt:i4>9</vt:i4>
      </vt:variant>
      <vt:variant>
        <vt:i4>0</vt:i4>
      </vt:variant>
      <vt:variant>
        <vt:i4>5</vt:i4>
      </vt:variant>
      <vt:variant>
        <vt:lpwstr>mailto:Brendan.Murray@fcc.gov</vt:lpwstr>
      </vt:variant>
      <vt:variant>
        <vt:lpwstr/>
      </vt:variant>
      <vt:variant>
        <vt:i4>196664</vt:i4>
      </vt:variant>
      <vt:variant>
        <vt:i4>6</vt:i4>
      </vt:variant>
      <vt:variant>
        <vt:i4>0</vt:i4>
      </vt:variant>
      <vt:variant>
        <vt:i4>5</vt:i4>
      </vt:variant>
      <vt:variant>
        <vt:lpwstr>mailto:ecfs@fcc.gov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6946853</vt:i4>
      </vt:variant>
      <vt:variant>
        <vt:i4>0</vt:i4>
      </vt:variant>
      <vt:variant>
        <vt:i4>0</vt:i4>
      </vt:variant>
      <vt:variant>
        <vt:i4>5</vt:i4>
      </vt:variant>
      <vt:variant>
        <vt:lpwstr>http://www.fcc.gov/e-file/ecfs.html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2014-09-29T21:24:00Z</cp:lastPrinted>
  <dcterms:created xsi:type="dcterms:W3CDTF">2014-09-30T13:57:00Z</dcterms:created>
  <dcterms:modified xsi:type="dcterms:W3CDTF">2014-09-30T13:57:00Z</dcterms:modified>
  <cp:category> </cp:category>
  <cp:contentStatus> </cp:contentStatus>
</cp:coreProperties>
</file>