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85" w:rsidRDefault="00134885" w:rsidP="0089223E">
      <w:pPr>
        <w:rPr>
          <w:b/>
          <w:szCs w:val="22"/>
          <w:u w:val="single"/>
        </w:rPr>
      </w:pPr>
      <w:bookmarkStart w:id="0" w:name="_GoBack"/>
      <w:bookmarkEnd w:id="0"/>
    </w:p>
    <w:p w:rsidR="001F6D1F" w:rsidRPr="00262ED4" w:rsidRDefault="0040320D" w:rsidP="0089223E">
      <w:pPr>
        <w:rPr>
          <w:b/>
          <w:szCs w:val="22"/>
        </w:rPr>
      </w:pPr>
      <w:r w:rsidRPr="00262ED4">
        <w:rPr>
          <w:b/>
          <w:szCs w:val="22"/>
        </w:rPr>
        <w:tab/>
      </w:r>
      <w:r w:rsidR="00B237ED" w:rsidRPr="00262ED4">
        <w:rPr>
          <w:b/>
          <w:szCs w:val="22"/>
        </w:rPr>
        <w:tab/>
      </w:r>
      <w:r w:rsidRPr="00262ED4">
        <w:rPr>
          <w:b/>
          <w:szCs w:val="22"/>
        </w:rPr>
        <w:tab/>
      </w:r>
      <w:r w:rsidR="00890218" w:rsidRPr="00262ED4">
        <w:rPr>
          <w:b/>
          <w:szCs w:val="22"/>
        </w:rPr>
        <w:tab/>
        <w:t xml:space="preserve"> </w:t>
      </w:r>
      <w:r w:rsidR="009D66C0" w:rsidRPr="00262ED4">
        <w:rPr>
          <w:b/>
          <w:szCs w:val="22"/>
        </w:rPr>
        <w:tab/>
      </w:r>
      <w:r w:rsidR="009D66C0" w:rsidRPr="00262ED4">
        <w:rPr>
          <w:b/>
          <w:szCs w:val="22"/>
        </w:rPr>
        <w:tab/>
      </w:r>
      <w:r w:rsidR="00890218" w:rsidRPr="00262ED4">
        <w:rPr>
          <w:b/>
          <w:szCs w:val="22"/>
        </w:rPr>
        <w:t xml:space="preserve"> </w:t>
      </w:r>
      <w:r w:rsidR="00A43028">
        <w:rPr>
          <w:b/>
          <w:szCs w:val="22"/>
        </w:rPr>
        <w:tab/>
      </w:r>
      <w:r w:rsidR="00A43028">
        <w:rPr>
          <w:b/>
          <w:szCs w:val="22"/>
        </w:rPr>
        <w:tab/>
      </w:r>
      <w:r w:rsidR="00890218" w:rsidRPr="00262ED4">
        <w:rPr>
          <w:b/>
          <w:szCs w:val="22"/>
        </w:rPr>
        <w:t xml:space="preserve"> </w:t>
      </w:r>
      <w:r w:rsidR="00E85923">
        <w:rPr>
          <w:b/>
          <w:szCs w:val="22"/>
        </w:rPr>
        <w:t xml:space="preserve">                                         </w:t>
      </w:r>
      <w:r w:rsidR="001F6D1F" w:rsidRPr="00A12FD3">
        <w:rPr>
          <w:szCs w:val="22"/>
        </w:rPr>
        <w:t xml:space="preserve">DA </w:t>
      </w:r>
      <w:r w:rsidR="0098575E" w:rsidRPr="00A12FD3">
        <w:rPr>
          <w:szCs w:val="22"/>
        </w:rPr>
        <w:t>14</w:t>
      </w:r>
      <w:r w:rsidR="001F6D1F" w:rsidRPr="00A12FD3">
        <w:rPr>
          <w:szCs w:val="22"/>
        </w:rPr>
        <w:t>-</w:t>
      </w:r>
      <w:r w:rsidR="00966A6E">
        <w:rPr>
          <w:szCs w:val="22"/>
        </w:rPr>
        <w:t>1418</w:t>
      </w:r>
    </w:p>
    <w:p w:rsidR="00AE68C1" w:rsidRPr="00262ED4" w:rsidRDefault="00AE68C1" w:rsidP="00AE68C1">
      <w:pPr>
        <w:jc w:val="center"/>
        <w:rPr>
          <w:b/>
          <w:szCs w:val="22"/>
        </w:rPr>
      </w:pPr>
    </w:p>
    <w:p w:rsidR="00FE5590" w:rsidRPr="00262ED4" w:rsidRDefault="00FE5590" w:rsidP="009218E8">
      <w:pPr>
        <w:jc w:val="both"/>
        <w:rPr>
          <w:szCs w:val="22"/>
        </w:rPr>
      </w:pPr>
      <w:r w:rsidRPr="00262ED4">
        <w:rPr>
          <w:szCs w:val="22"/>
        </w:rPr>
        <w:t>Jeanine Poltronieri, Esq.</w:t>
      </w:r>
    </w:p>
    <w:p w:rsidR="00067AC9" w:rsidRPr="00262ED4" w:rsidRDefault="003C328B" w:rsidP="009218E8">
      <w:pPr>
        <w:jc w:val="both"/>
        <w:rPr>
          <w:szCs w:val="22"/>
        </w:rPr>
      </w:pPr>
      <w:r w:rsidRPr="00262ED4">
        <w:rPr>
          <w:szCs w:val="22"/>
        </w:rPr>
        <w:t xml:space="preserve">William </w:t>
      </w:r>
      <w:r w:rsidR="00A43028">
        <w:rPr>
          <w:szCs w:val="22"/>
        </w:rPr>
        <w:t xml:space="preserve">L. </w:t>
      </w:r>
      <w:r w:rsidRPr="00262ED4">
        <w:rPr>
          <w:szCs w:val="22"/>
        </w:rPr>
        <w:t xml:space="preserve">Roughton, </w:t>
      </w:r>
      <w:r w:rsidR="00A43028">
        <w:rPr>
          <w:szCs w:val="22"/>
        </w:rPr>
        <w:t xml:space="preserve">Jr., </w:t>
      </w:r>
      <w:r w:rsidRPr="00262ED4">
        <w:rPr>
          <w:szCs w:val="22"/>
        </w:rPr>
        <w:t>Esq.</w:t>
      </w:r>
    </w:p>
    <w:p w:rsidR="003C328B" w:rsidRPr="00262ED4" w:rsidRDefault="003C328B" w:rsidP="009218E8">
      <w:pPr>
        <w:jc w:val="both"/>
        <w:rPr>
          <w:szCs w:val="22"/>
        </w:rPr>
      </w:pPr>
      <w:r w:rsidRPr="00262ED4">
        <w:rPr>
          <w:szCs w:val="22"/>
        </w:rPr>
        <w:t>AT&amp;T Services, Inc.</w:t>
      </w:r>
    </w:p>
    <w:p w:rsidR="003C328B" w:rsidRPr="00262ED4" w:rsidRDefault="003C328B" w:rsidP="009218E8">
      <w:pPr>
        <w:jc w:val="both"/>
        <w:rPr>
          <w:szCs w:val="22"/>
        </w:rPr>
      </w:pPr>
      <w:r w:rsidRPr="00262ED4">
        <w:rPr>
          <w:szCs w:val="22"/>
        </w:rPr>
        <w:t>1120 20</w:t>
      </w:r>
      <w:r w:rsidRPr="00262ED4">
        <w:rPr>
          <w:szCs w:val="22"/>
          <w:vertAlign w:val="superscript"/>
        </w:rPr>
        <w:t>th</w:t>
      </w:r>
      <w:r w:rsidRPr="00262ED4">
        <w:rPr>
          <w:szCs w:val="22"/>
        </w:rPr>
        <w:t xml:space="preserve"> Street, NW, Suite 1000</w:t>
      </w:r>
    </w:p>
    <w:p w:rsidR="003C328B" w:rsidRPr="00262ED4" w:rsidRDefault="003C328B" w:rsidP="009218E8">
      <w:pPr>
        <w:jc w:val="both"/>
        <w:rPr>
          <w:szCs w:val="22"/>
        </w:rPr>
      </w:pPr>
      <w:r w:rsidRPr="00262ED4">
        <w:rPr>
          <w:szCs w:val="22"/>
        </w:rPr>
        <w:t>Washington, DC  20036</w:t>
      </w:r>
    </w:p>
    <w:p w:rsidR="003C328B" w:rsidRPr="00262ED4" w:rsidRDefault="003C328B" w:rsidP="002C1CCB">
      <w:pPr>
        <w:pStyle w:val="Header"/>
        <w:tabs>
          <w:tab w:val="clear" w:pos="4320"/>
          <w:tab w:val="left" w:pos="720"/>
          <w:tab w:val="left" w:pos="1440"/>
        </w:tabs>
        <w:ind w:left="1440" w:hanging="1440"/>
        <w:rPr>
          <w:b/>
          <w:szCs w:val="22"/>
        </w:rPr>
      </w:pPr>
    </w:p>
    <w:p w:rsidR="00EA49CE" w:rsidRPr="00262ED4" w:rsidRDefault="0041076F" w:rsidP="002C1CCB">
      <w:pPr>
        <w:pStyle w:val="Header"/>
        <w:tabs>
          <w:tab w:val="clear" w:pos="4320"/>
          <w:tab w:val="left" w:pos="720"/>
          <w:tab w:val="left" w:pos="1440"/>
        </w:tabs>
        <w:ind w:left="1440" w:hanging="1440"/>
        <w:rPr>
          <w:b/>
          <w:szCs w:val="22"/>
        </w:rPr>
      </w:pPr>
      <w:r w:rsidRPr="00262ED4">
        <w:rPr>
          <w:b/>
          <w:szCs w:val="22"/>
        </w:rPr>
        <w:tab/>
      </w:r>
      <w:r w:rsidR="00D32AD6" w:rsidRPr="00262ED4">
        <w:rPr>
          <w:b/>
          <w:szCs w:val="22"/>
        </w:rPr>
        <w:t>RE:</w:t>
      </w:r>
      <w:r w:rsidR="00D32AD6" w:rsidRPr="00262ED4">
        <w:rPr>
          <w:b/>
          <w:szCs w:val="22"/>
        </w:rPr>
        <w:tab/>
      </w:r>
      <w:r w:rsidR="002C1CCB" w:rsidRPr="00262ED4">
        <w:rPr>
          <w:b/>
          <w:szCs w:val="22"/>
        </w:rPr>
        <w:t xml:space="preserve">Request </w:t>
      </w:r>
      <w:r w:rsidR="00F02DF9" w:rsidRPr="00262ED4">
        <w:rPr>
          <w:b/>
          <w:szCs w:val="22"/>
        </w:rPr>
        <w:t xml:space="preserve">by </w:t>
      </w:r>
      <w:r w:rsidRPr="00262ED4">
        <w:rPr>
          <w:b/>
          <w:szCs w:val="22"/>
        </w:rPr>
        <w:t xml:space="preserve">AT&amp;T Services, Inc. </w:t>
      </w:r>
      <w:r w:rsidR="008A28FC" w:rsidRPr="00262ED4">
        <w:rPr>
          <w:b/>
          <w:szCs w:val="22"/>
        </w:rPr>
        <w:t xml:space="preserve">for </w:t>
      </w:r>
      <w:r w:rsidRPr="00262ED4">
        <w:rPr>
          <w:b/>
          <w:szCs w:val="22"/>
        </w:rPr>
        <w:t xml:space="preserve">Interim </w:t>
      </w:r>
      <w:r w:rsidR="008A28FC" w:rsidRPr="00262ED4">
        <w:rPr>
          <w:b/>
          <w:szCs w:val="22"/>
        </w:rPr>
        <w:t xml:space="preserve">Waiver of </w:t>
      </w:r>
      <w:r w:rsidRPr="00262ED4">
        <w:rPr>
          <w:b/>
          <w:szCs w:val="22"/>
        </w:rPr>
        <w:t xml:space="preserve">47 C.F.R. § 22.913 to Permit the Use of </w:t>
      </w:r>
      <w:r w:rsidR="00473E97" w:rsidRPr="00262ED4">
        <w:rPr>
          <w:b/>
          <w:szCs w:val="22"/>
        </w:rPr>
        <w:t xml:space="preserve">a </w:t>
      </w:r>
      <w:r w:rsidRPr="00262ED4">
        <w:rPr>
          <w:b/>
          <w:szCs w:val="22"/>
        </w:rPr>
        <w:t xml:space="preserve">Power Spectral Density </w:t>
      </w:r>
      <w:r w:rsidR="00473E97" w:rsidRPr="00262ED4">
        <w:rPr>
          <w:b/>
          <w:szCs w:val="22"/>
        </w:rPr>
        <w:t xml:space="preserve">Model </w:t>
      </w:r>
      <w:r w:rsidRPr="00262ED4">
        <w:rPr>
          <w:b/>
          <w:szCs w:val="22"/>
        </w:rPr>
        <w:t xml:space="preserve">for </w:t>
      </w:r>
      <w:r w:rsidR="00473E97" w:rsidRPr="00262ED4">
        <w:rPr>
          <w:b/>
          <w:szCs w:val="22"/>
        </w:rPr>
        <w:t xml:space="preserve">Certain </w:t>
      </w:r>
      <w:r w:rsidRPr="00262ED4">
        <w:rPr>
          <w:b/>
          <w:szCs w:val="22"/>
        </w:rPr>
        <w:t>Cellular Service Operation</w:t>
      </w:r>
      <w:r w:rsidR="00AE68C1" w:rsidRPr="00262ED4">
        <w:rPr>
          <w:b/>
          <w:szCs w:val="22"/>
        </w:rPr>
        <w:t>s</w:t>
      </w:r>
      <w:r w:rsidRPr="00262ED4">
        <w:rPr>
          <w:b/>
          <w:szCs w:val="22"/>
        </w:rPr>
        <w:t xml:space="preserve"> </w:t>
      </w:r>
      <w:r w:rsidR="00FE3C3C">
        <w:rPr>
          <w:b/>
          <w:szCs w:val="22"/>
        </w:rPr>
        <w:t xml:space="preserve">for Cellular </w:t>
      </w:r>
      <w:r w:rsidR="00F40DC5">
        <w:rPr>
          <w:b/>
          <w:szCs w:val="22"/>
        </w:rPr>
        <w:t>Market 248</w:t>
      </w:r>
      <w:r w:rsidR="00737BF9">
        <w:rPr>
          <w:b/>
          <w:szCs w:val="22"/>
        </w:rPr>
        <w:t xml:space="preserve"> – Burlington, Vermont</w:t>
      </w:r>
      <w:r w:rsidRPr="00262ED4">
        <w:rPr>
          <w:b/>
          <w:szCs w:val="22"/>
        </w:rPr>
        <w:t xml:space="preserve"> </w:t>
      </w:r>
      <w:r w:rsidR="008E45B5" w:rsidRPr="00262ED4">
        <w:rPr>
          <w:b/>
          <w:szCs w:val="22"/>
        </w:rPr>
        <w:t xml:space="preserve">(WT Docket No. </w:t>
      </w:r>
      <w:r w:rsidR="00CD2104">
        <w:rPr>
          <w:b/>
          <w:szCs w:val="22"/>
        </w:rPr>
        <w:t>14-107</w:t>
      </w:r>
      <w:r w:rsidR="008E45B5" w:rsidRPr="00262ED4">
        <w:rPr>
          <w:b/>
          <w:szCs w:val="22"/>
        </w:rPr>
        <w:t>)</w:t>
      </w:r>
    </w:p>
    <w:p w:rsidR="001F6D1F" w:rsidRPr="00262ED4" w:rsidRDefault="000E6C8C" w:rsidP="00C2693E">
      <w:pPr>
        <w:pStyle w:val="Header"/>
        <w:tabs>
          <w:tab w:val="clear" w:pos="4320"/>
          <w:tab w:val="clear" w:pos="8640"/>
          <w:tab w:val="left" w:pos="720"/>
          <w:tab w:val="left" w:pos="1440"/>
          <w:tab w:val="left" w:pos="1953"/>
        </w:tabs>
        <w:ind w:left="1440" w:hanging="1440"/>
        <w:rPr>
          <w:szCs w:val="22"/>
        </w:rPr>
      </w:pPr>
      <w:r w:rsidRPr="00262ED4">
        <w:rPr>
          <w:szCs w:val="22"/>
        </w:rPr>
        <w:tab/>
      </w:r>
      <w:r w:rsidRPr="00262ED4">
        <w:rPr>
          <w:szCs w:val="22"/>
        </w:rPr>
        <w:tab/>
      </w:r>
      <w:r w:rsidR="00FE3C3C">
        <w:rPr>
          <w:szCs w:val="22"/>
        </w:rPr>
        <w:tab/>
      </w:r>
    </w:p>
    <w:p w:rsidR="005C34AE" w:rsidRPr="00262ED4" w:rsidRDefault="002C1CCB" w:rsidP="00FE3D2A">
      <w:pPr>
        <w:rPr>
          <w:szCs w:val="22"/>
        </w:rPr>
      </w:pPr>
      <w:r w:rsidRPr="00262ED4">
        <w:rPr>
          <w:szCs w:val="22"/>
        </w:rPr>
        <w:t>De</w:t>
      </w:r>
      <w:r w:rsidR="009D66C0" w:rsidRPr="00262ED4">
        <w:rPr>
          <w:szCs w:val="22"/>
        </w:rPr>
        <w:t xml:space="preserve">ar </w:t>
      </w:r>
      <w:r w:rsidR="00FE5590" w:rsidRPr="00262ED4">
        <w:rPr>
          <w:szCs w:val="22"/>
        </w:rPr>
        <w:t xml:space="preserve">Ms. Poltronieri and </w:t>
      </w:r>
      <w:r w:rsidR="003C328B" w:rsidRPr="00262ED4">
        <w:rPr>
          <w:szCs w:val="22"/>
        </w:rPr>
        <w:t>Mr. Roughton:</w:t>
      </w:r>
    </w:p>
    <w:p w:rsidR="003C328B" w:rsidRPr="00262ED4" w:rsidRDefault="00C53A55" w:rsidP="00BF3DD9">
      <w:pPr>
        <w:spacing w:before="240"/>
        <w:ind w:firstLine="720"/>
        <w:rPr>
          <w:szCs w:val="22"/>
        </w:rPr>
      </w:pPr>
      <w:r w:rsidRPr="00262ED4">
        <w:rPr>
          <w:szCs w:val="22"/>
        </w:rPr>
        <w:t xml:space="preserve">This letter </w:t>
      </w:r>
      <w:r w:rsidR="00855072" w:rsidRPr="00262ED4">
        <w:rPr>
          <w:szCs w:val="22"/>
        </w:rPr>
        <w:t xml:space="preserve">responds to a </w:t>
      </w:r>
      <w:r w:rsidRPr="00262ED4">
        <w:rPr>
          <w:szCs w:val="22"/>
        </w:rPr>
        <w:t xml:space="preserve">request </w:t>
      </w:r>
      <w:r w:rsidR="002C1CCB" w:rsidRPr="00262ED4">
        <w:rPr>
          <w:szCs w:val="22"/>
        </w:rPr>
        <w:t xml:space="preserve">filed </w:t>
      </w:r>
      <w:r w:rsidR="00877CC0" w:rsidRPr="00262ED4">
        <w:rPr>
          <w:szCs w:val="22"/>
        </w:rPr>
        <w:t xml:space="preserve">on July </w:t>
      </w:r>
      <w:r w:rsidR="00F40DC5">
        <w:rPr>
          <w:szCs w:val="22"/>
        </w:rPr>
        <w:t>1, 2014</w:t>
      </w:r>
      <w:r w:rsidR="00877CC0" w:rsidRPr="00262ED4">
        <w:rPr>
          <w:szCs w:val="22"/>
        </w:rPr>
        <w:t>,</w:t>
      </w:r>
      <w:r w:rsidR="000B22BA" w:rsidRPr="00262ED4">
        <w:rPr>
          <w:szCs w:val="22"/>
          <w:vertAlign w:val="superscript"/>
        </w:rPr>
        <w:footnoteReference w:id="1"/>
      </w:r>
      <w:r w:rsidR="000B22BA" w:rsidRPr="00262ED4">
        <w:rPr>
          <w:szCs w:val="22"/>
        </w:rPr>
        <w:t xml:space="preserve"> </w:t>
      </w:r>
      <w:r w:rsidR="00877CC0" w:rsidRPr="00262ED4">
        <w:rPr>
          <w:szCs w:val="22"/>
        </w:rPr>
        <w:t>by AT&amp;T Services Inc. on behalf of AT&amp;T, Inc. and its subsidiaries (AT&amp;T)</w:t>
      </w:r>
      <w:r w:rsidR="000B22BA">
        <w:rPr>
          <w:rStyle w:val="FootnoteReference"/>
          <w:szCs w:val="22"/>
        </w:rPr>
        <w:footnoteReference w:id="2"/>
      </w:r>
      <w:r w:rsidR="00AE68C1" w:rsidRPr="00262ED4">
        <w:rPr>
          <w:szCs w:val="22"/>
        </w:rPr>
        <w:t xml:space="preserve"> </w:t>
      </w:r>
      <w:r w:rsidR="00877CC0" w:rsidRPr="00262ED4">
        <w:rPr>
          <w:szCs w:val="22"/>
        </w:rPr>
        <w:t>for an interim waiver of Section 22.913 of the Commission’s rules</w:t>
      </w:r>
      <w:r w:rsidR="001F4A86" w:rsidRPr="00262ED4">
        <w:rPr>
          <w:szCs w:val="22"/>
        </w:rPr>
        <w:t>.</w:t>
      </w:r>
      <w:r w:rsidR="00117212" w:rsidRPr="00262ED4">
        <w:rPr>
          <w:rStyle w:val="FootnoteReference"/>
          <w:szCs w:val="22"/>
        </w:rPr>
        <w:footnoteReference w:id="3"/>
      </w:r>
      <w:r w:rsidR="008E0230" w:rsidRPr="00262ED4">
        <w:rPr>
          <w:szCs w:val="22"/>
        </w:rPr>
        <w:t xml:space="preserve">  </w:t>
      </w:r>
      <w:r w:rsidR="001F4A86" w:rsidRPr="00262ED4">
        <w:rPr>
          <w:szCs w:val="22"/>
        </w:rPr>
        <w:t>Section 22.913 sets forth power limits for the Cellular Radiotelephone (Cellular) Service in terms of effective radiated power (ERP) of base transmitters and Cellular repeaters.</w:t>
      </w:r>
      <w:r w:rsidR="001F4A86" w:rsidRPr="00262ED4">
        <w:rPr>
          <w:rStyle w:val="FootnoteReference"/>
          <w:szCs w:val="22"/>
        </w:rPr>
        <w:footnoteReference w:id="4"/>
      </w:r>
      <w:r w:rsidR="001F4A86" w:rsidRPr="00262ED4">
        <w:rPr>
          <w:szCs w:val="22"/>
        </w:rPr>
        <w:t xml:space="preserve">  </w:t>
      </w:r>
      <w:r w:rsidR="003C328B" w:rsidRPr="00262ED4">
        <w:rPr>
          <w:szCs w:val="22"/>
        </w:rPr>
        <w:t>As explained below, we grant the Waiver Request to the</w:t>
      </w:r>
      <w:r w:rsidR="001711C3" w:rsidRPr="00262ED4">
        <w:rPr>
          <w:szCs w:val="22"/>
        </w:rPr>
        <w:t xml:space="preserve"> </w:t>
      </w:r>
      <w:r w:rsidR="003C328B" w:rsidRPr="00262ED4">
        <w:rPr>
          <w:szCs w:val="22"/>
        </w:rPr>
        <w:t>extent described herein</w:t>
      </w:r>
      <w:r w:rsidR="00DF37AC">
        <w:rPr>
          <w:szCs w:val="22"/>
        </w:rPr>
        <w:t xml:space="preserve"> and permit AT&amp;T to use the power spectral density (PSD) model</w:t>
      </w:r>
      <w:r w:rsidR="009C2180">
        <w:rPr>
          <w:rStyle w:val="FootnoteReference"/>
          <w:szCs w:val="22"/>
        </w:rPr>
        <w:footnoteReference w:id="5"/>
      </w:r>
      <w:r w:rsidR="00DF37AC">
        <w:rPr>
          <w:szCs w:val="22"/>
        </w:rPr>
        <w:t xml:space="preserve"> </w:t>
      </w:r>
      <w:r w:rsidR="007950FF">
        <w:rPr>
          <w:szCs w:val="22"/>
        </w:rPr>
        <w:t xml:space="preserve">for measuring ERP </w:t>
      </w:r>
      <w:r w:rsidR="00DF37AC">
        <w:rPr>
          <w:szCs w:val="22"/>
        </w:rPr>
        <w:t xml:space="preserve">at a </w:t>
      </w:r>
      <w:r w:rsidR="007950FF">
        <w:rPr>
          <w:szCs w:val="22"/>
        </w:rPr>
        <w:t>maximum</w:t>
      </w:r>
      <w:r w:rsidR="00DF37AC">
        <w:rPr>
          <w:szCs w:val="22"/>
        </w:rPr>
        <w:t xml:space="preserve"> </w:t>
      </w:r>
      <w:r w:rsidR="007950FF">
        <w:rPr>
          <w:szCs w:val="22"/>
        </w:rPr>
        <w:t xml:space="preserve">ERP </w:t>
      </w:r>
      <w:r w:rsidR="00DF37AC">
        <w:rPr>
          <w:szCs w:val="22"/>
        </w:rPr>
        <w:t xml:space="preserve">level of </w:t>
      </w:r>
      <w:r w:rsidR="00C2693E">
        <w:rPr>
          <w:szCs w:val="22"/>
        </w:rPr>
        <w:t xml:space="preserve">250 </w:t>
      </w:r>
      <w:r w:rsidR="00DF37AC">
        <w:rPr>
          <w:szCs w:val="22"/>
        </w:rPr>
        <w:t xml:space="preserve">Watts/MHz for </w:t>
      </w:r>
      <w:r w:rsidR="007C1CB6">
        <w:rPr>
          <w:szCs w:val="22"/>
        </w:rPr>
        <w:t xml:space="preserve">non-rural counties and 500 Watts/MHz in rural counties for </w:t>
      </w:r>
      <w:r w:rsidR="00F40DC5">
        <w:rPr>
          <w:szCs w:val="22"/>
        </w:rPr>
        <w:t>call sign</w:t>
      </w:r>
      <w:r w:rsidR="00BA5D4B">
        <w:rPr>
          <w:szCs w:val="22"/>
        </w:rPr>
        <w:t xml:space="preserve"> </w:t>
      </w:r>
      <w:r w:rsidR="00F40DC5">
        <w:rPr>
          <w:szCs w:val="22"/>
        </w:rPr>
        <w:t xml:space="preserve">KNKA797 located in </w:t>
      </w:r>
      <w:r w:rsidR="00D6429D">
        <w:rPr>
          <w:szCs w:val="22"/>
        </w:rPr>
        <w:t xml:space="preserve">Cellular Market Area </w:t>
      </w:r>
      <w:r w:rsidR="00737BF9">
        <w:rPr>
          <w:szCs w:val="22"/>
        </w:rPr>
        <w:t>(</w:t>
      </w:r>
      <w:r w:rsidR="00D6429D">
        <w:rPr>
          <w:szCs w:val="22"/>
        </w:rPr>
        <w:t>CMA</w:t>
      </w:r>
      <w:r w:rsidR="00737BF9">
        <w:rPr>
          <w:szCs w:val="22"/>
        </w:rPr>
        <w:t>)</w:t>
      </w:r>
      <w:r w:rsidR="00D6429D">
        <w:rPr>
          <w:szCs w:val="22"/>
        </w:rPr>
        <w:t xml:space="preserve"> </w:t>
      </w:r>
      <w:r w:rsidR="00BF3DD9">
        <w:rPr>
          <w:szCs w:val="22"/>
        </w:rPr>
        <w:t>248</w:t>
      </w:r>
      <w:r w:rsidR="007C1CB6">
        <w:rPr>
          <w:szCs w:val="22"/>
        </w:rPr>
        <w:t xml:space="preserve"> - Burlington, VT</w:t>
      </w:r>
      <w:r w:rsidR="00F40DC5">
        <w:rPr>
          <w:szCs w:val="22"/>
        </w:rPr>
        <w:t>.</w:t>
      </w:r>
    </w:p>
    <w:p w:rsidR="003C328B" w:rsidRPr="00262ED4" w:rsidRDefault="003C328B" w:rsidP="00CC100A">
      <w:pPr>
        <w:ind w:firstLine="720"/>
        <w:rPr>
          <w:szCs w:val="22"/>
        </w:rPr>
      </w:pPr>
    </w:p>
    <w:p w:rsidR="00A8435A" w:rsidRPr="00262ED4" w:rsidRDefault="00A8435A" w:rsidP="00A8435A">
      <w:pPr>
        <w:numPr>
          <w:ilvl w:val="0"/>
          <w:numId w:val="20"/>
        </w:numPr>
        <w:rPr>
          <w:b/>
          <w:szCs w:val="22"/>
        </w:rPr>
      </w:pPr>
      <w:r w:rsidRPr="00262ED4">
        <w:rPr>
          <w:b/>
          <w:szCs w:val="22"/>
        </w:rPr>
        <w:t>BACKGROUND</w:t>
      </w:r>
    </w:p>
    <w:p w:rsidR="00A8435A" w:rsidRPr="00262ED4" w:rsidRDefault="00A8435A" w:rsidP="00A8435A">
      <w:pPr>
        <w:ind w:left="1440"/>
        <w:rPr>
          <w:szCs w:val="22"/>
        </w:rPr>
      </w:pPr>
    </w:p>
    <w:p w:rsidR="00737BF9" w:rsidRDefault="00737BF9" w:rsidP="00EB157D">
      <w:pPr>
        <w:ind w:firstLine="720"/>
        <w:rPr>
          <w:szCs w:val="22"/>
        </w:rPr>
      </w:pPr>
      <w:r w:rsidRPr="006658ED">
        <w:rPr>
          <w:szCs w:val="22"/>
        </w:rPr>
        <w:t xml:space="preserve">In </w:t>
      </w:r>
      <w:r>
        <w:rPr>
          <w:szCs w:val="22"/>
        </w:rPr>
        <w:t xml:space="preserve">2007 and </w:t>
      </w:r>
      <w:r w:rsidRPr="006658ED">
        <w:rPr>
          <w:szCs w:val="22"/>
        </w:rPr>
        <w:t xml:space="preserve">2008, the Commission revised the radiated power rules for </w:t>
      </w:r>
      <w:r>
        <w:rPr>
          <w:szCs w:val="22"/>
        </w:rPr>
        <w:t>various</w:t>
      </w:r>
      <w:r w:rsidRPr="006658ED">
        <w:rPr>
          <w:szCs w:val="22"/>
        </w:rPr>
        <w:t xml:space="preserve"> wireless services, including PCS and certain AWS,</w:t>
      </w:r>
      <w:r w:rsidRPr="00372053">
        <w:rPr>
          <w:rStyle w:val="FootnoteReference"/>
          <w:szCs w:val="22"/>
        </w:rPr>
        <w:footnoteReference w:id="6"/>
      </w:r>
      <w:r w:rsidRPr="006658ED">
        <w:rPr>
          <w:szCs w:val="22"/>
        </w:rPr>
        <w:t xml:space="preserve"> the 700 MHz Commercial Service,</w:t>
      </w:r>
      <w:r w:rsidRPr="00372053">
        <w:rPr>
          <w:rStyle w:val="FootnoteReference"/>
          <w:szCs w:val="22"/>
        </w:rPr>
        <w:footnoteReference w:id="7"/>
      </w:r>
      <w:r w:rsidRPr="006658ED">
        <w:rPr>
          <w:szCs w:val="22"/>
        </w:rPr>
        <w:t xml:space="preserve"> and 700 MHz public safety </w:t>
      </w:r>
      <w:r w:rsidRPr="006658ED">
        <w:rPr>
          <w:szCs w:val="22"/>
        </w:rPr>
        <w:lastRenderedPageBreak/>
        <w:t>broadband operations,</w:t>
      </w:r>
      <w:r w:rsidRPr="00372053">
        <w:rPr>
          <w:rStyle w:val="FootnoteReference"/>
          <w:szCs w:val="22"/>
        </w:rPr>
        <w:footnoteReference w:id="8"/>
      </w:r>
      <w:r w:rsidRPr="006658ED">
        <w:rPr>
          <w:szCs w:val="22"/>
        </w:rPr>
        <w:t xml:space="preserve"> implementing a PSD model </w:t>
      </w:r>
      <w:r w:rsidR="00D0055A">
        <w:rPr>
          <w:szCs w:val="22"/>
        </w:rPr>
        <w:t xml:space="preserve">as an alternative for measuring ERP </w:t>
      </w:r>
      <w:r w:rsidRPr="006658ED">
        <w:rPr>
          <w:szCs w:val="22"/>
        </w:rPr>
        <w:t>(among other related technical rule modifications).</w:t>
      </w:r>
      <w:r>
        <w:rPr>
          <w:rStyle w:val="FootnoteReference"/>
          <w:szCs w:val="22"/>
        </w:rPr>
        <w:footnoteReference w:id="9"/>
      </w:r>
      <w:r w:rsidRPr="006658ED">
        <w:rPr>
          <w:szCs w:val="22"/>
        </w:rPr>
        <w:t xml:space="preserve">  The Commission declined at that time to revise the Cellular ERP rules, primarily because of significant restructuring (</w:t>
      </w:r>
      <w:r>
        <w:rPr>
          <w:szCs w:val="22"/>
        </w:rPr>
        <w:t xml:space="preserve">800 MHz </w:t>
      </w:r>
      <w:r w:rsidRPr="006658ED">
        <w:rPr>
          <w:szCs w:val="22"/>
        </w:rPr>
        <w:t>rebanding) ongoing in the immediately adjacent frequencies, which are used by public safety entities.</w:t>
      </w:r>
      <w:r w:rsidRPr="00BB55C9">
        <w:rPr>
          <w:rStyle w:val="FootnoteReference"/>
        </w:rPr>
        <w:footnoteReference w:id="10"/>
      </w:r>
      <w:r w:rsidRPr="006658ED">
        <w:rPr>
          <w:szCs w:val="22"/>
        </w:rPr>
        <w:t xml:space="preserve">  The Commission also noted a lack of industry support and the need for more time to assess the potential impact of using the PSD model in the Cellular band.</w:t>
      </w:r>
      <w:r w:rsidRPr="00372053">
        <w:rPr>
          <w:rStyle w:val="FootnoteReference"/>
          <w:szCs w:val="22"/>
        </w:rPr>
        <w:footnoteReference w:id="11"/>
      </w:r>
    </w:p>
    <w:p w:rsidR="00737BF9" w:rsidRDefault="00737BF9" w:rsidP="00EB157D">
      <w:pPr>
        <w:ind w:firstLine="720"/>
        <w:rPr>
          <w:szCs w:val="22"/>
        </w:rPr>
      </w:pPr>
    </w:p>
    <w:p w:rsidR="0041076F" w:rsidRPr="00262ED4" w:rsidRDefault="00737BF9" w:rsidP="00EB157D">
      <w:pPr>
        <w:ind w:firstLine="720"/>
        <w:rPr>
          <w:szCs w:val="22"/>
        </w:rPr>
      </w:pPr>
      <w:r>
        <w:rPr>
          <w:szCs w:val="22"/>
        </w:rPr>
        <w:t xml:space="preserve">In its Waiver Request, </w:t>
      </w:r>
      <w:r w:rsidRPr="00262ED4">
        <w:rPr>
          <w:szCs w:val="22"/>
        </w:rPr>
        <w:t xml:space="preserve">AT&amp;T </w:t>
      </w:r>
      <w:r>
        <w:rPr>
          <w:szCs w:val="22"/>
        </w:rPr>
        <w:t>seeks authority</w:t>
      </w:r>
      <w:r w:rsidRPr="00262ED4">
        <w:rPr>
          <w:szCs w:val="22"/>
        </w:rPr>
        <w:t xml:space="preserve"> </w:t>
      </w:r>
      <w:r>
        <w:rPr>
          <w:szCs w:val="22"/>
        </w:rPr>
        <w:t>to</w:t>
      </w:r>
      <w:r w:rsidRPr="00262ED4">
        <w:rPr>
          <w:szCs w:val="22"/>
        </w:rPr>
        <w:t xml:space="preserve"> use a </w:t>
      </w:r>
      <w:r>
        <w:rPr>
          <w:szCs w:val="22"/>
        </w:rPr>
        <w:t>PSD</w:t>
      </w:r>
      <w:r w:rsidRPr="00262ED4">
        <w:rPr>
          <w:szCs w:val="22"/>
        </w:rPr>
        <w:t xml:space="preserve"> model </w:t>
      </w:r>
      <w:r w:rsidR="007950FF">
        <w:rPr>
          <w:szCs w:val="22"/>
        </w:rPr>
        <w:t xml:space="preserve">for measuring ERP </w:t>
      </w:r>
      <w:r w:rsidRPr="00262ED4">
        <w:rPr>
          <w:szCs w:val="22"/>
        </w:rPr>
        <w:t xml:space="preserve">for </w:t>
      </w:r>
      <w:r>
        <w:rPr>
          <w:szCs w:val="22"/>
        </w:rPr>
        <w:t xml:space="preserve">the Burlington, VT CMA 248 </w:t>
      </w:r>
      <w:r w:rsidRPr="00262ED4">
        <w:rPr>
          <w:szCs w:val="22"/>
        </w:rPr>
        <w:t>pending the outcome of AT&amp;T’s proposed rulemaking to modify the rule</w:t>
      </w:r>
      <w:r>
        <w:rPr>
          <w:szCs w:val="22"/>
        </w:rPr>
        <w:t>.</w:t>
      </w:r>
      <w:r w:rsidR="00877CC0" w:rsidRPr="00262ED4">
        <w:rPr>
          <w:szCs w:val="22"/>
          <w:vertAlign w:val="superscript"/>
        </w:rPr>
        <w:footnoteReference w:id="12"/>
      </w:r>
      <w:r w:rsidR="00473E97" w:rsidRPr="00262ED4">
        <w:rPr>
          <w:szCs w:val="22"/>
        </w:rPr>
        <w:t xml:space="preserve">  </w:t>
      </w:r>
      <w:r w:rsidR="00AE68C1" w:rsidRPr="00262ED4">
        <w:rPr>
          <w:szCs w:val="22"/>
        </w:rPr>
        <w:t>The Waiver Request s</w:t>
      </w:r>
      <w:r w:rsidR="0041076F" w:rsidRPr="00262ED4">
        <w:rPr>
          <w:szCs w:val="22"/>
        </w:rPr>
        <w:t>pecifically proposes PSD limit</w:t>
      </w:r>
      <w:r w:rsidR="00CC100A" w:rsidRPr="00262ED4">
        <w:rPr>
          <w:szCs w:val="22"/>
        </w:rPr>
        <w:t>s</w:t>
      </w:r>
      <w:r w:rsidR="0041076F" w:rsidRPr="00262ED4">
        <w:rPr>
          <w:szCs w:val="22"/>
        </w:rPr>
        <w:t xml:space="preserve"> of 250 </w:t>
      </w:r>
      <w:r w:rsidR="00473E97" w:rsidRPr="00262ED4">
        <w:rPr>
          <w:szCs w:val="22"/>
        </w:rPr>
        <w:t>W</w:t>
      </w:r>
      <w:r w:rsidR="0041076F" w:rsidRPr="00262ED4">
        <w:rPr>
          <w:szCs w:val="22"/>
        </w:rPr>
        <w:t xml:space="preserve">atts/MHz in non-rural areas and 500 </w:t>
      </w:r>
      <w:r w:rsidR="00473E97" w:rsidRPr="00262ED4">
        <w:rPr>
          <w:szCs w:val="22"/>
        </w:rPr>
        <w:t>W</w:t>
      </w:r>
      <w:r w:rsidR="0041076F" w:rsidRPr="00262ED4">
        <w:rPr>
          <w:szCs w:val="22"/>
        </w:rPr>
        <w:t>atts/MHz in rural areas</w:t>
      </w:r>
      <w:r w:rsidR="00EB157D">
        <w:rPr>
          <w:szCs w:val="22"/>
        </w:rPr>
        <w:t>.</w:t>
      </w:r>
      <w:r w:rsidR="00EB157D">
        <w:rPr>
          <w:rStyle w:val="FootnoteReference"/>
          <w:szCs w:val="22"/>
        </w:rPr>
        <w:footnoteReference w:id="13"/>
      </w:r>
      <w:r w:rsidR="0041076F" w:rsidRPr="00262ED4">
        <w:rPr>
          <w:szCs w:val="22"/>
        </w:rPr>
        <w:t xml:space="preserve"> </w:t>
      </w:r>
    </w:p>
    <w:p w:rsidR="002768B7" w:rsidRPr="00262ED4" w:rsidRDefault="00EF39A2" w:rsidP="002768B7">
      <w:pPr>
        <w:spacing w:before="120" w:after="240"/>
        <w:ind w:firstLine="720"/>
        <w:rPr>
          <w:szCs w:val="22"/>
        </w:rPr>
      </w:pPr>
      <w:r w:rsidRPr="00262ED4">
        <w:rPr>
          <w:szCs w:val="22"/>
        </w:rPr>
        <w:t>AT&amp;T states that it</w:t>
      </w:r>
      <w:r>
        <w:rPr>
          <w:szCs w:val="22"/>
        </w:rPr>
        <w:t xml:space="preserve">s proposed Cellular band </w:t>
      </w:r>
      <w:r w:rsidRPr="00262ED4">
        <w:rPr>
          <w:szCs w:val="22"/>
        </w:rPr>
        <w:t>deploy</w:t>
      </w:r>
      <w:r>
        <w:rPr>
          <w:szCs w:val="22"/>
        </w:rPr>
        <w:t xml:space="preserve">ment of </w:t>
      </w:r>
      <w:r w:rsidRPr="00262ED4">
        <w:rPr>
          <w:szCs w:val="22"/>
        </w:rPr>
        <w:t xml:space="preserve">advanced digital broadband modulation schemes such as Long Term Evolution (LTE) </w:t>
      </w:r>
      <w:r>
        <w:rPr>
          <w:szCs w:val="22"/>
        </w:rPr>
        <w:t xml:space="preserve">is hindered by </w:t>
      </w:r>
      <w:r w:rsidRPr="00262ED4">
        <w:rPr>
          <w:szCs w:val="22"/>
        </w:rPr>
        <w:t xml:space="preserve">the current </w:t>
      </w:r>
      <w:r>
        <w:rPr>
          <w:szCs w:val="22"/>
        </w:rPr>
        <w:t xml:space="preserve">radiated power </w:t>
      </w:r>
      <w:r w:rsidRPr="00262ED4">
        <w:rPr>
          <w:szCs w:val="22"/>
        </w:rPr>
        <w:t>rule</w:t>
      </w:r>
      <w:r>
        <w:rPr>
          <w:szCs w:val="22"/>
        </w:rPr>
        <w:t>, which favors narrowband operations</w:t>
      </w:r>
      <w:r w:rsidRPr="00262ED4">
        <w:rPr>
          <w:szCs w:val="22"/>
        </w:rPr>
        <w:t>.</w:t>
      </w:r>
      <w:r w:rsidR="00CC100A" w:rsidRPr="00262ED4">
        <w:rPr>
          <w:rStyle w:val="FootnoteReference"/>
          <w:szCs w:val="22"/>
        </w:rPr>
        <w:footnoteReference w:id="14"/>
      </w:r>
      <w:r w:rsidR="00CC100A" w:rsidRPr="00262ED4">
        <w:rPr>
          <w:szCs w:val="22"/>
        </w:rPr>
        <w:t xml:space="preserve">  </w:t>
      </w:r>
      <w:r w:rsidR="00155011" w:rsidRPr="00262ED4">
        <w:rPr>
          <w:szCs w:val="22"/>
        </w:rPr>
        <w:t xml:space="preserve">AT&amp;T </w:t>
      </w:r>
      <w:r w:rsidR="00C640C5" w:rsidRPr="00262ED4">
        <w:rPr>
          <w:szCs w:val="22"/>
        </w:rPr>
        <w:t xml:space="preserve">argues that it </w:t>
      </w:r>
      <w:r w:rsidR="00CC100A" w:rsidRPr="00262ED4">
        <w:rPr>
          <w:szCs w:val="22"/>
        </w:rPr>
        <w:t xml:space="preserve">must </w:t>
      </w:r>
      <w:r w:rsidR="0014799C" w:rsidRPr="00262ED4">
        <w:rPr>
          <w:szCs w:val="22"/>
        </w:rPr>
        <w:t xml:space="preserve">“rapidly and aggressively roll-out LTE services” </w:t>
      </w:r>
      <w:r w:rsidR="000D3D86">
        <w:rPr>
          <w:szCs w:val="22"/>
        </w:rPr>
        <w:t>in order</w:t>
      </w:r>
      <w:r w:rsidR="0014799C" w:rsidRPr="00262ED4">
        <w:rPr>
          <w:szCs w:val="22"/>
        </w:rPr>
        <w:t xml:space="preserve"> to maintain a high-quality level of service for its customers.</w:t>
      </w:r>
      <w:r w:rsidR="0014799C" w:rsidRPr="00262ED4">
        <w:rPr>
          <w:rStyle w:val="FootnoteReference"/>
          <w:szCs w:val="22"/>
        </w:rPr>
        <w:footnoteReference w:id="15"/>
      </w:r>
      <w:r w:rsidR="0014799C" w:rsidRPr="00262ED4">
        <w:rPr>
          <w:szCs w:val="22"/>
        </w:rPr>
        <w:t xml:space="preserve">  </w:t>
      </w:r>
      <w:r w:rsidR="00F86074" w:rsidRPr="00262ED4">
        <w:rPr>
          <w:szCs w:val="22"/>
        </w:rPr>
        <w:t xml:space="preserve">It </w:t>
      </w:r>
      <w:r w:rsidR="0014799C" w:rsidRPr="00262ED4">
        <w:rPr>
          <w:szCs w:val="22"/>
        </w:rPr>
        <w:t xml:space="preserve">seeks waiver relief to </w:t>
      </w:r>
      <w:r w:rsidR="00EB157D">
        <w:rPr>
          <w:szCs w:val="22"/>
        </w:rPr>
        <w:t>enhance its already deployed c</w:t>
      </w:r>
      <w:r w:rsidR="00AF0312">
        <w:rPr>
          <w:szCs w:val="22"/>
        </w:rPr>
        <w:t xml:space="preserve">ellular spectrum in the Vermont market </w:t>
      </w:r>
      <w:r w:rsidR="00EB157D">
        <w:rPr>
          <w:szCs w:val="22"/>
        </w:rPr>
        <w:t>to meet the demands associated with the start of the school year and so that it can make use of its 800 MHz cell spacing for LTE services for greater efficiency by using existing deployment.</w:t>
      </w:r>
      <w:r w:rsidR="0014799C" w:rsidRPr="00262ED4">
        <w:rPr>
          <w:rStyle w:val="FootnoteReference"/>
          <w:szCs w:val="22"/>
        </w:rPr>
        <w:footnoteReference w:id="16"/>
      </w:r>
      <w:r w:rsidR="002768B7" w:rsidRPr="00262ED4">
        <w:rPr>
          <w:szCs w:val="22"/>
        </w:rPr>
        <w:t xml:space="preserve">  </w:t>
      </w:r>
    </w:p>
    <w:p w:rsidR="00740190" w:rsidRPr="00262ED4" w:rsidRDefault="0014799C" w:rsidP="00740190">
      <w:pPr>
        <w:spacing w:before="120" w:after="240"/>
        <w:ind w:firstLine="720"/>
        <w:rPr>
          <w:szCs w:val="22"/>
        </w:rPr>
      </w:pPr>
      <w:r w:rsidRPr="00262ED4">
        <w:rPr>
          <w:szCs w:val="22"/>
        </w:rPr>
        <w:t xml:space="preserve">  </w:t>
      </w:r>
      <w:r w:rsidR="00740190" w:rsidRPr="00262ED4">
        <w:rPr>
          <w:szCs w:val="22"/>
        </w:rPr>
        <w:t>AT&amp;T</w:t>
      </w:r>
      <w:r w:rsidR="00EF39A2">
        <w:rPr>
          <w:szCs w:val="22"/>
        </w:rPr>
        <w:t xml:space="preserve"> submitted with its Waiver Request a </w:t>
      </w:r>
      <w:r w:rsidR="00EB157D">
        <w:rPr>
          <w:szCs w:val="22"/>
        </w:rPr>
        <w:t>May 2014</w:t>
      </w:r>
      <w:r w:rsidR="00740190" w:rsidRPr="00262ED4">
        <w:rPr>
          <w:szCs w:val="22"/>
        </w:rPr>
        <w:t xml:space="preserve"> Study purport</w:t>
      </w:r>
      <w:r w:rsidR="00EF39A2">
        <w:rPr>
          <w:szCs w:val="22"/>
        </w:rPr>
        <w:t>ing</w:t>
      </w:r>
      <w:r w:rsidR="00740190" w:rsidRPr="00262ED4">
        <w:rPr>
          <w:szCs w:val="22"/>
        </w:rPr>
        <w:t xml:space="preserve"> to show that shifting to PSD-based power limits would not cause harmful interference to public safety licens</w:t>
      </w:r>
      <w:r w:rsidR="00EF39A2">
        <w:rPr>
          <w:szCs w:val="22"/>
        </w:rPr>
        <w:t>ees in adjacent frequency bands</w:t>
      </w:r>
      <w:r w:rsidR="00984AF5">
        <w:rPr>
          <w:szCs w:val="22"/>
        </w:rPr>
        <w:t>.</w:t>
      </w:r>
      <w:r w:rsidR="00740190" w:rsidRPr="00262ED4">
        <w:rPr>
          <w:szCs w:val="22"/>
          <w:vertAlign w:val="superscript"/>
        </w:rPr>
        <w:footnoteReference w:id="17"/>
      </w:r>
      <w:r w:rsidR="00EF39A2">
        <w:rPr>
          <w:szCs w:val="22"/>
        </w:rPr>
        <w:t xml:space="preserve">  AT&amp;T specifically indicates that there are no public safety agencies operating in the 800 MHz band in Burlington, VT.</w:t>
      </w:r>
      <w:r w:rsidR="00EF39A2">
        <w:rPr>
          <w:rStyle w:val="FootnoteReference"/>
          <w:szCs w:val="22"/>
        </w:rPr>
        <w:footnoteReference w:id="18"/>
      </w:r>
      <w:r w:rsidR="00EF39A2">
        <w:rPr>
          <w:szCs w:val="22"/>
        </w:rPr>
        <w:t xml:space="preserve">  </w:t>
      </w:r>
      <w:r w:rsidR="00740190" w:rsidRPr="00262ED4">
        <w:rPr>
          <w:szCs w:val="22"/>
        </w:rPr>
        <w:t>AT&amp;T argues that under the PSD limits it proposes, “the power injected into neighboring receivers either in adjacent areas or co-located sites does not increase but remains the same” as under the current rule, because AT&amp;T will maintain “the existing total power levels at its sites.”</w:t>
      </w:r>
      <w:r w:rsidR="00740190" w:rsidRPr="00262ED4">
        <w:rPr>
          <w:rStyle w:val="FootnoteReference"/>
          <w:szCs w:val="22"/>
        </w:rPr>
        <w:footnoteReference w:id="19"/>
      </w:r>
      <w:r w:rsidR="00021AD4" w:rsidRPr="00262ED4">
        <w:rPr>
          <w:szCs w:val="22"/>
        </w:rPr>
        <w:t xml:space="preserve">  </w:t>
      </w:r>
      <w:r w:rsidR="002768B7" w:rsidRPr="00262ED4">
        <w:rPr>
          <w:szCs w:val="22"/>
        </w:rPr>
        <w:t>F</w:t>
      </w:r>
      <w:r w:rsidR="00740190" w:rsidRPr="00262ED4">
        <w:rPr>
          <w:szCs w:val="22"/>
        </w:rPr>
        <w:t>uture deployments of 2X2 Multiple Input Multiple Output (MIMO) LTE in the Cellular band under a PSD limit would</w:t>
      </w:r>
      <w:r w:rsidR="002768B7" w:rsidRPr="00262ED4">
        <w:rPr>
          <w:szCs w:val="22"/>
        </w:rPr>
        <w:t>, AT&amp;T claims,</w:t>
      </w:r>
      <w:r w:rsidR="00740190" w:rsidRPr="00262ED4">
        <w:rPr>
          <w:szCs w:val="22"/>
        </w:rPr>
        <w:t xml:space="preserve"> “maintain the </w:t>
      </w:r>
      <w:r w:rsidR="00740190" w:rsidRPr="00755E3A">
        <w:rPr>
          <w:szCs w:val="22"/>
        </w:rPr>
        <w:t>status quo</w:t>
      </w:r>
      <w:r w:rsidR="00740190" w:rsidRPr="00262ED4">
        <w:rPr>
          <w:szCs w:val="22"/>
        </w:rPr>
        <w:t xml:space="preserve"> with respect to the potential interference impacts on adjacent services – and in particular, the Public Safety services.”</w:t>
      </w:r>
      <w:r w:rsidR="00740190" w:rsidRPr="00262ED4">
        <w:rPr>
          <w:rStyle w:val="FootnoteReference"/>
          <w:szCs w:val="22"/>
        </w:rPr>
        <w:footnoteReference w:id="20"/>
      </w:r>
      <w:r w:rsidR="00740190" w:rsidRPr="00262ED4">
        <w:rPr>
          <w:szCs w:val="22"/>
        </w:rPr>
        <w:t xml:space="preserve">  As a result, AT&amp;T asserts, “the interference environment into Public Safety units . . . is not appreciably different from that of existing Cellular deployments – and in some cases it is better.”</w:t>
      </w:r>
      <w:r w:rsidR="00740190" w:rsidRPr="00262ED4">
        <w:rPr>
          <w:rStyle w:val="FootnoteReference"/>
          <w:szCs w:val="22"/>
        </w:rPr>
        <w:footnoteReference w:id="21"/>
      </w:r>
      <w:r w:rsidR="00F86074" w:rsidRPr="00262ED4">
        <w:rPr>
          <w:szCs w:val="22"/>
        </w:rPr>
        <w:t xml:space="preserve">  </w:t>
      </w:r>
    </w:p>
    <w:p w:rsidR="004427C6" w:rsidRDefault="00EF39A2" w:rsidP="00073E87">
      <w:pPr>
        <w:spacing w:before="120" w:after="240"/>
        <w:ind w:firstLine="720"/>
        <w:rPr>
          <w:szCs w:val="22"/>
        </w:rPr>
      </w:pPr>
      <w:r>
        <w:rPr>
          <w:szCs w:val="22"/>
        </w:rPr>
        <w:t>In July, 2014, t</w:t>
      </w:r>
      <w:r w:rsidR="00594E59" w:rsidRPr="00262ED4">
        <w:rPr>
          <w:szCs w:val="22"/>
        </w:rPr>
        <w:t xml:space="preserve">he Bureau </w:t>
      </w:r>
      <w:r>
        <w:rPr>
          <w:szCs w:val="22"/>
        </w:rPr>
        <w:t xml:space="preserve">sought </w:t>
      </w:r>
      <w:r w:rsidR="00594E59" w:rsidRPr="00262ED4">
        <w:rPr>
          <w:szCs w:val="22"/>
        </w:rPr>
        <w:t>comment on the Waiver Request, particularly with respect to any potential adverse impact on public safety operations and Cellular licensees</w:t>
      </w:r>
      <w:r w:rsidR="00AA6E35" w:rsidRPr="00262ED4">
        <w:rPr>
          <w:szCs w:val="22"/>
        </w:rPr>
        <w:t>.</w:t>
      </w:r>
      <w:r w:rsidR="00594E59" w:rsidRPr="00262ED4">
        <w:rPr>
          <w:rStyle w:val="FootnoteReference"/>
          <w:szCs w:val="22"/>
        </w:rPr>
        <w:footnoteReference w:id="22"/>
      </w:r>
      <w:r w:rsidR="00594E59" w:rsidRPr="00262ED4">
        <w:rPr>
          <w:szCs w:val="22"/>
        </w:rPr>
        <w:t xml:space="preserve">  </w:t>
      </w:r>
      <w:r w:rsidR="00CB318A">
        <w:rPr>
          <w:szCs w:val="22"/>
        </w:rPr>
        <w:t xml:space="preserve">Three </w:t>
      </w:r>
      <w:r w:rsidR="008603EA">
        <w:rPr>
          <w:szCs w:val="22"/>
        </w:rPr>
        <w:t xml:space="preserve">parties </w:t>
      </w:r>
      <w:r w:rsidR="008603EA" w:rsidRPr="00262ED4">
        <w:rPr>
          <w:szCs w:val="22"/>
        </w:rPr>
        <w:t>filed</w:t>
      </w:r>
      <w:r w:rsidR="00A0611A" w:rsidRPr="00262ED4">
        <w:rPr>
          <w:szCs w:val="22"/>
        </w:rPr>
        <w:t xml:space="preserve"> comments or reply comments during the pleading cycle</w:t>
      </w:r>
      <w:r>
        <w:rPr>
          <w:szCs w:val="22"/>
        </w:rPr>
        <w:t>,</w:t>
      </w:r>
      <w:r w:rsidR="00572521" w:rsidRPr="00262ED4">
        <w:rPr>
          <w:rStyle w:val="FootnoteReference"/>
          <w:szCs w:val="22"/>
        </w:rPr>
        <w:footnoteReference w:id="23"/>
      </w:r>
      <w:r w:rsidR="00046D1A" w:rsidRPr="00262ED4">
        <w:rPr>
          <w:b/>
          <w:szCs w:val="22"/>
        </w:rPr>
        <w:t xml:space="preserve"> </w:t>
      </w:r>
      <w:r w:rsidRPr="00EF39A2">
        <w:rPr>
          <w:szCs w:val="22"/>
        </w:rPr>
        <w:t xml:space="preserve">none of which </w:t>
      </w:r>
      <w:r w:rsidR="00984AF5">
        <w:rPr>
          <w:szCs w:val="22"/>
        </w:rPr>
        <w:t>are</w:t>
      </w:r>
      <w:r w:rsidRPr="00EF39A2">
        <w:rPr>
          <w:szCs w:val="22"/>
        </w:rPr>
        <w:t xml:space="preserve"> public safety entiti</w:t>
      </w:r>
      <w:r>
        <w:rPr>
          <w:szCs w:val="22"/>
        </w:rPr>
        <w:t>es</w:t>
      </w:r>
      <w:r w:rsidR="00AF7C8B">
        <w:rPr>
          <w:szCs w:val="22"/>
        </w:rPr>
        <w:t>.</w:t>
      </w:r>
      <w:r>
        <w:rPr>
          <w:b/>
          <w:szCs w:val="22"/>
        </w:rPr>
        <w:t xml:space="preserve"> </w:t>
      </w:r>
      <w:r w:rsidR="00046D1A" w:rsidRPr="00262ED4">
        <w:rPr>
          <w:b/>
          <w:szCs w:val="22"/>
        </w:rPr>
        <w:t xml:space="preserve"> </w:t>
      </w:r>
      <w:r w:rsidR="009560F1" w:rsidRPr="008603EA">
        <w:rPr>
          <w:szCs w:val="22"/>
        </w:rPr>
        <w:t xml:space="preserve">The </w:t>
      </w:r>
      <w:r w:rsidR="00621EF7" w:rsidRPr="008603EA">
        <w:rPr>
          <w:szCs w:val="22"/>
        </w:rPr>
        <w:t xml:space="preserve">parties </w:t>
      </w:r>
      <w:r w:rsidR="009560F1" w:rsidRPr="008603EA">
        <w:rPr>
          <w:szCs w:val="22"/>
        </w:rPr>
        <w:t>object to</w:t>
      </w:r>
      <w:r w:rsidR="00DF6752" w:rsidRPr="008603EA">
        <w:rPr>
          <w:szCs w:val="22"/>
        </w:rPr>
        <w:t xml:space="preserve"> grant</w:t>
      </w:r>
      <w:r w:rsidR="005B0808" w:rsidRPr="008603EA">
        <w:rPr>
          <w:szCs w:val="22"/>
        </w:rPr>
        <w:t xml:space="preserve">ing </w:t>
      </w:r>
      <w:r w:rsidR="00073E87" w:rsidRPr="008603EA">
        <w:rPr>
          <w:szCs w:val="22"/>
        </w:rPr>
        <w:t xml:space="preserve">the waiver </w:t>
      </w:r>
      <w:r w:rsidR="005B0808" w:rsidRPr="008603EA">
        <w:rPr>
          <w:szCs w:val="22"/>
        </w:rPr>
        <w:t xml:space="preserve">relief </w:t>
      </w:r>
      <w:r w:rsidR="007F5F4A">
        <w:rPr>
          <w:szCs w:val="22"/>
        </w:rPr>
        <w:t xml:space="preserve">and express </w:t>
      </w:r>
      <w:r w:rsidR="00AF7C8B">
        <w:rPr>
          <w:szCs w:val="22"/>
        </w:rPr>
        <w:t xml:space="preserve">general </w:t>
      </w:r>
      <w:r w:rsidR="007F5F4A">
        <w:rPr>
          <w:szCs w:val="22"/>
        </w:rPr>
        <w:t>concern</w:t>
      </w:r>
      <w:r w:rsidR="00AF7C8B">
        <w:rPr>
          <w:szCs w:val="22"/>
        </w:rPr>
        <w:t>s</w:t>
      </w:r>
      <w:r w:rsidR="007F5F4A">
        <w:rPr>
          <w:szCs w:val="22"/>
        </w:rPr>
        <w:t xml:space="preserve"> regarding </w:t>
      </w:r>
      <w:r w:rsidR="00AF7C8B">
        <w:rPr>
          <w:szCs w:val="22"/>
        </w:rPr>
        <w:t xml:space="preserve">possible </w:t>
      </w:r>
      <w:r w:rsidR="007F5F4A">
        <w:rPr>
          <w:szCs w:val="22"/>
        </w:rPr>
        <w:t xml:space="preserve">interference to public safety </w:t>
      </w:r>
      <w:r w:rsidR="00AF0312">
        <w:rPr>
          <w:szCs w:val="22"/>
        </w:rPr>
        <w:t>licen</w:t>
      </w:r>
      <w:r w:rsidR="00D6429D">
        <w:rPr>
          <w:szCs w:val="22"/>
        </w:rPr>
        <w:t>s</w:t>
      </w:r>
      <w:r w:rsidR="00AF0312">
        <w:rPr>
          <w:szCs w:val="22"/>
        </w:rPr>
        <w:t xml:space="preserve">ees </w:t>
      </w:r>
      <w:r w:rsidR="007F5F4A">
        <w:rPr>
          <w:szCs w:val="22"/>
        </w:rPr>
        <w:t>and measurement and testing labs.</w:t>
      </w:r>
      <w:r w:rsidR="005B0808">
        <w:rPr>
          <w:szCs w:val="22"/>
        </w:rPr>
        <w:t xml:space="preserve">  </w:t>
      </w:r>
    </w:p>
    <w:p w:rsidR="00621EF7" w:rsidRDefault="009560F1" w:rsidP="007F5F4A">
      <w:pPr>
        <w:spacing w:before="120" w:after="240"/>
        <w:ind w:firstLine="720"/>
        <w:rPr>
          <w:szCs w:val="22"/>
        </w:rPr>
      </w:pPr>
      <w:r>
        <w:rPr>
          <w:szCs w:val="22"/>
        </w:rPr>
        <w:t xml:space="preserve">Cohen, Dipell and Everist, P.C., (CDE) a professional engineering consulting service for the broadcast and telecommunications industry, note that AT&amp;T does not describe how it would deploy the waiver and does not state definitively that </w:t>
      </w:r>
      <w:r w:rsidR="007950FF">
        <w:rPr>
          <w:szCs w:val="22"/>
        </w:rPr>
        <w:t xml:space="preserve">the use of a </w:t>
      </w:r>
      <w:r>
        <w:rPr>
          <w:szCs w:val="22"/>
        </w:rPr>
        <w:t xml:space="preserve">PSD </w:t>
      </w:r>
      <w:r w:rsidR="007950FF">
        <w:rPr>
          <w:szCs w:val="22"/>
        </w:rPr>
        <w:t xml:space="preserve">model for measuring ERP </w:t>
      </w:r>
      <w:r>
        <w:rPr>
          <w:szCs w:val="22"/>
        </w:rPr>
        <w:t>will not increase interference to public safety receivers.</w:t>
      </w:r>
      <w:r>
        <w:rPr>
          <w:rStyle w:val="FootnoteReference"/>
          <w:szCs w:val="22"/>
        </w:rPr>
        <w:footnoteReference w:id="24"/>
      </w:r>
      <w:r w:rsidR="004427C6">
        <w:rPr>
          <w:szCs w:val="22"/>
        </w:rPr>
        <w:t xml:space="preserve">  Robert F. Gonsett, (Gonsett) a Consulting Radio Engineer, and CDE both state that the long-term and widespread effects of the increase in power on permitted adjacent frequency operations are not yet known.</w:t>
      </w:r>
      <w:r w:rsidR="004427C6">
        <w:rPr>
          <w:rStyle w:val="FootnoteReference"/>
          <w:szCs w:val="22"/>
        </w:rPr>
        <w:footnoteReference w:id="25"/>
      </w:r>
      <w:r w:rsidR="004427C6">
        <w:rPr>
          <w:szCs w:val="22"/>
        </w:rPr>
        <w:t xml:space="preserve">  Spe</w:t>
      </w:r>
      <w:r w:rsidR="00AF7C8B">
        <w:rPr>
          <w:szCs w:val="22"/>
        </w:rPr>
        <w:t>ci</w:t>
      </w:r>
      <w:r w:rsidR="004427C6">
        <w:rPr>
          <w:szCs w:val="22"/>
        </w:rPr>
        <w:t xml:space="preserve">fically, Gonsett </w:t>
      </w:r>
      <w:r w:rsidR="008603EA">
        <w:rPr>
          <w:szCs w:val="22"/>
        </w:rPr>
        <w:t>refers to</w:t>
      </w:r>
      <w:r w:rsidR="004427C6">
        <w:rPr>
          <w:i/>
          <w:szCs w:val="22"/>
        </w:rPr>
        <w:t xml:space="preserve"> </w:t>
      </w:r>
      <w:r w:rsidR="004427C6">
        <w:rPr>
          <w:szCs w:val="22"/>
        </w:rPr>
        <w:t>a new cell tower under construction 1,600 feet from his spectral monitoring lab located in the San Diego, CA area.</w:t>
      </w:r>
      <w:r w:rsidR="002F3670">
        <w:rPr>
          <w:rStyle w:val="FootnoteReference"/>
          <w:szCs w:val="22"/>
        </w:rPr>
        <w:footnoteReference w:id="26"/>
      </w:r>
      <w:r w:rsidR="004427C6">
        <w:rPr>
          <w:szCs w:val="22"/>
        </w:rPr>
        <w:t xml:space="preserve">  Gonsett expresses concern regarding Verizon’s proposed transmitter power and about the impact o</w:t>
      </w:r>
      <w:r w:rsidR="007950FF">
        <w:rPr>
          <w:szCs w:val="22"/>
        </w:rPr>
        <w:t>n</w:t>
      </w:r>
      <w:r w:rsidR="004427C6">
        <w:rPr>
          <w:szCs w:val="22"/>
        </w:rPr>
        <w:t xml:space="preserve"> public safety communications generally</w:t>
      </w:r>
      <w:r w:rsidR="002F3670">
        <w:rPr>
          <w:szCs w:val="22"/>
        </w:rPr>
        <w:t xml:space="preserve"> by the “continued unbridled rollout of cell facilities – or </w:t>
      </w:r>
      <w:r w:rsidR="00AF0312">
        <w:rPr>
          <w:szCs w:val="22"/>
        </w:rPr>
        <w:t>if the cellular rule rewrite</w:t>
      </w:r>
      <w:r w:rsidR="002F3670">
        <w:rPr>
          <w:szCs w:val="22"/>
        </w:rPr>
        <w:t xml:space="preserve"> now sought by AT&amp;T were granted.”</w:t>
      </w:r>
      <w:r w:rsidR="002F3670">
        <w:rPr>
          <w:rStyle w:val="FootnoteReference"/>
          <w:szCs w:val="22"/>
        </w:rPr>
        <w:footnoteReference w:id="27"/>
      </w:r>
      <w:r w:rsidR="002F3670">
        <w:rPr>
          <w:szCs w:val="22"/>
        </w:rPr>
        <w:t xml:space="preserve">  Gonsett states that AT&amp;T “should devise a test plan that includes the specific [radio frequency interference] test objectives acceptable to the FCC.”</w:t>
      </w:r>
      <w:r w:rsidR="002F3670">
        <w:rPr>
          <w:rStyle w:val="FootnoteReference"/>
          <w:szCs w:val="22"/>
        </w:rPr>
        <w:footnoteReference w:id="28"/>
      </w:r>
      <w:r w:rsidR="002F3670">
        <w:rPr>
          <w:szCs w:val="22"/>
        </w:rPr>
        <w:t xml:space="preserve">  Rick Levy, Certified Senior Radio</w:t>
      </w:r>
      <w:r w:rsidR="007F5F4A">
        <w:rPr>
          <w:szCs w:val="22"/>
        </w:rPr>
        <w:t xml:space="preserve"> Engineer, Broadcast Signal Lab</w:t>
      </w:r>
      <w:r w:rsidR="002F3670">
        <w:rPr>
          <w:szCs w:val="22"/>
        </w:rPr>
        <w:t xml:space="preserve">, concurs with Mr. Gonsett and specifically opposes the Waiver Request because </w:t>
      </w:r>
      <w:r w:rsidR="007F5F4A">
        <w:rPr>
          <w:szCs w:val="22"/>
        </w:rPr>
        <w:t>it does not require “quiet zones” around measurement labs, and other sensitive receiving installations.</w:t>
      </w:r>
      <w:r w:rsidR="007F5F4A">
        <w:rPr>
          <w:rStyle w:val="FootnoteReference"/>
          <w:szCs w:val="22"/>
        </w:rPr>
        <w:footnoteReference w:id="29"/>
      </w:r>
    </w:p>
    <w:p w:rsidR="007F5F4A" w:rsidRPr="007F5F4A" w:rsidRDefault="007F5F4A" w:rsidP="007F5F4A">
      <w:pPr>
        <w:spacing w:before="120" w:after="240"/>
        <w:ind w:firstLine="720"/>
        <w:rPr>
          <w:szCs w:val="22"/>
        </w:rPr>
      </w:pPr>
      <w:r>
        <w:rPr>
          <w:szCs w:val="22"/>
        </w:rPr>
        <w:t xml:space="preserve">AT&amp;T </w:t>
      </w:r>
      <w:r w:rsidR="009B6B7D">
        <w:rPr>
          <w:szCs w:val="22"/>
        </w:rPr>
        <w:t xml:space="preserve">filed reply comments </w:t>
      </w:r>
      <w:r w:rsidR="00E14F0B">
        <w:rPr>
          <w:szCs w:val="22"/>
        </w:rPr>
        <w:t xml:space="preserve">stating that “it is not clear that either commenter has a direct interest in AT&amp;T’s request for waiver” and the assertions that the Waiver Request insufficiently addresses its effect on public safety agencies </w:t>
      </w:r>
      <w:r w:rsidR="00D6429D">
        <w:rPr>
          <w:szCs w:val="22"/>
        </w:rPr>
        <w:t>are</w:t>
      </w:r>
      <w:r w:rsidR="00E14F0B">
        <w:rPr>
          <w:szCs w:val="22"/>
        </w:rPr>
        <w:t xml:space="preserve"> incorrect.</w:t>
      </w:r>
      <w:r w:rsidR="00E14F0B">
        <w:rPr>
          <w:rStyle w:val="FootnoteReference"/>
          <w:szCs w:val="22"/>
        </w:rPr>
        <w:footnoteReference w:id="30"/>
      </w:r>
      <w:r w:rsidR="00E14F0B">
        <w:rPr>
          <w:szCs w:val="22"/>
        </w:rPr>
        <w:t xml:space="preserve">  AT&amp;T reiterates that there are no </w:t>
      </w:r>
      <w:r w:rsidR="000C61F5">
        <w:rPr>
          <w:szCs w:val="22"/>
        </w:rPr>
        <w:t>public safety agencies operating</w:t>
      </w:r>
      <w:r w:rsidR="00E14F0B">
        <w:rPr>
          <w:szCs w:val="22"/>
        </w:rPr>
        <w:t xml:space="preserve"> in the 800 MHz band in Burlington, VT and AT&amp;T describes </w:t>
      </w:r>
      <w:r w:rsidR="007950FF">
        <w:rPr>
          <w:szCs w:val="22"/>
        </w:rPr>
        <w:t xml:space="preserve">the </w:t>
      </w:r>
      <w:r w:rsidR="00E14F0B">
        <w:rPr>
          <w:szCs w:val="22"/>
        </w:rPr>
        <w:t xml:space="preserve">testing it completed with </w:t>
      </w:r>
      <w:r w:rsidR="000C61F5">
        <w:rPr>
          <w:szCs w:val="22"/>
        </w:rPr>
        <w:t>public safety entities</w:t>
      </w:r>
      <w:r w:rsidR="00E14F0B">
        <w:rPr>
          <w:szCs w:val="22"/>
        </w:rPr>
        <w:t xml:space="preserve"> in south Florida which resulted in no interference</w:t>
      </w:r>
      <w:r w:rsidR="00D6429D">
        <w:rPr>
          <w:szCs w:val="22"/>
        </w:rPr>
        <w:t xml:space="preserve"> to such entities</w:t>
      </w:r>
      <w:r w:rsidR="00E14F0B">
        <w:rPr>
          <w:szCs w:val="22"/>
        </w:rPr>
        <w:t>.</w:t>
      </w:r>
      <w:r w:rsidR="00E14F0B">
        <w:rPr>
          <w:rStyle w:val="FootnoteReference"/>
          <w:szCs w:val="22"/>
        </w:rPr>
        <w:footnoteReference w:id="31"/>
      </w:r>
      <w:r w:rsidR="00E14F0B">
        <w:rPr>
          <w:szCs w:val="22"/>
        </w:rPr>
        <w:t xml:space="preserve">  AT&amp;T</w:t>
      </w:r>
      <w:r w:rsidR="004318B2">
        <w:rPr>
          <w:szCs w:val="22"/>
        </w:rPr>
        <w:t xml:space="preserve"> also</w:t>
      </w:r>
      <w:r w:rsidR="00E14F0B">
        <w:rPr>
          <w:szCs w:val="22"/>
        </w:rPr>
        <w:t xml:space="preserve"> addresses other concerns raised by CDE</w:t>
      </w:r>
      <w:r w:rsidR="000C61F5">
        <w:rPr>
          <w:szCs w:val="22"/>
        </w:rPr>
        <w:t>,</w:t>
      </w:r>
      <w:r w:rsidR="00E14F0B">
        <w:rPr>
          <w:szCs w:val="22"/>
        </w:rPr>
        <w:t xml:space="preserve"> stating that </w:t>
      </w:r>
      <w:r w:rsidR="004318B2">
        <w:rPr>
          <w:szCs w:val="22"/>
        </w:rPr>
        <w:t>it</w:t>
      </w:r>
      <w:r w:rsidR="00E14F0B">
        <w:rPr>
          <w:szCs w:val="22"/>
        </w:rPr>
        <w:t xml:space="preserve"> will comply with RF emissions rules and current requirements regarding Canadian border coordination and does not seek a waiver of these rules.</w:t>
      </w:r>
      <w:r w:rsidR="00E14F0B">
        <w:rPr>
          <w:rStyle w:val="FootnoteReference"/>
          <w:szCs w:val="22"/>
        </w:rPr>
        <w:footnoteReference w:id="32"/>
      </w:r>
      <w:r w:rsidR="00E14F0B">
        <w:rPr>
          <w:szCs w:val="22"/>
        </w:rPr>
        <w:t xml:space="preserve"> </w:t>
      </w:r>
    </w:p>
    <w:p w:rsidR="00CC4250" w:rsidRPr="00262ED4" w:rsidRDefault="006B235F" w:rsidP="005426A3">
      <w:pPr>
        <w:numPr>
          <w:ilvl w:val="0"/>
          <w:numId w:val="20"/>
        </w:numPr>
        <w:rPr>
          <w:b/>
          <w:szCs w:val="22"/>
        </w:rPr>
      </w:pPr>
      <w:r w:rsidRPr="00262ED4">
        <w:rPr>
          <w:b/>
          <w:szCs w:val="22"/>
        </w:rPr>
        <w:t>DISCUSSION</w:t>
      </w:r>
    </w:p>
    <w:p w:rsidR="00A8435A" w:rsidRPr="00262ED4" w:rsidRDefault="00A8435A" w:rsidP="00A8435A">
      <w:pPr>
        <w:ind w:firstLine="720"/>
        <w:rPr>
          <w:b/>
          <w:szCs w:val="22"/>
        </w:rPr>
      </w:pPr>
    </w:p>
    <w:p w:rsidR="00E66884" w:rsidRDefault="00E66884" w:rsidP="00E66884">
      <w:pPr>
        <w:ind w:firstLine="720"/>
        <w:rPr>
          <w:szCs w:val="22"/>
        </w:rPr>
      </w:pPr>
      <w:r w:rsidRPr="00262ED4">
        <w:rPr>
          <w:szCs w:val="22"/>
        </w:rPr>
        <w:t>Under Section 1.925 of the Commission’s rules, a waiver may be granted if the applicant demonstrates that:  (i) the underlying purpose of the rule would not be served or would be frustrated by its application to the instant case and that grant of the requested waiver would be in the public interest; or (ii) in view of unique or unusual factual circumstances, application of the rule(s) would be inequitable, unduly burdensome, or contrary to the public interest, or the applicant has no reasonable alternative.</w:t>
      </w:r>
      <w:r w:rsidRPr="00262ED4">
        <w:rPr>
          <w:rStyle w:val="FootnoteReference"/>
          <w:szCs w:val="22"/>
        </w:rPr>
        <w:footnoteReference w:id="33"/>
      </w:r>
      <w:r w:rsidRPr="00262ED4">
        <w:rPr>
          <w:szCs w:val="22"/>
        </w:rPr>
        <w:t xml:space="preserve">  </w:t>
      </w:r>
    </w:p>
    <w:p w:rsidR="00E66884" w:rsidRDefault="00E66884" w:rsidP="00E66884">
      <w:pPr>
        <w:ind w:firstLine="720"/>
        <w:rPr>
          <w:szCs w:val="22"/>
        </w:rPr>
      </w:pPr>
    </w:p>
    <w:p w:rsidR="00E66884" w:rsidRDefault="00E66884" w:rsidP="00E66884">
      <w:pPr>
        <w:ind w:firstLine="720"/>
        <w:rPr>
          <w:szCs w:val="22"/>
        </w:rPr>
      </w:pPr>
      <w:r>
        <w:rPr>
          <w:szCs w:val="22"/>
        </w:rPr>
        <w:t>We have weighed</w:t>
      </w:r>
      <w:r w:rsidRPr="00262ED4">
        <w:rPr>
          <w:szCs w:val="22"/>
        </w:rPr>
        <w:t xml:space="preserve"> the potential public interest benefits against potential adverse effects </w:t>
      </w:r>
      <w:r>
        <w:rPr>
          <w:szCs w:val="22"/>
        </w:rPr>
        <w:t>and believe it is in the public interest to grant the Waiver Request subject to the below conditions</w:t>
      </w:r>
      <w:r w:rsidRPr="00262ED4">
        <w:rPr>
          <w:szCs w:val="22"/>
        </w:rPr>
        <w:t xml:space="preserve">.  </w:t>
      </w:r>
      <w:r>
        <w:rPr>
          <w:szCs w:val="22"/>
        </w:rPr>
        <w:t xml:space="preserve">Specifically, we believe it is in the public interest to foster the development of advanced technologies in the Cellular Service, thereby allowing </w:t>
      </w:r>
      <w:r w:rsidRPr="00262ED4">
        <w:rPr>
          <w:szCs w:val="22"/>
        </w:rPr>
        <w:t xml:space="preserve">AT&amp;T </w:t>
      </w:r>
      <w:r>
        <w:rPr>
          <w:szCs w:val="22"/>
        </w:rPr>
        <w:t>to launch</w:t>
      </w:r>
      <w:r w:rsidRPr="00262ED4">
        <w:rPr>
          <w:szCs w:val="22"/>
        </w:rPr>
        <w:t xml:space="preserve"> LTE services and </w:t>
      </w:r>
      <w:r>
        <w:rPr>
          <w:szCs w:val="22"/>
        </w:rPr>
        <w:t xml:space="preserve">offer </w:t>
      </w:r>
      <w:r w:rsidRPr="00262ED4">
        <w:rPr>
          <w:szCs w:val="22"/>
        </w:rPr>
        <w:t>its subscribers’ access to these valuable broadband wireless services</w:t>
      </w:r>
      <w:r>
        <w:rPr>
          <w:szCs w:val="22"/>
        </w:rPr>
        <w:t>.  A grant also furthers the Commission’s goal of increasing regulatory parity in technical rules when possible for competing CMRS services.</w:t>
      </w:r>
    </w:p>
    <w:p w:rsidR="00E66884" w:rsidRDefault="00E66884" w:rsidP="00E66884">
      <w:pPr>
        <w:ind w:firstLine="720"/>
        <w:rPr>
          <w:szCs w:val="22"/>
        </w:rPr>
      </w:pPr>
    </w:p>
    <w:p w:rsidR="009078FE" w:rsidRDefault="00AF7C8B" w:rsidP="00E66884">
      <w:pPr>
        <w:ind w:firstLine="720"/>
        <w:rPr>
          <w:szCs w:val="22"/>
        </w:rPr>
      </w:pPr>
      <w:r>
        <w:rPr>
          <w:szCs w:val="22"/>
        </w:rPr>
        <w:t xml:space="preserve">We find that the commenters expressing </w:t>
      </w:r>
      <w:r w:rsidR="00E66884">
        <w:rPr>
          <w:szCs w:val="22"/>
        </w:rPr>
        <w:t xml:space="preserve">general </w:t>
      </w:r>
      <w:r w:rsidR="00E66884" w:rsidRPr="00262ED4">
        <w:rPr>
          <w:szCs w:val="22"/>
        </w:rPr>
        <w:t xml:space="preserve">concerns </w:t>
      </w:r>
      <w:r w:rsidR="00E66884">
        <w:rPr>
          <w:szCs w:val="22"/>
        </w:rPr>
        <w:t>regarding</w:t>
      </w:r>
      <w:r w:rsidR="00E66884" w:rsidRPr="00262ED4">
        <w:rPr>
          <w:szCs w:val="22"/>
        </w:rPr>
        <w:t xml:space="preserve"> </w:t>
      </w:r>
      <w:r w:rsidR="00E66884">
        <w:rPr>
          <w:szCs w:val="22"/>
        </w:rPr>
        <w:t>potential increased risk of harmful interference to public safety</w:t>
      </w:r>
      <w:r>
        <w:rPr>
          <w:szCs w:val="22"/>
        </w:rPr>
        <w:t xml:space="preserve"> operations have not made a specific showing demonstrating that harmful interference would be caused in the instant case involving</w:t>
      </w:r>
      <w:r w:rsidR="00AE6AA7">
        <w:rPr>
          <w:szCs w:val="22"/>
        </w:rPr>
        <w:t xml:space="preserve"> AT&amp;T operation using PSD </w:t>
      </w:r>
      <w:r w:rsidR="00984AF5">
        <w:rPr>
          <w:szCs w:val="22"/>
        </w:rPr>
        <w:t xml:space="preserve">to measure ERP </w:t>
      </w:r>
      <w:r w:rsidR="00AE6AA7">
        <w:rPr>
          <w:szCs w:val="22"/>
        </w:rPr>
        <w:t>in t</w:t>
      </w:r>
      <w:r>
        <w:rPr>
          <w:szCs w:val="22"/>
        </w:rPr>
        <w:t xml:space="preserve">he </w:t>
      </w:r>
      <w:r w:rsidR="00984AF5">
        <w:rPr>
          <w:szCs w:val="22"/>
        </w:rPr>
        <w:t xml:space="preserve">Burlington, </w:t>
      </w:r>
      <w:r>
        <w:rPr>
          <w:szCs w:val="22"/>
        </w:rPr>
        <w:t>Vermont CMA.</w:t>
      </w:r>
      <w:r w:rsidR="00A518A9">
        <w:rPr>
          <w:rStyle w:val="FootnoteReference"/>
          <w:szCs w:val="22"/>
        </w:rPr>
        <w:footnoteReference w:id="34"/>
      </w:r>
      <w:r w:rsidR="00A518A9">
        <w:rPr>
          <w:szCs w:val="22"/>
        </w:rPr>
        <w:t xml:space="preserve">  </w:t>
      </w:r>
      <w:r>
        <w:rPr>
          <w:szCs w:val="22"/>
        </w:rPr>
        <w:t xml:space="preserve">Such general concerns are more appropriately made and considered in the context of AT&amp;T’s Petition for Rulemaking seeking modifications to rule section 22.913 and any </w:t>
      </w:r>
      <w:r w:rsidR="009078FE">
        <w:rPr>
          <w:szCs w:val="22"/>
        </w:rPr>
        <w:t xml:space="preserve">further </w:t>
      </w:r>
      <w:r>
        <w:rPr>
          <w:szCs w:val="22"/>
        </w:rPr>
        <w:t xml:space="preserve">Commission action in that proceeding.  </w:t>
      </w:r>
      <w:r w:rsidR="009078FE">
        <w:rPr>
          <w:szCs w:val="22"/>
        </w:rPr>
        <w:t>I</w:t>
      </w:r>
      <w:r w:rsidR="00E86C30">
        <w:rPr>
          <w:szCs w:val="22"/>
        </w:rPr>
        <w:t xml:space="preserve">n this </w:t>
      </w:r>
      <w:r w:rsidR="009078FE">
        <w:rPr>
          <w:szCs w:val="22"/>
        </w:rPr>
        <w:t>particular case,</w:t>
      </w:r>
      <w:r w:rsidR="00E86C30">
        <w:rPr>
          <w:szCs w:val="22"/>
        </w:rPr>
        <w:t xml:space="preserve"> </w:t>
      </w:r>
      <w:r w:rsidR="009078FE">
        <w:rPr>
          <w:szCs w:val="22"/>
        </w:rPr>
        <w:t>we sought public comment from po</w:t>
      </w:r>
      <w:r w:rsidR="00E86C30">
        <w:rPr>
          <w:szCs w:val="22"/>
        </w:rPr>
        <w:t>t</w:t>
      </w:r>
      <w:r w:rsidR="009078FE">
        <w:rPr>
          <w:szCs w:val="22"/>
        </w:rPr>
        <w:t>entially affected parties</w:t>
      </w:r>
      <w:r w:rsidR="00AE6AA7">
        <w:rPr>
          <w:szCs w:val="22"/>
        </w:rPr>
        <w:t xml:space="preserve"> and</w:t>
      </w:r>
      <w:r w:rsidR="009078FE">
        <w:rPr>
          <w:szCs w:val="22"/>
        </w:rPr>
        <w:t xml:space="preserve"> received no objections from public safety entities</w:t>
      </w:r>
      <w:r w:rsidR="00AE6AA7">
        <w:rPr>
          <w:szCs w:val="22"/>
        </w:rPr>
        <w:t xml:space="preserve">.  We also </w:t>
      </w:r>
      <w:r w:rsidR="009078FE">
        <w:rPr>
          <w:szCs w:val="22"/>
        </w:rPr>
        <w:t xml:space="preserve">note that, while our records reflect that there are no base stations licensed to 800 MHz public safety </w:t>
      </w:r>
      <w:r w:rsidR="007C1CB6">
        <w:rPr>
          <w:szCs w:val="22"/>
        </w:rPr>
        <w:t xml:space="preserve">systems </w:t>
      </w:r>
      <w:r w:rsidR="009078FE">
        <w:rPr>
          <w:szCs w:val="22"/>
        </w:rPr>
        <w:t xml:space="preserve">in CMA 248, we are providing protections to any </w:t>
      </w:r>
      <w:r w:rsidR="00E86C30">
        <w:rPr>
          <w:szCs w:val="22"/>
        </w:rPr>
        <w:t xml:space="preserve">public safety </w:t>
      </w:r>
      <w:r w:rsidR="009078FE">
        <w:rPr>
          <w:szCs w:val="22"/>
        </w:rPr>
        <w:t>licensee with base stations located</w:t>
      </w:r>
      <w:r w:rsidR="004318B2">
        <w:rPr>
          <w:szCs w:val="22"/>
        </w:rPr>
        <w:t xml:space="preserve"> </w:t>
      </w:r>
      <w:r w:rsidR="009078FE">
        <w:rPr>
          <w:szCs w:val="22"/>
        </w:rPr>
        <w:t>within a 113</w:t>
      </w:r>
      <w:r w:rsidR="00AE6AA7">
        <w:rPr>
          <w:szCs w:val="22"/>
        </w:rPr>
        <w:t xml:space="preserve"> km radius of an AT&amp;T base stat</w:t>
      </w:r>
      <w:r w:rsidR="009078FE">
        <w:rPr>
          <w:szCs w:val="22"/>
        </w:rPr>
        <w:t>ion deployed in the market</w:t>
      </w:r>
      <w:r w:rsidR="004318B2">
        <w:rPr>
          <w:szCs w:val="22"/>
        </w:rPr>
        <w:t>, even if the public safety base station is located outside CMA 248</w:t>
      </w:r>
      <w:r w:rsidR="009078FE">
        <w:rPr>
          <w:szCs w:val="22"/>
        </w:rPr>
        <w:t xml:space="preserve">. </w:t>
      </w:r>
    </w:p>
    <w:p w:rsidR="009078FE" w:rsidRDefault="009078FE" w:rsidP="00E66884">
      <w:pPr>
        <w:ind w:firstLine="720"/>
        <w:rPr>
          <w:szCs w:val="22"/>
        </w:rPr>
      </w:pPr>
    </w:p>
    <w:p w:rsidR="00E66884" w:rsidRDefault="00E66884" w:rsidP="00E66884">
      <w:pPr>
        <w:ind w:firstLine="720"/>
        <w:rPr>
          <w:szCs w:val="22"/>
        </w:rPr>
      </w:pPr>
      <w:r>
        <w:rPr>
          <w:szCs w:val="22"/>
        </w:rPr>
        <w:t xml:space="preserve">We </w:t>
      </w:r>
      <w:r w:rsidR="00AE6AA7">
        <w:rPr>
          <w:szCs w:val="22"/>
        </w:rPr>
        <w:t xml:space="preserve">also </w:t>
      </w:r>
      <w:r>
        <w:rPr>
          <w:szCs w:val="22"/>
        </w:rPr>
        <w:t xml:space="preserve">believe that AT&amp;T’s May 2014 Study provides a general framework for assessing the likelihood of interference from LTE deployments with MIMO on public safety receivers using various reasonable scenarios to estimate the potential for intermodulation interference, out of band emissions, and overload interference.  </w:t>
      </w:r>
      <w:r w:rsidR="007C1CB6">
        <w:rPr>
          <w:szCs w:val="22"/>
        </w:rPr>
        <w:t>As noted,</w:t>
      </w:r>
      <w:r>
        <w:rPr>
          <w:szCs w:val="22"/>
        </w:rPr>
        <w:t xml:space="preserve"> the conditions we impose</w:t>
      </w:r>
      <w:r w:rsidRPr="00262ED4">
        <w:rPr>
          <w:szCs w:val="22"/>
        </w:rPr>
        <w:t xml:space="preserve"> </w:t>
      </w:r>
      <w:r w:rsidR="004318B2">
        <w:rPr>
          <w:szCs w:val="22"/>
        </w:rPr>
        <w:t xml:space="preserve">on AT&amp;T </w:t>
      </w:r>
      <w:r>
        <w:rPr>
          <w:szCs w:val="22"/>
        </w:rPr>
        <w:t>will</w:t>
      </w:r>
      <w:r w:rsidRPr="00262ED4">
        <w:rPr>
          <w:szCs w:val="22"/>
        </w:rPr>
        <w:t xml:space="preserve"> </w:t>
      </w:r>
      <w:r>
        <w:rPr>
          <w:szCs w:val="22"/>
        </w:rPr>
        <w:t xml:space="preserve">help </w:t>
      </w:r>
      <w:r w:rsidRPr="00262ED4">
        <w:rPr>
          <w:szCs w:val="22"/>
        </w:rPr>
        <w:t xml:space="preserve">ensure </w:t>
      </w:r>
      <w:r>
        <w:rPr>
          <w:szCs w:val="22"/>
        </w:rPr>
        <w:t xml:space="preserve">that public safety systems and neighboring cellular licensees will be </w:t>
      </w:r>
      <w:r w:rsidRPr="00262ED4">
        <w:rPr>
          <w:szCs w:val="22"/>
        </w:rPr>
        <w:t>protect</w:t>
      </w:r>
      <w:r>
        <w:rPr>
          <w:szCs w:val="22"/>
        </w:rPr>
        <w:t>ed</w:t>
      </w:r>
      <w:r w:rsidRPr="00262ED4">
        <w:rPr>
          <w:szCs w:val="22"/>
        </w:rPr>
        <w:t xml:space="preserve"> </w:t>
      </w:r>
      <w:r>
        <w:rPr>
          <w:szCs w:val="22"/>
        </w:rPr>
        <w:t>from increased harmful interference from AT&amp;T’s operations using the PSD model</w:t>
      </w:r>
      <w:r w:rsidR="007950FF">
        <w:rPr>
          <w:szCs w:val="22"/>
        </w:rPr>
        <w:t xml:space="preserve"> for measuring ERP</w:t>
      </w:r>
      <w:r>
        <w:rPr>
          <w:szCs w:val="22"/>
        </w:rPr>
        <w:t>.  Based</w:t>
      </w:r>
      <w:r w:rsidRPr="00262ED4">
        <w:rPr>
          <w:szCs w:val="22"/>
        </w:rPr>
        <w:t xml:space="preserve"> </w:t>
      </w:r>
      <w:r>
        <w:rPr>
          <w:szCs w:val="22"/>
        </w:rPr>
        <w:t xml:space="preserve">on the </w:t>
      </w:r>
      <w:r w:rsidRPr="00262ED4">
        <w:rPr>
          <w:szCs w:val="22"/>
        </w:rPr>
        <w:t>totality of the circumstances</w:t>
      </w:r>
      <w:r>
        <w:rPr>
          <w:szCs w:val="22"/>
        </w:rPr>
        <w:t xml:space="preserve">, </w:t>
      </w:r>
      <w:r w:rsidRPr="00262ED4">
        <w:rPr>
          <w:szCs w:val="22"/>
        </w:rPr>
        <w:t>we find that permit</w:t>
      </w:r>
      <w:r>
        <w:rPr>
          <w:szCs w:val="22"/>
        </w:rPr>
        <w:t>ting</w:t>
      </w:r>
      <w:r w:rsidRPr="00262ED4">
        <w:rPr>
          <w:szCs w:val="22"/>
        </w:rPr>
        <w:t xml:space="preserve"> AT&amp;T to</w:t>
      </w:r>
      <w:r>
        <w:rPr>
          <w:szCs w:val="22"/>
        </w:rPr>
        <w:t xml:space="preserve"> operate it</w:t>
      </w:r>
      <w:r w:rsidR="000C61F5">
        <w:rPr>
          <w:szCs w:val="22"/>
        </w:rPr>
        <w:t>s</w:t>
      </w:r>
      <w:r>
        <w:rPr>
          <w:szCs w:val="22"/>
        </w:rPr>
        <w:t xml:space="preserve"> Burlington, VT license using a PSD model </w:t>
      </w:r>
      <w:r w:rsidR="00984AF5">
        <w:rPr>
          <w:szCs w:val="22"/>
        </w:rPr>
        <w:t xml:space="preserve">to measure ERP </w:t>
      </w:r>
      <w:r>
        <w:rPr>
          <w:szCs w:val="22"/>
        </w:rPr>
        <w:t xml:space="preserve">better </w:t>
      </w:r>
      <w:r w:rsidRPr="00262ED4">
        <w:rPr>
          <w:szCs w:val="22"/>
        </w:rPr>
        <w:t xml:space="preserve">serves the public interest than strict application of the current </w:t>
      </w:r>
      <w:r>
        <w:rPr>
          <w:szCs w:val="22"/>
        </w:rPr>
        <w:t xml:space="preserve">Cellular </w:t>
      </w:r>
      <w:r w:rsidRPr="00262ED4">
        <w:rPr>
          <w:szCs w:val="22"/>
        </w:rPr>
        <w:t>radiated power rule</w:t>
      </w:r>
      <w:r>
        <w:rPr>
          <w:szCs w:val="22"/>
        </w:rPr>
        <w:t xml:space="preserve">. </w:t>
      </w:r>
    </w:p>
    <w:p w:rsidR="00E66884" w:rsidRDefault="00E66884" w:rsidP="00E66884">
      <w:pPr>
        <w:ind w:firstLine="720"/>
        <w:rPr>
          <w:szCs w:val="22"/>
        </w:rPr>
      </w:pPr>
    </w:p>
    <w:p w:rsidR="00AA7C50" w:rsidRPr="00AA7C50" w:rsidRDefault="00E66884" w:rsidP="00AA7C50">
      <w:pPr>
        <w:ind w:firstLine="720"/>
        <w:rPr>
          <w:szCs w:val="22"/>
        </w:rPr>
      </w:pPr>
      <w:r w:rsidRPr="005F5FCE">
        <w:rPr>
          <w:szCs w:val="22"/>
        </w:rPr>
        <w:t>We also believe that the underlying purpose of the Section 22.913, to prevent harmful interference from a Cellular licensee to public safety and neighboring C</w:t>
      </w:r>
      <w:r w:rsidR="00834403" w:rsidRPr="005F5FCE">
        <w:rPr>
          <w:szCs w:val="22"/>
        </w:rPr>
        <w:t xml:space="preserve">ellular </w:t>
      </w:r>
      <w:r w:rsidRPr="005F5FCE">
        <w:rPr>
          <w:szCs w:val="22"/>
        </w:rPr>
        <w:t xml:space="preserve">licensees, will not be frustrated by a grant of the Waiver Request.  </w:t>
      </w:r>
      <w:r w:rsidR="00014AC5" w:rsidRPr="005F5FCE">
        <w:rPr>
          <w:szCs w:val="22"/>
        </w:rPr>
        <w:t>As already noted,</w:t>
      </w:r>
      <w:r w:rsidR="00834403" w:rsidRPr="005F5FCE">
        <w:rPr>
          <w:szCs w:val="22"/>
        </w:rPr>
        <w:t xml:space="preserve"> </w:t>
      </w:r>
      <w:r w:rsidR="00014AC5" w:rsidRPr="005F5FCE">
        <w:rPr>
          <w:szCs w:val="22"/>
        </w:rPr>
        <w:t>t</w:t>
      </w:r>
      <w:r w:rsidR="00AA7C50" w:rsidRPr="005F5FCE">
        <w:rPr>
          <w:szCs w:val="22"/>
        </w:rPr>
        <w:t xml:space="preserve">here </w:t>
      </w:r>
      <w:r w:rsidR="00834403" w:rsidRPr="005F5FCE">
        <w:rPr>
          <w:szCs w:val="22"/>
        </w:rPr>
        <w:t xml:space="preserve">are </w:t>
      </w:r>
      <w:r w:rsidR="00AA7C50" w:rsidRPr="005F5FCE">
        <w:rPr>
          <w:szCs w:val="22"/>
        </w:rPr>
        <w:t xml:space="preserve">no public safety entities </w:t>
      </w:r>
      <w:r w:rsidR="007C1CB6">
        <w:rPr>
          <w:szCs w:val="22"/>
        </w:rPr>
        <w:t>with licensed base stations</w:t>
      </w:r>
      <w:r w:rsidR="00AA7C50" w:rsidRPr="005F5FCE">
        <w:rPr>
          <w:szCs w:val="22"/>
        </w:rPr>
        <w:t xml:space="preserve"> in </w:t>
      </w:r>
      <w:r w:rsidR="00D6429D" w:rsidRPr="005F5FCE">
        <w:rPr>
          <w:szCs w:val="22"/>
        </w:rPr>
        <w:t>CMA</w:t>
      </w:r>
      <w:r w:rsidR="007950FF">
        <w:rPr>
          <w:szCs w:val="22"/>
        </w:rPr>
        <w:t xml:space="preserve"> </w:t>
      </w:r>
      <w:r w:rsidR="00D6429D" w:rsidRPr="005F5FCE">
        <w:rPr>
          <w:szCs w:val="22"/>
        </w:rPr>
        <w:t>248</w:t>
      </w:r>
      <w:r w:rsidR="00984AF5">
        <w:rPr>
          <w:szCs w:val="22"/>
        </w:rPr>
        <w:t>;</w:t>
      </w:r>
      <w:r w:rsidR="004318B2">
        <w:rPr>
          <w:szCs w:val="22"/>
        </w:rPr>
        <w:t xml:space="preserve"> we received no public safety o</w:t>
      </w:r>
      <w:r w:rsidR="00984AF5">
        <w:rPr>
          <w:szCs w:val="22"/>
        </w:rPr>
        <w:t>bjection to the proposed relief;</w:t>
      </w:r>
      <w:r w:rsidR="00AA7C50" w:rsidRPr="005F5FCE">
        <w:rPr>
          <w:szCs w:val="22"/>
        </w:rPr>
        <w:t xml:space="preserve"> and </w:t>
      </w:r>
      <w:r w:rsidRPr="005F5FCE">
        <w:rPr>
          <w:szCs w:val="22"/>
        </w:rPr>
        <w:t xml:space="preserve">Verizon, the only non-AT&amp;T Cellular licensee </w:t>
      </w:r>
      <w:r w:rsidR="00BF3DD9" w:rsidRPr="005F5FCE">
        <w:rPr>
          <w:szCs w:val="22"/>
        </w:rPr>
        <w:t>adjacent</w:t>
      </w:r>
      <w:r w:rsidRPr="005F5FCE">
        <w:rPr>
          <w:szCs w:val="22"/>
        </w:rPr>
        <w:t xml:space="preserve"> </w:t>
      </w:r>
      <w:r w:rsidR="00BF3DD9" w:rsidRPr="005F5FCE">
        <w:rPr>
          <w:szCs w:val="22"/>
        </w:rPr>
        <w:t xml:space="preserve">to AT&amp;T’s Cellular system in </w:t>
      </w:r>
      <w:r w:rsidR="00D6429D" w:rsidRPr="005F5FCE">
        <w:rPr>
          <w:szCs w:val="22"/>
        </w:rPr>
        <w:t>CMA248</w:t>
      </w:r>
      <w:r w:rsidRPr="005F5FCE">
        <w:rPr>
          <w:szCs w:val="22"/>
        </w:rPr>
        <w:t xml:space="preserve">, </w:t>
      </w:r>
      <w:r w:rsidR="004318B2">
        <w:rPr>
          <w:szCs w:val="22"/>
        </w:rPr>
        <w:t xml:space="preserve">also </w:t>
      </w:r>
      <w:r w:rsidRPr="005F5FCE">
        <w:rPr>
          <w:szCs w:val="22"/>
        </w:rPr>
        <w:t>raised no objection.</w:t>
      </w:r>
      <w:r w:rsidR="000C61F5" w:rsidRPr="005F5FCE">
        <w:rPr>
          <w:rStyle w:val="FootnoteReference"/>
          <w:szCs w:val="22"/>
        </w:rPr>
        <w:footnoteReference w:id="35"/>
      </w:r>
      <w:r>
        <w:rPr>
          <w:szCs w:val="22"/>
        </w:rPr>
        <w:t xml:space="preserve">  </w:t>
      </w:r>
    </w:p>
    <w:p w:rsidR="00E66884" w:rsidRPr="006635A3" w:rsidRDefault="00E66884" w:rsidP="00E66884">
      <w:pPr>
        <w:ind w:firstLine="720"/>
        <w:rPr>
          <w:b/>
          <w:szCs w:val="22"/>
        </w:rPr>
      </w:pPr>
      <w:r>
        <w:rPr>
          <w:szCs w:val="22"/>
        </w:rPr>
        <w:t xml:space="preserve">   </w:t>
      </w:r>
    </w:p>
    <w:p w:rsidR="00E66884" w:rsidRPr="00262ED4" w:rsidRDefault="00E66884" w:rsidP="00E66884">
      <w:pPr>
        <w:rPr>
          <w:szCs w:val="22"/>
        </w:rPr>
      </w:pPr>
      <w:r>
        <w:rPr>
          <w:szCs w:val="22"/>
        </w:rPr>
        <w:tab/>
      </w:r>
      <w:r w:rsidRPr="00262ED4">
        <w:rPr>
          <w:szCs w:val="22"/>
        </w:rPr>
        <w:t>Accordingly, w</w:t>
      </w:r>
      <w:r w:rsidRPr="00262ED4">
        <w:rPr>
          <w:color w:val="000000"/>
          <w:szCs w:val="22"/>
        </w:rPr>
        <w:t xml:space="preserve">e </w:t>
      </w:r>
      <w:r w:rsidR="000C61F5">
        <w:rPr>
          <w:color w:val="000000"/>
          <w:szCs w:val="22"/>
        </w:rPr>
        <w:t xml:space="preserve">grant </w:t>
      </w:r>
      <w:r>
        <w:rPr>
          <w:color w:val="000000"/>
          <w:szCs w:val="22"/>
        </w:rPr>
        <w:t xml:space="preserve">AT&amp;T’s request and will </w:t>
      </w:r>
      <w:r w:rsidRPr="00A3645F">
        <w:rPr>
          <w:color w:val="000000"/>
          <w:szCs w:val="22"/>
        </w:rPr>
        <w:t>permit</w:t>
      </w:r>
      <w:r>
        <w:rPr>
          <w:color w:val="000000"/>
          <w:szCs w:val="22"/>
        </w:rPr>
        <w:t xml:space="preserve"> </w:t>
      </w:r>
      <w:r w:rsidRPr="001D393B">
        <w:rPr>
          <w:color w:val="000000"/>
          <w:szCs w:val="22"/>
        </w:rPr>
        <w:t>AT</w:t>
      </w:r>
      <w:r>
        <w:rPr>
          <w:color w:val="000000"/>
          <w:szCs w:val="22"/>
        </w:rPr>
        <w:t xml:space="preserve">&amp;T to utilize the PSD model </w:t>
      </w:r>
      <w:r w:rsidR="007950FF">
        <w:rPr>
          <w:color w:val="000000"/>
          <w:szCs w:val="22"/>
        </w:rPr>
        <w:t xml:space="preserve">for measuring ERP </w:t>
      </w:r>
      <w:r>
        <w:rPr>
          <w:color w:val="000000"/>
          <w:szCs w:val="22"/>
        </w:rPr>
        <w:t xml:space="preserve">in </w:t>
      </w:r>
      <w:r w:rsidR="00D6429D">
        <w:rPr>
          <w:color w:val="000000"/>
          <w:szCs w:val="22"/>
        </w:rPr>
        <w:t>CMA</w:t>
      </w:r>
      <w:r w:rsidR="007950FF">
        <w:rPr>
          <w:color w:val="000000"/>
          <w:szCs w:val="22"/>
        </w:rPr>
        <w:t xml:space="preserve"> </w:t>
      </w:r>
      <w:r w:rsidR="00D6429D">
        <w:rPr>
          <w:color w:val="000000"/>
          <w:szCs w:val="22"/>
        </w:rPr>
        <w:t>248</w:t>
      </w:r>
      <w:r>
        <w:rPr>
          <w:color w:val="000000"/>
          <w:szCs w:val="22"/>
        </w:rPr>
        <w:t xml:space="preserve"> at an ERP level of 250 W/MHz</w:t>
      </w:r>
      <w:r w:rsidR="007C1CB6">
        <w:rPr>
          <w:color w:val="000000"/>
          <w:szCs w:val="22"/>
        </w:rPr>
        <w:t xml:space="preserve"> in non-rural counties and 500 W/MHz in rural counties</w:t>
      </w:r>
      <w:r w:rsidR="000C61F5">
        <w:rPr>
          <w:color w:val="000000"/>
          <w:szCs w:val="22"/>
        </w:rPr>
        <w:t xml:space="preserve">.  </w:t>
      </w:r>
      <w:r>
        <w:rPr>
          <w:color w:val="000000"/>
          <w:szCs w:val="22"/>
        </w:rPr>
        <w:t>AT&amp;T’s operation under this waiver is subject to any rule changes resulting from Commission action on</w:t>
      </w:r>
      <w:r w:rsidRPr="00262ED4">
        <w:rPr>
          <w:color w:val="000000"/>
          <w:szCs w:val="22"/>
        </w:rPr>
        <w:t xml:space="preserve"> AT&amp;T’s pending Petition to modify the rule</w:t>
      </w:r>
      <w:r>
        <w:rPr>
          <w:color w:val="000000"/>
          <w:szCs w:val="22"/>
        </w:rPr>
        <w:t xml:space="preserve">.  Further, </w:t>
      </w:r>
      <w:r w:rsidR="005F5FCE">
        <w:rPr>
          <w:color w:val="000000"/>
          <w:szCs w:val="22"/>
        </w:rPr>
        <w:t xml:space="preserve">the </w:t>
      </w:r>
      <w:r w:rsidR="000C61F5">
        <w:rPr>
          <w:color w:val="000000"/>
          <w:szCs w:val="22"/>
        </w:rPr>
        <w:t>waiver</w:t>
      </w:r>
      <w:r>
        <w:rPr>
          <w:color w:val="000000"/>
          <w:szCs w:val="22"/>
        </w:rPr>
        <w:t xml:space="preserve"> grant is </w:t>
      </w:r>
      <w:r w:rsidRPr="00262ED4">
        <w:rPr>
          <w:color w:val="000000"/>
          <w:szCs w:val="22"/>
        </w:rPr>
        <w:t>condition</w:t>
      </w:r>
      <w:r>
        <w:rPr>
          <w:color w:val="000000"/>
          <w:szCs w:val="22"/>
        </w:rPr>
        <w:t xml:space="preserve">ed on the following: </w:t>
      </w:r>
    </w:p>
    <w:p w:rsidR="00E66884" w:rsidRPr="00262ED4" w:rsidRDefault="00E66884" w:rsidP="00E66884">
      <w:pPr>
        <w:rPr>
          <w:color w:val="000000"/>
          <w:szCs w:val="22"/>
        </w:rPr>
      </w:pPr>
    </w:p>
    <w:p w:rsidR="00E66884" w:rsidRPr="00262ED4" w:rsidRDefault="00E66884" w:rsidP="00E66884">
      <w:pPr>
        <w:numPr>
          <w:ilvl w:val="0"/>
          <w:numId w:val="25"/>
        </w:numPr>
        <w:rPr>
          <w:color w:val="000000"/>
          <w:szCs w:val="22"/>
        </w:rPr>
      </w:pPr>
      <w:r w:rsidRPr="009631E6">
        <w:rPr>
          <w:color w:val="000000" w:themeColor="text1"/>
          <w:szCs w:val="22"/>
        </w:rPr>
        <w:t>AT&amp;T’s use of PSD is limited to</w:t>
      </w:r>
      <w:r>
        <w:rPr>
          <w:color w:val="000000" w:themeColor="text1"/>
          <w:szCs w:val="22"/>
        </w:rPr>
        <w:t xml:space="preserve"> </w:t>
      </w:r>
      <w:r>
        <w:rPr>
          <w:szCs w:val="22"/>
        </w:rPr>
        <w:t xml:space="preserve">a </w:t>
      </w:r>
      <w:r w:rsidRPr="00A474A4">
        <w:rPr>
          <w:color w:val="000000"/>
          <w:szCs w:val="22"/>
        </w:rPr>
        <w:t xml:space="preserve">maximum ERP </w:t>
      </w:r>
      <w:r w:rsidRPr="00A474A4">
        <w:rPr>
          <w:szCs w:val="22"/>
        </w:rPr>
        <w:t xml:space="preserve">limit of </w:t>
      </w:r>
      <w:r w:rsidR="00AA7C50">
        <w:rPr>
          <w:szCs w:val="22"/>
        </w:rPr>
        <w:t>250</w:t>
      </w:r>
      <w:r w:rsidRPr="00A474A4">
        <w:rPr>
          <w:szCs w:val="22"/>
        </w:rPr>
        <w:t xml:space="preserve"> W/MHz</w:t>
      </w:r>
      <w:r>
        <w:rPr>
          <w:color w:val="000000" w:themeColor="text1"/>
          <w:szCs w:val="22"/>
        </w:rPr>
        <w:t xml:space="preserve"> </w:t>
      </w:r>
      <w:r w:rsidR="007C1CB6">
        <w:rPr>
          <w:color w:val="000000"/>
          <w:szCs w:val="22"/>
        </w:rPr>
        <w:t xml:space="preserve">in non-rural counties and 500 W/MHz in rural counties </w:t>
      </w:r>
      <w:r>
        <w:rPr>
          <w:color w:val="000000" w:themeColor="text1"/>
          <w:szCs w:val="22"/>
        </w:rPr>
        <w:t>using LTE as described in AT&amp;T’s Waiver Request</w:t>
      </w:r>
      <w:r w:rsidR="00AA7C50">
        <w:rPr>
          <w:color w:val="000000" w:themeColor="text1"/>
          <w:szCs w:val="22"/>
        </w:rPr>
        <w:t>.</w:t>
      </w:r>
    </w:p>
    <w:p w:rsidR="00E66884" w:rsidRPr="00262ED4" w:rsidRDefault="00E66884" w:rsidP="00E66884">
      <w:pPr>
        <w:ind w:left="1080"/>
        <w:rPr>
          <w:color w:val="000000"/>
          <w:szCs w:val="22"/>
        </w:rPr>
      </w:pPr>
    </w:p>
    <w:p w:rsidR="00E66884" w:rsidRDefault="00E66884" w:rsidP="00E66884">
      <w:pPr>
        <w:numPr>
          <w:ilvl w:val="0"/>
          <w:numId w:val="25"/>
        </w:numPr>
        <w:rPr>
          <w:szCs w:val="22"/>
        </w:rPr>
      </w:pPr>
      <w:r w:rsidRPr="00262ED4">
        <w:rPr>
          <w:szCs w:val="22"/>
        </w:rPr>
        <w:t xml:space="preserve">Before </w:t>
      </w:r>
      <w:r>
        <w:rPr>
          <w:szCs w:val="22"/>
        </w:rPr>
        <w:t xml:space="preserve">deploying a base station </w:t>
      </w:r>
      <w:r w:rsidRPr="00262ED4">
        <w:rPr>
          <w:szCs w:val="22"/>
        </w:rPr>
        <w:t>w</w:t>
      </w:r>
      <w:r>
        <w:rPr>
          <w:szCs w:val="22"/>
        </w:rPr>
        <w:t>ith</w:t>
      </w:r>
      <w:r w:rsidRPr="00262ED4">
        <w:rPr>
          <w:szCs w:val="22"/>
        </w:rPr>
        <w:t xml:space="preserve"> power specified in terms of </w:t>
      </w:r>
      <w:r>
        <w:rPr>
          <w:szCs w:val="22"/>
        </w:rPr>
        <w:t>PSD under this waiver</w:t>
      </w:r>
      <w:r w:rsidRPr="00262ED4">
        <w:rPr>
          <w:szCs w:val="22"/>
        </w:rPr>
        <w:t xml:space="preserve">, AT&amp;T shall provide a minimum of </w:t>
      </w:r>
      <w:r>
        <w:rPr>
          <w:szCs w:val="22"/>
        </w:rPr>
        <w:t>thirty (30)</w:t>
      </w:r>
      <w:r w:rsidRPr="00262ED4">
        <w:rPr>
          <w:b/>
          <w:szCs w:val="22"/>
        </w:rPr>
        <w:t xml:space="preserve"> </w:t>
      </w:r>
      <w:r w:rsidRPr="00262ED4">
        <w:rPr>
          <w:szCs w:val="22"/>
        </w:rPr>
        <w:t xml:space="preserve">days written advance notice to </w:t>
      </w:r>
      <w:r>
        <w:rPr>
          <w:szCs w:val="22"/>
        </w:rPr>
        <w:t>any</w:t>
      </w:r>
      <w:r w:rsidRPr="00262ED4">
        <w:rPr>
          <w:szCs w:val="22"/>
        </w:rPr>
        <w:t xml:space="preserve"> public safety</w:t>
      </w:r>
      <w:r>
        <w:rPr>
          <w:rStyle w:val="FootnoteReference"/>
          <w:szCs w:val="22"/>
        </w:rPr>
        <w:footnoteReference w:id="36"/>
      </w:r>
      <w:r w:rsidRPr="00262ED4">
        <w:rPr>
          <w:szCs w:val="22"/>
        </w:rPr>
        <w:t xml:space="preserve"> </w:t>
      </w:r>
      <w:r>
        <w:rPr>
          <w:szCs w:val="22"/>
        </w:rPr>
        <w:t>licensee authorized</w:t>
      </w:r>
      <w:r w:rsidRPr="00262ED4">
        <w:rPr>
          <w:szCs w:val="22"/>
        </w:rPr>
        <w:t xml:space="preserve"> in the frequency range 806-8</w:t>
      </w:r>
      <w:r>
        <w:rPr>
          <w:szCs w:val="22"/>
        </w:rPr>
        <w:t>24</w:t>
      </w:r>
      <w:r w:rsidRPr="00262ED4">
        <w:rPr>
          <w:szCs w:val="22"/>
        </w:rPr>
        <w:t xml:space="preserve"> MHz/851-86</w:t>
      </w:r>
      <w:r>
        <w:rPr>
          <w:szCs w:val="22"/>
        </w:rPr>
        <w:t>9</w:t>
      </w:r>
      <w:r w:rsidRPr="00262ED4">
        <w:rPr>
          <w:szCs w:val="22"/>
        </w:rPr>
        <w:t xml:space="preserve"> MHz</w:t>
      </w:r>
      <w:r w:rsidRPr="00262ED4" w:rsidDel="001D393B">
        <w:rPr>
          <w:szCs w:val="22"/>
        </w:rPr>
        <w:t xml:space="preserve"> </w:t>
      </w:r>
      <w:r>
        <w:rPr>
          <w:szCs w:val="22"/>
        </w:rPr>
        <w:t>with a base station(s) located within a radius of 113 km</w:t>
      </w:r>
      <w:r w:rsidR="008E24CF">
        <w:rPr>
          <w:rStyle w:val="FootnoteReference"/>
          <w:szCs w:val="22"/>
        </w:rPr>
        <w:footnoteReference w:id="37"/>
      </w:r>
      <w:r>
        <w:rPr>
          <w:szCs w:val="22"/>
        </w:rPr>
        <w:t xml:space="preserve"> of the base station to be deployed.  The</w:t>
      </w:r>
      <w:r w:rsidRPr="00262ED4">
        <w:rPr>
          <w:szCs w:val="22"/>
        </w:rPr>
        <w:t xml:space="preserve"> written notice shall specify (a) the location of the </w:t>
      </w:r>
      <w:r>
        <w:rPr>
          <w:szCs w:val="22"/>
        </w:rPr>
        <w:t>base station(s)</w:t>
      </w:r>
      <w:r w:rsidRPr="00262ED4">
        <w:rPr>
          <w:szCs w:val="22"/>
        </w:rPr>
        <w:t xml:space="preserve"> by geographical coordinates and street intersection or address, (b) the height above ground level of the radiation center of the </w:t>
      </w:r>
      <w:r>
        <w:rPr>
          <w:szCs w:val="22"/>
        </w:rPr>
        <w:t>base station(s)</w:t>
      </w:r>
      <w:r w:rsidRPr="00262ED4">
        <w:rPr>
          <w:szCs w:val="22"/>
        </w:rPr>
        <w:t xml:space="preserve"> antenna(s) and the amount of beam tilt, if any, (c) the date and time when the </w:t>
      </w:r>
      <w:r>
        <w:rPr>
          <w:szCs w:val="22"/>
        </w:rPr>
        <w:t>base station(s)</w:t>
      </w:r>
      <w:r w:rsidRPr="00262ED4">
        <w:rPr>
          <w:szCs w:val="22"/>
        </w:rPr>
        <w:t xml:space="preserve"> will be activated, and (d) a telephone number monitored 24 hours a day </w:t>
      </w:r>
      <w:r>
        <w:rPr>
          <w:szCs w:val="22"/>
        </w:rPr>
        <w:t>to</w:t>
      </w:r>
      <w:r w:rsidRPr="00262ED4">
        <w:rPr>
          <w:szCs w:val="22"/>
        </w:rPr>
        <w:t xml:space="preserve"> advis</w:t>
      </w:r>
      <w:r>
        <w:rPr>
          <w:szCs w:val="22"/>
        </w:rPr>
        <w:t>e</w:t>
      </w:r>
      <w:r w:rsidRPr="00262ED4">
        <w:rPr>
          <w:szCs w:val="22"/>
        </w:rPr>
        <w:t xml:space="preserve"> AT&amp;T of any resulting interference.</w:t>
      </w:r>
    </w:p>
    <w:p w:rsidR="00E66884" w:rsidRDefault="00E66884" w:rsidP="00E66884">
      <w:pPr>
        <w:pStyle w:val="ListParagraph"/>
        <w:rPr>
          <w:szCs w:val="22"/>
        </w:rPr>
      </w:pPr>
    </w:p>
    <w:p w:rsidR="00E66884" w:rsidRPr="00262ED4" w:rsidRDefault="00E66884" w:rsidP="00E66884">
      <w:pPr>
        <w:numPr>
          <w:ilvl w:val="0"/>
          <w:numId w:val="25"/>
        </w:numPr>
        <w:rPr>
          <w:szCs w:val="22"/>
        </w:rPr>
      </w:pPr>
      <w:r w:rsidRPr="00262ED4">
        <w:rPr>
          <w:szCs w:val="22"/>
        </w:rPr>
        <w:t xml:space="preserve">If AT&amp;T receives a report that such </w:t>
      </w:r>
      <w:r>
        <w:rPr>
          <w:szCs w:val="22"/>
        </w:rPr>
        <w:t>base station(s)</w:t>
      </w:r>
      <w:r w:rsidRPr="00262ED4">
        <w:rPr>
          <w:szCs w:val="22"/>
        </w:rPr>
        <w:t xml:space="preserve"> is </w:t>
      </w:r>
      <w:r>
        <w:rPr>
          <w:szCs w:val="22"/>
        </w:rPr>
        <w:t xml:space="preserve">causing harmful </w:t>
      </w:r>
      <w:r w:rsidRPr="00262ED4">
        <w:rPr>
          <w:szCs w:val="22"/>
        </w:rPr>
        <w:t>interfer</w:t>
      </w:r>
      <w:r w:rsidR="00984AF5">
        <w:rPr>
          <w:szCs w:val="22"/>
        </w:rPr>
        <w:t>ence</w:t>
      </w:r>
      <w:r w:rsidRPr="00262ED4">
        <w:rPr>
          <w:szCs w:val="22"/>
        </w:rPr>
        <w:t xml:space="preserve"> with a public safety licensee, it shall</w:t>
      </w:r>
      <w:r>
        <w:rPr>
          <w:b/>
          <w:szCs w:val="22"/>
        </w:rPr>
        <w:t xml:space="preserve"> </w:t>
      </w:r>
      <w:r w:rsidRPr="00523A51">
        <w:rPr>
          <w:szCs w:val="22"/>
        </w:rPr>
        <w:t xml:space="preserve">immediately </w:t>
      </w:r>
      <w:r w:rsidRPr="00262ED4">
        <w:rPr>
          <w:szCs w:val="22"/>
        </w:rPr>
        <w:t xml:space="preserve">suspend operation </w:t>
      </w:r>
      <w:r>
        <w:rPr>
          <w:szCs w:val="22"/>
        </w:rPr>
        <w:t xml:space="preserve">under this waiver </w:t>
      </w:r>
      <w:r w:rsidRPr="00262ED4">
        <w:rPr>
          <w:szCs w:val="22"/>
        </w:rPr>
        <w:t xml:space="preserve">of such </w:t>
      </w:r>
      <w:r>
        <w:rPr>
          <w:szCs w:val="22"/>
        </w:rPr>
        <w:t>base station(s)</w:t>
      </w:r>
      <w:r w:rsidRPr="00262ED4">
        <w:rPr>
          <w:szCs w:val="22"/>
        </w:rPr>
        <w:t xml:space="preserve"> except for test transmissions to identify and eliminate the interference.  </w:t>
      </w:r>
      <w:r>
        <w:rPr>
          <w:szCs w:val="22"/>
        </w:rPr>
        <w:t xml:space="preserve">AT&amp;T may resume operation under this waiver of such base station(s) after the interference has been successfully mitigated.  </w:t>
      </w:r>
      <w:r w:rsidRPr="00262ED4">
        <w:rPr>
          <w:szCs w:val="22"/>
        </w:rPr>
        <w:t xml:space="preserve">This condition shall remain in effect until further action of the Commission, and is in addition to, not a replacement for, AT&amp;T’s obligations pursuant to 47 C.F.R. §§ </w:t>
      </w:r>
      <w:r>
        <w:rPr>
          <w:szCs w:val="22"/>
        </w:rPr>
        <w:t>22.971</w:t>
      </w:r>
      <w:r w:rsidRPr="00262ED4">
        <w:rPr>
          <w:szCs w:val="22"/>
        </w:rPr>
        <w:t xml:space="preserve"> and </w:t>
      </w:r>
      <w:r>
        <w:rPr>
          <w:szCs w:val="22"/>
        </w:rPr>
        <w:t>22.972</w:t>
      </w:r>
      <w:r w:rsidRPr="00262ED4">
        <w:rPr>
          <w:szCs w:val="22"/>
        </w:rPr>
        <w:t xml:space="preserve">. </w:t>
      </w:r>
    </w:p>
    <w:p w:rsidR="00E66884" w:rsidRPr="00262ED4" w:rsidRDefault="00E66884" w:rsidP="00E66884">
      <w:pPr>
        <w:ind w:left="1080" w:right="720"/>
        <w:rPr>
          <w:color w:val="000000"/>
          <w:szCs w:val="22"/>
        </w:rPr>
      </w:pPr>
      <w:r w:rsidRPr="00262ED4">
        <w:rPr>
          <w:b/>
          <w:color w:val="000000"/>
          <w:szCs w:val="22"/>
        </w:rPr>
        <w:t xml:space="preserve"> </w:t>
      </w:r>
    </w:p>
    <w:p w:rsidR="00E66884" w:rsidRDefault="00E66884" w:rsidP="00E66884">
      <w:pPr>
        <w:numPr>
          <w:ilvl w:val="0"/>
          <w:numId w:val="25"/>
        </w:numPr>
        <w:rPr>
          <w:color w:val="000000"/>
          <w:szCs w:val="22"/>
        </w:rPr>
      </w:pPr>
      <w:r w:rsidRPr="00212137">
        <w:rPr>
          <w:color w:val="000000"/>
          <w:szCs w:val="22"/>
        </w:rPr>
        <w:t xml:space="preserve">AT&amp;T must coordinate with adjacent channel and neighboring co-channel cellular licensees prior to commencing operation under this waiver, and must cease operation under this waiver upon receipt of a complaint of harmful interference until such interference concerns are </w:t>
      </w:r>
      <w:r>
        <w:rPr>
          <w:color w:val="000000"/>
          <w:szCs w:val="22"/>
        </w:rPr>
        <w:t>mitigated</w:t>
      </w:r>
      <w:r w:rsidRPr="00212137">
        <w:rPr>
          <w:color w:val="000000"/>
          <w:szCs w:val="22"/>
        </w:rPr>
        <w:t>.</w:t>
      </w:r>
    </w:p>
    <w:p w:rsidR="00A4175E" w:rsidRDefault="00A4175E" w:rsidP="00A4175E">
      <w:pPr>
        <w:pStyle w:val="ListParagraph"/>
        <w:rPr>
          <w:color w:val="000000"/>
          <w:szCs w:val="22"/>
        </w:rPr>
      </w:pPr>
    </w:p>
    <w:p w:rsidR="00A4175E" w:rsidRPr="00212137" w:rsidRDefault="00A4175E" w:rsidP="00E66884">
      <w:pPr>
        <w:numPr>
          <w:ilvl w:val="0"/>
          <w:numId w:val="25"/>
        </w:numPr>
        <w:rPr>
          <w:color w:val="000000"/>
          <w:szCs w:val="22"/>
        </w:rPr>
      </w:pPr>
      <w:r>
        <w:rPr>
          <w:color w:val="000000"/>
          <w:szCs w:val="22"/>
        </w:rPr>
        <w:t>The grant of waiver does not absolve AT&amp;T from its requirement to comply with rule section 1.928(a),</w:t>
      </w:r>
      <w:r>
        <w:rPr>
          <w:rStyle w:val="FootnoteReference"/>
          <w:szCs w:val="22"/>
        </w:rPr>
        <w:footnoteReference w:id="38"/>
      </w:r>
      <w:r>
        <w:rPr>
          <w:color w:val="000000"/>
          <w:szCs w:val="22"/>
        </w:rPr>
        <w:t xml:space="preserve"> which mandates compliance with applicable international treaties.</w:t>
      </w:r>
      <w:r>
        <w:rPr>
          <w:rStyle w:val="FootnoteReference"/>
          <w:szCs w:val="22"/>
        </w:rPr>
        <w:footnoteReference w:id="39"/>
      </w:r>
      <w:r>
        <w:rPr>
          <w:color w:val="000000"/>
          <w:szCs w:val="22"/>
        </w:rPr>
        <w:t xml:space="preserve"> </w:t>
      </w:r>
      <w:r w:rsidRPr="00262ED4">
        <w:rPr>
          <w:szCs w:val="22"/>
        </w:rPr>
        <w:t xml:space="preserve">If AT&amp;T receives a report that </w:t>
      </w:r>
      <w:r>
        <w:rPr>
          <w:szCs w:val="22"/>
        </w:rPr>
        <w:t>a base station(s)</w:t>
      </w:r>
      <w:r w:rsidRPr="00262ED4">
        <w:rPr>
          <w:szCs w:val="22"/>
        </w:rPr>
        <w:t xml:space="preserve"> </w:t>
      </w:r>
      <w:r>
        <w:rPr>
          <w:szCs w:val="22"/>
        </w:rPr>
        <w:t xml:space="preserve">operating pursuant to this waiver </w:t>
      </w:r>
      <w:r w:rsidRPr="00262ED4">
        <w:rPr>
          <w:szCs w:val="22"/>
        </w:rPr>
        <w:t xml:space="preserve">is </w:t>
      </w:r>
      <w:r>
        <w:rPr>
          <w:szCs w:val="22"/>
        </w:rPr>
        <w:t xml:space="preserve">causing harmful </w:t>
      </w:r>
      <w:r w:rsidRPr="00262ED4">
        <w:rPr>
          <w:szCs w:val="22"/>
        </w:rPr>
        <w:t>interfer</w:t>
      </w:r>
      <w:r w:rsidR="0082211C">
        <w:rPr>
          <w:szCs w:val="22"/>
        </w:rPr>
        <w:t>ence</w:t>
      </w:r>
      <w:r w:rsidRPr="00262ED4">
        <w:rPr>
          <w:szCs w:val="22"/>
        </w:rPr>
        <w:t xml:space="preserve"> with a </w:t>
      </w:r>
      <w:r>
        <w:rPr>
          <w:szCs w:val="22"/>
        </w:rPr>
        <w:t>Canadian licensee</w:t>
      </w:r>
      <w:r w:rsidRPr="00262ED4">
        <w:rPr>
          <w:szCs w:val="22"/>
        </w:rPr>
        <w:t>, it shall</w:t>
      </w:r>
      <w:r>
        <w:rPr>
          <w:b/>
          <w:szCs w:val="22"/>
        </w:rPr>
        <w:t xml:space="preserve"> </w:t>
      </w:r>
      <w:r w:rsidRPr="00523A51">
        <w:rPr>
          <w:szCs w:val="22"/>
        </w:rPr>
        <w:t xml:space="preserve">immediately </w:t>
      </w:r>
      <w:r w:rsidRPr="00262ED4">
        <w:rPr>
          <w:szCs w:val="22"/>
        </w:rPr>
        <w:t xml:space="preserve">suspend operation </w:t>
      </w:r>
      <w:r>
        <w:rPr>
          <w:szCs w:val="22"/>
        </w:rPr>
        <w:t xml:space="preserve">under this waiver </w:t>
      </w:r>
      <w:r w:rsidRPr="00262ED4">
        <w:rPr>
          <w:szCs w:val="22"/>
        </w:rPr>
        <w:t xml:space="preserve">of such </w:t>
      </w:r>
      <w:r>
        <w:rPr>
          <w:szCs w:val="22"/>
        </w:rPr>
        <w:t>base station(s)</w:t>
      </w:r>
      <w:r w:rsidRPr="00262ED4">
        <w:rPr>
          <w:szCs w:val="22"/>
        </w:rPr>
        <w:t xml:space="preserve"> except for test transmissions to identify and eliminate the interference.  </w:t>
      </w:r>
      <w:r>
        <w:rPr>
          <w:szCs w:val="22"/>
        </w:rPr>
        <w:t xml:space="preserve">AT&amp;T may resume operation under this waiver of such base station(s) after the interference has been successfully mitigated.  </w:t>
      </w:r>
    </w:p>
    <w:p w:rsidR="008856F3" w:rsidRDefault="008856F3" w:rsidP="000F70C1">
      <w:pPr>
        <w:pStyle w:val="ListParagraph"/>
        <w:rPr>
          <w:color w:val="000000"/>
          <w:szCs w:val="22"/>
        </w:rPr>
      </w:pPr>
    </w:p>
    <w:p w:rsidR="00964E77" w:rsidRDefault="00530A87" w:rsidP="008E24CF">
      <w:pPr>
        <w:ind w:firstLine="720"/>
        <w:rPr>
          <w:szCs w:val="22"/>
        </w:rPr>
      </w:pPr>
      <w:r w:rsidRPr="00262ED4">
        <w:rPr>
          <w:szCs w:val="22"/>
        </w:rPr>
        <w:t xml:space="preserve">We conclude that the waiver relief we grant today </w:t>
      </w:r>
      <w:r w:rsidR="00286605">
        <w:rPr>
          <w:szCs w:val="22"/>
        </w:rPr>
        <w:t xml:space="preserve">strikes the appropriate balance, as it </w:t>
      </w:r>
      <w:r w:rsidRPr="00262ED4">
        <w:rPr>
          <w:szCs w:val="22"/>
        </w:rPr>
        <w:t xml:space="preserve">will enable AT&amp;T to deploy LTE </w:t>
      </w:r>
      <w:r w:rsidR="00805C38">
        <w:rPr>
          <w:szCs w:val="22"/>
        </w:rPr>
        <w:t xml:space="preserve">in </w:t>
      </w:r>
      <w:r w:rsidR="00755E3A">
        <w:rPr>
          <w:szCs w:val="22"/>
        </w:rPr>
        <w:t xml:space="preserve">the </w:t>
      </w:r>
      <w:r w:rsidR="00AA7C50">
        <w:rPr>
          <w:szCs w:val="22"/>
        </w:rPr>
        <w:t xml:space="preserve">Burlington, VT </w:t>
      </w:r>
      <w:r w:rsidR="00755E3A">
        <w:rPr>
          <w:szCs w:val="22"/>
        </w:rPr>
        <w:t>CMA</w:t>
      </w:r>
      <w:r w:rsidR="00EF0642">
        <w:rPr>
          <w:szCs w:val="22"/>
        </w:rPr>
        <w:t xml:space="preserve">, </w:t>
      </w:r>
      <w:r w:rsidRPr="00262ED4">
        <w:rPr>
          <w:szCs w:val="22"/>
        </w:rPr>
        <w:t>allow</w:t>
      </w:r>
      <w:r w:rsidR="00EF0642">
        <w:rPr>
          <w:szCs w:val="22"/>
        </w:rPr>
        <w:t>ing</w:t>
      </w:r>
      <w:r w:rsidRPr="00262ED4">
        <w:rPr>
          <w:szCs w:val="22"/>
        </w:rPr>
        <w:t xml:space="preserve"> it to start making more effective use of the spectrum and providing enhanced product offerings to consumers, while also protecting </w:t>
      </w:r>
      <w:r w:rsidR="00EB42A5" w:rsidRPr="00262ED4">
        <w:rPr>
          <w:szCs w:val="22"/>
        </w:rPr>
        <w:t>p</w:t>
      </w:r>
      <w:r w:rsidRPr="00262ED4">
        <w:rPr>
          <w:szCs w:val="22"/>
        </w:rPr>
        <w:t xml:space="preserve">ublic </w:t>
      </w:r>
      <w:r w:rsidR="00EB42A5" w:rsidRPr="00262ED4">
        <w:rPr>
          <w:szCs w:val="22"/>
        </w:rPr>
        <w:t>s</w:t>
      </w:r>
      <w:r w:rsidRPr="00262ED4">
        <w:rPr>
          <w:szCs w:val="22"/>
        </w:rPr>
        <w:t>afety</w:t>
      </w:r>
      <w:r w:rsidR="00A518A9">
        <w:rPr>
          <w:szCs w:val="22"/>
        </w:rPr>
        <w:t xml:space="preserve"> and neighboring </w:t>
      </w:r>
      <w:r w:rsidR="002670E1">
        <w:rPr>
          <w:szCs w:val="22"/>
        </w:rPr>
        <w:t xml:space="preserve">Cellular licensees </w:t>
      </w:r>
      <w:r w:rsidRPr="00262ED4">
        <w:rPr>
          <w:szCs w:val="22"/>
        </w:rPr>
        <w:t xml:space="preserve">from </w:t>
      </w:r>
      <w:r w:rsidR="00EB42A5" w:rsidRPr="00262ED4">
        <w:rPr>
          <w:szCs w:val="22"/>
        </w:rPr>
        <w:t xml:space="preserve">increased risk of </w:t>
      </w:r>
      <w:r w:rsidRPr="00262ED4">
        <w:rPr>
          <w:szCs w:val="22"/>
        </w:rPr>
        <w:t>harmful interference.</w:t>
      </w:r>
      <w:r w:rsidR="00B232D3">
        <w:rPr>
          <w:szCs w:val="22"/>
        </w:rPr>
        <w:t xml:space="preserve">  </w:t>
      </w:r>
    </w:p>
    <w:p w:rsidR="005B0808" w:rsidRDefault="005B0808" w:rsidP="00540072">
      <w:pPr>
        <w:ind w:right="720" w:firstLine="720"/>
        <w:rPr>
          <w:szCs w:val="22"/>
        </w:rPr>
      </w:pPr>
    </w:p>
    <w:p w:rsidR="006B235F" w:rsidRPr="00262ED4" w:rsidRDefault="006B235F" w:rsidP="0047795D">
      <w:pPr>
        <w:numPr>
          <w:ilvl w:val="0"/>
          <w:numId w:val="20"/>
        </w:numPr>
        <w:rPr>
          <w:b/>
          <w:szCs w:val="22"/>
        </w:rPr>
      </w:pPr>
      <w:r w:rsidRPr="00262ED4">
        <w:rPr>
          <w:b/>
          <w:szCs w:val="22"/>
        </w:rPr>
        <w:t>ORDERING CLAUSE</w:t>
      </w:r>
    </w:p>
    <w:p w:rsidR="006B235F" w:rsidRPr="00262ED4" w:rsidRDefault="006B235F" w:rsidP="0047795D">
      <w:pPr>
        <w:pStyle w:val="ParaNum"/>
        <w:numPr>
          <w:ilvl w:val="0"/>
          <w:numId w:val="0"/>
        </w:numPr>
        <w:spacing w:after="0"/>
        <w:ind w:firstLine="720"/>
      </w:pPr>
    </w:p>
    <w:p w:rsidR="005C34AE" w:rsidRPr="00262ED4" w:rsidRDefault="005C34AE" w:rsidP="0047795D">
      <w:pPr>
        <w:pStyle w:val="ParaNum"/>
        <w:numPr>
          <w:ilvl w:val="0"/>
          <w:numId w:val="0"/>
        </w:numPr>
        <w:spacing w:after="0"/>
        <w:ind w:firstLine="720"/>
      </w:pPr>
      <w:r w:rsidRPr="00262ED4">
        <w:t>Accordingly, IT IS ORDERED</w:t>
      </w:r>
      <w:r w:rsidRPr="00262ED4">
        <w:rPr>
          <w:i/>
        </w:rPr>
        <w:t xml:space="preserve"> </w:t>
      </w:r>
      <w:r w:rsidRPr="00262ED4">
        <w:t xml:space="preserve">that the request </w:t>
      </w:r>
      <w:r w:rsidR="00571AC8" w:rsidRPr="00262ED4">
        <w:t>f</w:t>
      </w:r>
      <w:r w:rsidRPr="00262ED4">
        <w:t xml:space="preserve">iled by </w:t>
      </w:r>
      <w:r w:rsidR="00DC4B36" w:rsidRPr="00262ED4">
        <w:t xml:space="preserve">AT&amp;T Services, Inc. on behalf of AT&amp;T, Inc. and its subsidiaries </w:t>
      </w:r>
      <w:r w:rsidRPr="00262ED4">
        <w:t xml:space="preserve">is </w:t>
      </w:r>
      <w:r w:rsidR="00171DFC" w:rsidRPr="00262ED4">
        <w:t xml:space="preserve">HEREBY </w:t>
      </w:r>
      <w:r w:rsidRPr="00262ED4">
        <w:t xml:space="preserve">GRANTED </w:t>
      </w:r>
      <w:r w:rsidR="002625B1" w:rsidRPr="00262ED4">
        <w:t xml:space="preserve">WITH THE CONDITIONS SET FORTH ABOVE and CONDITIONED ON COMPLIANCE with </w:t>
      </w:r>
      <w:r w:rsidR="00530A87" w:rsidRPr="00262ED4">
        <w:t xml:space="preserve">new </w:t>
      </w:r>
      <w:r w:rsidR="003003DF" w:rsidRPr="00262ED4">
        <w:t xml:space="preserve">rules that may be adopted as a result of AT&amp;T’s pending </w:t>
      </w:r>
      <w:r w:rsidR="00FE234D" w:rsidRPr="00262ED4">
        <w:t>P</w:t>
      </w:r>
      <w:r w:rsidR="003003DF" w:rsidRPr="00262ED4">
        <w:t xml:space="preserve">etition for rulemaking (RM-11660).  </w:t>
      </w:r>
      <w:r w:rsidRPr="00262ED4">
        <w:t>Th</w:t>
      </w:r>
      <w:r w:rsidR="00CC4250" w:rsidRPr="00262ED4">
        <w:t>is action is</w:t>
      </w:r>
      <w:r w:rsidRPr="00262ED4">
        <w:t xml:space="preserve"> taken under delegated authority pursuant to sections 0.11, 0.231, 0.131, 0.331 </w:t>
      </w:r>
      <w:r w:rsidR="009738FE">
        <w:t xml:space="preserve">and 1.925 </w:t>
      </w:r>
      <w:r w:rsidRPr="00262ED4">
        <w:t>of the Commission’s rules, 47 C.F.R. §§ 0.11, 0.231, 0.131, 0.331</w:t>
      </w:r>
      <w:r w:rsidR="009738FE">
        <w:t xml:space="preserve"> and 1.925</w:t>
      </w:r>
      <w:r w:rsidRPr="00262ED4">
        <w:t>.</w:t>
      </w:r>
    </w:p>
    <w:p w:rsidR="0047795D" w:rsidRPr="00262ED4" w:rsidRDefault="0047795D" w:rsidP="0047795D">
      <w:pPr>
        <w:pStyle w:val="ParaNum"/>
        <w:numPr>
          <w:ilvl w:val="0"/>
          <w:numId w:val="0"/>
        </w:numPr>
        <w:spacing w:after="0"/>
        <w:ind w:firstLine="720"/>
      </w:pPr>
    </w:p>
    <w:p w:rsidR="009738FE" w:rsidRDefault="00CC4250" w:rsidP="0047795D">
      <w:pPr>
        <w:pStyle w:val="ParaNum"/>
        <w:numPr>
          <w:ilvl w:val="0"/>
          <w:numId w:val="0"/>
        </w:numPr>
        <w:spacing w:after="0"/>
      </w:pPr>
      <w:r w:rsidRPr="00262ED4">
        <w:tab/>
      </w:r>
      <w:r w:rsidRPr="00262ED4">
        <w:tab/>
      </w:r>
      <w:r w:rsidRPr="00262ED4">
        <w:tab/>
      </w:r>
      <w:r w:rsidRPr="00262ED4">
        <w:tab/>
      </w:r>
      <w:r w:rsidRPr="00262ED4">
        <w:tab/>
      </w:r>
      <w:r w:rsidRPr="00262ED4">
        <w:tab/>
      </w:r>
    </w:p>
    <w:p w:rsidR="00CC4250" w:rsidRPr="00262ED4" w:rsidRDefault="00CC4250" w:rsidP="009738FE">
      <w:pPr>
        <w:pStyle w:val="ParaNum"/>
        <w:numPr>
          <w:ilvl w:val="0"/>
          <w:numId w:val="0"/>
        </w:numPr>
        <w:spacing w:after="0"/>
        <w:ind w:left="3600" w:firstLine="720"/>
      </w:pPr>
      <w:r w:rsidRPr="00262ED4">
        <w:t>Sincerely,</w:t>
      </w:r>
    </w:p>
    <w:p w:rsidR="00CC4250" w:rsidRPr="00262ED4" w:rsidRDefault="00CC4250" w:rsidP="00CC4250">
      <w:pPr>
        <w:pStyle w:val="ParaNum"/>
        <w:numPr>
          <w:ilvl w:val="0"/>
          <w:numId w:val="0"/>
        </w:numPr>
        <w:spacing w:after="0"/>
      </w:pPr>
    </w:p>
    <w:p w:rsidR="00CC4250" w:rsidRPr="00262ED4" w:rsidRDefault="00CC4250" w:rsidP="00CC4250">
      <w:pPr>
        <w:pStyle w:val="ParaNum"/>
        <w:numPr>
          <w:ilvl w:val="0"/>
          <w:numId w:val="0"/>
        </w:numPr>
        <w:spacing w:after="0"/>
      </w:pPr>
    </w:p>
    <w:p w:rsidR="006D75E8" w:rsidRPr="00262ED4" w:rsidRDefault="00CC4250" w:rsidP="00CC4250">
      <w:pPr>
        <w:pStyle w:val="ParaNum"/>
        <w:numPr>
          <w:ilvl w:val="0"/>
          <w:numId w:val="0"/>
        </w:numPr>
        <w:spacing w:after="0"/>
      </w:pPr>
      <w:r w:rsidRPr="00262ED4">
        <w:tab/>
      </w:r>
      <w:r w:rsidRPr="00262ED4">
        <w:tab/>
      </w:r>
      <w:r w:rsidRPr="00262ED4">
        <w:tab/>
      </w:r>
      <w:r w:rsidRPr="00262ED4">
        <w:tab/>
      </w:r>
      <w:r w:rsidRPr="00262ED4">
        <w:tab/>
      </w:r>
      <w:r w:rsidRPr="00262ED4">
        <w:tab/>
      </w:r>
      <w:r w:rsidRPr="00262ED4">
        <w:tab/>
      </w:r>
    </w:p>
    <w:p w:rsidR="00CC4250" w:rsidRPr="00262ED4" w:rsidRDefault="00CC4250" w:rsidP="00C4038A">
      <w:pPr>
        <w:pStyle w:val="ParaNum"/>
        <w:numPr>
          <w:ilvl w:val="0"/>
          <w:numId w:val="0"/>
        </w:numPr>
        <w:spacing w:after="0"/>
        <w:ind w:left="3600" w:firstLine="720"/>
      </w:pPr>
      <w:r w:rsidRPr="00262ED4">
        <w:t xml:space="preserve">Roger </w:t>
      </w:r>
      <w:r w:rsidR="009738FE">
        <w:t xml:space="preserve">S. </w:t>
      </w:r>
      <w:r w:rsidRPr="00262ED4">
        <w:t>Noel</w:t>
      </w:r>
    </w:p>
    <w:p w:rsidR="00CC4250" w:rsidRPr="00262ED4" w:rsidRDefault="00C4038A" w:rsidP="00CC4250">
      <w:pPr>
        <w:pStyle w:val="ParaNum"/>
        <w:numPr>
          <w:ilvl w:val="0"/>
          <w:numId w:val="0"/>
        </w:numPr>
        <w:spacing w:after="0"/>
      </w:pPr>
      <w:r w:rsidRPr="00262ED4">
        <w:tab/>
      </w:r>
      <w:r w:rsidRPr="00262ED4">
        <w:tab/>
      </w:r>
      <w:r w:rsidRPr="00262ED4">
        <w:tab/>
      </w:r>
      <w:r w:rsidRPr="00262ED4">
        <w:tab/>
      </w:r>
      <w:r w:rsidRPr="00262ED4">
        <w:tab/>
      </w:r>
      <w:r w:rsidR="00CC4250" w:rsidRPr="00262ED4">
        <w:tab/>
        <w:t>Chief, Mobility Division</w:t>
      </w:r>
    </w:p>
    <w:p w:rsidR="003F6CDC" w:rsidRPr="00262ED4" w:rsidRDefault="00C4038A" w:rsidP="00182F1A">
      <w:pPr>
        <w:pStyle w:val="ParaNum"/>
        <w:numPr>
          <w:ilvl w:val="0"/>
          <w:numId w:val="0"/>
        </w:numPr>
        <w:spacing w:after="0"/>
      </w:pPr>
      <w:r w:rsidRPr="00262ED4">
        <w:tab/>
      </w:r>
      <w:r w:rsidRPr="00262ED4">
        <w:tab/>
      </w:r>
      <w:r w:rsidRPr="00262ED4">
        <w:tab/>
      </w:r>
      <w:r w:rsidRPr="00262ED4">
        <w:tab/>
      </w:r>
      <w:r w:rsidR="00CC4250" w:rsidRPr="00262ED4">
        <w:tab/>
      </w:r>
      <w:r w:rsidR="00CC4250" w:rsidRPr="00262ED4">
        <w:tab/>
        <w:t>Wireless Telecommunications Bureau</w:t>
      </w:r>
    </w:p>
    <w:sectPr w:rsidR="003F6CDC" w:rsidRPr="00262ED4" w:rsidSect="00A12FD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78" w:rsidRDefault="00002C78">
      <w:r>
        <w:separator/>
      </w:r>
    </w:p>
  </w:endnote>
  <w:endnote w:type="continuationSeparator" w:id="0">
    <w:p w:rsidR="00002C78" w:rsidRDefault="0000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1" w:rsidRDefault="00C07261" w:rsidP="005B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261" w:rsidRDefault="00C07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1" w:rsidRDefault="00C07261" w:rsidP="005B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923">
      <w:rPr>
        <w:rStyle w:val="PageNumber"/>
        <w:noProof/>
      </w:rPr>
      <w:t>6</w:t>
    </w:r>
    <w:r>
      <w:rPr>
        <w:rStyle w:val="PageNumber"/>
      </w:rPr>
      <w:fldChar w:fldCharType="end"/>
    </w:r>
  </w:p>
  <w:p w:rsidR="00C07261" w:rsidRDefault="00C07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1" w:rsidRPr="009631E6" w:rsidRDefault="00C07261" w:rsidP="00A43028">
    <w:pPr>
      <w:pStyle w:val="Footer"/>
      <w:rPr>
        <w:i/>
      </w:rPr>
    </w:pPr>
    <w:r>
      <w:tab/>
    </w:r>
    <w:r>
      <w:tab/>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78" w:rsidRDefault="00002C78">
      <w:r>
        <w:separator/>
      </w:r>
    </w:p>
  </w:footnote>
  <w:footnote w:type="continuationSeparator" w:id="0">
    <w:p w:rsidR="00002C78" w:rsidRDefault="00002C78">
      <w:r>
        <w:continuationSeparator/>
      </w:r>
    </w:p>
  </w:footnote>
  <w:footnote w:id="1">
    <w:p w:rsidR="00C07261" w:rsidRPr="000B22BA" w:rsidRDefault="00C07261" w:rsidP="000B22BA">
      <w:pPr>
        <w:pStyle w:val="FootnoteText"/>
        <w:ind w:firstLine="0"/>
      </w:pPr>
      <w:r w:rsidRPr="0048768B">
        <w:rPr>
          <w:rStyle w:val="FootnoteReference"/>
          <w:sz w:val="20"/>
        </w:rPr>
        <w:footnoteRef/>
      </w:r>
      <w:r w:rsidRPr="0048768B">
        <w:t xml:space="preserve"> AT&amp;T Services, Inc., Request for Rule Waiver (filed July </w:t>
      </w:r>
      <w:r w:rsidR="00BE56AA">
        <w:t>1, 2014</w:t>
      </w:r>
      <w:r w:rsidRPr="0048768B">
        <w:t>) (Waiver Request) (</w:t>
      </w:r>
      <w:r>
        <w:t>under cover l</w:t>
      </w:r>
      <w:r w:rsidRPr="0048768B">
        <w:t xml:space="preserve">etter from William </w:t>
      </w:r>
      <w:r w:rsidR="00A43028">
        <w:t xml:space="preserve">L. </w:t>
      </w:r>
      <w:r w:rsidRPr="0048768B">
        <w:t xml:space="preserve">Roughton, </w:t>
      </w:r>
      <w:r w:rsidR="00A43028">
        <w:t xml:space="preserve">Jr., </w:t>
      </w:r>
      <w:r w:rsidRPr="0048768B">
        <w:t>Esq., AT&amp;T Services, Inc.</w:t>
      </w:r>
      <w:r>
        <w:t xml:space="preserve">, to Marlene H. Dortch, Secretary, FCC, and attaching </w:t>
      </w:r>
      <w:r w:rsidRPr="0048768B">
        <w:t xml:space="preserve">a technical study dated </w:t>
      </w:r>
      <w:r w:rsidR="00F40DC5">
        <w:t>May 14, 2014</w:t>
      </w:r>
      <w:r>
        <w:t xml:space="preserve"> (</w:t>
      </w:r>
      <w:r w:rsidR="00F40DC5">
        <w:t>May 2014</w:t>
      </w:r>
      <w:r>
        <w:t xml:space="preserve"> Study</w:t>
      </w:r>
      <w:r w:rsidRPr="0048768B">
        <w:t>)</w:t>
      </w:r>
      <w:r w:rsidR="00F40DC5">
        <w:t>).</w:t>
      </w:r>
    </w:p>
  </w:footnote>
  <w:footnote w:id="2">
    <w:p w:rsidR="00C07261" w:rsidRDefault="00C07261" w:rsidP="009631E6">
      <w:pPr>
        <w:pStyle w:val="FootnoteText"/>
        <w:ind w:firstLine="0"/>
      </w:pPr>
      <w:r>
        <w:rPr>
          <w:rStyle w:val="FootnoteReference"/>
        </w:rPr>
        <w:footnoteRef/>
      </w:r>
      <w:r w:rsidR="00F40DC5">
        <w:t xml:space="preserve"> We note that the license</w:t>
      </w:r>
      <w:r>
        <w:t xml:space="preserve"> subject to the Waiver Request</w:t>
      </w:r>
      <w:r w:rsidR="00AF0312">
        <w:t xml:space="preserve"> is</w:t>
      </w:r>
      <w:r>
        <w:t xml:space="preserve"> licensed under New Cingular Wireless PCS, LLC d/b/a AT&amp;T Mobility, which is a wholly owned subsidiary of AT&amp;T, Inc.</w:t>
      </w:r>
    </w:p>
  </w:footnote>
  <w:footnote w:id="3">
    <w:p w:rsidR="00C07261" w:rsidRPr="00117212" w:rsidRDefault="00C07261" w:rsidP="00117212">
      <w:pPr>
        <w:pStyle w:val="FootnoteText"/>
        <w:ind w:firstLine="0"/>
      </w:pPr>
      <w:r>
        <w:rPr>
          <w:rStyle w:val="FootnoteReference"/>
        </w:rPr>
        <w:footnoteRef/>
      </w:r>
      <w:r>
        <w:t xml:space="preserve"> </w:t>
      </w:r>
      <w:r>
        <w:rPr>
          <w:i/>
        </w:rPr>
        <w:t xml:space="preserve">See </w:t>
      </w:r>
      <w:r>
        <w:t>47 C.F.R. § 22.913.</w:t>
      </w:r>
    </w:p>
  </w:footnote>
  <w:footnote w:id="4">
    <w:p w:rsidR="00C07261" w:rsidRDefault="00C07261" w:rsidP="001F4A86">
      <w:pPr>
        <w:pStyle w:val="FootnoteText"/>
        <w:ind w:firstLine="0"/>
      </w:pPr>
      <w:r>
        <w:rPr>
          <w:rStyle w:val="FootnoteReference"/>
        </w:rPr>
        <w:footnoteRef/>
      </w:r>
      <w:r>
        <w:t xml:space="preserve"> </w:t>
      </w:r>
      <w:r w:rsidR="00705713">
        <w:rPr>
          <w:i/>
        </w:rPr>
        <w:t xml:space="preserve">See id. </w:t>
      </w:r>
      <w:r w:rsidR="00705713">
        <w:t xml:space="preserve">(establishing the current ERP maximum of 500 Watts for base transmitters and Cellular repeaters, with a maximum of 1000 Watts ERP when operating in rural counties a certain distance from international borders). </w:t>
      </w:r>
      <w:r>
        <w:t xml:space="preserve"> </w:t>
      </w:r>
    </w:p>
  </w:footnote>
  <w:footnote w:id="5">
    <w:p w:rsidR="009C2180" w:rsidRDefault="009C2180" w:rsidP="009C2180">
      <w:pPr>
        <w:pStyle w:val="FootnoteText"/>
        <w:ind w:firstLine="0"/>
      </w:pPr>
      <w:r>
        <w:rPr>
          <w:rStyle w:val="FootnoteReference"/>
        </w:rPr>
        <w:footnoteRef/>
      </w:r>
      <w:r>
        <w:t xml:space="preserve"> Power spectral density is a method of expressing radiated power over a unit of bandwidth, </w:t>
      </w:r>
      <w:r w:rsidRPr="009C2180">
        <w:rPr>
          <w:i/>
        </w:rPr>
        <w:t>e.g</w:t>
      </w:r>
      <w:r>
        <w:t xml:space="preserve">. per megahertz, rather than per emission.  </w:t>
      </w:r>
    </w:p>
  </w:footnote>
  <w:footnote w:id="6">
    <w:p w:rsidR="00737BF9" w:rsidRPr="00940102" w:rsidRDefault="00737BF9" w:rsidP="00737BF9">
      <w:pPr>
        <w:pStyle w:val="FootnoteText"/>
        <w:ind w:firstLine="0"/>
      </w:pPr>
      <w:r w:rsidRPr="00940102">
        <w:rPr>
          <w:rStyle w:val="FootnoteReference"/>
        </w:rPr>
        <w:footnoteRef/>
      </w:r>
      <w:r w:rsidRPr="00940102">
        <w:t xml:space="preserve"> </w:t>
      </w:r>
      <w:r>
        <w:rPr>
          <w:i/>
        </w:rPr>
        <w:t xml:space="preserve">See </w:t>
      </w:r>
      <w:r w:rsidRPr="00940102">
        <w:t xml:space="preserve">Biennial Regulatory Review – Amendment of Parts 1, 22, 24, 27 and 90 to Streamline and Harmonize Various Rules Affecting Wireless Radio Services, </w:t>
      </w:r>
      <w:r w:rsidRPr="00940102">
        <w:rPr>
          <w:i/>
        </w:rPr>
        <w:t>Third Report and Order</w:t>
      </w:r>
      <w:r w:rsidRPr="00940102">
        <w:t>, WT Docket No. 03-264, 23 FCC Rcd 5319 (2008) (Streamlining 3d R&amp;O)</w:t>
      </w:r>
      <w:r w:rsidRPr="00E72D6F">
        <w:t xml:space="preserve"> </w:t>
      </w:r>
      <w:r>
        <w:t>(revising §§ 24.232 and 27.50(d)).</w:t>
      </w:r>
    </w:p>
  </w:footnote>
  <w:footnote w:id="7">
    <w:p w:rsidR="00737BF9" w:rsidRPr="00915F3C" w:rsidRDefault="00737BF9" w:rsidP="00737BF9">
      <w:pPr>
        <w:pStyle w:val="FootnoteText"/>
        <w:ind w:firstLine="0"/>
        <w:rPr>
          <w:b/>
          <w:sz w:val="18"/>
        </w:rPr>
      </w:pPr>
      <w:r w:rsidRPr="00940102">
        <w:rPr>
          <w:rStyle w:val="FootnoteReference"/>
        </w:rPr>
        <w:footnoteRef/>
      </w:r>
      <w:r w:rsidRPr="00940102">
        <w:t xml:space="preserve"> </w:t>
      </w:r>
      <w:r>
        <w:rPr>
          <w:i/>
        </w:rPr>
        <w:t xml:space="preserve">See </w:t>
      </w:r>
      <w:r>
        <w:t xml:space="preserve">Service Rules for the 698-746, 747-762 and 777-792 MHz Bands, </w:t>
      </w:r>
      <w:r>
        <w:rPr>
          <w:i/>
        </w:rPr>
        <w:t>Re</w:t>
      </w:r>
      <w:r w:rsidRPr="00600607">
        <w:rPr>
          <w:i/>
        </w:rPr>
        <w:t>port and Order</w:t>
      </w:r>
      <w:r>
        <w:rPr>
          <w:i/>
        </w:rPr>
        <w:t xml:space="preserve"> and Further Notice of Proposed Rulemaking</w:t>
      </w:r>
      <w:r>
        <w:t xml:space="preserve">, WT Docket No. 06-150, 22 FCC Rcd 8064 (2007). </w:t>
      </w:r>
    </w:p>
  </w:footnote>
  <w:footnote w:id="8">
    <w:p w:rsidR="00737BF9" w:rsidRPr="00940102" w:rsidRDefault="00737BF9" w:rsidP="00737BF9">
      <w:pPr>
        <w:pStyle w:val="FootnoteText"/>
        <w:ind w:firstLine="0"/>
        <w:rPr>
          <w:b/>
        </w:rPr>
      </w:pPr>
      <w:r w:rsidRPr="00940102">
        <w:rPr>
          <w:rStyle w:val="FootnoteReference"/>
        </w:rPr>
        <w:footnoteRef/>
      </w:r>
      <w:r w:rsidRPr="00940102">
        <w:t xml:space="preserve"> </w:t>
      </w:r>
      <w:r>
        <w:rPr>
          <w:i/>
        </w:rPr>
        <w:t xml:space="preserve">See </w:t>
      </w:r>
      <w:r>
        <w:t xml:space="preserve">Service Rules for the 698-746, 747-762 and 777-792 MHz Bands, WT Docket No. 06-150, </w:t>
      </w:r>
      <w:r w:rsidRPr="00600607">
        <w:rPr>
          <w:i/>
        </w:rPr>
        <w:t>Second</w:t>
      </w:r>
      <w:r>
        <w:rPr>
          <w:i/>
        </w:rPr>
        <w:t xml:space="preserve"> R</w:t>
      </w:r>
      <w:r w:rsidRPr="00600607">
        <w:rPr>
          <w:i/>
        </w:rPr>
        <w:t>eport and Order</w:t>
      </w:r>
      <w:r>
        <w:t>, 22 FCC Rcd 15289 (2007).</w:t>
      </w:r>
      <w:r w:rsidRPr="00940102">
        <w:t xml:space="preserve">   </w:t>
      </w:r>
    </w:p>
  </w:footnote>
  <w:footnote w:id="9">
    <w:p w:rsidR="00737BF9" w:rsidRPr="00B517A5" w:rsidRDefault="00737BF9" w:rsidP="00737BF9">
      <w:pPr>
        <w:pStyle w:val="FootnoteText"/>
        <w:ind w:firstLine="0"/>
      </w:pPr>
      <w:r>
        <w:rPr>
          <w:rStyle w:val="FootnoteReference"/>
        </w:rPr>
        <w:footnoteRef/>
      </w:r>
      <w:r>
        <w:t xml:space="preserve"> More recently, the Commission adopted the PSD model </w:t>
      </w:r>
      <w:r w:rsidR="00BC5CDB">
        <w:t>as an alternative for measuring radiated power in</w:t>
      </w:r>
      <w:r>
        <w:t xml:space="preserve"> the 600 MHz band, AWS-3, H Block and AWS-4.  </w:t>
      </w:r>
      <w:r w:rsidRPr="00C75339">
        <w:rPr>
          <w:i/>
        </w:rPr>
        <w:t>See</w:t>
      </w:r>
      <w:r>
        <w:rPr>
          <w:i/>
        </w:rPr>
        <w:t>, e.g.</w:t>
      </w:r>
      <w:r>
        <w:t xml:space="preserve"> Expanding the Economic and Innovation Opportunities of Spectrum Through Incentive Auctions, </w:t>
      </w:r>
      <w:r>
        <w:rPr>
          <w:i/>
        </w:rPr>
        <w:t>Report and Order</w:t>
      </w:r>
      <w:r>
        <w:t xml:space="preserve">, GN Docket No. 12-268, FCC 14-50, 2014 WL 2464834 at *211-12 (FCC June 2, 2014) (PSD in 600 MHz band); </w:t>
      </w:r>
      <w:r w:rsidRPr="00940102">
        <w:rPr>
          <w:color w:val="000000" w:themeColor="text1"/>
        </w:rPr>
        <w:t>Amendment of the Commission’s Rules With Regard to Commercial Operations in the 1695-1710 MHz, 1755-1780 MHz, and 2155-2180 MHz Bands</w:t>
      </w:r>
      <w:r w:rsidRPr="00940102">
        <w:rPr>
          <w:i/>
          <w:color w:val="000000" w:themeColor="text1"/>
        </w:rPr>
        <w:t>,</w:t>
      </w:r>
      <w:r w:rsidRPr="00940102">
        <w:rPr>
          <w:color w:val="000000" w:themeColor="text1"/>
        </w:rPr>
        <w:t xml:space="preserve"> </w:t>
      </w:r>
      <w:r w:rsidRPr="00940102">
        <w:rPr>
          <w:i/>
          <w:color w:val="000000" w:themeColor="text1"/>
        </w:rPr>
        <w:t>Report and Order</w:t>
      </w:r>
      <w:r w:rsidRPr="00940102">
        <w:rPr>
          <w:color w:val="000000" w:themeColor="text1"/>
        </w:rPr>
        <w:t>, GN Docket No. 13-1</w:t>
      </w:r>
      <w:r w:rsidRPr="00B02D90">
        <w:rPr>
          <w:color w:val="000000" w:themeColor="text1"/>
        </w:rPr>
        <w:t xml:space="preserve">85, </w:t>
      </w:r>
      <w:r w:rsidRPr="00B02D90">
        <w:rPr>
          <w:color w:val="000000"/>
        </w:rPr>
        <w:t>29 FCC</w:t>
      </w:r>
      <w:r>
        <w:rPr>
          <w:color w:val="000000"/>
        </w:rPr>
        <w:t xml:space="preserve"> Rcd</w:t>
      </w:r>
      <w:r w:rsidRPr="00B02D90">
        <w:rPr>
          <w:color w:val="000000"/>
        </w:rPr>
        <w:t xml:space="preserve"> 4610</w:t>
      </w:r>
      <w:r>
        <w:rPr>
          <w:color w:val="000000"/>
        </w:rPr>
        <w:t>, 4642-43</w:t>
      </w:r>
      <w:r w:rsidRPr="00B02D90">
        <w:rPr>
          <w:color w:val="000000" w:themeColor="text1"/>
        </w:rPr>
        <w:t xml:space="preserve"> (20</w:t>
      </w:r>
      <w:r w:rsidRPr="00940102">
        <w:rPr>
          <w:color w:val="000000" w:themeColor="text1"/>
        </w:rPr>
        <w:t>14)</w:t>
      </w:r>
      <w:r>
        <w:rPr>
          <w:color w:val="000000" w:themeColor="text1"/>
        </w:rPr>
        <w:t xml:space="preserve"> (PSD in AWS-3 bands); </w:t>
      </w:r>
      <w:r w:rsidRPr="00940102">
        <w:rPr>
          <w:color w:val="000000" w:themeColor="text1"/>
        </w:rPr>
        <w:t>Service Rules for Advanced Wireless Services H</w:t>
      </w:r>
      <w:r>
        <w:rPr>
          <w:color w:val="000000" w:themeColor="text1"/>
        </w:rPr>
        <w:t xml:space="preserve"> </w:t>
      </w:r>
      <w:r w:rsidRPr="00940102">
        <w:rPr>
          <w:color w:val="000000" w:themeColor="text1"/>
        </w:rPr>
        <w:t>Block – Implementing Section 6401 of the Middle Class Tax Relief and Job Creation Act of 2012 Related to the 1915-1920 MHz and 1995-2000 MHz Bands,</w:t>
      </w:r>
      <w:r w:rsidRPr="00940102">
        <w:rPr>
          <w:i/>
          <w:color w:val="000000" w:themeColor="text1"/>
        </w:rPr>
        <w:t xml:space="preserve"> Report and Order</w:t>
      </w:r>
      <w:r w:rsidRPr="00940102">
        <w:rPr>
          <w:color w:val="000000" w:themeColor="text1"/>
        </w:rPr>
        <w:t>,</w:t>
      </w:r>
      <w:r w:rsidRPr="00940102">
        <w:rPr>
          <w:i/>
          <w:color w:val="000000" w:themeColor="text1"/>
        </w:rPr>
        <w:t xml:space="preserve"> </w:t>
      </w:r>
      <w:r w:rsidRPr="00940102">
        <w:rPr>
          <w:color w:val="000000" w:themeColor="text1"/>
        </w:rPr>
        <w:t>WT Docket No. 12-357, 28 FCC Rcd 9483, 950</w:t>
      </w:r>
      <w:r>
        <w:rPr>
          <w:color w:val="000000" w:themeColor="text1"/>
        </w:rPr>
        <w:t>4-05</w:t>
      </w:r>
      <w:r w:rsidRPr="00940102">
        <w:rPr>
          <w:color w:val="000000" w:themeColor="text1"/>
        </w:rPr>
        <w:t xml:space="preserve"> (2013)</w:t>
      </w:r>
      <w:r>
        <w:rPr>
          <w:color w:val="000000" w:themeColor="text1"/>
        </w:rPr>
        <w:t xml:space="preserve"> (PSD in H Block)</w:t>
      </w:r>
      <w:r>
        <w:t>;</w:t>
      </w:r>
      <w:r>
        <w:rPr>
          <w:color w:val="000000" w:themeColor="text1"/>
        </w:rPr>
        <w:t xml:space="preserve"> </w:t>
      </w:r>
      <w:r w:rsidRPr="00940102">
        <w:rPr>
          <w:color w:val="000000" w:themeColor="text1"/>
        </w:rPr>
        <w:t xml:space="preserve">Service Rules for Advanced Wireless Services in the 2000-2020 MHz and 2180-2200 MHz Bands, </w:t>
      </w:r>
      <w:r w:rsidRPr="00940102">
        <w:rPr>
          <w:i/>
          <w:color w:val="000000" w:themeColor="text1"/>
        </w:rPr>
        <w:t>Report and Order and Order of Proposed Modification</w:t>
      </w:r>
      <w:r w:rsidRPr="00940102">
        <w:rPr>
          <w:color w:val="000000" w:themeColor="text1"/>
        </w:rPr>
        <w:t>, WT Docket Nos. 04-356 and ET Docket No. 10-142, 27 FCC Rcd 16102, 16</w:t>
      </w:r>
      <w:r>
        <w:rPr>
          <w:color w:val="000000" w:themeColor="text1"/>
        </w:rPr>
        <w:t>156</w:t>
      </w:r>
      <w:r w:rsidRPr="00940102">
        <w:rPr>
          <w:color w:val="000000" w:themeColor="text1"/>
        </w:rPr>
        <w:t xml:space="preserve"> (2012)</w:t>
      </w:r>
      <w:r>
        <w:rPr>
          <w:color w:val="000000" w:themeColor="text1"/>
        </w:rPr>
        <w:t xml:space="preserve"> (PSD in AWS-4 bands).</w:t>
      </w:r>
    </w:p>
  </w:footnote>
  <w:footnote w:id="10">
    <w:p w:rsidR="00737BF9" w:rsidRPr="00940102" w:rsidRDefault="00737BF9" w:rsidP="00737BF9">
      <w:pPr>
        <w:pStyle w:val="FootnoteText"/>
        <w:ind w:firstLine="0"/>
        <w:rPr>
          <w:b/>
        </w:rPr>
      </w:pPr>
      <w:r w:rsidRPr="00940102">
        <w:rPr>
          <w:rStyle w:val="FootnoteReference"/>
        </w:rPr>
        <w:footnoteRef/>
      </w:r>
      <w:r w:rsidRPr="00940102">
        <w:t xml:space="preserve"> </w:t>
      </w:r>
      <w:r w:rsidRPr="00940102">
        <w:rPr>
          <w:i/>
        </w:rPr>
        <w:t>See</w:t>
      </w:r>
      <w:r w:rsidRPr="00940102">
        <w:t xml:space="preserve"> Streamlining 3d R&amp;O, 23 FCC Rcd at 5321, 5341.  </w:t>
      </w:r>
      <w:r w:rsidRPr="00940102">
        <w:rPr>
          <w:i/>
        </w:rPr>
        <w:t>See also</w:t>
      </w:r>
      <w:r w:rsidRPr="00940102">
        <w:t xml:space="preserve"> </w:t>
      </w:r>
      <w:r w:rsidRPr="00940102">
        <w:rPr>
          <w:color w:val="000000"/>
        </w:rPr>
        <w:t>Improving Public Safety Communications in the 800 MHz Band,</w:t>
      </w:r>
      <w:r w:rsidRPr="00940102">
        <w:rPr>
          <w:color w:val="000000" w:themeColor="text1"/>
        </w:rPr>
        <w:t xml:space="preserve"> </w:t>
      </w:r>
      <w:hyperlink r:id="rId1" w:tgtFrame="_top" w:history="1">
        <w:r w:rsidRPr="00940102">
          <w:rPr>
            <w:i/>
            <w:iCs/>
            <w:color w:val="000000" w:themeColor="text1"/>
          </w:rPr>
          <w:t>Report and Order, Fifth Report and Order, Fourth Memorandum Opinion and Order, and Order</w:t>
        </w:r>
        <w:r w:rsidRPr="00940102">
          <w:rPr>
            <w:color w:val="000000" w:themeColor="text1"/>
          </w:rPr>
          <w:t>, WT Docket No. 02-55, 19 FCC Rcd 14969, 15074 (2004)</w:t>
        </w:r>
      </w:hyperlink>
      <w:r w:rsidRPr="00940102">
        <w:rPr>
          <w:color w:val="000000" w:themeColor="text1"/>
        </w:rPr>
        <w:t xml:space="preserve"> </w:t>
      </w:r>
      <w:r>
        <w:rPr>
          <w:color w:val="000000" w:themeColor="text1"/>
        </w:rPr>
        <w:t xml:space="preserve">(other captions and docket numbers omitted) </w:t>
      </w:r>
      <w:r w:rsidRPr="00940102">
        <w:rPr>
          <w:color w:val="000000" w:themeColor="text1"/>
        </w:rPr>
        <w:t xml:space="preserve">(800 MHz Rebanding Order), </w:t>
      </w:r>
      <w:r w:rsidRPr="00940102">
        <w:rPr>
          <w:i/>
          <w:iCs/>
          <w:color w:val="000000" w:themeColor="text1"/>
        </w:rPr>
        <w:t>clarified by</w:t>
      </w:r>
      <w:r w:rsidRPr="00940102">
        <w:rPr>
          <w:color w:val="000000" w:themeColor="text1"/>
        </w:rPr>
        <w:t xml:space="preserve"> Improving Public Safety Communications in the 800 MHz Band, </w:t>
      </w:r>
      <w:hyperlink r:id="rId2" w:tgtFrame="_top" w:history="1">
        <w:r w:rsidRPr="00940102">
          <w:rPr>
            <w:i/>
            <w:iCs/>
            <w:color w:val="000000" w:themeColor="text1"/>
          </w:rPr>
          <w:t>Memorandum Opinion and Order,</w:t>
        </w:r>
        <w:r w:rsidRPr="00940102">
          <w:rPr>
            <w:color w:val="000000" w:themeColor="text1"/>
          </w:rPr>
          <w:t xml:space="preserve"> WT Docket No. 02-55, 22 FCC Rcd 9818, 9819-21 (2007)</w:t>
        </w:r>
      </w:hyperlink>
      <w:r>
        <w:rPr>
          <w:color w:val="000000" w:themeColor="text1"/>
        </w:rPr>
        <w:t>.</w:t>
      </w:r>
    </w:p>
  </w:footnote>
  <w:footnote w:id="11">
    <w:p w:rsidR="00737BF9" w:rsidRPr="00940102" w:rsidRDefault="00737BF9" w:rsidP="00737BF9">
      <w:pPr>
        <w:pStyle w:val="FootnoteText"/>
        <w:ind w:firstLine="0"/>
      </w:pPr>
      <w:r w:rsidRPr="00940102">
        <w:rPr>
          <w:rStyle w:val="FootnoteReference"/>
        </w:rPr>
        <w:footnoteRef/>
      </w:r>
      <w:r w:rsidRPr="00940102">
        <w:t xml:space="preserve"> </w:t>
      </w:r>
      <w:r w:rsidRPr="00940102">
        <w:rPr>
          <w:i/>
        </w:rPr>
        <w:t xml:space="preserve">See </w:t>
      </w:r>
      <w:r w:rsidRPr="00940102">
        <w:t>Streamlining 3d R&amp;O, 23 FCC Rcd at 5338.</w:t>
      </w:r>
    </w:p>
  </w:footnote>
  <w:footnote w:id="12">
    <w:p w:rsidR="00C07261" w:rsidRPr="0048768B" w:rsidRDefault="00C07261" w:rsidP="007C5270">
      <w:pPr>
        <w:rPr>
          <w:sz w:val="20"/>
        </w:rPr>
      </w:pPr>
      <w:r w:rsidRPr="0048768B">
        <w:rPr>
          <w:rStyle w:val="FootnoteReference"/>
          <w:sz w:val="20"/>
        </w:rPr>
        <w:footnoteRef/>
      </w:r>
      <w:r w:rsidRPr="0048768B">
        <w:rPr>
          <w:sz w:val="20"/>
        </w:rPr>
        <w:t xml:space="preserve"> </w:t>
      </w:r>
      <w:r w:rsidRPr="0048768B">
        <w:rPr>
          <w:i/>
          <w:sz w:val="20"/>
        </w:rPr>
        <w:t xml:space="preserve">See </w:t>
      </w:r>
      <w:r w:rsidRPr="0048768B">
        <w:rPr>
          <w:sz w:val="20"/>
        </w:rPr>
        <w:t>AT&amp;T Services, Inc., Petition for Expedited Rulemaking and Request for Waiver of Section 22.913 of the Commission’s Rules (filed February 29, 2012) (“Petition”)</w:t>
      </w:r>
      <w:r>
        <w:rPr>
          <w:sz w:val="20"/>
        </w:rPr>
        <w:t xml:space="preserve">.  </w:t>
      </w:r>
      <w:r w:rsidRPr="0048768B">
        <w:rPr>
          <w:sz w:val="20"/>
        </w:rPr>
        <w:t>A technical study dated February 14, 201</w:t>
      </w:r>
      <w:r>
        <w:rPr>
          <w:sz w:val="20"/>
        </w:rPr>
        <w:t>2</w:t>
      </w:r>
      <w:r w:rsidRPr="0048768B">
        <w:rPr>
          <w:sz w:val="20"/>
        </w:rPr>
        <w:t xml:space="preserve">, </w:t>
      </w:r>
      <w:r>
        <w:rPr>
          <w:sz w:val="20"/>
        </w:rPr>
        <w:t xml:space="preserve">similar to the March 2013 Study, </w:t>
      </w:r>
      <w:r w:rsidRPr="0048768B">
        <w:rPr>
          <w:sz w:val="20"/>
        </w:rPr>
        <w:t xml:space="preserve">was attached to AT&amp;T’s Petition at Appendix A.  On May 2, 2012, the Wireless Telecommunications Bureau (“Bureau”) sought comment on the Petition, which remains pending.  </w:t>
      </w:r>
      <w:r w:rsidRPr="0048768B">
        <w:rPr>
          <w:i/>
          <w:sz w:val="20"/>
        </w:rPr>
        <w:t xml:space="preserve">See </w:t>
      </w:r>
      <w:r w:rsidRPr="00623CF2">
        <w:rPr>
          <w:sz w:val="20"/>
        </w:rPr>
        <w:t>“</w:t>
      </w:r>
      <w:r w:rsidRPr="0048768B">
        <w:rPr>
          <w:sz w:val="20"/>
        </w:rPr>
        <w:t>Wireless Telecommunications Bureau Seeks Comment on Petition for Rulemaking Filed by AT&amp;T Consistent with Rules for Other Mobile Broadband Services,</w:t>
      </w:r>
      <w:r>
        <w:rPr>
          <w:sz w:val="20"/>
        </w:rPr>
        <w:t>”</w:t>
      </w:r>
      <w:r w:rsidRPr="0048768B">
        <w:rPr>
          <w:sz w:val="20"/>
        </w:rPr>
        <w:t xml:space="preserve"> </w:t>
      </w:r>
      <w:r w:rsidRPr="0048768B">
        <w:rPr>
          <w:i/>
          <w:sz w:val="20"/>
        </w:rPr>
        <w:t>Public Notice,</w:t>
      </w:r>
      <w:r w:rsidRPr="0048768B">
        <w:rPr>
          <w:sz w:val="20"/>
        </w:rPr>
        <w:t xml:space="preserve"> RM-11660, 27 FCC Rcd 4926 (WTB 2012).  The Bureau did not seek comment on AT&amp;T’s request for a blanket interim waiver of 47 C.F.R. § 22.913</w:t>
      </w:r>
      <w:r>
        <w:rPr>
          <w:sz w:val="20"/>
        </w:rPr>
        <w:t>, which was included with the Petition, and AT&amp;T withdrew the request on July 22, 2013</w:t>
      </w:r>
      <w:r w:rsidRPr="0048768B">
        <w:rPr>
          <w:sz w:val="20"/>
        </w:rPr>
        <w:t xml:space="preserve">.  </w:t>
      </w:r>
      <w:r w:rsidRPr="0048768B">
        <w:rPr>
          <w:i/>
          <w:sz w:val="20"/>
        </w:rPr>
        <w:t xml:space="preserve">See </w:t>
      </w:r>
      <w:r w:rsidR="00A43028">
        <w:rPr>
          <w:sz w:val="20"/>
        </w:rPr>
        <w:t xml:space="preserve">Waiver </w:t>
      </w:r>
      <w:r w:rsidR="00F40DC5" w:rsidRPr="00F40DC5">
        <w:rPr>
          <w:sz w:val="20"/>
        </w:rPr>
        <w:t xml:space="preserve">Request </w:t>
      </w:r>
      <w:r w:rsidRPr="0048768B">
        <w:rPr>
          <w:sz w:val="20"/>
        </w:rPr>
        <w:t>at 1, n.2.</w:t>
      </w:r>
    </w:p>
    <w:p w:rsidR="00C07261" w:rsidRPr="0048768B" w:rsidRDefault="00C07261" w:rsidP="00877CC0">
      <w:pPr>
        <w:rPr>
          <w:sz w:val="20"/>
        </w:rPr>
      </w:pPr>
    </w:p>
  </w:footnote>
  <w:footnote w:id="13">
    <w:p w:rsidR="00EB157D" w:rsidRDefault="00EB157D" w:rsidP="00EB157D">
      <w:pPr>
        <w:pStyle w:val="FootnoteText"/>
        <w:ind w:firstLine="0"/>
      </w:pPr>
      <w:r>
        <w:rPr>
          <w:rStyle w:val="FootnoteReference"/>
        </w:rPr>
        <w:footnoteRef/>
      </w:r>
      <w:r>
        <w:t xml:space="preserve"> Waiver Request at 7.</w:t>
      </w:r>
    </w:p>
  </w:footnote>
  <w:footnote w:id="14">
    <w:p w:rsidR="00C07261" w:rsidRPr="00CC100A" w:rsidRDefault="00C07261" w:rsidP="00CC100A">
      <w:pPr>
        <w:pStyle w:val="FootnoteText"/>
        <w:ind w:firstLine="0"/>
      </w:pPr>
      <w:r>
        <w:rPr>
          <w:rStyle w:val="FootnoteReference"/>
        </w:rPr>
        <w:footnoteRef/>
      </w:r>
      <w:r>
        <w:t xml:space="preserve"> </w:t>
      </w:r>
      <w:r>
        <w:rPr>
          <w:i/>
        </w:rPr>
        <w:t xml:space="preserve">See </w:t>
      </w:r>
      <w:r w:rsidR="009C2180" w:rsidRPr="009C2180">
        <w:rPr>
          <w:i/>
        </w:rPr>
        <w:t>id</w:t>
      </w:r>
      <w:r w:rsidR="009C2180">
        <w:t>.</w:t>
      </w:r>
      <w:r>
        <w:t xml:space="preserve"> at 1, 4, 8.  </w:t>
      </w:r>
    </w:p>
  </w:footnote>
  <w:footnote w:id="15">
    <w:p w:rsidR="00C07261" w:rsidRPr="0014799C" w:rsidRDefault="00C07261" w:rsidP="0014799C">
      <w:pPr>
        <w:pStyle w:val="FootnoteText"/>
        <w:ind w:firstLine="0"/>
      </w:pPr>
      <w:r>
        <w:rPr>
          <w:rStyle w:val="FootnoteReference"/>
        </w:rPr>
        <w:footnoteRef/>
      </w:r>
      <w:r>
        <w:t xml:space="preserve"> </w:t>
      </w:r>
      <w:r w:rsidR="009C2180" w:rsidRPr="009C2180">
        <w:rPr>
          <w:i/>
        </w:rPr>
        <w:t>Id</w:t>
      </w:r>
      <w:r w:rsidR="009C2180">
        <w:t>.</w:t>
      </w:r>
      <w:r>
        <w:t xml:space="preserve"> at 5.  </w:t>
      </w:r>
    </w:p>
  </w:footnote>
  <w:footnote w:id="16">
    <w:p w:rsidR="00C07261" w:rsidRDefault="00C07261" w:rsidP="0014799C">
      <w:pPr>
        <w:pStyle w:val="FootnoteText"/>
        <w:ind w:firstLine="0"/>
        <w:jc w:val="both"/>
      </w:pPr>
      <w:r>
        <w:rPr>
          <w:rStyle w:val="FootnoteReference"/>
        </w:rPr>
        <w:footnoteRef/>
      </w:r>
      <w:r>
        <w:t xml:space="preserve"> </w:t>
      </w:r>
      <w:r w:rsidR="00EB157D">
        <w:rPr>
          <w:i/>
        </w:rPr>
        <w:t xml:space="preserve">Id.  </w:t>
      </w:r>
    </w:p>
  </w:footnote>
  <w:footnote w:id="17">
    <w:p w:rsidR="00C07261" w:rsidRPr="0048768B" w:rsidRDefault="00C07261" w:rsidP="00740190">
      <w:pPr>
        <w:pStyle w:val="FootnoteText"/>
        <w:ind w:firstLine="0"/>
        <w:rPr>
          <w:b/>
        </w:rPr>
      </w:pPr>
      <w:r w:rsidRPr="0048768B">
        <w:rPr>
          <w:rStyle w:val="FootnoteReference"/>
          <w:sz w:val="20"/>
        </w:rPr>
        <w:footnoteRef/>
      </w:r>
      <w:r w:rsidRPr="0048768B">
        <w:t xml:space="preserve"> </w:t>
      </w:r>
      <w:r w:rsidRPr="0048768B">
        <w:rPr>
          <w:i/>
        </w:rPr>
        <w:t xml:space="preserve">See </w:t>
      </w:r>
      <w:r w:rsidRPr="0048768B">
        <w:t>Waiver Request at 6</w:t>
      </w:r>
      <w:r>
        <w:t xml:space="preserve"> (describing its </w:t>
      </w:r>
      <w:r w:rsidR="00C2693E">
        <w:t>May 2014</w:t>
      </w:r>
      <w:r>
        <w:t xml:space="preserve"> Study)</w:t>
      </w:r>
      <w:r w:rsidRPr="0048768B">
        <w:t xml:space="preserve">. </w:t>
      </w:r>
    </w:p>
  </w:footnote>
  <w:footnote w:id="18">
    <w:p w:rsidR="00EF39A2" w:rsidRPr="007F5F4A" w:rsidRDefault="00EF39A2" w:rsidP="00EF39A2">
      <w:pPr>
        <w:pStyle w:val="FootnoteText"/>
        <w:ind w:firstLine="0"/>
      </w:pPr>
      <w:r>
        <w:rPr>
          <w:rStyle w:val="FootnoteReference"/>
        </w:rPr>
        <w:footnoteRef/>
      </w:r>
      <w:r>
        <w:t xml:space="preserve"> AT&amp;T Comments at </w:t>
      </w:r>
      <w:r w:rsidRPr="00AF0312">
        <w:t>3;</w:t>
      </w:r>
      <w:r>
        <w:rPr>
          <w:b/>
        </w:rPr>
        <w:t xml:space="preserve"> </w:t>
      </w:r>
      <w:r>
        <w:t>Reply comments of AT&amp;T (filed Aug. 18, 2014) (AT&amp;T Reply Comments) at 1-2.</w:t>
      </w:r>
    </w:p>
  </w:footnote>
  <w:footnote w:id="19">
    <w:p w:rsidR="00C07261" w:rsidRPr="00E35418" w:rsidRDefault="00C07261" w:rsidP="00740190">
      <w:pPr>
        <w:pStyle w:val="FootnoteText"/>
        <w:ind w:firstLine="0"/>
      </w:pPr>
      <w:r>
        <w:rPr>
          <w:rStyle w:val="FootnoteReference"/>
        </w:rPr>
        <w:footnoteRef/>
      </w:r>
      <w:r w:rsidR="00CD2104">
        <w:t xml:space="preserve"> </w:t>
      </w:r>
      <w:r w:rsidR="00AF0312">
        <w:rPr>
          <w:i/>
        </w:rPr>
        <w:t xml:space="preserve">See </w:t>
      </w:r>
      <w:r w:rsidR="00CD2104">
        <w:t>Waiver Request at 7</w:t>
      </w:r>
      <w:r>
        <w:t>.</w:t>
      </w:r>
    </w:p>
  </w:footnote>
  <w:footnote w:id="20">
    <w:p w:rsidR="00C07261" w:rsidRDefault="00C07261" w:rsidP="00740190">
      <w:pPr>
        <w:pStyle w:val="FootnoteText"/>
        <w:ind w:firstLine="0"/>
      </w:pPr>
      <w:r>
        <w:rPr>
          <w:rStyle w:val="FootnoteReference"/>
        </w:rPr>
        <w:footnoteRef/>
      </w:r>
      <w:r>
        <w:t xml:space="preserve"> </w:t>
      </w:r>
      <w:r>
        <w:rPr>
          <w:i/>
        </w:rPr>
        <w:t xml:space="preserve">See </w:t>
      </w:r>
      <w:r w:rsidR="00AF0312">
        <w:rPr>
          <w:i/>
        </w:rPr>
        <w:t xml:space="preserve">id. </w:t>
      </w:r>
    </w:p>
  </w:footnote>
  <w:footnote w:id="21">
    <w:p w:rsidR="00C07261" w:rsidRPr="00EF32A7" w:rsidRDefault="00C07261" w:rsidP="00740190">
      <w:pPr>
        <w:pStyle w:val="FootnoteText"/>
        <w:ind w:firstLine="0"/>
      </w:pPr>
      <w:r>
        <w:rPr>
          <w:rStyle w:val="FootnoteReference"/>
        </w:rPr>
        <w:footnoteRef/>
      </w:r>
      <w:r>
        <w:t xml:space="preserve"> </w:t>
      </w:r>
      <w:r w:rsidR="00AF0312">
        <w:rPr>
          <w:i/>
        </w:rPr>
        <w:t xml:space="preserve">Id. </w:t>
      </w:r>
    </w:p>
  </w:footnote>
  <w:footnote w:id="22">
    <w:p w:rsidR="00C07261" w:rsidRPr="007B475A" w:rsidRDefault="00C07261" w:rsidP="00594E59">
      <w:pPr>
        <w:pStyle w:val="FootnoteText"/>
        <w:ind w:firstLine="0"/>
        <w:rPr>
          <w:b/>
        </w:rPr>
      </w:pPr>
      <w:r w:rsidRPr="0048768B">
        <w:rPr>
          <w:rStyle w:val="FootnoteReference"/>
          <w:sz w:val="20"/>
        </w:rPr>
        <w:footnoteRef/>
      </w:r>
      <w:r w:rsidRPr="0048768B">
        <w:t xml:space="preserve"> </w:t>
      </w:r>
      <w:r w:rsidRPr="00D73A4B">
        <w:rPr>
          <w:i/>
        </w:rPr>
        <w:t xml:space="preserve">See </w:t>
      </w:r>
      <w:r w:rsidRPr="00D73A4B">
        <w:t xml:space="preserve">“Wireless Telecommunications Bureau Seeks Comment on AT&amp;T Request for Waiver to Permit Power Spectral Density Model for 800 MHz Cellular Operations in </w:t>
      </w:r>
      <w:r w:rsidR="00CD2104">
        <w:t>Vermont Market</w:t>
      </w:r>
      <w:r w:rsidRPr="00D73A4B">
        <w:t xml:space="preserve">,” </w:t>
      </w:r>
      <w:r w:rsidRPr="00D73A4B">
        <w:rPr>
          <w:i/>
        </w:rPr>
        <w:t>Public Notice,</w:t>
      </w:r>
      <w:r w:rsidRPr="00D73A4B">
        <w:t xml:space="preserve"> </w:t>
      </w:r>
      <w:r w:rsidR="00CB318A">
        <w:t xml:space="preserve">WT Docket No. 14-107, </w:t>
      </w:r>
      <w:r w:rsidR="00CB318A">
        <w:rPr>
          <w:color w:val="000000"/>
          <w:shd w:val="clear" w:color="auto" w:fill="FFFFFF"/>
        </w:rPr>
        <w:t>2014 WL 3547646,</w:t>
      </w:r>
      <w:r w:rsidR="00D73A4B" w:rsidRPr="00D73A4B" w:rsidDel="00D73A4B">
        <w:t xml:space="preserve"> </w:t>
      </w:r>
      <w:r w:rsidRPr="00D73A4B">
        <w:t>(</w:t>
      </w:r>
      <w:r w:rsidR="00CB318A">
        <w:t>WTB July 16, 2014</w:t>
      </w:r>
      <w:r w:rsidRPr="00D73A4B">
        <w:t>).</w:t>
      </w:r>
      <w:r>
        <w:t xml:space="preserve">  </w:t>
      </w:r>
    </w:p>
  </w:footnote>
  <w:footnote w:id="23">
    <w:p w:rsidR="00C07261" w:rsidRDefault="00C07261" w:rsidP="00572521">
      <w:pPr>
        <w:pStyle w:val="FootnoteText"/>
        <w:ind w:firstLine="0"/>
      </w:pPr>
      <w:r>
        <w:rPr>
          <w:rStyle w:val="FootnoteReference"/>
        </w:rPr>
        <w:footnoteRef/>
      </w:r>
      <w:r>
        <w:t xml:space="preserve"> </w:t>
      </w:r>
      <w:r>
        <w:rPr>
          <w:i/>
        </w:rPr>
        <w:t xml:space="preserve">See </w:t>
      </w:r>
      <w:r w:rsidR="00CB318A">
        <w:t>Comments of Cohen, Dippell, and Everist, P.C.,</w:t>
      </w:r>
      <w:r>
        <w:t xml:space="preserve"> (filed </w:t>
      </w:r>
      <w:r w:rsidR="00CB318A">
        <w:t>Aug. 5, 2014</w:t>
      </w:r>
      <w:r>
        <w:t>) (</w:t>
      </w:r>
      <w:r w:rsidR="009560F1">
        <w:t>CDE</w:t>
      </w:r>
      <w:r>
        <w:t xml:space="preserve"> Comments); </w:t>
      </w:r>
      <w:r w:rsidR="009560F1">
        <w:t>Comments of Robert F. Gonsett (filed Aug. 5, 2014); Reply Comments of Cohen, Dippell, and Everist, P.C. (filed Aug. 15, 2014) (CDE Reply Comments); Reply Comments of Rick Levy (filed Aug. 15, 2014) (Levy Reply Comments).</w:t>
      </w:r>
    </w:p>
  </w:footnote>
  <w:footnote w:id="24">
    <w:p w:rsidR="009560F1" w:rsidRDefault="009560F1" w:rsidP="009560F1">
      <w:pPr>
        <w:pStyle w:val="FootnoteText"/>
        <w:ind w:firstLine="0"/>
      </w:pPr>
      <w:r>
        <w:rPr>
          <w:rStyle w:val="FootnoteReference"/>
        </w:rPr>
        <w:footnoteRef/>
      </w:r>
      <w:r>
        <w:t xml:space="preserve"> CDE Comments at 2.</w:t>
      </w:r>
    </w:p>
  </w:footnote>
  <w:footnote w:id="25">
    <w:p w:rsidR="004427C6" w:rsidRPr="004427C6" w:rsidRDefault="004427C6" w:rsidP="004427C6">
      <w:pPr>
        <w:pStyle w:val="FootnoteText"/>
        <w:ind w:firstLine="0"/>
      </w:pPr>
      <w:r>
        <w:rPr>
          <w:rStyle w:val="FootnoteReference"/>
        </w:rPr>
        <w:footnoteRef/>
      </w:r>
      <w:r>
        <w:t xml:space="preserve"> </w:t>
      </w:r>
      <w:r>
        <w:rPr>
          <w:i/>
        </w:rPr>
        <w:t xml:space="preserve">See </w:t>
      </w:r>
      <w:r w:rsidR="002F3670">
        <w:rPr>
          <w:i/>
        </w:rPr>
        <w:t xml:space="preserve">generally </w:t>
      </w:r>
      <w:r w:rsidR="002F3670">
        <w:t xml:space="preserve">Gonsett Comments.  </w:t>
      </w:r>
      <w:r w:rsidR="002F3670">
        <w:rPr>
          <w:i/>
        </w:rPr>
        <w:t>See</w:t>
      </w:r>
      <w:r w:rsidR="002F3670">
        <w:t xml:space="preserve"> </w:t>
      </w:r>
      <w:r>
        <w:t>CDE Reply Comments at 2.</w:t>
      </w:r>
    </w:p>
  </w:footnote>
  <w:footnote w:id="26">
    <w:p w:rsidR="002F3670" w:rsidRDefault="002F3670" w:rsidP="002F3670">
      <w:pPr>
        <w:pStyle w:val="FootnoteText"/>
        <w:ind w:firstLine="0"/>
      </w:pPr>
      <w:r>
        <w:rPr>
          <w:rStyle w:val="FootnoteReference"/>
        </w:rPr>
        <w:footnoteRef/>
      </w:r>
      <w:r>
        <w:t xml:space="preserve"> Gonsett Comments at 2.</w:t>
      </w:r>
    </w:p>
  </w:footnote>
  <w:footnote w:id="27">
    <w:p w:rsidR="002F3670" w:rsidRPr="002F3670" w:rsidRDefault="002F3670" w:rsidP="002F3670">
      <w:pPr>
        <w:pStyle w:val="FootnoteText"/>
        <w:ind w:firstLine="0"/>
      </w:pPr>
      <w:r>
        <w:rPr>
          <w:rStyle w:val="FootnoteReference"/>
        </w:rPr>
        <w:footnoteRef/>
      </w:r>
      <w:r>
        <w:t xml:space="preserve"> </w:t>
      </w:r>
      <w:r>
        <w:rPr>
          <w:i/>
        </w:rPr>
        <w:t xml:space="preserve">Id. </w:t>
      </w:r>
      <w:r>
        <w:t>at 2-3.</w:t>
      </w:r>
    </w:p>
  </w:footnote>
  <w:footnote w:id="28">
    <w:p w:rsidR="002F3670" w:rsidRDefault="002F3670" w:rsidP="002F3670">
      <w:pPr>
        <w:pStyle w:val="FootnoteText"/>
        <w:ind w:firstLine="0"/>
      </w:pPr>
      <w:r>
        <w:rPr>
          <w:rStyle w:val="FootnoteReference"/>
        </w:rPr>
        <w:footnoteRef/>
      </w:r>
      <w:r>
        <w:t xml:space="preserve"> </w:t>
      </w:r>
      <w:r w:rsidR="000C61F5">
        <w:rPr>
          <w:i/>
        </w:rPr>
        <w:t xml:space="preserve">Id. </w:t>
      </w:r>
      <w:r>
        <w:t>at 5.</w:t>
      </w:r>
    </w:p>
  </w:footnote>
  <w:footnote w:id="29">
    <w:p w:rsidR="007F5F4A" w:rsidRDefault="007F5F4A" w:rsidP="007F5F4A">
      <w:pPr>
        <w:pStyle w:val="FootnoteText"/>
        <w:ind w:firstLine="0"/>
      </w:pPr>
      <w:r>
        <w:rPr>
          <w:rStyle w:val="FootnoteReference"/>
        </w:rPr>
        <w:footnoteRef/>
      </w:r>
      <w:r>
        <w:t xml:space="preserve"> Levy Reply Comments.</w:t>
      </w:r>
    </w:p>
  </w:footnote>
  <w:footnote w:id="30">
    <w:p w:rsidR="00E14F0B" w:rsidRDefault="00E14F0B" w:rsidP="00E14F0B">
      <w:pPr>
        <w:pStyle w:val="FootnoteText"/>
        <w:ind w:firstLine="0"/>
      </w:pPr>
      <w:r>
        <w:rPr>
          <w:rStyle w:val="FootnoteReference"/>
        </w:rPr>
        <w:footnoteRef/>
      </w:r>
      <w:r>
        <w:t xml:space="preserve"> </w:t>
      </w:r>
      <w:r w:rsidR="00D6429D">
        <w:rPr>
          <w:i/>
        </w:rPr>
        <w:t xml:space="preserve">See </w:t>
      </w:r>
      <w:r w:rsidR="00BE56AA">
        <w:t>AT</w:t>
      </w:r>
      <w:r>
        <w:t>&amp;T Reply Comments at 1.</w:t>
      </w:r>
    </w:p>
  </w:footnote>
  <w:footnote w:id="31">
    <w:p w:rsidR="00E14F0B" w:rsidRDefault="00E14F0B" w:rsidP="00E14F0B">
      <w:pPr>
        <w:pStyle w:val="FootnoteText"/>
        <w:ind w:firstLine="0"/>
      </w:pPr>
      <w:r>
        <w:rPr>
          <w:rStyle w:val="FootnoteReference"/>
        </w:rPr>
        <w:footnoteRef/>
      </w:r>
      <w:r>
        <w:t xml:space="preserve"> </w:t>
      </w:r>
      <w:r w:rsidR="000C61F5">
        <w:rPr>
          <w:i/>
        </w:rPr>
        <w:t xml:space="preserve">Id. </w:t>
      </w:r>
      <w:r>
        <w:t>at 1-2.</w:t>
      </w:r>
    </w:p>
  </w:footnote>
  <w:footnote w:id="32">
    <w:p w:rsidR="00E14F0B" w:rsidRPr="00E14F0B" w:rsidRDefault="00E14F0B" w:rsidP="00E14F0B">
      <w:pPr>
        <w:pStyle w:val="FootnoteText"/>
        <w:ind w:firstLine="0"/>
      </w:pPr>
      <w:r>
        <w:rPr>
          <w:rStyle w:val="FootnoteReference"/>
        </w:rPr>
        <w:footnoteRef/>
      </w:r>
      <w:r>
        <w:t xml:space="preserve"> </w:t>
      </w:r>
      <w:r>
        <w:rPr>
          <w:i/>
        </w:rPr>
        <w:t>Id.</w:t>
      </w:r>
      <w:r w:rsidR="000C61F5" w:rsidRPr="000C61F5">
        <w:rPr>
          <w:i/>
        </w:rPr>
        <w:t xml:space="preserve"> </w:t>
      </w:r>
      <w:r>
        <w:t>at 2-3.</w:t>
      </w:r>
    </w:p>
  </w:footnote>
  <w:footnote w:id="33">
    <w:p w:rsidR="00E66884" w:rsidRPr="009631E6" w:rsidRDefault="00E66884" w:rsidP="00E66884">
      <w:pPr>
        <w:pStyle w:val="FootnoteText"/>
        <w:ind w:firstLine="0"/>
        <w:rPr>
          <w:b/>
          <w:i/>
        </w:rPr>
      </w:pPr>
      <w:r>
        <w:rPr>
          <w:rStyle w:val="FootnoteReference"/>
        </w:rPr>
        <w:footnoteRef/>
      </w:r>
      <w:r>
        <w:t xml:space="preserve"> 47 C.F.R. § 1.925.  </w:t>
      </w:r>
    </w:p>
  </w:footnote>
  <w:footnote w:id="34">
    <w:p w:rsidR="00A518A9" w:rsidRDefault="00A518A9" w:rsidP="00A518A9">
      <w:pPr>
        <w:pStyle w:val="FootnoteText"/>
        <w:ind w:firstLine="0"/>
      </w:pPr>
      <w:r>
        <w:rPr>
          <w:rStyle w:val="FootnoteReference"/>
        </w:rPr>
        <w:footnoteRef/>
      </w:r>
      <w:r>
        <w:t xml:space="preserve"> We note that </w:t>
      </w:r>
      <w:r>
        <w:rPr>
          <w:color w:val="000000"/>
          <w:szCs w:val="22"/>
        </w:rPr>
        <w:t xml:space="preserve">the parties who filed objections are neither public safety nor cellular licensees and are not protected by Section 22.913. While Mr. Gonsett and Mr. Levy express concern regarding AT&amp;T’s operation in Burlington, VT causing interference to testing labs, their labs are located in </w:t>
      </w:r>
      <w:r>
        <w:t>San Diego, CA, and Cambridge, MA, respectively</w:t>
      </w:r>
      <w:r w:rsidR="00755E3A">
        <w:t>.</w:t>
      </w:r>
    </w:p>
  </w:footnote>
  <w:footnote w:id="35">
    <w:p w:rsidR="000C61F5" w:rsidRDefault="000C61F5" w:rsidP="000C61F5">
      <w:pPr>
        <w:pStyle w:val="FootnoteText"/>
        <w:ind w:firstLine="0"/>
      </w:pPr>
      <w:r>
        <w:rPr>
          <w:rStyle w:val="FootnoteReference"/>
        </w:rPr>
        <w:footnoteRef/>
      </w:r>
      <w:r>
        <w:t xml:space="preserve"> There are no co-channel licensees operating in Burlington, VT.</w:t>
      </w:r>
    </w:p>
  </w:footnote>
  <w:footnote w:id="36">
    <w:p w:rsidR="00E66884" w:rsidRDefault="00E66884" w:rsidP="00E66884">
      <w:pPr>
        <w:pStyle w:val="FootnoteText"/>
        <w:ind w:firstLine="0"/>
      </w:pPr>
      <w:r>
        <w:rPr>
          <w:rStyle w:val="FootnoteReference"/>
        </w:rPr>
        <w:footnoteRef/>
      </w:r>
      <w:r>
        <w:t xml:space="preserve"> Public safety licensees are defined for purposes of this waiver relief as licensees authorized under the following Universal Licensing System radio service codes: GE, GF, GP, YE, YF and YP. </w:t>
      </w:r>
    </w:p>
  </w:footnote>
  <w:footnote w:id="37">
    <w:p w:rsidR="008E24CF" w:rsidRDefault="008E24CF" w:rsidP="008E24CF">
      <w:pPr>
        <w:pStyle w:val="FootnoteText"/>
        <w:ind w:firstLine="0"/>
      </w:pPr>
      <w:r>
        <w:rPr>
          <w:rStyle w:val="FootnoteReference"/>
        </w:rPr>
        <w:footnoteRef/>
      </w:r>
      <w:r>
        <w:t xml:space="preserve"> We note that t</w:t>
      </w:r>
      <w:r w:rsidRPr="008E24CF">
        <w:t xml:space="preserve">he general </w:t>
      </w:r>
      <w:r>
        <w:t xml:space="preserve">required </w:t>
      </w:r>
      <w:r w:rsidRPr="008E24CF">
        <w:t xml:space="preserve">separation </w:t>
      </w:r>
      <w:r>
        <w:t xml:space="preserve">distance </w:t>
      </w:r>
      <w:r w:rsidRPr="008E24CF">
        <w:t xml:space="preserve">between </w:t>
      </w:r>
      <w:r>
        <w:t xml:space="preserve">certain </w:t>
      </w:r>
      <w:r w:rsidRPr="008E24CF">
        <w:t xml:space="preserve">co-channel </w:t>
      </w:r>
      <w:r>
        <w:t xml:space="preserve">800 MHz </w:t>
      </w:r>
      <w:r w:rsidRPr="008E24CF">
        <w:t>systems is 113 km.  </w:t>
      </w:r>
      <w:r w:rsidRPr="008E24CF">
        <w:rPr>
          <w:i/>
          <w:iCs/>
        </w:rPr>
        <w:t xml:space="preserve">See </w:t>
      </w:r>
      <w:r w:rsidRPr="008E24CF">
        <w:t>47 C.F.R. § 90.621(b).</w:t>
      </w:r>
    </w:p>
  </w:footnote>
  <w:footnote w:id="38">
    <w:p w:rsidR="00A4175E" w:rsidRPr="004468C6" w:rsidRDefault="00A4175E" w:rsidP="00A4175E">
      <w:pPr>
        <w:pStyle w:val="FootnoteText"/>
        <w:ind w:firstLine="0"/>
      </w:pPr>
      <w:r>
        <w:rPr>
          <w:rStyle w:val="FootnoteReference"/>
        </w:rPr>
        <w:footnoteRef/>
      </w:r>
      <w:r>
        <w:t xml:space="preserve"> </w:t>
      </w:r>
      <w:r w:rsidRPr="005F5FCE">
        <w:rPr>
          <w:i/>
        </w:rPr>
        <w:t xml:space="preserve">See </w:t>
      </w:r>
      <w:r w:rsidRPr="005F5FCE">
        <w:t>47 C.F.R. § 1.928(a</w:t>
      </w:r>
      <w:r w:rsidR="00781B0D" w:rsidRPr="005F5FCE">
        <w:t>)</w:t>
      </w:r>
      <w:r w:rsidR="00781B0D">
        <w:t>.</w:t>
      </w:r>
      <w:r w:rsidR="00781B0D" w:rsidRPr="005F5FCE">
        <w:t xml:space="preserve"> </w:t>
      </w:r>
    </w:p>
  </w:footnote>
  <w:footnote w:id="39">
    <w:p w:rsidR="00A4175E" w:rsidRDefault="00A4175E" w:rsidP="00A4175E">
      <w:pPr>
        <w:pStyle w:val="FootnoteText"/>
        <w:ind w:firstLine="0"/>
      </w:pPr>
      <w:r>
        <w:rPr>
          <w:rStyle w:val="FootnoteReference"/>
        </w:rPr>
        <w:footnoteRef/>
      </w:r>
      <w:r>
        <w:t xml:space="preserve"> </w:t>
      </w:r>
      <w:r w:rsidRPr="005F5FCE">
        <w:rPr>
          <w:i/>
        </w:rPr>
        <w:t>See</w:t>
      </w:r>
      <w:r w:rsidRPr="005F5FCE">
        <w:t xml:space="preserve"> Arrangement between the Department of Communications of Canada and the Federal Communications Commission of the United States of America Concerning the Use of the Band 806 to 890 MHz along the Canada-United States Border (superseded by current Arrangements F and S) </w:t>
      </w:r>
      <w:r w:rsidRPr="005F5FCE">
        <w:rPr>
          <w:i/>
        </w:rPr>
        <w:t>available at</w:t>
      </w:r>
      <w:r w:rsidRPr="005F5FCE">
        <w:t xml:space="preserve"> http://transition.fcc.gov/ib/sand/agree/files/can-nb/Interim_Arrangements_F_and_S.pdf.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C4" w:rsidRDefault="00D05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C4" w:rsidRDefault="00D05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1" w:rsidRDefault="00C07261" w:rsidP="001F6D1F">
    <w:pPr>
      <w:pStyle w:val="Header"/>
      <w:tabs>
        <w:tab w:val="clear" w:pos="4320"/>
        <w:tab w:val="clear" w:pos="8640"/>
      </w:tabs>
      <w:spacing w:before="360" w:line="228" w:lineRule="auto"/>
      <w:jc w:val="center"/>
    </w:pPr>
    <w:r>
      <w:rPr>
        <w:noProof/>
        <w:snapToGrid/>
      </w:rPr>
      <w:drawing>
        <wp:anchor distT="0" distB="0" distL="114300" distR="114300" simplePos="0" relativeHeight="251657728" behindDoc="0" locked="0" layoutInCell="0" allowOverlap="1" wp14:anchorId="07020B51" wp14:editId="7478E8C8">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C07261" w:rsidRDefault="00C07261" w:rsidP="001F6D1F">
    <w:pPr>
      <w:jc w:val="center"/>
    </w:pPr>
    <w:r>
      <w:rPr>
        <w:rFonts w:ascii="CG Times (W1)" w:hAnsi="CG Times (W1)"/>
        <w:sz w:val="28"/>
      </w:rPr>
      <w:t>Washington, D.C. 20554</w:t>
    </w:r>
  </w:p>
  <w:p w:rsidR="00C07261" w:rsidRDefault="00A12FD3" w:rsidP="00A12FD3">
    <w:pPr>
      <w:pStyle w:val="Header"/>
      <w:jc w:val="center"/>
    </w:pPr>
    <w:r>
      <w:t>September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6B9BC"/>
    <w:lvl w:ilvl="0">
      <w:start w:val="1"/>
      <w:numFmt w:val="decimal"/>
      <w:lvlText w:val="%1."/>
      <w:lvlJc w:val="left"/>
      <w:pPr>
        <w:tabs>
          <w:tab w:val="num" w:pos="1800"/>
        </w:tabs>
        <w:ind w:left="1800" w:hanging="360"/>
      </w:pPr>
    </w:lvl>
  </w:abstractNum>
  <w:abstractNum w:abstractNumId="1">
    <w:nsid w:val="FFFFFF7D"/>
    <w:multiLevelType w:val="singleLevel"/>
    <w:tmpl w:val="93FA5D98"/>
    <w:lvl w:ilvl="0">
      <w:start w:val="1"/>
      <w:numFmt w:val="decimal"/>
      <w:lvlText w:val="%1."/>
      <w:lvlJc w:val="left"/>
      <w:pPr>
        <w:tabs>
          <w:tab w:val="num" w:pos="1440"/>
        </w:tabs>
        <w:ind w:left="1440" w:hanging="360"/>
      </w:pPr>
    </w:lvl>
  </w:abstractNum>
  <w:abstractNum w:abstractNumId="2">
    <w:nsid w:val="FFFFFF7E"/>
    <w:multiLevelType w:val="singleLevel"/>
    <w:tmpl w:val="C73E2740"/>
    <w:lvl w:ilvl="0">
      <w:start w:val="1"/>
      <w:numFmt w:val="decimal"/>
      <w:lvlText w:val="%1."/>
      <w:lvlJc w:val="left"/>
      <w:pPr>
        <w:tabs>
          <w:tab w:val="num" w:pos="1080"/>
        </w:tabs>
        <w:ind w:left="1080" w:hanging="360"/>
      </w:pPr>
    </w:lvl>
  </w:abstractNum>
  <w:abstractNum w:abstractNumId="3">
    <w:nsid w:val="FFFFFF7F"/>
    <w:multiLevelType w:val="singleLevel"/>
    <w:tmpl w:val="FEA49386"/>
    <w:lvl w:ilvl="0">
      <w:start w:val="1"/>
      <w:numFmt w:val="decimal"/>
      <w:lvlText w:val="%1."/>
      <w:lvlJc w:val="left"/>
      <w:pPr>
        <w:tabs>
          <w:tab w:val="num" w:pos="720"/>
        </w:tabs>
        <w:ind w:left="720" w:hanging="360"/>
      </w:pPr>
    </w:lvl>
  </w:abstractNum>
  <w:abstractNum w:abstractNumId="4">
    <w:nsid w:val="FFFFFF80"/>
    <w:multiLevelType w:val="singleLevel"/>
    <w:tmpl w:val="ECBE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869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9874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C57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6E6376"/>
    <w:lvl w:ilvl="0">
      <w:start w:val="1"/>
      <w:numFmt w:val="decimal"/>
      <w:lvlText w:val="%1."/>
      <w:lvlJc w:val="left"/>
      <w:pPr>
        <w:tabs>
          <w:tab w:val="num" w:pos="360"/>
        </w:tabs>
        <w:ind w:left="360" w:hanging="360"/>
      </w:pPr>
    </w:lvl>
  </w:abstractNum>
  <w:abstractNum w:abstractNumId="9">
    <w:nsid w:val="FFFFFF89"/>
    <w:multiLevelType w:val="singleLevel"/>
    <w:tmpl w:val="4E1CEAA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85C74A9"/>
    <w:multiLevelType w:val="hybridMultilevel"/>
    <w:tmpl w:val="49304970"/>
    <w:lvl w:ilvl="0" w:tplc="A94E9E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D094219"/>
    <w:multiLevelType w:val="hybridMultilevel"/>
    <w:tmpl w:val="F83CA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C90421"/>
    <w:multiLevelType w:val="hybridMultilevel"/>
    <w:tmpl w:val="32C0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E4859"/>
    <w:multiLevelType w:val="hybridMultilevel"/>
    <w:tmpl w:val="0464B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457F16"/>
    <w:multiLevelType w:val="hybridMultilevel"/>
    <w:tmpl w:val="14D20982"/>
    <w:lvl w:ilvl="0" w:tplc="92960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182925"/>
    <w:multiLevelType w:val="singleLevel"/>
    <w:tmpl w:val="E89EA4A4"/>
    <w:lvl w:ilvl="0">
      <w:start w:val="1"/>
      <w:numFmt w:val="decimal"/>
      <w:pStyle w:val="ParaNum"/>
      <w:lvlText w:val="%1."/>
      <w:lvlJc w:val="left"/>
      <w:pPr>
        <w:tabs>
          <w:tab w:val="num" w:pos="1080"/>
        </w:tabs>
        <w:ind w:left="0" w:firstLine="720"/>
      </w:pPr>
      <w:rPr>
        <w:b w:val="0"/>
      </w:rPr>
    </w:lvl>
  </w:abstractNum>
  <w:abstractNum w:abstractNumId="21">
    <w:nsid w:val="65D03630"/>
    <w:multiLevelType w:val="hybridMultilevel"/>
    <w:tmpl w:val="1EA6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366E11"/>
    <w:multiLevelType w:val="hybridMultilevel"/>
    <w:tmpl w:val="DE562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BC3C4B"/>
    <w:multiLevelType w:val="hybridMultilevel"/>
    <w:tmpl w:val="BC2802E4"/>
    <w:lvl w:ilvl="0" w:tplc="17D83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C0A6D"/>
    <w:multiLevelType w:val="hybridMultilevel"/>
    <w:tmpl w:val="5E5A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B4D89"/>
    <w:multiLevelType w:val="hybridMultilevel"/>
    <w:tmpl w:val="02DAE852"/>
    <w:lvl w:ilvl="0" w:tplc="BB9025B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12"/>
  </w:num>
  <w:num w:numId="4">
    <w:abstractNumId w:val="18"/>
  </w:num>
  <w:num w:numId="5">
    <w:abstractNumId w:val="13"/>
  </w:num>
  <w:num w:numId="6">
    <w:abstractNumId w:val="10"/>
  </w:num>
  <w:num w:numId="7">
    <w:abstractNumId w:val="19"/>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22"/>
  </w:num>
  <w:num w:numId="22">
    <w:abstractNumId w:val="24"/>
  </w:num>
  <w:num w:numId="23">
    <w:abstractNumId w:val="15"/>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AE"/>
    <w:rsid w:val="00002610"/>
    <w:rsid w:val="00002C78"/>
    <w:rsid w:val="00014AC5"/>
    <w:rsid w:val="00017C3C"/>
    <w:rsid w:val="00021AD4"/>
    <w:rsid w:val="000336F4"/>
    <w:rsid w:val="00034E07"/>
    <w:rsid w:val="00044630"/>
    <w:rsid w:val="00046B96"/>
    <w:rsid w:val="00046D1A"/>
    <w:rsid w:val="000473AF"/>
    <w:rsid w:val="00067AC9"/>
    <w:rsid w:val="00071F76"/>
    <w:rsid w:val="00073159"/>
    <w:rsid w:val="00073E87"/>
    <w:rsid w:val="00075E1D"/>
    <w:rsid w:val="00080D7E"/>
    <w:rsid w:val="00081389"/>
    <w:rsid w:val="00083382"/>
    <w:rsid w:val="00090F04"/>
    <w:rsid w:val="000A13CC"/>
    <w:rsid w:val="000A7070"/>
    <w:rsid w:val="000B22BA"/>
    <w:rsid w:val="000C36B2"/>
    <w:rsid w:val="000C61F5"/>
    <w:rsid w:val="000D27F1"/>
    <w:rsid w:val="000D3D86"/>
    <w:rsid w:val="000E0444"/>
    <w:rsid w:val="000E090F"/>
    <w:rsid w:val="000E6C8C"/>
    <w:rsid w:val="000F153D"/>
    <w:rsid w:val="000F70C1"/>
    <w:rsid w:val="000F739F"/>
    <w:rsid w:val="001008E2"/>
    <w:rsid w:val="00102FFE"/>
    <w:rsid w:val="001031A5"/>
    <w:rsid w:val="00104E2F"/>
    <w:rsid w:val="00117212"/>
    <w:rsid w:val="00132351"/>
    <w:rsid w:val="00134885"/>
    <w:rsid w:val="0013550F"/>
    <w:rsid w:val="00137186"/>
    <w:rsid w:val="00140164"/>
    <w:rsid w:val="00142870"/>
    <w:rsid w:val="00143860"/>
    <w:rsid w:val="001438A2"/>
    <w:rsid w:val="0014799C"/>
    <w:rsid w:val="00155011"/>
    <w:rsid w:val="0016149B"/>
    <w:rsid w:val="001619F9"/>
    <w:rsid w:val="00162677"/>
    <w:rsid w:val="001711C3"/>
    <w:rsid w:val="00171DFC"/>
    <w:rsid w:val="001749D0"/>
    <w:rsid w:val="00180553"/>
    <w:rsid w:val="00182F1A"/>
    <w:rsid w:val="0019390F"/>
    <w:rsid w:val="001975ED"/>
    <w:rsid w:val="001B13E9"/>
    <w:rsid w:val="001B347F"/>
    <w:rsid w:val="001D758C"/>
    <w:rsid w:val="001F4A86"/>
    <w:rsid w:val="001F6D1F"/>
    <w:rsid w:val="00216662"/>
    <w:rsid w:val="002172E2"/>
    <w:rsid w:val="00217BB2"/>
    <w:rsid w:val="002264F9"/>
    <w:rsid w:val="0023047E"/>
    <w:rsid w:val="00232A6C"/>
    <w:rsid w:val="00236877"/>
    <w:rsid w:val="00236F57"/>
    <w:rsid w:val="00246A31"/>
    <w:rsid w:val="00252DA7"/>
    <w:rsid w:val="0025526C"/>
    <w:rsid w:val="00260A65"/>
    <w:rsid w:val="002625B1"/>
    <w:rsid w:val="00262ED4"/>
    <w:rsid w:val="00264FA3"/>
    <w:rsid w:val="002670E1"/>
    <w:rsid w:val="002734F5"/>
    <w:rsid w:val="002768B7"/>
    <w:rsid w:val="002776BA"/>
    <w:rsid w:val="002778BE"/>
    <w:rsid w:val="00282C93"/>
    <w:rsid w:val="00286605"/>
    <w:rsid w:val="002926C8"/>
    <w:rsid w:val="00292950"/>
    <w:rsid w:val="002930CD"/>
    <w:rsid w:val="00294D2B"/>
    <w:rsid w:val="00296568"/>
    <w:rsid w:val="00297A6F"/>
    <w:rsid w:val="002A0E9A"/>
    <w:rsid w:val="002A5815"/>
    <w:rsid w:val="002C1CB5"/>
    <w:rsid w:val="002C1CCB"/>
    <w:rsid w:val="002C2C2B"/>
    <w:rsid w:val="002D164A"/>
    <w:rsid w:val="002D2535"/>
    <w:rsid w:val="002E0CFB"/>
    <w:rsid w:val="002E4DA3"/>
    <w:rsid w:val="002E589B"/>
    <w:rsid w:val="002F3670"/>
    <w:rsid w:val="002F7AA1"/>
    <w:rsid w:val="003003DF"/>
    <w:rsid w:val="003036FC"/>
    <w:rsid w:val="00303BFE"/>
    <w:rsid w:val="00303F49"/>
    <w:rsid w:val="003067C9"/>
    <w:rsid w:val="003073AF"/>
    <w:rsid w:val="003118E3"/>
    <w:rsid w:val="00317AB6"/>
    <w:rsid w:val="00332B91"/>
    <w:rsid w:val="003344A4"/>
    <w:rsid w:val="00341E1A"/>
    <w:rsid w:val="0035198A"/>
    <w:rsid w:val="00370063"/>
    <w:rsid w:val="00381BA3"/>
    <w:rsid w:val="003977E7"/>
    <w:rsid w:val="003A4714"/>
    <w:rsid w:val="003B0988"/>
    <w:rsid w:val="003B1819"/>
    <w:rsid w:val="003C328B"/>
    <w:rsid w:val="003D1E85"/>
    <w:rsid w:val="003D4809"/>
    <w:rsid w:val="003E0EF0"/>
    <w:rsid w:val="003E30D4"/>
    <w:rsid w:val="003F067F"/>
    <w:rsid w:val="003F162F"/>
    <w:rsid w:val="003F1A24"/>
    <w:rsid w:val="003F267C"/>
    <w:rsid w:val="003F5254"/>
    <w:rsid w:val="003F5436"/>
    <w:rsid w:val="003F6CDC"/>
    <w:rsid w:val="00400623"/>
    <w:rsid w:val="004010B5"/>
    <w:rsid w:val="0040320D"/>
    <w:rsid w:val="0041076F"/>
    <w:rsid w:val="00412AEF"/>
    <w:rsid w:val="0042561E"/>
    <w:rsid w:val="004318B2"/>
    <w:rsid w:val="004339A2"/>
    <w:rsid w:val="00433CAA"/>
    <w:rsid w:val="00433D33"/>
    <w:rsid w:val="004427C6"/>
    <w:rsid w:val="00442A75"/>
    <w:rsid w:val="00445724"/>
    <w:rsid w:val="004468C6"/>
    <w:rsid w:val="00455488"/>
    <w:rsid w:val="00462CE1"/>
    <w:rsid w:val="0046632C"/>
    <w:rsid w:val="00466B87"/>
    <w:rsid w:val="00473E97"/>
    <w:rsid w:val="0047443A"/>
    <w:rsid w:val="0047795D"/>
    <w:rsid w:val="0048768B"/>
    <w:rsid w:val="00490F34"/>
    <w:rsid w:val="00490FE1"/>
    <w:rsid w:val="004917DB"/>
    <w:rsid w:val="00496315"/>
    <w:rsid w:val="004A4185"/>
    <w:rsid w:val="004A47E2"/>
    <w:rsid w:val="004B4269"/>
    <w:rsid w:val="004B5533"/>
    <w:rsid w:val="004C1B16"/>
    <w:rsid w:val="004D4371"/>
    <w:rsid w:val="004E6BE5"/>
    <w:rsid w:val="00500001"/>
    <w:rsid w:val="0050406E"/>
    <w:rsid w:val="00504D57"/>
    <w:rsid w:val="00506933"/>
    <w:rsid w:val="0051174B"/>
    <w:rsid w:val="0052677A"/>
    <w:rsid w:val="00530A87"/>
    <w:rsid w:val="00530F4B"/>
    <w:rsid w:val="00531413"/>
    <w:rsid w:val="00532135"/>
    <w:rsid w:val="005323A6"/>
    <w:rsid w:val="00540072"/>
    <w:rsid w:val="005426A3"/>
    <w:rsid w:val="00543A8F"/>
    <w:rsid w:val="00543D71"/>
    <w:rsid w:val="0056216F"/>
    <w:rsid w:val="00565562"/>
    <w:rsid w:val="00571AC8"/>
    <w:rsid w:val="00572521"/>
    <w:rsid w:val="00577B42"/>
    <w:rsid w:val="00581651"/>
    <w:rsid w:val="00587938"/>
    <w:rsid w:val="00594E59"/>
    <w:rsid w:val="005A5298"/>
    <w:rsid w:val="005A5578"/>
    <w:rsid w:val="005B0808"/>
    <w:rsid w:val="005B4A17"/>
    <w:rsid w:val="005C34AE"/>
    <w:rsid w:val="005C5853"/>
    <w:rsid w:val="005D7127"/>
    <w:rsid w:val="005E67F6"/>
    <w:rsid w:val="005F02C0"/>
    <w:rsid w:val="005F32E4"/>
    <w:rsid w:val="005F5FCE"/>
    <w:rsid w:val="005F7182"/>
    <w:rsid w:val="005F751A"/>
    <w:rsid w:val="00603DB4"/>
    <w:rsid w:val="00605B98"/>
    <w:rsid w:val="00621EF7"/>
    <w:rsid w:val="00623BDE"/>
    <w:rsid w:val="00623CF2"/>
    <w:rsid w:val="00625779"/>
    <w:rsid w:val="006635A3"/>
    <w:rsid w:val="00675183"/>
    <w:rsid w:val="00685B5A"/>
    <w:rsid w:val="006A07B3"/>
    <w:rsid w:val="006A55E1"/>
    <w:rsid w:val="006B235F"/>
    <w:rsid w:val="006C00F6"/>
    <w:rsid w:val="006C4BB5"/>
    <w:rsid w:val="006D75E8"/>
    <w:rsid w:val="006E3D48"/>
    <w:rsid w:val="006E4EDE"/>
    <w:rsid w:val="006F3674"/>
    <w:rsid w:val="00705713"/>
    <w:rsid w:val="00706E0A"/>
    <w:rsid w:val="00725D86"/>
    <w:rsid w:val="00737BF9"/>
    <w:rsid w:val="00737FC2"/>
    <w:rsid w:val="00740190"/>
    <w:rsid w:val="007457A9"/>
    <w:rsid w:val="007519FE"/>
    <w:rsid w:val="00755E3A"/>
    <w:rsid w:val="0076227F"/>
    <w:rsid w:val="00763C4A"/>
    <w:rsid w:val="00770C31"/>
    <w:rsid w:val="00776C74"/>
    <w:rsid w:val="00781B0D"/>
    <w:rsid w:val="00785F92"/>
    <w:rsid w:val="00793F29"/>
    <w:rsid w:val="00794737"/>
    <w:rsid w:val="007950FF"/>
    <w:rsid w:val="0079673B"/>
    <w:rsid w:val="00796D42"/>
    <w:rsid w:val="007A2EEE"/>
    <w:rsid w:val="007B34FE"/>
    <w:rsid w:val="007B368C"/>
    <w:rsid w:val="007B475A"/>
    <w:rsid w:val="007C1CB6"/>
    <w:rsid w:val="007C3C4A"/>
    <w:rsid w:val="007C5270"/>
    <w:rsid w:val="007C57D6"/>
    <w:rsid w:val="007C64FC"/>
    <w:rsid w:val="007D3160"/>
    <w:rsid w:val="007D40A8"/>
    <w:rsid w:val="007D53A0"/>
    <w:rsid w:val="007D758B"/>
    <w:rsid w:val="007F16F4"/>
    <w:rsid w:val="007F5F4A"/>
    <w:rsid w:val="007F6F78"/>
    <w:rsid w:val="00800928"/>
    <w:rsid w:val="0080169E"/>
    <w:rsid w:val="00802495"/>
    <w:rsid w:val="00805C38"/>
    <w:rsid w:val="008132B4"/>
    <w:rsid w:val="0082211C"/>
    <w:rsid w:val="008252E0"/>
    <w:rsid w:val="0083244C"/>
    <w:rsid w:val="00832746"/>
    <w:rsid w:val="00834403"/>
    <w:rsid w:val="00835973"/>
    <w:rsid w:val="00843C51"/>
    <w:rsid w:val="00843F78"/>
    <w:rsid w:val="00844A39"/>
    <w:rsid w:val="00855072"/>
    <w:rsid w:val="00856BB8"/>
    <w:rsid w:val="008603EA"/>
    <w:rsid w:val="0086641F"/>
    <w:rsid w:val="008732C6"/>
    <w:rsid w:val="0087486F"/>
    <w:rsid w:val="00877CC0"/>
    <w:rsid w:val="00882136"/>
    <w:rsid w:val="008856F3"/>
    <w:rsid w:val="00890218"/>
    <w:rsid w:val="0089223E"/>
    <w:rsid w:val="00894A7A"/>
    <w:rsid w:val="008A28FC"/>
    <w:rsid w:val="008A3CD4"/>
    <w:rsid w:val="008B0A22"/>
    <w:rsid w:val="008B2436"/>
    <w:rsid w:val="008B3AAE"/>
    <w:rsid w:val="008D768B"/>
    <w:rsid w:val="008E0230"/>
    <w:rsid w:val="008E112D"/>
    <w:rsid w:val="008E1577"/>
    <w:rsid w:val="008E24CF"/>
    <w:rsid w:val="008E2F20"/>
    <w:rsid w:val="008E3280"/>
    <w:rsid w:val="008E45B5"/>
    <w:rsid w:val="008F6904"/>
    <w:rsid w:val="00901F15"/>
    <w:rsid w:val="00902B4B"/>
    <w:rsid w:val="0090463D"/>
    <w:rsid w:val="009078FE"/>
    <w:rsid w:val="00913403"/>
    <w:rsid w:val="00913EC9"/>
    <w:rsid w:val="0091498C"/>
    <w:rsid w:val="009218E8"/>
    <w:rsid w:val="00925F1F"/>
    <w:rsid w:val="00927A06"/>
    <w:rsid w:val="00933A94"/>
    <w:rsid w:val="00934E5D"/>
    <w:rsid w:val="00942FA0"/>
    <w:rsid w:val="00944E8A"/>
    <w:rsid w:val="00950621"/>
    <w:rsid w:val="009560F1"/>
    <w:rsid w:val="009562BC"/>
    <w:rsid w:val="009631E6"/>
    <w:rsid w:val="00964E77"/>
    <w:rsid w:val="00966A6E"/>
    <w:rsid w:val="009738FE"/>
    <w:rsid w:val="00982E3F"/>
    <w:rsid w:val="00984951"/>
    <w:rsid w:val="00984AF5"/>
    <w:rsid w:val="0098575E"/>
    <w:rsid w:val="00994242"/>
    <w:rsid w:val="00997B4D"/>
    <w:rsid w:val="009A3992"/>
    <w:rsid w:val="009B17E0"/>
    <w:rsid w:val="009B6B7D"/>
    <w:rsid w:val="009B7095"/>
    <w:rsid w:val="009C1E64"/>
    <w:rsid w:val="009C2180"/>
    <w:rsid w:val="009D4827"/>
    <w:rsid w:val="009D66C0"/>
    <w:rsid w:val="009E3E19"/>
    <w:rsid w:val="009F0A82"/>
    <w:rsid w:val="009F17E8"/>
    <w:rsid w:val="009F22B5"/>
    <w:rsid w:val="009F2EEB"/>
    <w:rsid w:val="009F3D94"/>
    <w:rsid w:val="009F7852"/>
    <w:rsid w:val="00A0611A"/>
    <w:rsid w:val="00A12FD3"/>
    <w:rsid w:val="00A22C7E"/>
    <w:rsid w:val="00A31FBE"/>
    <w:rsid w:val="00A35543"/>
    <w:rsid w:val="00A4175E"/>
    <w:rsid w:val="00A43028"/>
    <w:rsid w:val="00A518A9"/>
    <w:rsid w:val="00A70807"/>
    <w:rsid w:val="00A70958"/>
    <w:rsid w:val="00A75C8C"/>
    <w:rsid w:val="00A8435A"/>
    <w:rsid w:val="00A87DB3"/>
    <w:rsid w:val="00A94B26"/>
    <w:rsid w:val="00A97EDE"/>
    <w:rsid w:val="00AA238B"/>
    <w:rsid w:val="00AA6E35"/>
    <w:rsid w:val="00AA7C50"/>
    <w:rsid w:val="00AB7BCB"/>
    <w:rsid w:val="00AE68C1"/>
    <w:rsid w:val="00AE6AA7"/>
    <w:rsid w:val="00AF0312"/>
    <w:rsid w:val="00AF7C8B"/>
    <w:rsid w:val="00B001DF"/>
    <w:rsid w:val="00B01BF3"/>
    <w:rsid w:val="00B06689"/>
    <w:rsid w:val="00B06CCA"/>
    <w:rsid w:val="00B13343"/>
    <w:rsid w:val="00B17848"/>
    <w:rsid w:val="00B232D3"/>
    <w:rsid w:val="00B237ED"/>
    <w:rsid w:val="00B35F8D"/>
    <w:rsid w:val="00B4165D"/>
    <w:rsid w:val="00B41757"/>
    <w:rsid w:val="00B45A91"/>
    <w:rsid w:val="00B5613B"/>
    <w:rsid w:val="00B57832"/>
    <w:rsid w:val="00BA2B7E"/>
    <w:rsid w:val="00BA5D4B"/>
    <w:rsid w:val="00BA607F"/>
    <w:rsid w:val="00BB14F9"/>
    <w:rsid w:val="00BB5212"/>
    <w:rsid w:val="00BC0BE3"/>
    <w:rsid w:val="00BC5CDB"/>
    <w:rsid w:val="00BD2919"/>
    <w:rsid w:val="00BD3B79"/>
    <w:rsid w:val="00BD4529"/>
    <w:rsid w:val="00BD4F36"/>
    <w:rsid w:val="00BD5313"/>
    <w:rsid w:val="00BE2E2F"/>
    <w:rsid w:val="00BE2E34"/>
    <w:rsid w:val="00BE56AA"/>
    <w:rsid w:val="00BF3DD9"/>
    <w:rsid w:val="00BF44EC"/>
    <w:rsid w:val="00BF6F6D"/>
    <w:rsid w:val="00C00AEB"/>
    <w:rsid w:val="00C02821"/>
    <w:rsid w:val="00C07261"/>
    <w:rsid w:val="00C1081B"/>
    <w:rsid w:val="00C214FD"/>
    <w:rsid w:val="00C22895"/>
    <w:rsid w:val="00C2693E"/>
    <w:rsid w:val="00C303E6"/>
    <w:rsid w:val="00C30B63"/>
    <w:rsid w:val="00C31613"/>
    <w:rsid w:val="00C4038A"/>
    <w:rsid w:val="00C44FD0"/>
    <w:rsid w:val="00C508AA"/>
    <w:rsid w:val="00C53A55"/>
    <w:rsid w:val="00C640C5"/>
    <w:rsid w:val="00C71DEE"/>
    <w:rsid w:val="00C80100"/>
    <w:rsid w:val="00C8195B"/>
    <w:rsid w:val="00C84A7C"/>
    <w:rsid w:val="00C84BC1"/>
    <w:rsid w:val="00C97422"/>
    <w:rsid w:val="00CA3FCF"/>
    <w:rsid w:val="00CA4200"/>
    <w:rsid w:val="00CB318A"/>
    <w:rsid w:val="00CC100A"/>
    <w:rsid w:val="00CC4250"/>
    <w:rsid w:val="00CC5E7F"/>
    <w:rsid w:val="00CD2104"/>
    <w:rsid w:val="00CD7493"/>
    <w:rsid w:val="00CF7D08"/>
    <w:rsid w:val="00D0055A"/>
    <w:rsid w:val="00D03922"/>
    <w:rsid w:val="00D052C4"/>
    <w:rsid w:val="00D05F51"/>
    <w:rsid w:val="00D23F0D"/>
    <w:rsid w:val="00D32AD6"/>
    <w:rsid w:val="00D3315A"/>
    <w:rsid w:val="00D41710"/>
    <w:rsid w:val="00D463A0"/>
    <w:rsid w:val="00D4713B"/>
    <w:rsid w:val="00D52C58"/>
    <w:rsid w:val="00D54ADB"/>
    <w:rsid w:val="00D61B95"/>
    <w:rsid w:val="00D6429D"/>
    <w:rsid w:val="00D66DDF"/>
    <w:rsid w:val="00D73A4B"/>
    <w:rsid w:val="00D84537"/>
    <w:rsid w:val="00D86E5A"/>
    <w:rsid w:val="00D878E6"/>
    <w:rsid w:val="00D94B62"/>
    <w:rsid w:val="00D95FAA"/>
    <w:rsid w:val="00DA62E5"/>
    <w:rsid w:val="00DA7108"/>
    <w:rsid w:val="00DB6D0A"/>
    <w:rsid w:val="00DC4B36"/>
    <w:rsid w:val="00DC5778"/>
    <w:rsid w:val="00DD0078"/>
    <w:rsid w:val="00DD1EA5"/>
    <w:rsid w:val="00DE46D4"/>
    <w:rsid w:val="00DF2404"/>
    <w:rsid w:val="00DF37AC"/>
    <w:rsid w:val="00DF3B3C"/>
    <w:rsid w:val="00DF4DDC"/>
    <w:rsid w:val="00DF6752"/>
    <w:rsid w:val="00E13FAC"/>
    <w:rsid w:val="00E14614"/>
    <w:rsid w:val="00E14F0B"/>
    <w:rsid w:val="00E261D7"/>
    <w:rsid w:val="00E35418"/>
    <w:rsid w:val="00E37033"/>
    <w:rsid w:val="00E45AED"/>
    <w:rsid w:val="00E5371F"/>
    <w:rsid w:val="00E63C82"/>
    <w:rsid w:val="00E66884"/>
    <w:rsid w:val="00E762B8"/>
    <w:rsid w:val="00E81B90"/>
    <w:rsid w:val="00E85923"/>
    <w:rsid w:val="00E86C30"/>
    <w:rsid w:val="00E92548"/>
    <w:rsid w:val="00EA0CFF"/>
    <w:rsid w:val="00EA49CE"/>
    <w:rsid w:val="00EB157D"/>
    <w:rsid w:val="00EB42A5"/>
    <w:rsid w:val="00EB7871"/>
    <w:rsid w:val="00ED6706"/>
    <w:rsid w:val="00ED7F7A"/>
    <w:rsid w:val="00EF0642"/>
    <w:rsid w:val="00EF240D"/>
    <w:rsid w:val="00EF2C15"/>
    <w:rsid w:val="00EF32A7"/>
    <w:rsid w:val="00EF39A2"/>
    <w:rsid w:val="00F02DF9"/>
    <w:rsid w:val="00F03198"/>
    <w:rsid w:val="00F07132"/>
    <w:rsid w:val="00F1034B"/>
    <w:rsid w:val="00F122DB"/>
    <w:rsid w:val="00F23A84"/>
    <w:rsid w:val="00F24574"/>
    <w:rsid w:val="00F3092F"/>
    <w:rsid w:val="00F3598A"/>
    <w:rsid w:val="00F35F6B"/>
    <w:rsid w:val="00F40DC5"/>
    <w:rsid w:val="00F60396"/>
    <w:rsid w:val="00F61037"/>
    <w:rsid w:val="00F62CB2"/>
    <w:rsid w:val="00F62F28"/>
    <w:rsid w:val="00F64DDC"/>
    <w:rsid w:val="00F6777B"/>
    <w:rsid w:val="00F732C6"/>
    <w:rsid w:val="00F76EED"/>
    <w:rsid w:val="00F837E6"/>
    <w:rsid w:val="00F8578B"/>
    <w:rsid w:val="00F86074"/>
    <w:rsid w:val="00F96279"/>
    <w:rsid w:val="00F97B59"/>
    <w:rsid w:val="00FA3F7D"/>
    <w:rsid w:val="00FB2ED6"/>
    <w:rsid w:val="00FC07B6"/>
    <w:rsid w:val="00FC1851"/>
    <w:rsid w:val="00FC782A"/>
    <w:rsid w:val="00FD6776"/>
    <w:rsid w:val="00FD6A5F"/>
    <w:rsid w:val="00FE18F1"/>
    <w:rsid w:val="00FE234D"/>
    <w:rsid w:val="00FE3C3C"/>
    <w:rsid w:val="00FE3D2A"/>
    <w:rsid w:val="00FE5590"/>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AE"/>
    <w:rPr>
      <w:snapToGrid w:val="0"/>
      <w:kern w:val="28"/>
      <w:sz w:val="22"/>
    </w:rPr>
  </w:style>
  <w:style w:type="paragraph" w:styleId="Heading1">
    <w:name w:val="heading 1"/>
    <w:basedOn w:val="Normal"/>
    <w:next w:val="ParaNum"/>
    <w:qFormat/>
    <w:rsid w:val="005C34A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4AE"/>
    <w:pPr>
      <w:keepNext/>
      <w:numPr>
        <w:ilvl w:val="1"/>
        <w:numId w:val="2"/>
      </w:numPr>
      <w:spacing w:after="120"/>
      <w:outlineLvl w:val="1"/>
    </w:pPr>
    <w:rPr>
      <w:b/>
    </w:rPr>
  </w:style>
  <w:style w:type="paragraph" w:styleId="Heading3">
    <w:name w:val="heading 3"/>
    <w:basedOn w:val="Normal"/>
    <w:next w:val="ParaNum"/>
    <w:qFormat/>
    <w:rsid w:val="005C34AE"/>
    <w:pPr>
      <w:keepNext/>
      <w:numPr>
        <w:ilvl w:val="2"/>
        <w:numId w:val="2"/>
      </w:numPr>
      <w:tabs>
        <w:tab w:val="left" w:pos="2160"/>
      </w:tabs>
      <w:spacing w:after="120"/>
      <w:outlineLvl w:val="2"/>
    </w:pPr>
    <w:rPr>
      <w:b/>
    </w:rPr>
  </w:style>
  <w:style w:type="paragraph" w:styleId="Heading4">
    <w:name w:val="heading 4"/>
    <w:basedOn w:val="Normal"/>
    <w:next w:val="ParaNum"/>
    <w:qFormat/>
    <w:rsid w:val="005C34AE"/>
    <w:pPr>
      <w:keepNext/>
      <w:numPr>
        <w:ilvl w:val="3"/>
        <w:numId w:val="2"/>
      </w:numPr>
      <w:tabs>
        <w:tab w:val="left" w:pos="2880"/>
      </w:tabs>
      <w:spacing w:after="120"/>
      <w:outlineLvl w:val="3"/>
    </w:pPr>
    <w:rPr>
      <w:b/>
    </w:rPr>
  </w:style>
  <w:style w:type="paragraph" w:styleId="Heading5">
    <w:name w:val="heading 5"/>
    <w:basedOn w:val="Normal"/>
    <w:next w:val="ParaNum"/>
    <w:qFormat/>
    <w:rsid w:val="005C34A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C34AE"/>
    <w:pPr>
      <w:numPr>
        <w:ilvl w:val="5"/>
        <w:numId w:val="2"/>
      </w:numPr>
      <w:tabs>
        <w:tab w:val="left" w:pos="4320"/>
      </w:tabs>
      <w:spacing w:after="120"/>
      <w:outlineLvl w:val="5"/>
    </w:pPr>
    <w:rPr>
      <w:b/>
    </w:rPr>
  </w:style>
  <w:style w:type="paragraph" w:styleId="Heading7">
    <w:name w:val="heading 7"/>
    <w:basedOn w:val="Normal"/>
    <w:next w:val="ParaNum"/>
    <w:qFormat/>
    <w:rsid w:val="005C34A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C34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C34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autoRedefine/>
    <w:rsid w:val="005C34AE"/>
    <w:pPr>
      <w:numPr>
        <w:numId w:val="1"/>
      </w:numPr>
      <w:tabs>
        <w:tab w:val="clear" w:pos="1080"/>
        <w:tab w:val="num" w:pos="1440"/>
      </w:tabs>
      <w:spacing w:after="120"/>
    </w:pPr>
    <w:rPr>
      <w:color w:val="000000"/>
      <w:szCs w:val="22"/>
    </w:r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
    <w:link w:val="FootnoteTextChar1"/>
    <w:rsid w:val="005C34AE"/>
    <w:pPr>
      <w:spacing w:after="120"/>
      <w:ind w:firstLine="720"/>
    </w:p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5C34AE"/>
    <w:rPr>
      <w:lang w:val="en-US" w:eastAsia="en-US" w:bidi="ar-SA"/>
    </w:rPr>
  </w:style>
  <w:style w:type="character" w:styleId="FootnoteReference">
    <w:name w:val="footnote reference"/>
    <w:aliases w:val="o,fr,Appel note de bas de p,Style 12,(NECG) Footnote Reference,Style 124,Style 3,Style 13,Footnote Reference/,FR,Style 17,Style 6,Style 7"/>
    <w:rsid w:val="005C34AE"/>
    <w:rPr>
      <w:rFonts w:ascii="Times New Roman" w:hAnsi="Times New Roman"/>
      <w:dstrike w:val="0"/>
      <w:color w:val="auto"/>
      <w:sz w:val="22"/>
      <w:vertAlign w:val="superscript"/>
    </w:rPr>
  </w:style>
  <w:style w:type="paragraph" w:styleId="Header">
    <w:name w:val="header"/>
    <w:basedOn w:val="Normal"/>
    <w:rsid w:val="005C34AE"/>
    <w:pPr>
      <w:tabs>
        <w:tab w:val="center" w:pos="4320"/>
        <w:tab w:val="right" w:pos="8640"/>
      </w:tabs>
    </w:pPr>
  </w:style>
  <w:style w:type="paragraph" w:styleId="Footer">
    <w:name w:val="footer"/>
    <w:basedOn w:val="Normal"/>
    <w:rsid w:val="005C34AE"/>
    <w:pPr>
      <w:tabs>
        <w:tab w:val="center" w:pos="4320"/>
        <w:tab w:val="right" w:pos="8640"/>
      </w:tabs>
    </w:pPr>
  </w:style>
  <w:style w:type="character" w:customStyle="1" w:styleId="EquationCaption">
    <w:name w:val="_Equation Caption"/>
    <w:rsid w:val="005C34AE"/>
  </w:style>
  <w:style w:type="character" w:styleId="PageNumber">
    <w:name w:val="page number"/>
    <w:basedOn w:val="DefaultParagraphFont"/>
    <w:rsid w:val="005C34AE"/>
  </w:style>
  <w:style w:type="paragraph" w:styleId="BlockText">
    <w:name w:val="Block Text"/>
    <w:basedOn w:val="Normal"/>
    <w:rsid w:val="005C34AE"/>
    <w:pPr>
      <w:spacing w:after="240"/>
      <w:ind w:left="1440" w:right="1440"/>
    </w:pPr>
  </w:style>
  <w:style w:type="paragraph" w:customStyle="1" w:styleId="Paratitle">
    <w:name w:val="Para title"/>
    <w:basedOn w:val="Normal"/>
    <w:rsid w:val="005C34AE"/>
    <w:pPr>
      <w:tabs>
        <w:tab w:val="center" w:pos="9270"/>
      </w:tabs>
      <w:spacing w:after="240"/>
    </w:pPr>
    <w:rPr>
      <w:spacing w:val="-2"/>
    </w:rPr>
  </w:style>
  <w:style w:type="paragraph" w:customStyle="1" w:styleId="Bullet">
    <w:name w:val="Bullet"/>
    <w:basedOn w:val="Normal"/>
    <w:rsid w:val="005C34AE"/>
    <w:pPr>
      <w:tabs>
        <w:tab w:val="num" w:pos="1080"/>
        <w:tab w:val="left" w:pos="2160"/>
      </w:tabs>
      <w:spacing w:after="220"/>
      <w:ind w:left="2160" w:hanging="720"/>
    </w:pPr>
  </w:style>
  <w:style w:type="paragraph" w:customStyle="1" w:styleId="TableFormat">
    <w:name w:val="TableFormat"/>
    <w:basedOn w:val="Bullet"/>
    <w:rsid w:val="005C34AE"/>
    <w:pPr>
      <w:tabs>
        <w:tab w:val="clear" w:pos="1080"/>
        <w:tab w:val="clear" w:pos="2160"/>
        <w:tab w:val="left" w:pos="5040"/>
      </w:tabs>
      <w:ind w:left="5040" w:hanging="3600"/>
    </w:pPr>
  </w:style>
  <w:style w:type="paragraph" w:customStyle="1" w:styleId="TOCTitle">
    <w:name w:val="TOC Title"/>
    <w:basedOn w:val="Normal"/>
    <w:rsid w:val="005C34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4AE"/>
    <w:pPr>
      <w:jc w:val="center"/>
    </w:pPr>
    <w:rPr>
      <w:rFonts w:ascii="Times New Roman Bold" w:hAnsi="Times New Roman Bold"/>
      <w:b/>
      <w:bCs/>
      <w:caps/>
      <w:szCs w:val="22"/>
    </w:rPr>
  </w:style>
  <w:style w:type="character" w:styleId="Hyperlink">
    <w:name w:val="Hyperlink"/>
    <w:rsid w:val="005C34AE"/>
    <w:rPr>
      <w:color w:val="0000FF"/>
      <w:u w:val="single"/>
    </w:rPr>
  </w:style>
  <w:style w:type="character" w:customStyle="1" w:styleId="documentbody1">
    <w:name w:val="documentbody1"/>
    <w:rsid w:val="005C34AE"/>
    <w:rPr>
      <w:rFonts w:ascii="Verdana" w:hAnsi="Verdana" w:hint="default"/>
      <w:sz w:val="19"/>
      <w:szCs w:val="19"/>
    </w:rPr>
  </w:style>
  <w:style w:type="character" w:styleId="FollowedHyperlink">
    <w:name w:val="FollowedHyperlink"/>
    <w:rsid w:val="005C34AE"/>
    <w:rPr>
      <w:color w:val="800080"/>
      <w:u w:val="single"/>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n Char Char,fn Char1"/>
    <w:semiHidden/>
    <w:locked/>
    <w:rsid w:val="00CC4250"/>
    <w:rPr>
      <w:rFonts w:ascii="Courier" w:hAnsi="Courier"/>
      <w:snapToGrid w:val="0"/>
      <w:sz w:val="24"/>
      <w:lang w:val="en-US" w:eastAsia="en-US" w:bidi="ar-SA"/>
    </w:rPr>
  </w:style>
  <w:style w:type="paragraph" w:styleId="BalloonText">
    <w:name w:val="Balloon Text"/>
    <w:basedOn w:val="Normal"/>
    <w:link w:val="BalloonTextChar"/>
    <w:rsid w:val="00D3315A"/>
    <w:rPr>
      <w:rFonts w:ascii="Tahoma" w:hAnsi="Tahoma" w:cs="Tahoma"/>
      <w:sz w:val="16"/>
      <w:szCs w:val="16"/>
    </w:rPr>
  </w:style>
  <w:style w:type="character" w:customStyle="1" w:styleId="BalloonTextChar">
    <w:name w:val="Balloon Text Char"/>
    <w:link w:val="BalloonText"/>
    <w:rsid w:val="00D3315A"/>
    <w:rPr>
      <w:rFonts w:ascii="Tahoma" w:hAnsi="Tahoma" w:cs="Tahoma"/>
      <w:snapToGrid w:val="0"/>
      <w:kern w:val="28"/>
      <w:sz w:val="16"/>
      <w:szCs w:val="16"/>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semiHidden/>
    <w:locked/>
    <w:rsid w:val="00877CC0"/>
    <w:rPr>
      <w:sz w:val="22"/>
      <w:lang w:val="en-US" w:eastAsia="en-US" w:bidi="ar-SA"/>
    </w:rPr>
  </w:style>
  <w:style w:type="paragraph" w:styleId="ListParagraph">
    <w:name w:val="List Paragraph"/>
    <w:basedOn w:val="Normal"/>
    <w:uiPriority w:val="34"/>
    <w:qFormat/>
    <w:rsid w:val="00FA3F7D"/>
    <w:pPr>
      <w:ind w:left="720"/>
    </w:pPr>
  </w:style>
  <w:style w:type="character" w:styleId="CommentReference">
    <w:name w:val="annotation reference"/>
    <w:basedOn w:val="DefaultParagraphFont"/>
    <w:rsid w:val="008E112D"/>
    <w:rPr>
      <w:sz w:val="16"/>
      <w:szCs w:val="16"/>
    </w:rPr>
  </w:style>
  <w:style w:type="paragraph" w:styleId="CommentText">
    <w:name w:val="annotation text"/>
    <w:basedOn w:val="Normal"/>
    <w:link w:val="CommentTextChar"/>
    <w:rsid w:val="008E112D"/>
    <w:rPr>
      <w:sz w:val="20"/>
    </w:rPr>
  </w:style>
  <w:style w:type="character" w:customStyle="1" w:styleId="CommentTextChar">
    <w:name w:val="Comment Text Char"/>
    <w:basedOn w:val="DefaultParagraphFont"/>
    <w:link w:val="CommentText"/>
    <w:rsid w:val="008E112D"/>
    <w:rPr>
      <w:snapToGrid w:val="0"/>
      <w:kern w:val="28"/>
    </w:rPr>
  </w:style>
  <w:style w:type="paragraph" w:styleId="CommentSubject">
    <w:name w:val="annotation subject"/>
    <w:basedOn w:val="CommentText"/>
    <w:next w:val="CommentText"/>
    <w:link w:val="CommentSubjectChar"/>
    <w:rsid w:val="008E112D"/>
    <w:rPr>
      <w:b/>
      <w:bCs/>
    </w:rPr>
  </w:style>
  <w:style w:type="character" w:customStyle="1" w:styleId="CommentSubjectChar">
    <w:name w:val="Comment Subject Char"/>
    <w:basedOn w:val="CommentTextChar"/>
    <w:link w:val="CommentSubject"/>
    <w:rsid w:val="008E112D"/>
    <w:rPr>
      <w:b/>
      <w:bCs/>
      <w:snapToGrid w:val="0"/>
      <w:kern w:val="28"/>
    </w:rPr>
  </w:style>
  <w:style w:type="paragraph" w:styleId="Revision">
    <w:name w:val="Revision"/>
    <w:hidden/>
    <w:uiPriority w:val="99"/>
    <w:semiHidden/>
    <w:rsid w:val="008E112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AE"/>
    <w:rPr>
      <w:snapToGrid w:val="0"/>
      <w:kern w:val="28"/>
      <w:sz w:val="22"/>
    </w:rPr>
  </w:style>
  <w:style w:type="paragraph" w:styleId="Heading1">
    <w:name w:val="heading 1"/>
    <w:basedOn w:val="Normal"/>
    <w:next w:val="ParaNum"/>
    <w:qFormat/>
    <w:rsid w:val="005C34A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4AE"/>
    <w:pPr>
      <w:keepNext/>
      <w:numPr>
        <w:ilvl w:val="1"/>
        <w:numId w:val="2"/>
      </w:numPr>
      <w:spacing w:after="120"/>
      <w:outlineLvl w:val="1"/>
    </w:pPr>
    <w:rPr>
      <w:b/>
    </w:rPr>
  </w:style>
  <w:style w:type="paragraph" w:styleId="Heading3">
    <w:name w:val="heading 3"/>
    <w:basedOn w:val="Normal"/>
    <w:next w:val="ParaNum"/>
    <w:qFormat/>
    <w:rsid w:val="005C34AE"/>
    <w:pPr>
      <w:keepNext/>
      <w:numPr>
        <w:ilvl w:val="2"/>
        <w:numId w:val="2"/>
      </w:numPr>
      <w:tabs>
        <w:tab w:val="left" w:pos="2160"/>
      </w:tabs>
      <w:spacing w:after="120"/>
      <w:outlineLvl w:val="2"/>
    </w:pPr>
    <w:rPr>
      <w:b/>
    </w:rPr>
  </w:style>
  <w:style w:type="paragraph" w:styleId="Heading4">
    <w:name w:val="heading 4"/>
    <w:basedOn w:val="Normal"/>
    <w:next w:val="ParaNum"/>
    <w:qFormat/>
    <w:rsid w:val="005C34AE"/>
    <w:pPr>
      <w:keepNext/>
      <w:numPr>
        <w:ilvl w:val="3"/>
        <w:numId w:val="2"/>
      </w:numPr>
      <w:tabs>
        <w:tab w:val="left" w:pos="2880"/>
      </w:tabs>
      <w:spacing w:after="120"/>
      <w:outlineLvl w:val="3"/>
    </w:pPr>
    <w:rPr>
      <w:b/>
    </w:rPr>
  </w:style>
  <w:style w:type="paragraph" w:styleId="Heading5">
    <w:name w:val="heading 5"/>
    <w:basedOn w:val="Normal"/>
    <w:next w:val="ParaNum"/>
    <w:qFormat/>
    <w:rsid w:val="005C34A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C34AE"/>
    <w:pPr>
      <w:numPr>
        <w:ilvl w:val="5"/>
        <w:numId w:val="2"/>
      </w:numPr>
      <w:tabs>
        <w:tab w:val="left" w:pos="4320"/>
      </w:tabs>
      <w:spacing w:after="120"/>
      <w:outlineLvl w:val="5"/>
    </w:pPr>
    <w:rPr>
      <w:b/>
    </w:rPr>
  </w:style>
  <w:style w:type="paragraph" w:styleId="Heading7">
    <w:name w:val="heading 7"/>
    <w:basedOn w:val="Normal"/>
    <w:next w:val="ParaNum"/>
    <w:qFormat/>
    <w:rsid w:val="005C34A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C34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C34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autoRedefine/>
    <w:rsid w:val="005C34AE"/>
    <w:pPr>
      <w:numPr>
        <w:numId w:val="1"/>
      </w:numPr>
      <w:tabs>
        <w:tab w:val="clear" w:pos="1080"/>
        <w:tab w:val="num" w:pos="1440"/>
      </w:tabs>
      <w:spacing w:after="120"/>
    </w:pPr>
    <w:rPr>
      <w:color w:val="000000"/>
      <w:szCs w:val="22"/>
    </w:r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
    <w:link w:val="FootnoteTextChar1"/>
    <w:rsid w:val="005C34AE"/>
    <w:pPr>
      <w:spacing w:after="120"/>
      <w:ind w:firstLine="720"/>
    </w:p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5C34AE"/>
    <w:rPr>
      <w:lang w:val="en-US" w:eastAsia="en-US" w:bidi="ar-SA"/>
    </w:rPr>
  </w:style>
  <w:style w:type="character" w:styleId="FootnoteReference">
    <w:name w:val="footnote reference"/>
    <w:aliases w:val="o,fr,Appel note de bas de p,Style 12,(NECG) Footnote Reference,Style 124,Style 3,Style 13,Footnote Reference/,FR,Style 17,Style 6,Style 7"/>
    <w:rsid w:val="005C34AE"/>
    <w:rPr>
      <w:rFonts w:ascii="Times New Roman" w:hAnsi="Times New Roman"/>
      <w:dstrike w:val="0"/>
      <w:color w:val="auto"/>
      <w:sz w:val="22"/>
      <w:vertAlign w:val="superscript"/>
    </w:rPr>
  </w:style>
  <w:style w:type="paragraph" w:styleId="Header">
    <w:name w:val="header"/>
    <w:basedOn w:val="Normal"/>
    <w:rsid w:val="005C34AE"/>
    <w:pPr>
      <w:tabs>
        <w:tab w:val="center" w:pos="4320"/>
        <w:tab w:val="right" w:pos="8640"/>
      </w:tabs>
    </w:pPr>
  </w:style>
  <w:style w:type="paragraph" w:styleId="Footer">
    <w:name w:val="footer"/>
    <w:basedOn w:val="Normal"/>
    <w:rsid w:val="005C34AE"/>
    <w:pPr>
      <w:tabs>
        <w:tab w:val="center" w:pos="4320"/>
        <w:tab w:val="right" w:pos="8640"/>
      </w:tabs>
    </w:pPr>
  </w:style>
  <w:style w:type="character" w:customStyle="1" w:styleId="EquationCaption">
    <w:name w:val="_Equation Caption"/>
    <w:rsid w:val="005C34AE"/>
  </w:style>
  <w:style w:type="character" w:styleId="PageNumber">
    <w:name w:val="page number"/>
    <w:basedOn w:val="DefaultParagraphFont"/>
    <w:rsid w:val="005C34AE"/>
  </w:style>
  <w:style w:type="paragraph" w:styleId="BlockText">
    <w:name w:val="Block Text"/>
    <w:basedOn w:val="Normal"/>
    <w:rsid w:val="005C34AE"/>
    <w:pPr>
      <w:spacing w:after="240"/>
      <w:ind w:left="1440" w:right="1440"/>
    </w:pPr>
  </w:style>
  <w:style w:type="paragraph" w:customStyle="1" w:styleId="Paratitle">
    <w:name w:val="Para title"/>
    <w:basedOn w:val="Normal"/>
    <w:rsid w:val="005C34AE"/>
    <w:pPr>
      <w:tabs>
        <w:tab w:val="center" w:pos="9270"/>
      </w:tabs>
      <w:spacing w:after="240"/>
    </w:pPr>
    <w:rPr>
      <w:spacing w:val="-2"/>
    </w:rPr>
  </w:style>
  <w:style w:type="paragraph" w:customStyle="1" w:styleId="Bullet">
    <w:name w:val="Bullet"/>
    <w:basedOn w:val="Normal"/>
    <w:rsid w:val="005C34AE"/>
    <w:pPr>
      <w:tabs>
        <w:tab w:val="num" w:pos="1080"/>
        <w:tab w:val="left" w:pos="2160"/>
      </w:tabs>
      <w:spacing w:after="220"/>
      <w:ind w:left="2160" w:hanging="720"/>
    </w:pPr>
  </w:style>
  <w:style w:type="paragraph" w:customStyle="1" w:styleId="TableFormat">
    <w:name w:val="TableFormat"/>
    <w:basedOn w:val="Bullet"/>
    <w:rsid w:val="005C34AE"/>
    <w:pPr>
      <w:tabs>
        <w:tab w:val="clear" w:pos="1080"/>
        <w:tab w:val="clear" w:pos="2160"/>
        <w:tab w:val="left" w:pos="5040"/>
      </w:tabs>
      <w:ind w:left="5040" w:hanging="3600"/>
    </w:pPr>
  </w:style>
  <w:style w:type="paragraph" w:customStyle="1" w:styleId="TOCTitle">
    <w:name w:val="TOC Title"/>
    <w:basedOn w:val="Normal"/>
    <w:rsid w:val="005C34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4AE"/>
    <w:pPr>
      <w:jc w:val="center"/>
    </w:pPr>
    <w:rPr>
      <w:rFonts w:ascii="Times New Roman Bold" w:hAnsi="Times New Roman Bold"/>
      <w:b/>
      <w:bCs/>
      <w:caps/>
      <w:szCs w:val="22"/>
    </w:rPr>
  </w:style>
  <w:style w:type="character" w:styleId="Hyperlink">
    <w:name w:val="Hyperlink"/>
    <w:rsid w:val="005C34AE"/>
    <w:rPr>
      <w:color w:val="0000FF"/>
      <w:u w:val="single"/>
    </w:rPr>
  </w:style>
  <w:style w:type="character" w:customStyle="1" w:styleId="documentbody1">
    <w:name w:val="documentbody1"/>
    <w:rsid w:val="005C34AE"/>
    <w:rPr>
      <w:rFonts w:ascii="Verdana" w:hAnsi="Verdana" w:hint="default"/>
      <w:sz w:val="19"/>
      <w:szCs w:val="19"/>
    </w:rPr>
  </w:style>
  <w:style w:type="character" w:styleId="FollowedHyperlink">
    <w:name w:val="FollowedHyperlink"/>
    <w:rsid w:val="005C34AE"/>
    <w:rPr>
      <w:color w:val="800080"/>
      <w:u w:val="single"/>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n Char Char,fn Char1"/>
    <w:semiHidden/>
    <w:locked/>
    <w:rsid w:val="00CC4250"/>
    <w:rPr>
      <w:rFonts w:ascii="Courier" w:hAnsi="Courier"/>
      <w:snapToGrid w:val="0"/>
      <w:sz w:val="24"/>
      <w:lang w:val="en-US" w:eastAsia="en-US" w:bidi="ar-SA"/>
    </w:rPr>
  </w:style>
  <w:style w:type="paragraph" w:styleId="BalloonText">
    <w:name w:val="Balloon Text"/>
    <w:basedOn w:val="Normal"/>
    <w:link w:val="BalloonTextChar"/>
    <w:rsid w:val="00D3315A"/>
    <w:rPr>
      <w:rFonts w:ascii="Tahoma" w:hAnsi="Tahoma" w:cs="Tahoma"/>
      <w:sz w:val="16"/>
      <w:szCs w:val="16"/>
    </w:rPr>
  </w:style>
  <w:style w:type="character" w:customStyle="1" w:styleId="BalloonTextChar">
    <w:name w:val="Balloon Text Char"/>
    <w:link w:val="BalloonText"/>
    <w:rsid w:val="00D3315A"/>
    <w:rPr>
      <w:rFonts w:ascii="Tahoma" w:hAnsi="Tahoma" w:cs="Tahoma"/>
      <w:snapToGrid w:val="0"/>
      <w:kern w:val="28"/>
      <w:sz w:val="16"/>
      <w:szCs w:val="16"/>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semiHidden/>
    <w:locked/>
    <w:rsid w:val="00877CC0"/>
    <w:rPr>
      <w:sz w:val="22"/>
      <w:lang w:val="en-US" w:eastAsia="en-US" w:bidi="ar-SA"/>
    </w:rPr>
  </w:style>
  <w:style w:type="paragraph" w:styleId="ListParagraph">
    <w:name w:val="List Paragraph"/>
    <w:basedOn w:val="Normal"/>
    <w:uiPriority w:val="34"/>
    <w:qFormat/>
    <w:rsid w:val="00FA3F7D"/>
    <w:pPr>
      <w:ind w:left="720"/>
    </w:pPr>
  </w:style>
  <w:style w:type="character" w:styleId="CommentReference">
    <w:name w:val="annotation reference"/>
    <w:basedOn w:val="DefaultParagraphFont"/>
    <w:rsid w:val="008E112D"/>
    <w:rPr>
      <w:sz w:val="16"/>
      <w:szCs w:val="16"/>
    </w:rPr>
  </w:style>
  <w:style w:type="paragraph" w:styleId="CommentText">
    <w:name w:val="annotation text"/>
    <w:basedOn w:val="Normal"/>
    <w:link w:val="CommentTextChar"/>
    <w:rsid w:val="008E112D"/>
    <w:rPr>
      <w:sz w:val="20"/>
    </w:rPr>
  </w:style>
  <w:style w:type="character" w:customStyle="1" w:styleId="CommentTextChar">
    <w:name w:val="Comment Text Char"/>
    <w:basedOn w:val="DefaultParagraphFont"/>
    <w:link w:val="CommentText"/>
    <w:rsid w:val="008E112D"/>
    <w:rPr>
      <w:snapToGrid w:val="0"/>
      <w:kern w:val="28"/>
    </w:rPr>
  </w:style>
  <w:style w:type="paragraph" w:styleId="CommentSubject">
    <w:name w:val="annotation subject"/>
    <w:basedOn w:val="CommentText"/>
    <w:next w:val="CommentText"/>
    <w:link w:val="CommentSubjectChar"/>
    <w:rsid w:val="008E112D"/>
    <w:rPr>
      <w:b/>
      <w:bCs/>
    </w:rPr>
  </w:style>
  <w:style w:type="character" w:customStyle="1" w:styleId="CommentSubjectChar">
    <w:name w:val="Comment Subject Char"/>
    <w:basedOn w:val="CommentTextChar"/>
    <w:link w:val="CommentSubject"/>
    <w:rsid w:val="008E112D"/>
    <w:rPr>
      <w:b/>
      <w:bCs/>
      <w:snapToGrid w:val="0"/>
      <w:kern w:val="28"/>
    </w:rPr>
  </w:style>
  <w:style w:type="paragraph" w:styleId="Revision">
    <w:name w:val="Revision"/>
    <w:hidden/>
    <w:uiPriority w:val="99"/>
    <w:semiHidden/>
    <w:rsid w:val="008E112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5954">
      <w:bodyDiv w:val="1"/>
      <w:marLeft w:val="0"/>
      <w:marRight w:val="0"/>
      <w:marTop w:val="0"/>
      <w:marBottom w:val="0"/>
      <w:divBdr>
        <w:top w:val="none" w:sz="0" w:space="0" w:color="auto"/>
        <w:left w:val="none" w:sz="0" w:space="0" w:color="auto"/>
        <w:bottom w:val="none" w:sz="0" w:space="0" w:color="auto"/>
        <w:right w:val="none" w:sz="0" w:space="0" w:color="auto"/>
      </w:divBdr>
    </w:div>
    <w:div w:id="909732622">
      <w:bodyDiv w:val="1"/>
      <w:marLeft w:val="0"/>
      <w:marRight w:val="0"/>
      <w:marTop w:val="0"/>
      <w:marBottom w:val="0"/>
      <w:divBdr>
        <w:top w:val="none" w:sz="0" w:space="0" w:color="auto"/>
        <w:left w:val="none" w:sz="0" w:space="0" w:color="auto"/>
        <w:bottom w:val="none" w:sz="0" w:space="0" w:color="auto"/>
        <w:right w:val="none" w:sz="0" w:space="0" w:color="auto"/>
      </w:divBdr>
    </w:div>
    <w:div w:id="14819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2143</Words>
  <Characters>11542</Characters>
  <Application>Microsoft Office Word</Application>
  <DocSecurity>0</DocSecurity>
  <Lines>187</Lines>
  <Paragraphs>36</Paragraphs>
  <ScaleCrop>false</ScaleCrop>
  <HeadingPairs>
    <vt:vector size="2" baseType="variant">
      <vt:variant>
        <vt:lpstr>Title</vt:lpstr>
      </vt:variant>
      <vt:variant>
        <vt:i4>1</vt:i4>
      </vt:variant>
    </vt:vector>
  </HeadingPairs>
  <TitlesOfParts>
    <vt:vector size="1" baseType="lpstr">
      <vt:lpstr>Dear Counsel:</vt:lpstr>
    </vt:vector>
  </TitlesOfParts>
  <Manager/>
  <Company/>
  <LinksUpToDate>false</LinksUpToDate>
  <CharactersWithSpaces>13798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2014-09-30T16:58:00Z</cp:lastPrinted>
  <dcterms:created xsi:type="dcterms:W3CDTF">2014-09-30T19:53:00Z</dcterms:created>
  <dcterms:modified xsi:type="dcterms:W3CDTF">2014-09-30T19:53:00Z</dcterms:modified>
  <cp:category> </cp:category>
  <cp:contentStatus> </cp:contentStatus>
</cp:coreProperties>
</file>