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85" w:rsidRDefault="00134885" w:rsidP="0089223E">
      <w:pPr>
        <w:rPr>
          <w:b/>
          <w:szCs w:val="22"/>
          <w:u w:val="single"/>
        </w:rPr>
      </w:pPr>
      <w:bookmarkStart w:id="0" w:name="_GoBack"/>
      <w:bookmarkEnd w:id="0"/>
    </w:p>
    <w:p w:rsidR="001F6D1F" w:rsidRPr="00113411" w:rsidRDefault="0040320D" w:rsidP="0089223E">
      <w:pPr>
        <w:rPr>
          <w:szCs w:val="22"/>
        </w:rPr>
      </w:pPr>
      <w:r w:rsidRPr="00262ED4">
        <w:rPr>
          <w:b/>
          <w:szCs w:val="22"/>
        </w:rPr>
        <w:tab/>
      </w:r>
      <w:r w:rsidR="00B237ED" w:rsidRPr="00262ED4">
        <w:rPr>
          <w:b/>
          <w:szCs w:val="22"/>
        </w:rPr>
        <w:tab/>
      </w:r>
      <w:r w:rsidRPr="00262ED4">
        <w:rPr>
          <w:b/>
          <w:szCs w:val="22"/>
        </w:rPr>
        <w:tab/>
      </w:r>
      <w:r w:rsidR="00890218" w:rsidRPr="00262ED4">
        <w:rPr>
          <w:b/>
          <w:szCs w:val="22"/>
        </w:rPr>
        <w:tab/>
        <w:t xml:space="preserve"> </w:t>
      </w:r>
      <w:r w:rsidR="009D66C0" w:rsidRPr="00262ED4">
        <w:rPr>
          <w:b/>
          <w:szCs w:val="22"/>
        </w:rPr>
        <w:tab/>
        <w:t xml:space="preserve"> </w:t>
      </w:r>
      <w:r w:rsidR="009D66C0" w:rsidRPr="00262ED4">
        <w:rPr>
          <w:b/>
          <w:szCs w:val="22"/>
        </w:rPr>
        <w:tab/>
      </w:r>
      <w:r w:rsidR="009D66C0" w:rsidRPr="00262ED4">
        <w:rPr>
          <w:b/>
          <w:szCs w:val="22"/>
        </w:rPr>
        <w:tab/>
      </w:r>
      <w:r w:rsidR="00890218" w:rsidRPr="00262ED4">
        <w:rPr>
          <w:b/>
          <w:szCs w:val="22"/>
        </w:rPr>
        <w:t xml:space="preserve">  </w:t>
      </w:r>
      <w:r w:rsidR="00532430">
        <w:rPr>
          <w:b/>
          <w:szCs w:val="22"/>
        </w:rPr>
        <w:tab/>
      </w:r>
      <w:r w:rsidR="00532430">
        <w:rPr>
          <w:b/>
          <w:szCs w:val="22"/>
        </w:rPr>
        <w:tab/>
      </w:r>
      <w:r w:rsidR="004E31DD">
        <w:rPr>
          <w:b/>
          <w:szCs w:val="22"/>
        </w:rPr>
        <w:t xml:space="preserve">                             </w:t>
      </w:r>
      <w:r w:rsidR="001F6D1F" w:rsidRPr="00113411">
        <w:rPr>
          <w:szCs w:val="22"/>
        </w:rPr>
        <w:t xml:space="preserve">DA </w:t>
      </w:r>
      <w:r w:rsidR="0098575E" w:rsidRPr="00113411">
        <w:rPr>
          <w:szCs w:val="22"/>
        </w:rPr>
        <w:t>14</w:t>
      </w:r>
      <w:r w:rsidR="001F6D1F" w:rsidRPr="00113411">
        <w:rPr>
          <w:szCs w:val="22"/>
        </w:rPr>
        <w:t>-</w:t>
      </w:r>
      <w:r w:rsidR="008D4991">
        <w:rPr>
          <w:szCs w:val="22"/>
        </w:rPr>
        <w:t>1419</w:t>
      </w:r>
    </w:p>
    <w:p w:rsidR="00AE68C1" w:rsidRPr="00262ED4" w:rsidRDefault="00AE68C1" w:rsidP="00AE68C1">
      <w:pPr>
        <w:jc w:val="center"/>
        <w:rPr>
          <w:b/>
          <w:szCs w:val="22"/>
        </w:rPr>
      </w:pPr>
    </w:p>
    <w:p w:rsidR="00FE5590" w:rsidRPr="00262ED4" w:rsidRDefault="00FE5590" w:rsidP="009218E8">
      <w:pPr>
        <w:jc w:val="both"/>
        <w:rPr>
          <w:szCs w:val="22"/>
        </w:rPr>
      </w:pPr>
      <w:r w:rsidRPr="00262ED4">
        <w:rPr>
          <w:szCs w:val="22"/>
        </w:rPr>
        <w:t>Jeanine Poltronieri, Esq.</w:t>
      </w:r>
    </w:p>
    <w:p w:rsidR="00067AC9" w:rsidRPr="00262ED4" w:rsidRDefault="003C328B" w:rsidP="009218E8">
      <w:pPr>
        <w:jc w:val="both"/>
        <w:rPr>
          <w:szCs w:val="22"/>
        </w:rPr>
      </w:pPr>
      <w:r w:rsidRPr="00262ED4">
        <w:rPr>
          <w:szCs w:val="22"/>
        </w:rPr>
        <w:t xml:space="preserve">William </w:t>
      </w:r>
      <w:r w:rsidR="0023571C">
        <w:rPr>
          <w:szCs w:val="22"/>
        </w:rPr>
        <w:t xml:space="preserve">L. </w:t>
      </w:r>
      <w:r w:rsidRPr="00262ED4">
        <w:rPr>
          <w:szCs w:val="22"/>
        </w:rPr>
        <w:t xml:space="preserve">Roughton, </w:t>
      </w:r>
      <w:r w:rsidR="0023571C">
        <w:rPr>
          <w:szCs w:val="22"/>
        </w:rPr>
        <w:t xml:space="preserve">Jr., </w:t>
      </w:r>
      <w:r w:rsidRPr="00262ED4">
        <w:rPr>
          <w:szCs w:val="22"/>
        </w:rPr>
        <w:t>Esq.</w:t>
      </w:r>
    </w:p>
    <w:p w:rsidR="003C328B" w:rsidRPr="00262ED4" w:rsidRDefault="003C328B" w:rsidP="009218E8">
      <w:pPr>
        <w:jc w:val="both"/>
        <w:rPr>
          <w:szCs w:val="22"/>
        </w:rPr>
      </w:pPr>
      <w:r w:rsidRPr="00262ED4">
        <w:rPr>
          <w:szCs w:val="22"/>
        </w:rPr>
        <w:t>AT&amp;T Services, Inc.</w:t>
      </w:r>
    </w:p>
    <w:p w:rsidR="003C328B" w:rsidRPr="00262ED4" w:rsidRDefault="003C328B" w:rsidP="009218E8">
      <w:pPr>
        <w:jc w:val="both"/>
        <w:rPr>
          <w:szCs w:val="22"/>
        </w:rPr>
      </w:pPr>
      <w:r w:rsidRPr="00262ED4">
        <w:rPr>
          <w:szCs w:val="22"/>
        </w:rPr>
        <w:t>1120 20</w:t>
      </w:r>
      <w:r w:rsidRPr="00262ED4">
        <w:rPr>
          <w:szCs w:val="22"/>
          <w:vertAlign w:val="superscript"/>
        </w:rPr>
        <w:t>th</w:t>
      </w:r>
      <w:r w:rsidRPr="00262ED4">
        <w:rPr>
          <w:szCs w:val="22"/>
        </w:rPr>
        <w:t xml:space="preserve"> Street, NW, Suite 1000</w:t>
      </w:r>
    </w:p>
    <w:p w:rsidR="003C328B" w:rsidRPr="00262ED4" w:rsidRDefault="003C328B" w:rsidP="009218E8">
      <w:pPr>
        <w:jc w:val="both"/>
        <w:rPr>
          <w:szCs w:val="22"/>
        </w:rPr>
      </w:pPr>
      <w:r w:rsidRPr="00262ED4">
        <w:rPr>
          <w:szCs w:val="22"/>
        </w:rPr>
        <w:t>Washington, DC  20036</w:t>
      </w:r>
    </w:p>
    <w:p w:rsidR="003C328B" w:rsidRPr="00262ED4" w:rsidRDefault="003C328B" w:rsidP="002C1CCB">
      <w:pPr>
        <w:pStyle w:val="Header"/>
        <w:tabs>
          <w:tab w:val="clear" w:pos="4320"/>
          <w:tab w:val="left" w:pos="720"/>
          <w:tab w:val="left" w:pos="1440"/>
        </w:tabs>
        <w:ind w:left="1440" w:hanging="1440"/>
        <w:rPr>
          <w:b/>
          <w:szCs w:val="22"/>
        </w:rPr>
      </w:pPr>
    </w:p>
    <w:p w:rsidR="00EA49CE" w:rsidRPr="00262ED4" w:rsidRDefault="0041076F" w:rsidP="002C1CCB">
      <w:pPr>
        <w:pStyle w:val="Header"/>
        <w:tabs>
          <w:tab w:val="clear" w:pos="4320"/>
          <w:tab w:val="left" w:pos="720"/>
          <w:tab w:val="left" w:pos="1440"/>
        </w:tabs>
        <w:ind w:left="1440" w:hanging="1440"/>
        <w:rPr>
          <w:b/>
          <w:szCs w:val="22"/>
        </w:rPr>
      </w:pPr>
      <w:r w:rsidRPr="00262ED4">
        <w:rPr>
          <w:b/>
          <w:szCs w:val="22"/>
        </w:rPr>
        <w:tab/>
      </w:r>
      <w:r w:rsidR="00D32AD6" w:rsidRPr="00262ED4">
        <w:rPr>
          <w:b/>
          <w:szCs w:val="22"/>
        </w:rPr>
        <w:t>RE:</w:t>
      </w:r>
      <w:r w:rsidR="00D32AD6" w:rsidRPr="00262ED4">
        <w:rPr>
          <w:b/>
          <w:szCs w:val="22"/>
        </w:rPr>
        <w:tab/>
      </w:r>
      <w:r w:rsidR="002C1CCB" w:rsidRPr="00262ED4">
        <w:rPr>
          <w:b/>
          <w:szCs w:val="22"/>
        </w:rPr>
        <w:t xml:space="preserve">Request </w:t>
      </w:r>
      <w:r w:rsidR="00F02DF9" w:rsidRPr="00262ED4">
        <w:rPr>
          <w:b/>
          <w:szCs w:val="22"/>
        </w:rPr>
        <w:t xml:space="preserve">by </w:t>
      </w:r>
      <w:r w:rsidRPr="00262ED4">
        <w:rPr>
          <w:b/>
          <w:szCs w:val="22"/>
        </w:rPr>
        <w:t xml:space="preserve">AT&amp;T Services, Inc. </w:t>
      </w:r>
      <w:r w:rsidR="008A28FC" w:rsidRPr="00262ED4">
        <w:rPr>
          <w:b/>
          <w:szCs w:val="22"/>
        </w:rPr>
        <w:t xml:space="preserve">for </w:t>
      </w:r>
      <w:r w:rsidRPr="00262ED4">
        <w:rPr>
          <w:b/>
          <w:szCs w:val="22"/>
        </w:rPr>
        <w:t xml:space="preserve">Interim </w:t>
      </w:r>
      <w:r w:rsidR="008A28FC" w:rsidRPr="00262ED4">
        <w:rPr>
          <w:b/>
          <w:szCs w:val="22"/>
        </w:rPr>
        <w:t xml:space="preserve">Waiver of </w:t>
      </w:r>
      <w:r w:rsidRPr="00262ED4">
        <w:rPr>
          <w:b/>
          <w:szCs w:val="22"/>
        </w:rPr>
        <w:t xml:space="preserve">47 C.F.R. § 22.913 to Permit the Use of </w:t>
      </w:r>
      <w:r w:rsidR="00473E97" w:rsidRPr="00262ED4">
        <w:rPr>
          <w:b/>
          <w:szCs w:val="22"/>
        </w:rPr>
        <w:t xml:space="preserve">a </w:t>
      </w:r>
      <w:r w:rsidRPr="00262ED4">
        <w:rPr>
          <w:b/>
          <w:szCs w:val="22"/>
        </w:rPr>
        <w:t xml:space="preserve">Power Spectral Density </w:t>
      </w:r>
      <w:r w:rsidR="00473E97" w:rsidRPr="00262ED4">
        <w:rPr>
          <w:b/>
          <w:szCs w:val="22"/>
        </w:rPr>
        <w:t xml:space="preserve">Model </w:t>
      </w:r>
      <w:r w:rsidRPr="00262ED4">
        <w:rPr>
          <w:b/>
          <w:szCs w:val="22"/>
        </w:rPr>
        <w:t xml:space="preserve">for </w:t>
      </w:r>
      <w:r w:rsidR="00473E97" w:rsidRPr="00262ED4">
        <w:rPr>
          <w:b/>
          <w:szCs w:val="22"/>
        </w:rPr>
        <w:t xml:space="preserve">Certain </w:t>
      </w:r>
      <w:r w:rsidRPr="00262ED4">
        <w:rPr>
          <w:b/>
          <w:szCs w:val="22"/>
        </w:rPr>
        <w:t>Cellular Service Operation</w:t>
      </w:r>
      <w:r w:rsidR="00AE68C1" w:rsidRPr="00262ED4">
        <w:rPr>
          <w:b/>
          <w:szCs w:val="22"/>
        </w:rPr>
        <w:t>s</w:t>
      </w:r>
      <w:r w:rsidRPr="00262ED4">
        <w:rPr>
          <w:b/>
          <w:szCs w:val="22"/>
        </w:rPr>
        <w:t xml:space="preserve"> in Three Florida Markets </w:t>
      </w:r>
      <w:r w:rsidR="008E45B5" w:rsidRPr="00262ED4">
        <w:rPr>
          <w:b/>
          <w:szCs w:val="22"/>
        </w:rPr>
        <w:t xml:space="preserve">(WT Docket No. </w:t>
      </w:r>
      <w:r w:rsidR="008A28FC" w:rsidRPr="00262ED4">
        <w:rPr>
          <w:b/>
          <w:szCs w:val="22"/>
        </w:rPr>
        <w:t>13-</w:t>
      </w:r>
      <w:r w:rsidRPr="00262ED4">
        <w:rPr>
          <w:b/>
          <w:szCs w:val="22"/>
        </w:rPr>
        <w:t>202</w:t>
      </w:r>
      <w:r w:rsidR="008E45B5" w:rsidRPr="00262ED4">
        <w:rPr>
          <w:b/>
          <w:szCs w:val="22"/>
        </w:rPr>
        <w:t>)</w:t>
      </w:r>
    </w:p>
    <w:p w:rsidR="001F6D1F" w:rsidRPr="00262ED4" w:rsidRDefault="000E6C8C" w:rsidP="002C1CCB">
      <w:pPr>
        <w:pStyle w:val="Header"/>
        <w:tabs>
          <w:tab w:val="clear" w:pos="4320"/>
          <w:tab w:val="left" w:pos="720"/>
          <w:tab w:val="left" w:pos="1440"/>
        </w:tabs>
        <w:ind w:left="1440" w:hanging="1440"/>
        <w:rPr>
          <w:szCs w:val="22"/>
        </w:rPr>
      </w:pPr>
      <w:r w:rsidRPr="00262ED4">
        <w:rPr>
          <w:szCs w:val="22"/>
        </w:rPr>
        <w:tab/>
      </w:r>
      <w:r w:rsidRPr="00262ED4">
        <w:rPr>
          <w:szCs w:val="22"/>
        </w:rPr>
        <w:tab/>
      </w:r>
    </w:p>
    <w:p w:rsidR="005C34AE" w:rsidRPr="00262ED4" w:rsidRDefault="002C1CCB" w:rsidP="00FE3D2A">
      <w:pPr>
        <w:rPr>
          <w:szCs w:val="22"/>
        </w:rPr>
      </w:pPr>
      <w:r w:rsidRPr="00262ED4">
        <w:rPr>
          <w:szCs w:val="22"/>
        </w:rPr>
        <w:t>De</w:t>
      </w:r>
      <w:r w:rsidR="009D66C0" w:rsidRPr="00262ED4">
        <w:rPr>
          <w:szCs w:val="22"/>
        </w:rPr>
        <w:t xml:space="preserve">ar </w:t>
      </w:r>
      <w:r w:rsidR="00FE5590" w:rsidRPr="00262ED4">
        <w:rPr>
          <w:szCs w:val="22"/>
        </w:rPr>
        <w:t xml:space="preserve">Ms. Poltronieri and </w:t>
      </w:r>
      <w:r w:rsidR="003C328B" w:rsidRPr="00262ED4">
        <w:rPr>
          <w:szCs w:val="22"/>
        </w:rPr>
        <w:t>Mr. Roughton:</w:t>
      </w:r>
    </w:p>
    <w:p w:rsidR="005C34AE" w:rsidRPr="00262ED4" w:rsidRDefault="005C34AE">
      <w:pPr>
        <w:rPr>
          <w:szCs w:val="22"/>
        </w:rPr>
      </w:pPr>
    </w:p>
    <w:p w:rsidR="003C328B" w:rsidRPr="00262ED4" w:rsidRDefault="00C53A55" w:rsidP="003C328B">
      <w:pPr>
        <w:ind w:firstLine="720"/>
        <w:rPr>
          <w:szCs w:val="22"/>
        </w:rPr>
      </w:pPr>
      <w:r w:rsidRPr="00262ED4">
        <w:rPr>
          <w:szCs w:val="22"/>
        </w:rPr>
        <w:t xml:space="preserve">This letter </w:t>
      </w:r>
      <w:r w:rsidR="00855072" w:rsidRPr="00262ED4">
        <w:rPr>
          <w:szCs w:val="22"/>
        </w:rPr>
        <w:t xml:space="preserve">responds to </w:t>
      </w:r>
      <w:r w:rsidR="00C63ED9">
        <w:rPr>
          <w:szCs w:val="22"/>
        </w:rPr>
        <w:t>the</w:t>
      </w:r>
      <w:r w:rsidR="00C63ED9" w:rsidRPr="00262ED4">
        <w:rPr>
          <w:szCs w:val="22"/>
        </w:rPr>
        <w:t xml:space="preserve"> </w:t>
      </w:r>
      <w:r w:rsidRPr="00262ED4">
        <w:rPr>
          <w:szCs w:val="22"/>
        </w:rPr>
        <w:t xml:space="preserve">request </w:t>
      </w:r>
      <w:r w:rsidR="002C1CCB" w:rsidRPr="00262ED4">
        <w:rPr>
          <w:szCs w:val="22"/>
        </w:rPr>
        <w:t xml:space="preserve">filed </w:t>
      </w:r>
      <w:r w:rsidR="00877CC0" w:rsidRPr="00262ED4">
        <w:rPr>
          <w:szCs w:val="22"/>
        </w:rPr>
        <w:t>on July 22, 2013,</w:t>
      </w:r>
      <w:r w:rsidR="00EE3354">
        <w:rPr>
          <w:szCs w:val="22"/>
        </w:rPr>
        <w:t xml:space="preserve"> </w:t>
      </w:r>
      <w:r w:rsidR="00877CC0" w:rsidRPr="00262ED4">
        <w:rPr>
          <w:szCs w:val="22"/>
        </w:rPr>
        <w:t>by AT&amp;T Services Inc.</w:t>
      </w:r>
      <w:r w:rsidR="009221FF" w:rsidRPr="00262ED4">
        <w:rPr>
          <w:szCs w:val="22"/>
          <w:vertAlign w:val="superscript"/>
        </w:rPr>
        <w:footnoteReference w:id="1"/>
      </w:r>
      <w:r w:rsidR="00877CC0" w:rsidRPr="00262ED4">
        <w:rPr>
          <w:szCs w:val="22"/>
        </w:rPr>
        <w:t xml:space="preserve"> on behalf of AT&amp;T, Inc. and its subsidiaries (AT&amp;T)</w:t>
      </w:r>
      <w:r w:rsidR="000B22BA">
        <w:rPr>
          <w:rStyle w:val="FootnoteReference"/>
          <w:szCs w:val="22"/>
        </w:rPr>
        <w:footnoteReference w:id="2"/>
      </w:r>
      <w:r w:rsidR="00AE68C1" w:rsidRPr="00262ED4">
        <w:rPr>
          <w:szCs w:val="22"/>
        </w:rPr>
        <w:t xml:space="preserve"> </w:t>
      </w:r>
      <w:r w:rsidR="00877CC0" w:rsidRPr="00262ED4">
        <w:rPr>
          <w:szCs w:val="22"/>
        </w:rPr>
        <w:t>for an interim waiver of Section 22.913 of the Commission’s rules</w:t>
      </w:r>
      <w:r w:rsidR="001F4A86" w:rsidRPr="00262ED4">
        <w:rPr>
          <w:szCs w:val="22"/>
        </w:rPr>
        <w:t>.</w:t>
      </w:r>
      <w:r w:rsidR="00117212" w:rsidRPr="00262ED4">
        <w:rPr>
          <w:rStyle w:val="FootnoteReference"/>
          <w:szCs w:val="22"/>
        </w:rPr>
        <w:footnoteReference w:id="3"/>
      </w:r>
      <w:r w:rsidR="008E0230" w:rsidRPr="00262ED4">
        <w:rPr>
          <w:szCs w:val="22"/>
        </w:rPr>
        <w:t xml:space="preserve">  </w:t>
      </w:r>
      <w:r w:rsidR="001F4A86" w:rsidRPr="00262ED4">
        <w:rPr>
          <w:szCs w:val="22"/>
        </w:rPr>
        <w:t>Section 22.913 sets forth power limits for the Cellular Radiotelephone (Cellular) Service in terms of effective radiated power (ERP) of base transmitters and Cellular repeaters.</w:t>
      </w:r>
      <w:r w:rsidR="001F4A86" w:rsidRPr="00262ED4">
        <w:rPr>
          <w:rStyle w:val="FootnoteReference"/>
          <w:szCs w:val="22"/>
        </w:rPr>
        <w:footnoteReference w:id="4"/>
      </w:r>
      <w:r w:rsidR="001F4A86" w:rsidRPr="00262ED4">
        <w:rPr>
          <w:szCs w:val="22"/>
        </w:rPr>
        <w:t xml:space="preserve">  </w:t>
      </w:r>
      <w:r w:rsidR="003C328B" w:rsidRPr="00262ED4">
        <w:rPr>
          <w:szCs w:val="22"/>
        </w:rPr>
        <w:t xml:space="preserve">As explained below, we grant </w:t>
      </w:r>
      <w:r w:rsidR="00763548">
        <w:rPr>
          <w:szCs w:val="22"/>
        </w:rPr>
        <w:t xml:space="preserve">in part </w:t>
      </w:r>
      <w:r w:rsidR="003C328B" w:rsidRPr="00262ED4">
        <w:rPr>
          <w:szCs w:val="22"/>
        </w:rPr>
        <w:t xml:space="preserve">the Waiver Request </w:t>
      </w:r>
      <w:r w:rsidR="00DF37AC">
        <w:rPr>
          <w:szCs w:val="22"/>
        </w:rPr>
        <w:t>and permit AT&amp;T to use the power spectral density (PSD) model</w:t>
      </w:r>
      <w:r w:rsidR="005955CA">
        <w:rPr>
          <w:rStyle w:val="FootnoteReference"/>
          <w:szCs w:val="22"/>
        </w:rPr>
        <w:footnoteReference w:id="5"/>
      </w:r>
      <w:r w:rsidR="00DF37AC">
        <w:rPr>
          <w:szCs w:val="22"/>
        </w:rPr>
        <w:t xml:space="preserve"> </w:t>
      </w:r>
      <w:r w:rsidR="0023571C">
        <w:rPr>
          <w:szCs w:val="22"/>
        </w:rPr>
        <w:t xml:space="preserve">for measuring ERP </w:t>
      </w:r>
      <w:r w:rsidR="00DF37AC">
        <w:rPr>
          <w:szCs w:val="22"/>
        </w:rPr>
        <w:t xml:space="preserve">at a </w:t>
      </w:r>
      <w:r w:rsidR="00520B61">
        <w:rPr>
          <w:szCs w:val="22"/>
        </w:rPr>
        <w:t>maximum ERP</w:t>
      </w:r>
      <w:r w:rsidR="00DF37AC">
        <w:rPr>
          <w:szCs w:val="22"/>
        </w:rPr>
        <w:t xml:space="preserve"> level of 125 Watts/MHz for </w:t>
      </w:r>
      <w:r w:rsidR="00520B61">
        <w:rPr>
          <w:szCs w:val="22"/>
        </w:rPr>
        <w:t xml:space="preserve">the following </w:t>
      </w:r>
      <w:r w:rsidR="001202C3">
        <w:rPr>
          <w:szCs w:val="22"/>
        </w:rPr>
        <w:t xml:space="preserve">Florida </w:t>
      </w:r>
      <w:r w:rsidR="009221FF">
        <w:rPr>
          <w:szCs w:val="22"/>
        </w:rPr>
        <w:t>systems licensed on Cellular Block B</w:t>
      </w:r>
      <w:r w:rsidR="001202C3">
        <w:rPr>
          <w:szCs w:val="22"/>
        </w:rPr>
        <w:t xml:space="preserve">: </w:t>
      </w:r>
      <w:r w:rsidR="00BA5D4B">
        <w:rPr>
          <w:szCs w:val="22"/>
        </w:rPr>
        <w:t xml:space="preserve">call signs </w:t>
      </w:r>
      <w:r w:rsidR="00BA5D4B" w:rsidRPr="00262ED4">
        <w:rPr>
          <w:szCs w:val="22"/>
        </w:rPr>
        <w:t>KNKA264</w:t>
      </w:r>
      <w:r w:rsidR="00BA5D4B">
        <w:rPr>
          <w:szCs w:val="22"/>
        </w:rPr>
        <w:t>,</w:t>
      </w:r>
      <w:r w:rsidR="00BA5D4B" w:rsidRPr="00262ED4">
        <w:rPr>
          <w:szCs w:val="22"/>
        </w:rPr>
        <w:t xml:space="preserve"> KNKA225</w:t>
      </w:r>
      <w:r w:rsidR="00BA5D4B">
        <w:rPr>
          <w:szCs w:val="22"/>
        </w:rPr>
        <w:t>, and</w:t>
      </w:r>
      <w:r w:rsidR="00BA5D4B" w:rsidRPr="00262ED4">
        <w:rPr>
          <w:szCs w:val="22"/>
        </w:rPr>
        <w:t xml:space="preserve"> KNKN793</w:t>
      </w:r>
      <w:r w:rsidR="008E3144">
        <w:rPr>
          <w:szCs w:val="22"/>
        </w:rPr>
        <w:t>.</w:t>
      </w:r>
    </w:p>
    <w:p w:rsidR="003C328B" w:rsidRPr="00262ED4" w:rsidRDefault="003C328B" w:rsidP="00CC100A">
      <w:pPr>
        <w:ind w:firstLine="720"/>
        <w:rPr>
          <w:szCs w:val="22"/>
        </w:rPr>
      </w:pPr>
    </w:p>
    <w:p w:rsidR="00A8435A" w:rsidRPr="00262ED4" w:rsidRDefault="00A8435A" w:rsidP="00A8435A">
      <w:pPr>
        <w:numPr>
          <w:ilvl w:val="0"/>
          <w:numId w:val="20"/>
        </w:numPr>
        <w:rPr>
          <w:b/>
          <w:szCs w:val="22"/>
        </w:rPr>
      </w:pPr>
      <w:r w:rsidRPr="00262ED4">
        <w:rPr>
          <w:b/>
          <w:szCs w:val="22"/>
        </w:rPr>
        <w:t>BACKGROUND</w:t>
      </w:r>
    </w:p>
    <w:p w:rsidR="00A8435A" w:rsidRPr="00262ED4" w:rsidRDefault="00A8435A" w:rsidP="00A8435A">
      <w:pPr>
        <w:ind w:left="1440"/>
        <w:rPr>
          <w:szCs w:val="22"/>
        </w:rPr>
      </w:pPr>
    </w:p>
    <w:p w:rsidR="00E72D6F" w:rsidRDefault="00F34854" w:rsidP="007A1744">
      <w:pPr>
        <w:rPr>
          <w:szCs w:val="22"/>
        </w:rPr>
      </w:pPr>
      <w:r w:rsidRPr="006658ED">
        <w:rPr>
          <w:szCs w:val="22"/>
        </w:rPr>
        <w:t xml:space="preserve">In </w:t>
      </w:r>
      <w:r>
        <w:rPr>
          <w:szCs w:val="22"/>
        </w:rPr>
        <w:t xml:space="preserve">2007 and </w:t>
      </w:r>
      <w:r w:rsidRPr="006658ED">
        <w:rPr>
          <w:szCs w:val="22"/>
        </w:rPr>
        <w:t xml:space="preserve">2008, the Commission revised the radiated power rules for </w:t>
      </w:r>
      <w:r w:rsidR="009950E9">
        <w:rPr>
          <w:szCs w:val="22"/>
        </w:rPr>
        <w:t>various</w:t>
      </w:r>
      <w:r w:rsidR="009950E9" w:rsidRPr="006658ED">
        <w:rPr>
          <w:szCs w:val="22"/>
        </w:rPr>
        <w:t xml:space="preserve"> </w:t>
      </w:r>
      <w:r w:rsidRPr="006658ED">
        <w:rPr>
          <w:szCs w:val="22"/>
        </w:rPr>
        <w:t>wireless services, including PCS and certain AWS,</w:t>
      </w:r>
      <w:r w:rsidRPr="00372053">
        <w:rPr>
          <w:rStyle w:val="FootnoteReference"/>
          <w:szCs w:val="22"/>
        </w:rPr>
        <w:footnoteReference w:id="6"/>
      </w:r>
      <w:r w:rsidRPr="006658ED">
        <w:rPr>
          <w:szCs w:val="22"/>
        </w:rPr>
        <w:t xml:space="preserve"> the 700 MHz Commercial Service,</w:t>
      </w:r>
      <w:r w:rsidRPr="00372053">
        <w:rPr>
          <w:rStyle w:val="FootnoteReference"/>
          <w:szCs w:val="22"/>
        </w:rPr>
        <w:footnoteReference w:id="7"/>
      </w:r>
      <w:r w:rsidRPr="006658ED">
        <w:rPr>
          <w:szCs w:val="22"/>
        </w:rPr>
        <w:t xml:space="preserve"> and 700 MHz public safety </w:t>
      </w:r>
      <w:r w:rsidRPr="006658ED">
        <w:rPr>
          <w:szCs w:val="22"/>
        </w:rPr>
        <w:lastRenderedPageBreak/>
        <w:t>broadband operations,</w:t>
      </w:r>
      <w:r w:rsidRPr="00372053">
        <w:rPr>
          <w:rStyle w:val="FootnoteReference"/>
          <w:szCs w:val="22"/>
        </w:rPr>
        <w:footnoteReference w:id="8"/>
      </w:r>
      <w:r w:rsidRPr="006658ED">
        <w:rPr>
          <w:szCs w:val="22"/>
        </w:rPr>
        <w:t xml:space="preserve"> implementing a PSD model </w:t>
      </w:r>
      <w:r w:rsidR="009B46D8">
        <w:rPr>
          <w:szCs w:val="22"/>
        </w:rPr>
        <w:t>as an alternative for measuring ERP</w:t>
      </w:r>
      <w:r w:rsidR="009B46D8" w:rsidRPr="006658ED">
        <w:rPr>
          <w:szCs w:val="22"/>
        </w:rPr>
        <w:t xml:space="preserve"> </w:t>
      </w:r>
      <w:r w:rsidRPr="006658ED">
        <w:rPr>
          <w:szCs w:val="22"/>
        </w:rPr>
        <w:t>(among other related technical rule modifications).</w:t>
      </w:r>
      <w:r>
        <w:rPr>
          <w:rStyle w:val="FootnoteReference"/>
          <w:szCs w:val="22"/>
        </w:rPr>
        <w:footnoteReference w:id="9"/>
      </w:r>
      <w:r w:rsidRPr="006658ED">
        <w:rPr>
          <w:szCs w:val="22"/>
        </w:rPr>
        <w:t xml:space="preserve">  The Commission declined at that time to revise the Cellular ERP rules, primarily because of significant restructuring (</w:t>
      </w:r>
      <w:r>
        <w:rPr>
          <w:szCs w:val="22"/>
        </w:rPr>
        <w:t xml:space="preserve">800 MHz </w:t>
      </w:r>
      <w:r w:rsidRPr="006658ED">
        <w:rPr>
          <w:szCs w:val="22"/>
        </w:rPr>
        <w:t>rebanding) ongoing in the immediately adjacent frequencies, which are used by public safety entities.</w:t>
      </w:r>
      <w:r w:rsidRPr="00BB55C9">
        <w:rPr>
          <w:rStyle w:val="FootnoteReference"/>
        </w:rPr>
        <w:footnoteReference w:id="10"/>
      </w:r>
      <w:r w:rsidRPr="006658ED">
        <w:rPr>
          <w:szCs w:val="22"/>
        </w:rPr>
        <w:t xml:space="preserve">  The Commission also noted a lack of industry support and the need for more time to assess the potential impact of using the PSD model in the Cellular band.</w:t>
      </w:r>
      <w:r w:rsidRPr="00372053">
        <w:rPr>
          <w:rStyle w:val="FootnoteReference"/>
          <w:szCs w:val="22"/>
        </w:rPr>
        <w:footnoteReference w:id="11"/>
      </w:r>
    </w:p>
    <w:p w:rsidR="00E72D6F" w:rsidRDefault="00E72D6F" w:rsidP="00A8435A">
      <w:pPr>
        <w:ind w:firstLine="720"/>
        <w:rPr>
          <w:szCs w:val="22"/>
        </w:rPr>
      </w:pPr>
    </w:p>
    <w:p w:rsidR="0041076F" w:rsidRPr="00262ED4" w:rsidRDefault="00E72D6F" w:rsidP="00A8435A">
      <w:pPr>
        <w:ind w:firstLine="720"/>
        <w:rPr>
          <w:szCs w:val="22"/>
        </w:rPr>
      </w:pPr>
      <w:r>
        <w:rPr>
          <w:szCs w:val="22"/>
        </w:rPr>
        <w:t xml:space="preserve">In its Waiver Request, </w:t>
      </w:r>
      <w:r w:rsidR="00AE68C1" w:rsidRPr="00262ED4">
        <w:rPr>
          <w:szCs w:val="22"/>
        </w:rPr>
        <w:t xml:space="preserve">AT&amp;T </w:t>
      </w:r>
      <w:r w:rsidR="001202C3">
        <w:rPr>
          <w:szCs w:val="22"/>
        </w:rPr>
        <w:t>seeks authority</w:t>
      </w:r>
      <w:r w:rsidR="001F4A86" w:rsidRPr="00262ED4">
        <w:rPr>
          <w:szCs w:val="22"/>
        </w:rPr>
        <w:t xml:space="preserve">, as an alternative to </w:t>
      </w:r>
      <w:r>
        <w:rPr>
          <w:szCs w:val="22"/>
        </w:rPr>
        <w:t xml:space="preserve">complying with the current Cellular </w:t>
      </w:r>
      <w:r w:rsidR="001F4A86" w:rsidRPr="00262ED4">
        <w:rPr>
          <w:szCs w:val="22"/>
        </w:rPr>
        <w:t>ERP</w:t>
      </w:r>
      <w:r>
        <w:rPr>
          <w:szCs w:val="22"/>
        </w:rPr>
        <w:t xml:space="preserve"> rule</w:t>
      </w:r>
      <w:r w:rsidR="001F4A86" w:rsidRPr="00262ED4">
        <w:rPr>
          <w:szCs w:val="22"/>
        </w:rPr>
        <w:t>,</w:t>
      </w:r>
      <w:r w:rsidR="00473E97" w:rsidRPr="00262ED4">
        <w:rPr>
          <w:szCs w:val="22"/>
        </w:rPr>
        <w:t xml:space="preserve"> </w:t>
      </w:r>
      <w:r w:rsidR="001202C3">
        <w:rPr>
          <w:szCs w:val="22"/>
        </w:rPr>
        <w:t>to</w:t>
      </w:r>
      <w:r w:rsidR="001202C3" w:rsidRPr="00262ED4">
        <w:rPr>
          <w:szCs w:val="22"/>
        </w:rPr>
        <w:t xml:space="preserve"> </w:t>
      </w:r>
      <w:r w:rsidR="00473E97" w:rsidRPr="00262ED4">
        <w:rPr>
          <w:szCs w:val="22"/>
        </w:rPr>
        <w:t xml:space="preserve">use a </w:t>
      </w:r>
      <w:r w:rsidR="00DF37AC">
        <w:rPr>
          <w:szCs w:val="22"/>
        </w:rPr>
        <w:t>PSD</w:t>
      </w:r>
      <w:r w:rsidR="00877CC0" w:rsidRPr="00262ED4">
        <w:rPr>
          <w:szCs w:val="22"/>
        </w:rPr>
        <w:t xml:space="preserve"> </w:t>
      </w:r>
      <w:r w:rsidR="00CC100A" w:rsidRPr="00262ED4">
        <w:rPr>
          <w:szCs w:val="22"/>
        </w:rPr>
        <w:t xml:space="preserve">model </w:t>
      </w:r>
      <w:r w:rsidR="00877CC0" w:rsidRPr="00262ED4">
        <w:rPr>
          <w:szCs w:val="22"/>
        </w:rPr>
        <w:t xml:space="preserve">for certain </w:t>
      </w:r>
      <w:r w:rsidR="00A8435A" w:rsidRPr="00262ED4">
        <w:rPr>
          <w:szCs w:val="22"/>
        </w:rPr>
        <w:t xml:space="preserve">station </w:t>
      </w:r>
      <w:r w:rsidR="00877CC0" w:rsidRPr="00262ED4">
        <w:rPr>
          <w:szCs w:val="22"/>
        </w:rPr>
        <w:t xml:space="preserve">operations pending the outcome of </w:t>
      </w:r>
      <w:r w:rsidR="00AE68C1" w:rsidRPr="00262ED4">
        <w:rPr>
          <w:szCs w:val="22"/>
        </w:rPr>
        <w:t>AT&amp;T’s p</w:t>
      </w:r>
      <w:r w:rsidR="00877CC0" w:rsidRPr="00262ED4">
        <w:rPr>
          <w:szCs w:val="22"/>
        </w:rPr>
        <w:t>roposed rulemaking to modify the rule.</w:t>
      </w:r>
      <w:r w:rsidR="00877CC0" w:rsidRPr="00262ED4">
        <w:rPr>
          <w:szCs w:val="22"/>
          <w:vertAlign w:val="superscript"/>
        </w:rPr>
        <w:footnoteReference w:id="12"/>
      </w:r>
      <w:r w:rsidR="00473E97" w:rsidRPr="00262ED4">
        <w:rPr>
          <w:szCs w:val="22"/>
        </w:rPr>
        <w:t xml:space="preserve">  </w:t>
      </w:r>
      <w:r w:rsidR="00AE68C1" w:rsidRPr="00262ED4">
        <w:rPr>
          <w:szCs w:val="22"/>
        </w:rPr>
        <w:t xml:space="preserve">The Waiver Request </w:t>
      </w:r>
      <w:r w:rsidR="009221FF">
        <w:rPr>
          <w:szCs w:val="22"/>
        </w:rPr>
        <w:t xml:space="preserve">seeks authority to operate under </w:t>
      </w:r>
      <w:r w:rsidR="00D551E4">
        <w:rPr>
          <w:szCs w:val="22"/>
        </w:rPr>
        <w:t>a PSD model with ERP</w:t>
      </w:r>
      <w:r w:rsidR="0041076F" w:rsidRPr="00262ED4">
        <w:rPr>
          <w:szCs w:val="22"/>
        </w:rPr>
        <w:t xml:space="preserve"> limit</w:t>
      </w:r>
      <w:r w:rsidR="00CC100A" w:rsidRPr="00262ED4">
        <w:rPr>
          <w:szCs w:val="22"/>
        </w:rPr>
        <w:t>s</w:t>
      </w:r>
      <w:r w:rsidR="0041076F" w:rsidRPr="00262ED4">
        <w:rPr>
          <w:szCs w:val="22"/>
        </w:rPr>
        <w:t xml:space="preserve"> of 250 </w:t>
      </w:r>
      <w:r w:rsidR="00473E97" w:rsidRPr="00262ED4">
        <w:rPr>
          <w:szCs w:val="22"/>
        </w:rPr>
        <w:t>W</w:t>
      </w:r>
      <w:r w:rsidR="0041076F" w:rsidRPr="00262ED4">
        <w:rPr>
          <w:szCs w:val="22"/>
        </w:rPr>
        <w:t xml:space="preserve">atts/MHz in non-rural areas and 500 </w:t>
      </w:r>
      <w:r w:rsidR="00473E97" w:rsidRPr="00262ED4">
        <w:rPr>
          <w:szCs w:val="22"/>
        </w:rPr>
        <w:t>W</w:t>
      </w:r>
      <w:r w:rsidR="0041076F" w:rsidRPr="00262ED4">
        <w:rPr>
          <w:szCs w:val="22"/>
        </w:rPr>
        <w:t xml:space="preserve">atts/MHz in rural areas for </w:t>
      </w:r>
      <w:r w:rsidR="009221FF">
        <w:rPr>
          <w:szCs w:val="22"/>
        </w:rPr>
        <w:t xml:space="preserve">ATT stations in the </w:t>
      </w:r>
      <w:r w:rsidR="0041076F" w:rsidRPr="00262ED4">
        <w:rPr>
          <w:szCs w:val="22"/>
        </w:rPr>
        <w:t>following</w:t>
      </w:r>
      <w:r w:rsidR="008A3CD4" w:rsidRPr="00262ED4">
        <w:rPr>
          <w:szCs w:val="22"/>
        </w:rPr>
        <w:t xml:space="preserve"> contiguous C</w:t>
      </w:r>
      <w:r w:rsidR="0041076F" w:rsidRPr="00262ED4">
        <w:rPr>
          <w:szCs w:val="22"/>
        </w:rPr>
        <w:t>ellular Market Areas (CMAs)</w:t>
      </w:r>
      <w:r w:rsidR="00BB6A31">
        <w:rPr>
          <w:szCs w:val="22"/>
        </w:rPr>
        <w:t>:</w:t>
      </w:r>
      <w:r w:rsidR="0041076F" w:rsidRPr="00262ED4">
        <w:rPr>
          <w:szCs w:val="22"/>
        </w:rPr>
        <w:t xml:space="preserve"> </w:t>
      </w:r>
      <w:r w:rsidR="00BB6A31" w:rsidRPr="00262ED4">
        <w:rPr>
          <w:szCs w:val="22"/>
        </w:rPr>
        <w:t>West Palm Beach (CMA 72)</w:t>
      </w:r>
      <w:r w:rsidR="00BB6A31">
        <w:rPr>
          <w:szCs w:val="22"/>
        </w:rPr>
        <w:t>;</w:t>
      </w:r>
      <w:r w:rsidR="00BB6A31">
        <w:rPr>
          <w:rStyle w:val="FootnoteReference"/>
          <w:szCs w:val="22"/>
        </w:rPr>
        <w:footnoteReference w:id="13"/>
      </w:r>
      <w:r w:rsidR="00BB6A31" w:rsidRPr="00262ED4">
        <w:rPr>
          <w:szCs w:val="22"/>
        </w:rPr>
        <w:t xml:space="preserve"> Miami (CMA 12)</w:t>
      </w:r>
      <w:r w:rsidR="00BB6A31">
        <w:rPr>
          <w:szCs w:val="22"/>
        </w:rPr>
        <w:t>;</w:t>
      </w:r>
      <w:r w:rsidR="00BB6A31">
        <w:rPr>
          <w:rStyle w:val="FootnoteReference"/>
          <w:szCs w:val="22"/>
        </w:rPr>
        <w:footnoteReference w:id="14"/>
      </w:r>
      <w:r w:rsidR="00BB6A31">
        <w:rPr>
          <w:szCs w:val="22"/>
        </w:rPr>
        <w:t xml:space="preserve"> </w:t>
      </w:r>
      <w:r w:rsidR="0041076F" w:rsidRPr="00262ED4">
        <w:rPr>
          <w:szCs w:val="22"/>
        </w:rPr>
        <w:t>and</w:t>
      </w:r>
      <w:r w:rsidR="00BB6A31">
        <w:rPr>
          <w:szCs w:val="22"/>
        </w:rPr>
        <w:t xml:space="preserve"> </w:t>
      </w:r>
      <w:r w:rsidR="00BB6A31" w:rsidRPr="00262ED4">
        <w:rPr>
          <w:szCs w:val="22"/>
        </w:rPr>
        <w:t>Monroe, FL-11 (CMA 370)</w:t>
      </w:r>
      <w:r w:rsidR="00BB6A31">
        <w:rPr>
          <w:rStyle w:val="FootnoteReference"/>
          <w:szCs w:val="22"/>
        </w:rPr>
        <w:footnoteReference w:id="15"/>
      </w:r>
      <w:r w:rsidR="00903840">
        <w:rPr>
          <w:szCs w:val="22"/>
        </w:rPr>
        <w:t xml:space="preserve"> </w:t>
      </w:r>
      <w:r w:rsidR="00A8435A" w:rsidRPr="00262ED4">
        <w:rPr>
          <w:szCs w:val="22"/>
        </w:rPr>
        <w:t>(</w:t>
      </w:r>
      <w:r w:rsidR="00E721A8">
        <w:rPr>
          <w:szCs w:val="22"/>
        </w:rPr>
        <w:t xml:space="preserve">collectively, </w:t>
      </w:r>
      <w:r w:rsidR="00A8435A" w:rsidRPr="00262ED4">
        <w:rPr>
          <w:szCs w:val="22"/>
        </w:rPr>
        <w:t>the Florida Stations)</w:t>
      </w:r>
      <w:r w:rsidR="0041076F" w:rsidRPr="00262ED4">
        <w:rPr>
          <w:szCs w:val="22"/>
        </w:rPr>
        <w:t xml:space="preserve">:   </w:t>
      </w:r>
    </w:p>
    <w:p w:rsidR="0041076F" w:rsidRPr="00262ED4" w:rsidRDefault="0041076F" w:rsidP="0041076F">
      <w:pPr>
        <w:rPr>
          <w:szCs w:val="22"/>
        </w:rPr>
      </w:pPr>
    </w:p>
    <w:p w:rsidR="002768B7" w:rsidRPr="00262ED4" w:rsidRDefault="00894A7A" w:rsidP="002768B7">
      <w:pPr>
        <w:spacing w:before="120" w:after="240"/>
        <w:ind w:firstLine="720"/>
        <w:rPr>
          <w:szCs w:val="22"/>
        </w:rPr>
      </w:pPr>
      <w:r w:rsidRPr="00262ED4">
        <w:rPr>
          <w:szCs w:val="22"/>
        </w:rPr>
        <w:t xml:space="preserve">AT&amp;T </w:t>
      </w:r>
      <w:r w:rsidR="003C328B" w:rsidRPr="00262ED4">
        <w:rPr>
          <w:szCs w:val="22"/>
        </w:rPr>
        <w:t>states that it</w:t>
      </w:r>
      <w:r w:rsidR="00903840">
        <w:rPr>
          <w:szCs w:val="22"/>
        </w:rPr>
        <w:t xml:space="preserve">s proposed Cellular band </w:t>
      </w:r>
      <w:r w:rsidR="003C328B" w:rsidRPr="00262ED4">
        <w:rPr>
          <w:szCs w:val="22"/>
        </w:rPr>
        <w:t>deploy</w:t>
      </w:r>
      <w:r w:rsidR="00903840">
        <w:rPr>
          <w:szCs w:val="22"/>
        </w:rPr>
        <w:t xml:space="preserve">ment of </w:t>
      </w:r>
      <w:r w:rsidRPr="00262ED4">
        <w:rPr>
          <w:szCs w:val="22"/>
        </w:rPr>
        <w:t xml:space="preserve">advanced digital broadband modulation schemes such as Long Term Evolution (LTE) </w:t>
      </w:r>
      <w:r w:rsidR="00BB6A31">
        <w:rPr>
          <w:szCs w:val="22"/>
        </w:rPr>
        <w:t xml:space="preserve">is hindered by </w:t>
      </w:r>
      <w:r w:rsidR="003C328B" w:rsidRPr="00262ED4">
        <w:rPr>
          <w:szCs w:val="22"/>
        </w:rPr>
        <w:t xml:space="preserve">the current </w:t>
      </w:r>
      <w:r w:rsidR="00EE3354">
        <w:rPr>
          <w:szCs w:val="22"/>
        </w:rPr>
        <w:t xml:space="preserve">radiated power </w:t>
      </w:r>
      <w:r w:rsidR="003C328B" w:rsidRPr="00262ED4">
        <w:rPr>
          <w:szCs w:val="22"/>
        </w:rPr>
        <w:t>rule</w:t>
      </w:r>
      <w:r w:rsidR="00145E46">
        <w:rPr>
          <w:szCs w:val="22"/>
        </w:rPr>
        <w:t>, which favors narrowband operations</w:t>
      </w:r>
      <w:r w:rsidRPr="00262ED4">
        <w:rPr>
          <w:szCs w:val="22"/>
        </w:rPr>
        <w:t>.</w:t>
      </w:r>
      <w:r w:rsidR="00CC100A" w:rsidRPr="00262ED4">
        <w:rPr>
          <w:rStyle w:val="FootnoteReference"/>
          <w:szCs w:val="22"/>
        </w:rPr>
        <w:footnoteReference w:id="16"/>
      </w:r>
      <w:r w:rsidR="00CC100A" w:rsidRPr="00262ED4">
        <w:rPr>
          <w:szCs w:val="22"/>
        </w:rPr>
        <w:t xml:space="preserve">  </w:t>
      </w:r>
      <w:r w:rsidR="00155011" w:rsidRPr="00262ED4">
        <w:rPr>
          <w:szCs w:val="22"/>
        </w:rPr>
        <w:t xml:space="preserve">AT&amp;T </w:t>
      </w:r>
      <w:r w:rsidR="00C640C5" w:rsidRPr="00262ED4">
        <w:rPr>
          <w:szCs w:val="22"/>
        </w:rPr>
        <w:t xml:space="preserve">argues that it </w:t>
      </w:r>
      <w:r w:rsidR="00CC100A" w:rsidRPr="00262ED4">
        <w:rPr>
          <w:szCs w:val="22"/>
        </w:rPr>
        <w:t xml:space="preserve">must </w:t>
      </w:r>
      <w:r w:rsidR="0014799C" w:rsidRPr="00262ED4">
        <w:rPr>
          <w:szCs w:val="22"/>
        </w:rPr>
        <w:t xml:space="preserve">“rapidly and aggressively roll-out LTE services” </w:t>
      </w:r>
      <w:r w:rsidR="000D3D86">
        <w:rPr>
          <w:szCs w:val="22"/>
        </w:rPr>
        <w:t>in order</w:t>
      </w:r>
      <w:r w:rsidR="0014799C" w:rsidRPr="00262ED4">
        <w:rPr>
          <w:szCs w:val="22"/>
        </w:rPr>
        <w:t xml:space="preserve"> to maintain a high-quality level of service for its customers.</w:t>
      </w:r>
      <w:r w:rsidR="0014799C" w:rsidRPr="00262ED4">
        <w:rPr>
          <w:rStyle w:val="FootnoteReference"/>
          <w:szCs w:val="22"/>
        </w:rPr>
        <w:footnoteReference w:id="17"/>
      </w:r>
      <w:r w:rsidR="0014799C" w:rsidRPr="00262ED4">
        <w:rPr>
          <w:szCs w:val="22"/>
        </w:rPr>
        <w:t xml:space="preserve">  </w:t>
      </w:r>
      <w:r w:rsidR="00F86074" w:rsidRPr="00262ED4">
        <w:rPr>
          <w:szCs w:val="22"/>
        </w:rPr>
        <w:t xml:space="preserve">It </w:t>
      </w:r>
      <w:r w:rsidR="0014799C" w:rsidRPr="00262ED4">
        <w:rPr>
          <w:szCs w:val="22"/>
        </w:rPr>
        <w:t xml:space="preserve">seeks waiver relief to (1) determine through operations in </w:t>
      </w:r>
      <w:r w:rsidR="00A8435A" w:rsidRPr="00262ED4">
        <w:rPr>
          <w:szCs w:val="22"/>
        </w:rPr>
        <w:t>F</w:t>
      </w:r>
      <w:r w:rsidR="007D3160" w:rsidRPr="00262ED4">
        <w:rPr>
          <w:szCs w:val="22"/>
        </w:rPr>
        <w:t>lorida</w:t>
      </w:r>
      <w:r w:rsidR="0014799C" w:rsidRPr="00262ED4">
        <w:rPr>
          <w:szCs w:val="22"/>
        </w:rPr>
        <w:t xml:space="preserve"> “if its existing 800 MHz cell spacing is suitable for LTE services and whether site upgrades </w:t>
      </w:r>
      <w:r w:rsidR="009F3D94" w:rsidRPr="00262ED4">
        <w:rPr>
          <w:szCs w:val="22"/>
        </w:rPr>
        <w:t xml:space="preserve">[such as backhaul] </w:t>
      </w:r>
      <w:r w:rsidR="0014799C" w:rsidRPr="00262ED4">
        <w:rPr>
          <w:szCs w:val="22"/>
        </w:rPr>
        <w:t>. . . may have to take place to maximize LTE benefits,” and (2) begin site selection immediately if its operations pursuant to waiver relief show that it “must adopt cell spacing that is denser than its existing site inventory.”</w:t>
      </w:r>
      <w:r w:rsidR="0014799C" w:rsidRPr="00262ED4">
        <w:rPr>
          <w:rStyle w:val="FootnoteReference"/>
          <w:szCs w:val="22"/>
        </w:rPr>
        <w:footnoteReference w:id="18"/>
      </w:r>
      <w:r w:rsidR="002768B7" w:rsidRPr="00262ED4">
        <w:rPr>
          <w:szCs w:val="22"/>
        </w:rPr>
        <w:t xml:space="preserve">  </w:t>
      </w:r>
    </w:p>
    <w:p w:rsidR="00BA27BC" w:rsidRDefault="0014799C" w:rsidP="00740190">
      <w:pPr>
        <w:spacing w:before="120" w:after="240"/>
        <w:ind w:firstLine="720"/>
        <w:rPr>
          <w:szCs w:val="22"/>
        </w:rPr>
      </w:pPr>
      <w:r w:rsidRPr="00262ED4">
        <w:rPr>
          <w:szCs w:val="22"/>
        </w:rPr>
        <w:t xml:space="preserve">  </w:t>
      </w:r>
      <w:r w:rsidR="00740190" w:rsidRPr="00262ED4">
        <w:rPr>
          <w:szCs w:val="22"/>
        </w:rPr>
        <w:t>AT&amp;T</w:t>
      </w:r>
      <w:r w:rsidR="00A346B7">
        <w:rPr>
          <w:szCs w:val="22"/>
        </w:rPr>
        <w:t xml:space="preserve"> submitted with its Waiver Request a</w:t>
      </w:r>
      <w:r w:rsidR="00740190" w:rsidRPr="00262ED4">
        <w:rPr>
          <w:szCs w:val="22"/>
        </w:rPr>
        <w:t xml:space="preserve"> March 2013 Study purport</w:t>
      </w:r>
      <w:r w:rsidR="00A346B7">
        <w:rPr>
          <w:szCs w:val="22"/>
        </w:rPr>
        <w:t>ing</w:t>
      </w:r>
      <w:r w:rsidR="00740190" w:rsidRPr="00262ED4">
        <w:rPr>
          <w:szCs w:val="22"/>
        </w:rPr>
        <w:t xml:space="preserve"> to show that shifting to PSD-based power limits for the Florida Stations would not cause harmful interference to public safety licensees in adjacent frequency bands.</w:t>
      </w:r>
      <w:r w:rsidR="00740190" w:rsidRPr="00262ED4">
        <w:rPr>
          <w:szCs w:val="22"/>
          <w:vertAlign w:val="superscript"/>
        </w:rPr>
        <w:footnoteReference w:id="19"/>
      </w:r>
      <w:r w:rsidR="000A7070" w:rsidRPr="00262ED4">
        <w:rPr>
          <w:szCs w:val="22"/>
        </w:rPr>
        <w:t xml:space="preserve">  </w:t>
      </w:r>
      <w:r w:rsidR="00740190" w:rsidRPr="00262ED4">
        <w:rPr>
          <w:szCs w:val="22"/>
        </w:rPr>
        <w:t xml:space="preserve">AT&amp;T argues that under </w:t>
      </w:r>
      <w:r w:rsidR="00A346B7">
        <w:rPr>
          <w:szCs w:val="22"/>
        </w:rPr>
        <w:t xml:space="preserve">its proposed </w:t>
      </w:r>
      <w:r w:rsidR="00145E46">
        <w:rPr>
          <w:szCs w:val="22"/>
        </w:rPr>
        <w:t xml:space="preserve">ERP limits using a </w:t>
      </w:r>
      <w:r w:rsidR="00740190" w:rsidRPr="00262ED4">
        <w:rPr>
          <w:szCs w:val="22"/>
        </w:rPr>
        <w:t xml:space="preserve">PSD </w:t>
      </w:r>
      <w:r w:rsidR="00145E46">
        <w:rPr>
          <w:szCs w:val="22"/>
        </w:rPr>
        <w:t>model</w:t>
      </w:r>
      <w:r w:rsidR="00740190" w:rsidRPr="00262ED4">
        <w:rPr>
          <w:szCs w:val="22"/>
        </w:rPr>
        <w:t>, “the power injected into neighboring receivers either in adjacent areas or co-located sites does not increase but remains the same” as under the current rule, because AT&amp;T will maintain “the existing total power levels at its sites.”</w:t>
      </w:r>
      <w:r w:rsidR="00740190" w:rsidRPr="00262ED4">
        <w:rPr>
          <w:rStyle w:val="FootnoteReference"/>
          <w:szCs w:val="22"/>
        </w:rPr>
        <w:footnoteReference w:id="20"/>
      </w:r>
      <w:r w:rsidR="00021AD4" w:rsidRPr="00262ED4">
        <w:rPr>
          <w:szCs w:val="22"/>
        </w:rPr>
        <w:t xml:space="preserve">  </w:t>
      </w:r>
      <w:r w:rsidR="00145E46" w:rsidRPr="00262ED4">
        <w:rPr>
          <w:szCs w:val="22"/>
        </w:rPr>
        <w:t xml:space="preserve">AT&amp;T claims </w:t>
      </w:r>
      <w:r w:rsidR="00145E46">
        <w:rPr>
          <w:szCs w:val="22"/>
        </w:rPr>
        <w:t>that f</w:t>
      </w:r>
      <w:r w:rsidR="00740190" w:rsidRPr="00262ED4">
        <w:rPr>
          <w:szCs w:val="22"/>
        </w:rPr>
        <w:t xml:space="preserve">uture deployments of 2X2 Multiple Input Multiple Output (MIMO) LTE in the Cellular band under a PSD limit would “maintain the </w:t>
      </w:r>
      <w:r w:rsidR="00740190" w:rsidRPr="005955CA">
        <w:rPr>
          <w:szCs w:val="22"/>
        </w:rPr>
        <w:t>status quo</w:t>
      </w:r>
      <w:r w:rsidR="00740190" w:rsidRPr="00262ED4">
        <w:rPr>
          <w:szCs w:val="22"/>
        </w:rPr>
        <w:t xml:space="preserve"> with respect to the potential interference impacts on adjacent services – and in particular, the Public Safety services.”</w:t>
      </w:r>
      <w:r w:rsidR="00740190" w:rsidRPr="00262ED4">
        <w:rPr>
          <w:rStyle w:val="FootnoteReference"/>
          <w:szCs w:val="22"/>
        </w:rPr>
        <w:footnoteReference w:id="21"/>
      </w:r>
      <w:r w:rsidR="00740190" w:rsidRPr="00262ED4">
        <w:rPr>
          <w:szCs w:val="22"/>
        </w:rPr>
        <w:t xml:space="preserve">  As a result, AT&amp;T asserts, “the interference environment into Public Safety units . . . is not appreciably different from that of existing Cellular deployments – and in some cases it is better.”</w:t>
      </w:r>
      <w:r w:rsidR="00740190" w:rsidRPr="00262ED4">
        <w:rPr>
          <w:rStyle w:val="FootnoteReference"/>
          <w:szCs w:val="22"/>
        </w:rPr>
        <w:footnoteReference w:id="22"/>
      </w:r>
      <w:r w:rsidR="00F86074" w:rsidRPr="00262ED4">
        <w:rPr>
          <w:szCs w:val="22"/>
        </w:rPr>
        <w:t xml:space="preserve">  In its </w:t>
      </w:r>
      <w:r w:rsidR="00297A6F">
        <w:rPr>
          <w:szCs w:val="22"/>
        </w:rPr>
        <w:t>s</w:t>
      </w:r>
      <w:r w:rsidR="00F86074" w:rsidRPr="00262ED4">
        <w:rPr>
          <w:szCs w:val="22"/>
        </w:rPr>
        <w:t>upplement, AT&amp;T reiterates that using a PSD model “would not increase [the] interference risk – the received signal strength in Public Safety bands would not increase from the levels they experience today.”</w:t>
      </w:r>
      <w:r w:rsidR="00F86074" w:rsidRPr="00262ED4">
        <w:rPr>
          <w:rStyle w:val="FootnoteReference"/>
          <w:szCs w:val="22"/>
        </w:rPr>
        <w:footnoteReference w:id="23"/>
      </w:r>
      <w:r w:rsidR="00F86074" w:rsidRPr="00262ED4">
        <w:rPr>
          <w:szCs w:val="22"/>
        </w:rPr>
        <w:t xml:space="preserve">  </w:t>
      </w:r>
    </w:p>
    <w:p w:rsidR="00740190" w:rsidRPr="00262ED4" w:rsidRDefault="000A785F" w:rsidP="007A1744">
      <w:pPr>
        <w:spacing w:before="120" w:after="240"/>
        <w:rPr>
          <w:szCs w:val="22"/>
        </w:rPr>
      </w:pPr>
      <w:r w:rsidRPr="00262ED4">
        <w:rPr>
          <w:szCs w:val="22"/>
        </w:rPr>
        <w:t>AT&amp;T</w:t>
      </w:r>
      <w:r>
        <w:rPr>
          <w:szCs w:val="22"/>
        </w:rPr>
        <w:t xml:space="preserve"> further argues </w:t>
      </w:r>
      <w:r w:rsidRPr="00262ED4">
        <w:rPr>
          <w:szCs w:val="22"/>
        </w:rPr>
        <w:t>that the requested relief “</w:t>
      </w:r>
      <w:r w:rsidRPr="009950E9">
        <w:rPr>
          <w:szCs w:val="22"/>
        </w:rPr>
        <w:t>will not undermine the purpose of the rule</w:t>
      </w:r>
      <w:r w:rsidRPr="00262ED4">
        <w:rPr>
          <w:szCs w:val="22"/>
        </w:rPr>
        <w:t xml:space="preserve"> . . . and will serve the public interest by allowing AT&amp;T to deploy wideband LTE.”</w:t>
      </w:r>
      <w:r w:rsidRPr="00262ED4">
        <w:rPr>
          <w:rStyle w:val="FootnoteReference"/>
          <w:szCs w:val="22"/>
        </w:rPr>
        <w:footnoteReference w:id="24"/>
      </w:r>
      <w:r w:rsidRPr="00262ED4">
        <w:rPr>
          <w:szCs w:val="22"/>
        </w:rPr>
        <w:t xml:space="preserve">  It asserts that in carrying out a “core mission” of the Commission “to manage spectrum effectively and ensure that licensees do not interfere with each other,” the Commission establishes power limits on specific services.</w:t>
      </w:r>
      <w:r w:rsidRPr="00262ED4">
        <w:rPr>
          <w:rStyle w:val="FootnoteReference"/>
          <w:szCs w:val="22"/>
        </w:rPr>
        <w:footnoteReference w:id="25"/>
      </w:r>
      <w:r w:rsidRPr="00262ED4">
        <w:rPr>
          <w:szCs w:val="22"/>
        </w:rPr>
        <w:t xml:space="preserve">  </w:t>
      </w:r>
      <w:r>
        <w:rPr>
          <w:szCs w:val="22"/>
        </w:rPr>
        <w:t xml:space="preserve">AT&amp;T </w:t>
      </w:r>
      <w:r w:rsidR="00D24C36">
        <w:rPr>
          <w:szCs w:val="22"/>
        </w:rPr>
        <w:t>asserts</w:t>
      </w:r>
      <w:r>
        <w:rPr>
          <w:szCs w:val="22"/>
        </w:rPr>
        <w:t xml:space="preserve"> that i</w:t>
      </w:r>
      <w:r w:rsidRPr="00262ED4">
        <w:rPr>
          <w:szCs w:val="22"/>
        </w:rPr>
        <w:t xml:space="preserve">ts March 2013 </w:t>
      </w:r>
      <w:r>
        <w:rPr>
          <w:szCs w:val="22"/>
        </w:rPr>
        <w:t>S</w:t>
      </w:r>
      <w:r w:rsidRPr="00262ED4">
        <w:rPr>
          <w:szCs w:val="22"/>
        </w:rPr>
        <w:t xml:space="preserve">tudy </w:t>
      </w:r>
      <w:r w:rsidR="000C3E36">
        <w:rPr>
          <w:szCs w:val="22"/>
        </w:rPr>
        <w:t xml:space="preserve">demonstrates </w:t>
      </w:r>
      <w:r w:rsidRPr="00262ED4">
        <w:rPr>
          <w:szCs w:val="22"/>
        </w:rPr>
        <w:t xml:space="preserve">that </w:t>
      </w:r>
      <w:r w:rsidR="000C3E36">
        <w:rPr>
          <w:szCs w:val="22"/>
        </w:rPr>
        <w:t>“</w:t>
      </w:r>
      <w:r w:rsidRPr="00262ED4">
        <w:rPr>
          <w:szCs w:val="22"/>
        </w:rPr>
        <w:t xml:space="preserve">permitting the use of a PSD measurement will not increase interference in any of the subject markets,” </w:t>
      </w:r>
      <w:r>
        <w:rPr>
          <w:szCs w:val="22"/>
        </w:rPr>
        <w:t xml:space="preserve">and claims that “[t]herefore </w:t>
      </w:r>
      <w:r w:rsidRPr="00262ED4">
        <w:rPr>
          <w:szCs w:val="22"/>
        </w:rPr>
        <w:t xml:space="preserve">the underlying purpose of Section 22.913 will </w:t>
      </w:r>
      <w:r w:rsidRPr="00D03922">
        <w:rPr>
          <w:szCs w:val="22"/>
        </w:rPr>
        <w:t>not b</w:t>
      </w:r>
      <w:r w:rsidRPr="00262ED4">
        <w:rPr>
          <w:szCs w:val="22"/>
        </w:rPr>
        <w:t>e frustrated . . . .”</w:t>
      </w:r>
      <w:r w:rsidRPr="00262ED4">
        <w:rPr>
          <w:rStyle w:val="FootnoteReference"/>
          <w:szCs w:val="22"/>
        </w:rPr>
        <w:footnoteReference w:id="26"/>
      </w:r>
      <w:r>
        <w:rPr>
          <w:szCs w:val="22"/>
        </w:rPr>
        <w:t xml:space="preserve">  </w:t>
      </w:r>
      <w:r w:rsidR="00D24C36">
        <w:rPr>
          <w:szCs w:val="22"/>
        </w:rPr>
        <w:t xml:space="preserve">Finally, </w:t>
      </w:r>
      <w:r w:rsidR="00D24C36" w:rsidRPr="00262ED4">
        <w:rPr>
          <w:szCs w:val="22"/>
        </w:rPr>
        <w:t>AT&amp;T argue</w:t>
      </w:r>
      <w:r w:rsidR="00145E46">
        <w:rPr>
          <w:szCs w:val="22"/>
        </w:rPr>
        <w:t>s</w:t>
      </w:r>
      <w:r w:rsidR="00D24C36">
        <w:rPr>
          <w:szCs w:val="22"/>
        </w:rPr>
        <w:t xml:space="preserve"> that a</w:t>
      </w:r>
      <w:r w:rsidRPr="00262ED4">
        <w:rPr>
          <w:szCs w:val="22"/>
        </w:rPr>
        <w:t>llowing use of the PSD model “maintains the interference protection measures that the Commission found to be reasonable when it established the rule.”</w:t>
      </w:r>
      <w:r w:rsidRPr="00262ED4">
        <w:rPr>
          <w:rStyle w:val="FootnoteReference"/>
          <w:szCs w:val="22"/>
        </w:rPr>
        <w:footnoteReference w:id="27"/>
      </w:r>
      <w:r w:rsidR="00F86074" w:rsidRPr="00262ED4">
        <w:rPr>
          <w:szCs w:val="22"/>
        </w:rPr>
        <w:t xml:space="preserve"> </w:t>
      </w:r>
      <w:r w:rsidR="00080D7E" w:rsidRPr="00262ED4">
        <w:rPr>
          <w:szCs w:val="22"/>
        </w:rPr>
        <w:t xml:space="preserve">   </w:t>
      </w:r>
    </w:p>
    <w:p w:rsidR="00594E59" w:rsidRDefault="00A346B7" w:rsidP="00073E87">
      <w:pPr>
        <w:spacing w:before="120" w:after="240"/>
        <w:ind w:firstLine="720"/>
        <w:rPr>
          <w:szCs w:val="22"/>
        </w:rPr>
      </w:pPr>
      <w:r>
        <w:rPr>
          <w:szCs w:val="22"/>
        </w:rPr>
        <w:t>In August, 2013, t</w:t>
      </w:r>
      <w:r w:rsidR="00594E59" w:rsidRPr="00262ED4">
        <w:rPr>
          <w:szCs w:val="22"/>
        </w:rPr>
        <w:t>he Bureau s</w:t>
      </w:r>
      <w:r>
        <w:rPr>
          <w:szCs w:val="22"/>
        </w:rPr>
        <w:t>ought</w:t>
      </w:r>
      <w:r w:rsidR="00594E59" w:rsidRPr="00262ED4">
        <w:rPr>
          <w:szCs w:val="22"/>
        </w:rPr>
        <w:t xml:space="preserve"> comment on the Waiver Request, particularly with respect to any potential adverse impact on public safety operations and Cellular licensees</w:t>
      </w:r>
      <w:r w:rsidR="00AA6E35" w:rsidRPr="00262ED4">
        <w:rPr>
          <w:szCs w:val="22"/>
        </w:rPr>
        <w:t>.</w:t>
      </w:r>
      <w:r w:rsidR="00594E59" w:rsidRPr="00262ED4">
        <w:rPr>
          <w:rStyle w:val="FootnoteReference"/>
          <w:szCs w:val="22"/>
        </w:rPr>
        <w:footnoteReference w:id="28"/>
      </w:r>
      <w:r w:rsidR="00594E59" w:rsidRPr="00262ED4">
        <w:rPr>
          <w:szCs w:val="22"/>
        </w:rPr>
        <w:t xml:space="preserve">  </w:t>
      </w:r>
      <w:r w:rsidR="00D73A4B">
        <w:rPr>
          <w:szCs w:val="22"/>
        </w:rPr>
        <w:t>Only</w:t>
      </w:r>
      <w:r w:rsidR="00A0611A" w:rsidRPr="00262ED4">
        <w:rPr>
          <w:szCs w:val="22"/>
        </w:rPr>
        <w:t xml:space="preserve"> AT&amp;T filed comments or reply comments during the pleading cycle.</w:t>
      </w:r>
      <w:r w:rsidR="009221FF">
        <w:rPr>
          <w:rStyle w:val="FootnoteReference"/>
          <w:szCs w:val="22"/>
        </w:rPr>
        <w:footnoteReference w:id="29"/>
      </w:r>
      <w:r w:rsidR="00A0611A" w:rsidRPr="00262ED4">
        <w:rPr>
          <w:szCs w:val="22"/>
        </w:rPr>
        <w:t xml:space="preserve">  Subsequently,</w:t>
      </w:r>
      <w:r w:rsidR="00C44FD0" w:rsidRPr="00262ED4">
        <w:rPr>
          <w:szCs w:val="22"/>
        </w:rPr>
        <w:t xml:space="preserve"> </w:t>
      </w:r>
      <w:r w:rsidR="00621EF7">
        <w:rPr>
          <w:szCs w:val="22"/>
        </w:rPr>
        <w:t>numerous</w:t>
      </w:r>
      <w:r w:rsidR="002768B7" w:rsidRPr="00262ED4">
        <w:rPr>
          <w:szCs w:val="22"/>
        </w:rPr>
        <w:t xml:space="preserve"> </w:t>
      </w:r>
      <w:r w:rsidR="00C44FD0" w:rsidRPr="00262ED4">
        <w:rPr>
          <w:szCs w:val="22"/>
        </w:rPr>
        <w:t xml:space="preserve">entities in Florida submitted </w:t>
      </w:r>
      <w:r w:rsidR="00621EF7">
        <w:rPr>
          <w:szCs w:val="22"/>
        </w:rPr>
        <w:t>filings</w:t>
      </w:r>
      <w:r w:rsidR="00BD3B79" w:rsidRPr="00262ED4">
        <w:rPr>
          <w:rStyle w:val="FootnoteReference"/>
          <w:szCs w:val="22"/>
        </w:rPr>
        <w:footnoteReference w:id="30"/>
      </w:r>
      <w:r w:rsidR="00BD3B79">
        <w:rPr>
          <w:szCs w:val="22"/>
        </w:rPr>
        <w:t xml:space="preserve"> including the </w:t>
      </w:r>
      <w:r w:rsidR="00725D86" w:rsidRPr="00262ED4">
        <w:rPr>
          <w:szCs w:val="22"/>
        </w:rPr>
        <w:t>State of Florida;</w:t>
      </w:r>
      <w:r w:rsidR="00623BDE" w:rsidRPr="00262ED4">
        <w:rPr>
          <w:rStyle w:val="FootnoteReference"/>
          <w:szCs w:val="22"/>
        </w:rPr>
        <w:t xml:space="preserve"> </w:t>
      </w:r>
      <w:r w:rsidR="00DF6752" w:rsidRPr="00262ED4">
        <w:rPr>
          <w:szCs w:val="22"/>
        </w:rPr>
        <w:t xml:space="preserve">Miami-Dade County; </w:t>
      </w:r>
      <w:r w:rsidR="008252E0">
        <w:rPr>
          <w:szCs w:val="22"/>
        </w:rPr>
        <w:t xml:space="preserve">City of </w:t>
      </w:r>
      <w:r w:rsidR="008252E0" w:rsidRPr="00262ED4">
        <w:rPr>
          <w:szCs w:val="22"/>
        </w:rPr>
        <w:t>Atlantis Police Department</w:t>
      </w:r>
      <w:r w:rsidR="008252E0">
        <w:rPr>
          <w:szCs w:val="22"/>
        </w:rPr>
        <w:t>;</w:t>
      </w:r>
      <w:r w:rsidR="008252E0" w:rsidRPr="00262ED4">
        <w:rPr>
          <w:szCs w:val="22"/>
        </w:rPr>
        <w:t xml:space="preserve"> </w:t>
      </w:r>
      <w:r w:rsidR="00D878E6" w:rsidRPr="00262ED4">
        <w:rPr>
          <w:szCs w:val="22"/>
        </w:rPr>
        <w:t>City of West Palm Beach</w:t>
      </w:r>
      <w:r w:rsidR="00D878E6">
        <w:rPr>
          <w:szCs w:val="22"/>
        </w:rPr>
        <w:t>; Juno Beach Police Department; Palm Beach County Solid Waste Authority;</w:t>
      </w:r>
      <w:r w:rsidR="00D878E6" w:rsidRPr="00262ED4">
        <w:rPr>
          <w:szCs w:val="22"/>
        </w:rPr>
        <w:t xml:space="preserve"> </w:t>
      </w:r>
      <w:r w:rsidR="00DF6752">
        <w:rPr>
          <w:szCs w:val="22"/>
        </w:rPr>
        <w:t xml:space="preserve">Palm Beach County; </w:t>
      </w:r>
      <w:r w:rsidR="00F86074" w:rsidRPr="00262ED4">
        <w:rPr>
          <w:szCs w:val="22"/>
        </w:rPr>
        <w:t>Palm Beach County</w:t>
      </w:r>
      <w:r w:rsidR="00216662" w:rsidRPr="00262ED4">
        <w:rPr>
          <w:szCs w:val="22"/>
        </w:rPr>
        <w:t xml:space="preserve"> School </w:t>
      </w:r>
      <w:r w:rsidR="00C84BC1">
        <w:rPr>
          <w:szCs w:val="22"/>
        </w:rPr>
        <w:t>Police Department</w:t>
      </w:r>
      <w:r w:rsidR="00F86074" w:rsidRPr="00262ED4">
        <w:rPr>
          <w:szCs w:val="22"/>
        </w:rPr>
        <w:t xml:space="preserve">; </w:t>
      </w:r>
      <w:r w:rsidR="009C1E64" w:rsidRPr="00262ED4">
        <w:rPr>
          <w:szCs w:val="22"/>
        </w:rPr>
        <w:t>Jupiter Police Department;</w:t>
      </w:r>
      <w:r w:rsidR="009C1E64">
        <w:rPr>
          <w:szCs w:val="22"/>
        </w:rPr>
        <w:t xml:space="preserve"> </w:t>
      </w:r>
      <w:r w:rsidR="00D878E6">
        <w:rPr>
          <w:szCs w:val="22"/>
        </w:rPr>
        <w:t xml:space="preserve">and </w:t>
      </w:r>
      <w:r w:rsidR="009C1E64">
        <w:rPr>
          <w:szCs w:val="22"/>
        </w:rPr>
        <w:t>Palm Beach Town Police Department</w:t>
      </w:r>
      <w:r w:rsidR="008579A5" w:rsidRPr="008579A5">
        <w:rPr>
          <w:szCs w:val="22"/>
        </w:rPr>
        <w:t>.</w:t>
      </w:r>
      <w:r w:rsidR="00572521" w:rsidRPr="00262ED4">
        <w:rPr>
          <w:rStyle w:val="FootnoteReference"/>
          <w:szCs w:val="22"/>
        </w:rPr>
        <w:footnoteReference w:id="31"/>
      </w:r>
      <w:r w:rsidR="00046D1A" w:rsidRPr="00262ED4">
        <w:rPr>
          <w:b/>
          <w:szCs w:val="22"/>
        </w:rPr>
        <w:t xml:space="preserve">  </w:t>
      </w:r>
      <w:r w:rsidR="00577B42">
        <w:rPr>
          <w:szCs w:val="22"/>
        </w:rPr>
        <w:t>Most</w:t>
      </w:r>
      <w:r w:rsidR="00621EF7">
        <w:rPr>
          <w:szCs w:val="22"/>
        </w:rPr>
        <w:t xml:space="preserve"> parties originally</w:t>
      </w:r>
      <w:r w:rsidR="00073E87" w:rsidRPr="00262ED4">
        <w:rPr>
          <w:szCs w:val="22"/>
        </w:rPr>
        <w:t xml:space="preserve"> </w:t>
      </w:r>
      <w:r w:rsidR="008579A5">
        <w:rPr>
          <w:szCs w:val="22"/>
        </w:rPr>
        <w:t xml:space="preserve">objecting </w:t>
      </w:r>
      <w:r w:rsidR="00DF6752">
        <w:rPr>
          <w:szCs w:val="22"/>
        </w:rPr>
        <w:t>to grant</w:t>
      </w:r>
      <w:r w:rsidR="005B0808">
        <w:rPr>
          <w:szCs w:val="22"/>
        </w:rPr>
        <w:t xml:space="preserve">ing </w:t>
      </w:r>
      <w:r w:rsidR="00073E87" w:rsidRPr="00262ED4">
        <w:rPr>
          <w:szCs w:val="22"/>
        </w:rPr>
        <w:t xml:space="preserve">the waiver </w:t>
      </w:r>
      <w:r w:rsidR="005B0808">
        <w:rPr>
          <w:szCs w:val="22"/>
        </w:rPr>
        <w:t>relief as requested</w:t>
      </w:r>
      <w:r w:rsidR="00700692">
        <w:rPr>
          <w:szCs w:val="22"/>
        </w:rPr>
        <w:t xml:space="preserve"> </w:t>
      </w:r>
      <w:r w:rsidR="00700692" w:rsidRPr="00262ED4">
        <w:rPr>
          <w:szCs w:val="22"/>
        </w:rPr>
        <w:t>express</w:t>
      </w:r>
      <w:r w:rsidR="008579A5">
        <w:rPr>
          <w:szCs w:val="22"/>
        </w:rPr>
        <w:t>ed</w:t>
      </w:r>
      <w:r w:rsidR="00700692" w:rsidRPr="00262ED4">
        <w:rPr>
          <w:szCs w:val="22"/>
        </w:rPr>
        <w:t xml:space="preserve"> </w:t>
      </w:r>
      <w:r w:rsidR="00046D1A" w:rsidRPr="00262ED4">
        <w:rPr>
          <w:szCs w:val="22"/>
        </w:rPr>
        <w:t xml:space="preserve">concern </w:t>
      </w:r>
      <w:r w:rsidR="0086641F" w:rsidRPr="00262ED4">
        <w:rPr>
          <w:szCs w:val="22"/>
        </w:rPr>
        <w:t xml:space="preserve">that </w:t>
      </w:r>
      <w:r w:rsidR="00073E87" w:rsidRPr="00262ED4">
        <w:rPr>
          <w:szCs w:val="22"/>
        </w:rPr>
        <w:t xml:space="preserve">use of a PSD model at the Florida Stations </w:t>
      </w:r>
      <w:r w:rsidR="00C44FD0" w:rsidRPr="00262ED4">
        <w:rPr>
          <w:szCs w:val="22"/>
        </w:rPr>
        <w:t>w</w:t>
      </w:r>
      <w:r w:rsidR="00700692">
        <w:rPr>
          <w:szCs w:val="22"/>
        </w:rPr>
        <w:t>ould</w:t>
      </w:r>
      <w:r w:rsidR="00C44FD0" w:rsidRPr="00262ED4">
        <w:rPr>
          <w:szCs w:val="22"/>
        </w:rPr>
        <w:t xml:space="preserve"> cause</w:t>
      </w:r>
      <w:r w:rsidR="005A5578">
        <w:rPr>
          <w:szCs w:val="22"/>
        </w:rPr>
        <w:t xml:space="preserve"> </w:t>
      </w:r>
      <w:r w:rsidR="00C44FD0" w:rsidRPr="00262ED4">
        <w:rPr>
          <w:szCs w:val="22"/>
        </w:rPr>
        <w:t xml:space="preserve">harmful interference to </w:t>
      </w:r>
      <w:r w:rsidR="00DF6752">
        <w:rPr>
          <w:szCs w:val="22"/>
        </w:rPr>
        <w:t xml:space="preserve">their </w:t>
      </w:r>
      <w:r w:rsidR="00C44FD0" w:rsidRPr="00262ED4">
        <w:rPr>
          <w:szCs w:val="22"/>
        </w:rPr>
        <w:t>radio systems</w:t>
      </w:r>
      <w:r w:rsidR="004339A2" w:rsidRPr="00262ED4">
        <w:rPr>
          <w:szCs w:val="22"/>
        </w:rPr>
        <w:t xml:space="preserve">, </w:t>
      </w:r>
      <w:r w:rsidR="00073E87" w:rsidRPr="00262ED4">
        <w:rPr>
          <w:szCs w:val="22"/>
        </w:rPr>
        <w:t>with s</w:t>
      </w:r>
      <w:r w:rsidR="00400623" w:rsidRPr="00262ED4">
        <w:rPr>
          <w:szCs w:val="22"/>
        </w:rPr>
        <w:t>erious adverse effects on the health, welfare, and safety of public safety personnel and the citizens they serve.</w:t>
      </w:r>
      <w:r w:rsidR="00073E87" w:rsidRPr="00262ED4">
        <w:rPr>
          <w:rStyle w:val="FootnoteReference"/>
          <w:szCs w:val="22"/>
        </w:rPr>
        <w:footnoteReference w:id="32"/>
      </w:r>
      <w:r w:rsidR="005B0808">
        <w:rPr>
          <w:szCs w:val="22"/>
        </w:rPr>
        <w:t xml:space="preserve">  Some </w:t>
      </w:r>
      <w:r w:rsidR="0086641F" w:rsidRPr="00262ED4">
        <w:rPr>
          <w:szCs w:val="22"/>
        </w:rPr>
        <w:t>urge in the alternative that</w:t>
      </w:r>
      <w:r w:rsidR="00303F49">
        <w:rPr>
          <w:szCs w:val="22"/>
        </w:rPr>
        <w:t>,</w:t>
      </w:r>
      <w:r w:rsidR="0086641F" w:rsidRPr="00262ED4">
        <w:rPr>
          <w:szCs w:val="22"/>
        </w:rPr>
        <w:t xml:space="preserve"> if </w:t>
      </w:r>
      <w:r w:rsidR="005B0808">
        <w:rPr>
          <w:szCs w:val="22"/>
        </w:rPr>
        <w:t xml:space="preserve">waiver </w:t>
      </w:r>
      <w:r w:rsidR="0086641F" w:rsidRPr="00262ED4">
        <w:rPr>
          <w:szCs w:val="22"/>
        </w:rPr>
        <w:t>relief</w:t>
      </w:r>
      <w:r w:rsidR="00145E46">
        <w:rPr>
          <w:szCs w:val="22"/>
        </w:rPr>
        <w:t xml:space="preserve"> is granted</w:t>
      </w:r>
      <w:r w:rsidR="0086641F" w:rsidRPr="00262ED4">
        <w:rPr>
          <w:szCs w:val="22"/>
        </w:rPr>
        <w:t xml:space="preserve">, </w:t>
      </w:r>
      <w:r w:rsidR="00145E46">
        <w:rPr>
          <w:szCs w:val="22"/>
        </w:rPr>
        <w:t xml:space="preserve">the Commission </w:t>
      </w:r>
      <w:r w:rsidR="00303F49" w:rsidRPr="00262ED4">
        <w:rPr>
          <w:szCs w:val="22"/>
        </w:rPr>
        <w:t xml:space="preserve">should </w:t>
      </w:r>
      <w:r w:rsidR="0086641F" w:rsidRPr="00262ED4">
        <w:rPr>
          <w:szCs w:val="22"/>
        </w:rPr>
        <w:t xml:space="preserve">impose </w:t>
      </w:r>
      <w:r w:rsidR="00DF6752">
        <w:rPr>
          <w:szCs w:val="22"/>
        </w:rPr>
        <w:t>c</w:t>
      </w:r>
      <w:r w:rsidR="0086641F" w:rsidRPr="00262ED4">
        <w:rPr>
          <w:szCs w:val="22"/>
        </w:rPr>
        <w:t>onditions designed to protect public safety licensees.</w:t>
      </w:r>
      <w:r w:rsidR="00E41DAC">
        <w:rPr>
          <w:rStyle w:val="FootnoteReference"/>
          <w:szCs w:val="22"/>
        </w:rPr>
        <w:footnoteReference w:id="33"/>
      </w:r>
      <w:r w:rsidR="0086641F" w:rsidRPr="00262ED4">
        <w:rPr>
          <w:szCs w:val="22"/>
        </w:rPr>
        <w:t xml:space="preserve">  </w:t>
      </w:r>
    </w:p>
    <w:p w:rsidR="000336F4" w:rsidRDefault="00577B42" w:rsidP="006B62CE">
      <w:pPr>
        <w:spacing w:before="120" w:after="240"/>
        <w:ind w:firstLine="720"/>
        <w:rPr>
          <w:szCs w:val="22"/>
        </w:rPr>
      </w:pPr>
      <w:r>
        <w:rPr>
          <w:szCs w:val="22"/>
        </w:rPr>
        <w:t xml:space="preserve">Subsequently, </w:t>
      </w:r>
      <w:r w:rsidR="000336F4">
        <w:rPr>
          <w:szCs w:val="22"/>
        </w:rPr>
        <w:t>numerous commenters filed follow-up comments</w:t>
      </w:r>
      <w:r w:rsidR="002778BE">
        <w:rPr>
          <w:szCs w:val="22"/>
        </w:rPr>
        <w:t>, modifying their original positions,</w:t>
      </w:r>
      <w:r w:rsidR="000336F4">
        <w:rPr>
          <w:szCs w:val="22"/>
        </w:rPr>
        <w:t xml:space="preserve"> stating </w:t>
      </w:r>
      <w:r w:rsidR="002778BE">
        <w:rPr>
          <w:szCs w:val="22"/>
        </w:rPr>
        <w:t xml:space="preserve">that </w:t>
      </w:r>
      <w:r w:rsidR="00603DB4">
        <w:rPr>
          <w:szCs w:val="22"/>
        </w:rPr>
        <w:t xml:space="preserve">they are </w:t>
      </w:r>
      <w:r w:rsidR="002778BE">
        <w:rPr>
          <w:szCs w:val="22"/>
        </w:rPr>
        <w:t>encouraged</w:t>
      </w:r>
      <w:r w:rsidR="000336F4">
        <w:rPr>
          <w:szCs w:val="22"/>
        </w:rPr>
        <w:t xml:space="preserve"> by ensuing dialogue with AT&amp;T</w:t>
      </w:r>
      <w:r w:rsidR="00603DB4">
        <w:rPr>
          <w:szCs w:val="22"/>
        </w:rPr>
        <w:t xml:space="preserve"> and are</w:t>
      </w:r>
      <w:r w:rsidR="002778BE">
        <w:rPr>
          <w:szCs w:val="22"/>
        </w:rPr>
        <w:t xml:space="preserve"> ready to work toward a jointly-established test plan and a test plan exec</w:t>
      </w:r>
      <w:r w:rsidR="00EF240D">
        <w:rPr>
          <w:szCs w:val="22"/>
        </w:rPr>
        <w:t>u</w:t>
      </w:r>
      <w:r w:rsidR="002778BE">
        <w:rPr>
          <w:szCs w:val="22"/>
        </w:rPr>
        <w:t>tion</w:t>
      </w:r>
      <w:r w:rsidR="000336F4">
        <w:rPr>
          <w:szCs w:val="22"/>
        </w:rPr>
        <w:t>.</w:t>
      </w:r>
      <w:r w:rsidR="000336F4">
        <w:rPr>
          <w:rStyle w:val="FootnoteReference"/>
          <w:szCs w:val="22"/>
        </w:rPr>
        <w:footnoteReference w:id="34"/>
      </w:r>
      <w:r w:rsidR="000336F4">
        <w:rPr>
          <w:szCs w:val="22"/>
        </w:rPr>
        <w:t xml:space="preserve">  </w:t>
      </w:r>
      <w:r w:rsidR="002778BE">
        <w:rPr>
          <w:szCs w:val="22"/>
        </w:rPr>
        <w:t xml:space="preserve">Miami-Dade County </w:t>
      </w:r>
      <w:r w:rsidR="00F3092F">
        <w:rPr>
          <w:szCs w:val="22"/>
        </w:rPr>
        <w:t>states that it</w:t>
      </w:r>
      <w:r w:rsidR="002A0E9A">
        <w:rPr>
          <w:szCs w:val="22"/>
        </w:rPr>
        <w:t xml:space="preserve"> conditionally withdraw</w:t>
      </w:r>
      <w:r w:rsidR="00F3092F">
        <w:rPr>
          <w:szCs w:val="22"/>
        </w:rPr>
        <w:t>s</w:t>
      </w:r>
      <w:r w:rsidR="002A0E9A">
        <w:rPr>
          <w:szCs w:val="22"/>
        </w:rPr>
        <w:t xml:space="preserve"> </w:t>
      </w:r>
      <w:r w:rsidR="00F3092F">
        <w:rPr>
          <w:szCs w:val="22"/>
        </w:rPr>
        <w:t>its</w:t>
      </w:r>
      <w:r w:rsidR="002A0E9A">
        <w:rPr>
          <w:szCs w:val="22"/>
        </w:rPr>
        <w:t xml:space="preserve"> objections subject to AT&amp;T performing a successful test in the PSD environment.  </w:t>
      </w:r>
      <w:r w:rsidR="00D73A4B">
        <w:rPr>
          <w:szCs w:val="22"/>
        </w:rPr>
        <w:t xml:space="preserve">Further, </w:t>
      </w:r>
      <w:r w:rsidR="002A0E9A">
        <w:rPr>
          <w:szCs w:val="22"/>
        </w:rPr>
        <w:t xml:space="preserve">Miami-Dade County notes that AT&amp;T only plans to deploy LTE in the </w:t>
      </w:r>
      <w:r w:rsidR="00D73A4B">
        <w:rPr>
          <w:szCs w:val="22"/>
        </w:rPr>
        <w:t>C</w:t>
      </w:r>
      <w:r w:rsidR="002A0E9A">
        <w:rPr>
          <w:szCs w:val="22"/>
        </w:rPr>
        <w:t>ellular B Block using power of 125</w:t>
      </w:r>
      <w:r w:rsidR="00145E46">
        <w:rPr>
          <w:szCs w:val="22"/>
        </w:rPr>
        <w:t xml:space="preserve"> </w:t>
      </w:r>
      <w:r w:rsidR="002A0E9A">
        <w:rPr>
          <w:szCs w:val="22"/>
        </w:rPr>
        <w:t xml:space="preserve">W/MHz at this time and </w:t>
      </w:r>
      <w:r w:rsidR="00D73A4B">
        <w:rPr>
          <w:szCs w:val="22"/>
        </w:rPr>
        <w:t xml:space="preserve">that </w:t>
      </w:r>
      <w:r w:rsidR="002A0E9A">
        <w:rPr>
          <w:szCs w:val="22"/>
        </w:rPr>
        <w:t>AT&amp;T will conduct further testing before increasing the power level or deploying LTE in the A Block.</w:t>
      </w:r>
      <w:r w:rsidR="002A0E9A">
        <w:rPr>
          <w:rStyle w:val="FootnoteReference"/>
          <w:szCs w:val="22"/>
        </w:rPr>
        <w:footnoteReference w:id="35"/>
      </w:r>
      <w:r w:rsidR="002A0E9A">
        <w:rPr>
          <w:szCs w:val="22"/>
        </w:rPr>
        <w:t xml:space="preserve">  </w:t>
      </w:r>
      <w:r w:rsidR="00F3092F">
        <w:rPr>
          <w:szCs w:val="22"/>
        </w:rPr>
        <w:t>The</w:t>
      </w:r>
      <w:r w:rsidR="000336F4">
        <w:rPr>
          <w:szCs w:val="22"/>
        </w:rPr>
        <w:t xml:space="preserve"> State of Florida</w:t>
      </w:r>
      <w:r w:rsidR="00F3092F">
        <w:rPr>
          <w:szCs w:val="22"/>
        </w:rPr>
        <w:t xml:space="preserve"> supports Miami-Dade’s County follow-up </w:t>
      </w:r>
      <w:r w:rsidR="006B62CE">
        <w:rPr>
          <w:szCs w:val="22"/>
        </w:rPr>
        <w:t>c</w:t>
      </w:r>
      <w:r w:rsidR="00D73A4B">
        <w:rPr>
          <w:szCs w:val="22"/>
        </w:rPr>
        <w:t>omments</w:t>
      </w:r>
      <w:r w:rsidR="00F3092F">
        <w:rPr>
          <w:szCs w:val="22"/>
        </w:rPr>
        <w:t xml:space="preserve"> and further</w:t>
      </w:r>
      <w:r w:rsidR="000336F4">
        <w:rPr>
          <w:szCs w:val="22"/>
        </w:rPr>
        <w:t xml:space="preserve"> </w:t>
      </w:r>
      <w:r w:rsidR="002778BE">
        <w:rPr>
          <w:szCs w:val="22"/>
        </w:rPr>
        <w:t xml:space="preserve">notes </w:t>
      </w:r>
      <w:r w:rsidR="000336F4">
        <w:rPr>
          <w:szCs w:val="22"/>
        </w:rPr>
        <w:t xml:space="preserve">that AT&amp;T </w:t>
      </w:r>
      <w:r w:rsidR="00044630">
        <w:rPr>
          <w:szCs w:val="22"/>
        </w:rPr>
        <w:t xml:space="preserve">responded to the State of Florida’s initial input and </w:t>
      </w:r>
      <w:r w:rsidR="002778BE">
        <w:rPr>
          <w:szCs w:val="22"/>
        </w:rPr>
        <w:t>addressed each of its four concerns individually.</w:t>
      </w:r>
      <w:r w:rsidR="002778BE">
        <w:rPr>
          <w:rStyle w:val="FootnoteReference"/>
          <w:szCs w:val="22"/>
        </w:rPr>
        <w:footnoteReference w:id="36"/>
      </w:r>
    </w:p>
    <w:p w:rsidR="00DD0078" w:rsidRDefault="00577B42" w:rsidP="00073E87">
      <w:pPr>
        <w:spacing w:before="120" w:after="240"/>
        <w:ind w:firstLine="720"/>
        <w:rPr>
          <w:szCs w:val="22"/>
        </w:rPr>
      </w:pPr>
      <w:r w:rsidRPr="00EF23DE">
        <w:rPr>
          <w:szCs w:val="22"/>
        </w:rPr>
        <w:t xml:space="preserve">AT&amp;T sought and was granted an experimental </w:t>
      </w:r>
      <w:r>
        <w:rPr>
          <w:szCs w:val="22"/>
        </w:rPr>
        <w:t xml:space="preserve">special temporary </w:t>
      </w:r>
      <w:r w:rsidRPr="00EF23DE">
        <w:rPr>
          <w:szCs w:val="22"/>
        </w:rPr>
        <w:t xml:space="preserve">authorization to conduct testing </w:t>
      </w:r>
      <w:r>
        <w:rPr>
          <w:szCs w:val="22"/>
        </w:rPr>
        <w:t xml:space="preserve">using a PSD model </w:t>
      </w:r>
      <w:r w:rsidRPr="00EF23DE">
        <w:rPr>
          <w:szCs w:val="22"/>
        </w:rPr>
        <w:t>in Florida</w:t>
      </w:r>
      <w:r>
        <w:rPr>
          <w:szCs w:val="22"/>
        </w:rPr>
        <w:t>.</w:t>
      </w:r>
      <w:r>
        <w:rPr>
          <w:rStyle w:val="FootnoteReference"/>
          <w:szCs w:val="22"/>
        </w:rPr>
        <w:footnoteReference w:id="37"/>
      </w:r>
      <w:r>
        <w:rPr>
          <w:szCs w:val="22"/>
        </w:rPr>
        <w:t xml:space="preserve">  </w:t>
      </w:r>
      <w:r w:rsidR="00E14614">
        <w:rPr>
          <w:szCs w:val="22"/>
        </w:rPr>
        <w:t xml:space="preserve">On July 9, 2014, </w:t>
      </w:r>
      <w:r w:rsidR="000336F4">
        <w:rPr>
          <w:szCs w:val="22"/>
        </w:rPr>
        <w:t xml:space="preserve">AT&amp;T filed </w:t>
      </w:r>
      <w:r w:rsidR="00E14614">
        <w:rPr>
          <w:szCs w:val="22"/>
        </w:rPr>
        <w:t xml:space="preserve">an </w:t>
      </w:r>
      <w:r w:rsidR="000336F4" w:rsidRPr="009631E6">
        <w:rPr>
          <w:i/>
          <w:szCs w:val="22"/>
        </w:rPr>
        <w:t>ex parte</w:t>
      </w:r>
      <w:r w:rsidR="00E14614">
        <w:rPr>
          <w:szCs w:val="22"/>
        </w:rPr>
        <w:t xml:space="preserve"> letter stating that on June 19, 2014, and June 24, 2014</w:t>
      </w:r>
      <w:r w:rsidR="0087486F">
        <w:rPr>
          <w:szCs w:val="22"/>
        </w:rPr>
        <w:t xml:space="preserve">, AT&amp;T and representatives from Miami-Dade county, </w:t>
      </w:r>
      <w:r w:rsidR="00F24574">
        <w:rPr>
          <w:szCs w:val="22"/>
        </w:rPr>
        <w:t xml:space="preserve">the </w:t>
      </w:r>
      <w:r w:rsidR="0087486F">
        <w:rPr>
          <w:szCs w:val="22"/>
        </w:rPr>
        <w:t>State of Florida, Palm Beach County and Harris Corporation performed PSD power limit testing at three previously agreed upon AT&amp;T sites located in Miami, FL.</w:t>
      </w:r>
      <w:r w:rsidR="0087486F">
        <w:rPr>
          <w:rStyle w:val="FootnoteReference"/>
          <w:szCs w:val="22"/>
        </w:rPr>
        <w:footnoteReference w:id="38"/>
      </w:r>
      <w:r w:rsidR="0087486F">
        <w:rPr>
          <w:szCs w:val="22"/>
        </w:rPr>
        <w:t xml:space="preserve">  </w:t>
      </w:r>
      <w:r w:rsidR="00583FCD">
        <w:rPr>
          <w:szCs w:val="22"/>
        </w:rPr>
        <w:t>While th</w:t>
      </w:r>
      <w:r w:rsidR="003D4469">
        <w:rPr>
          <w:szCs w:val="22"/>
        </w:rPr>
        <w:t>e Waiver Request seeks authority to operate in both the Cellular A and B blocks at 250 W/MH</w:t>
      </w:r>
      <w:r w:rsidR="00583FCD">
        <w:rPr>
          <w:szCs w:val="22"/>
        </w:rPr>
        <w:t>z ERP</w:t>
      </w:r>
      <w:r w:rsidR="003D4469">
        <w:rPr>
          <w:szCs w:val="22"/>
        </w:rPr>
        <w:t>,</w:t>
      </w:r>
      <w:r w:rsidR="00700692">
        <w:rPr>
          <w:szCs w:val="22"/>
        </w:rPr>
        <w:t xml:space="preserve"> </w:t>
      </w:r>
      <w:r w:rsidR="003D4469">
        <w:rPr>
          <w:szCs w:val="22"/>
        </w:rPr>
        <w:t>t</w:t>
      </w:r>
      <w:r w:rsidR="00F24574">
        <w:rPr>
          <w:szCs w:val="22"/>
        </w:rPr>
        <w:t>he test</w:t>
      </w:r>
      <w:r w:rsidR="008579A5">
        <w:rPr>
          <w:szCs w:val="22"/>
        </w:rPr>
        <w:t>s</w:t>
      </w:r>
      <w:r w:rsidR="00F24574">
        <w:rPr>
          <w:szCs w:val="22"/>
        </w:rPr>
        <w:t xml:space="preserve"> w</w:t>
      </w:r>
      <w:r w:rsidR="008579A5">
        <w:rPr>
          <w:szCs w:val="22"/>
        </w:rPr>
        <w:t>ere</w:t>
      </w:r>
      <w:r w:rsidR="00F24574">
        <w:rPr>
          <w:szCs w:val="22"/>
        </w:rPr>
        <w:t xml:space="preserve"> performed </w:t>
      </w:r>
      <w:r w:rsidR="003D4469">
        <w:rPr>
          <w:szCs w:val="22"/>
        </w:rPr>
        <w:t xml:space="preserve">only </w:t>
      </w:r>
      <w:r w:rsidR="00F24574">
        <w:rPr>
          <w:szCs w:val="22"/>
        </w:rPr>
        <w:t>in the C</w:t>
      </w:r>
      <w:r w:rsidR="0087486F">
        <w:rPr>
          <w:szCs w:val="22"/>
        </w:rPr>
        <w:t xml:space="preserve">ellular B </w:t>
      </w:r>
      <w:r w:rsidR="00603DB4">
        <w:rPr>
          <w:szCs w:val="22"/>
        </w:rPr>
        <w:t>Block</w:t>
      </w:r>
      <w:r w:rsidR="0087486F">
        <w:rPr>
          <w:szCs w:val="22"/>
        </w:rPr>
        <w:t xml:space="preserve"> using 125 W</w:t>
      </w:r>
      <w:r w:rsidR="00F24574">
        <w:rPr>
          <w:szCs w:val="22"/>
        </w:rPr>
        <w:t>/MHz</w:t>
      </w:r>
      <w:r w:rsidR="0087486F">
        <w:rPr>
          <w:szCs w:val="22"/>
        </w:rPr>
        <w:t xml:space="preserve"> ERP.</w:t>
      </w:r>
      <w:r w:rsidR="0087486F">
        <w:rPr>
          <w:rStyle w:val="FootnoteReference"/>
          <w:szCs w:val="22"/>
        </w:rPr>
        <w:footnoteReference w:id="39"/>
      </w:r>
      <w:r w:rsidR="0087486F">
        <w:rPr>
          <w:szCs w:val="22"/>
        </w:rPr>
        <w:t xml:space="preserve">  AT&amp;T states that it commits to retest prior </w:t>
      </w:r>
      <w:r w:rsidR="00603DB4">
        <w:rPr>
          <w:szCs w:val="22"/>
        </w:rPr>
        <w:t>to using PSD in the cellular A Block</w:t>
      </w:r>
      <w:r w:rsidR="0087486F">
        <w:rPr>
          <w:szCs w:val="22"/>
        </w:rPr>
        <w:t xml:space="preserve"> and/or before raising power levels </w:t>
      </w:r>
      <w:r w:rsidR="00297A6F">
        <w:rPr>
          <w:szCs w:val="22"/>
        </w:rPr>
        <w:t>above 125</w:t>
      </w:r>
      <w:r w:rsidR="0087486F">
        <w:rPr>
          <w:szCs w:val="22"/>
        </w:rPr>
        <w:t xml:space="preserve"> W/MHz in either band.</w:t>
      </w:r>
      <w:r w:rsidR="0087486F">
        <w:rPr>
          <w:rStyle w:val="FootnoteReference"/>
          <w:szCs w:val="22"/>
        </w:rPr>
        <w:footnoteReference w:id="40"/>
      </w:r>
    </w:p>
    <w:p w:rsidR="00603DB4" w:rsidRDefault="00603DB4" w:rsidP="00603DB4">
      <w:pPr>
        <w:spacing w:before="120" w:after="240"/>
        <w:ind w:firstLine="720"/>
        <w:rPr>
          <w:szCs w:val="22"/>
        </w:rPr>
      </w:pPr>
      <w:r>
        <w:rPr>
          <w:szCs w:val="22"/>
        </w:rPr>
        <w:t xml:space="preserve">AT&amp;T describes that the </w:t>
      </w:r>
      <w:r w:rsidRPr="00603DB4">
        <w:rPr>
          <w:szCs w:val="22"/>
        </w:rPr>
        <w:t xml:space="preserve">test plan agreement with Public Safety representatives included the following activities: </w:t>
      </w:r>
    </w:p>
    <w:p w:rsidR="00603DB4" w:rsidRDefault="00603DB4" w:rsidP="009631E6">
      <w:pPr>
        <w:pStyle w:val="ListParagraph"/>
        <w:numPr>
          <w:ilvl w:val="0"/>
          <w:numId w:val="26"/>
        </w:numPr>
        <w:spacing w:before="120" w:after="240"/>
        <w:rPr>
          <w:szCs w:val="22"/>
        </w:rPr>
      </w:pPr>
      <w:r w:rsidRPr="00603DB4">
        <w:rPr>
          <w:szCs w:val="22"/>
        </w:rPr>
        <w:t xml:space="preserve">Establish a baseline RF measurement of downlink signal strength on AT&amp;T’s radio network </w:t>
      </w:r>
      <w:r>
        <w:rPr>
          <w:szCs w:val="22"/>
        </w:rPr>
        <w:t xml:space="preserve">at </w:t>
      </w:r>
      <w:r w:rsidRPr="00603DB4">
        <w:rPr>
          <w:szCs w:val="22"/>
        </w:rPr>
        <w:t xml:space="preserve">the selected area. </w:t>
      </w:r>
    </w:p>
    <w:p w:rsidR="00603DB4" w:rsidRDefault="00603DB4" w:rsidP="009631E6">
      <w:pPr>
        <w:pStyle w:val="ListParagraph"/>
        <w:numPr>
          <w:ilvl w:val="0"/>
          <w:numId w:val="26"/>
        </w:numPr>
        <w:spacing w:before="120" w:after="240"/>
        <w:rPr>
          <w:szCs w:val="22"/>
        </w:rPr>
      </w:pPr>
      <w:r w:rsidRPr="00603DB4">
        <w:rPr>
          <w:szCs w:val="22"/>
        </w:rPr>
        <w:t xml:space="preserve">Establish a baseline of RF measurements such as signal strength, noise floor level, and bit error rate </w:t>
      </w:r>
      <w:r>
        <w:rPr>
          <w:szCs w:val="22"/>
        </w:rPr>
        <w:t xml:space="preserve">(BER) </w:t>
      </w:r>
      <w:r w:rsidRPr="00603DB4">
        <w:rPr>
          <w:szCs w:val="22"/>
        </w:rPr>
        <w:t xml:space="preserve">on the Public Safety Radio Network at the selected area. </w:t>
      </w:r>
    </w:p>
    <w:p w:rsidR="00603DB4" w:rsidRDefault="00603DB4" w:rsidP="009631E6">
      <w:pPr>
        <w:pStyle w:val="ListParagraph"/>
        <w:numPr>
          <w:ilvl w:val="0"/>
          <w:numId w:val="26"/>
        </w:numPr>
        <w:spacing w:before="120" w:after="240"/>
        <w:rPr>
          <w:szCs w:val="22"/>
        </w:rPr>
      </w:pPr>
      <w:r w:rsidRPr="00603DB4">
        <w:rPr>
          <w:szCs w:val="22"/>
        </w:rPr>
        <w:t>Clear any existing interference issue in the selected test area.</w:t>
      </w:r>
    </w:p>
    <w:p w:rsidR="00603DB4" w:rsidRPr="00603DB4" w:rsidRDefault="00603DB4" w:rsidP="00603DB4">
      <w:pPr>
        <w:pStyle w:val="ListParagraph"/>
        <w:numPr>
          <w:ilvl w:val="0"/>
          <w:numId w:val="26"/>
        </w:numPr>
        <w:spacing w:before="120" w:after="240"/>
        <w:rPr>
          <w:szCs w:val="22"/>
        </w:rPr>
      </w:pPr>
      <w:r w:rsidRPr="00603DB4">
        <w:rPr>
          <w:szCs w:val="22"/>
        </w:rPr>
        <w:t>With AT&amp;T functioning without interference on the Public Safety Radio Network, AT&amp;T modifi</w:t>
      </w:r>
      <w:r w:rsidR="00071F76">
        <w:rPr>
          <w:szCs w:val="22"/>
        </w:rPr>
        <w:t xml:space="preserve">ed the site’s RF parameters on </w:t>
      </w:r>
      <w:r w:rsidR="00F24574">
        <w:rPr>
          <w:szCs w:val="22"/>
        </w:rPr>
        <w:t>the C</w:t>
      </w:r>
      <w:r w:rsidRPr="00603DB4">
        <w:rPr>
          <w:szCs w:val="22"/>
        </w:rPr>
        <w:t>ellular</w:t>
      </w:r>
      <w:r w:rsidR="00071F76">
        <w:rPr>
          <w:szCs w:val="22"/>
        </w:rPr>
        <w:t xml:space="preserve"> B Block</w:t>
      </w:r>
      <w:r w:rsidR="00F24574">
        <w:rPr>
          <w:szCs w:val="22"/>
        </w:rPr>
        <w:t xml:space="preserve"> </w:t>
      </w:r>
      <w:r w:rsidRPr="00603DB4">
        <w:rPr>
          <w:szCs w:val="22"/>
        </w:rPr>
        <w:t>(880-890 MHz) to emulate PSD conditions of 125 W/MHz ERP.</w:t>
      </w:r>
    </w:p>
    <w:p w:rsidR="00603DB4" w:rsidRDefault="00603DB4" w:rsidP="009631E6">
      <w:pPr>
        <w:pStyle w:val="ListParagraph"/>
        <w:numPr>
          <w:ilvl w:val="0"/>
          <w:numId w:val="26"/>
        </w:numPr>
        <w:spacing w:before="120" w:after="240"/>
        <w:rPr>
          <w:szCs w:val="22"/>
        </w:rPr>
      </w:pPr>
      <w:r w:rsidRPr="00603DB4">
        <w:rPr>
          <w:szCs w:val="22"/>
        </w:rPr>
        <w:t>Public Safety representatives performed the necessary tests at various distances and locations around the AT&amp;T site.</w:t>
      </w:r>
      <w:r>
        <w:rPr>
          <w:rStyle w:val="FootnoteReference"/>
          <w:szCs w:val="22"/>
        </w:rPr>
        <w:footnoteReference w:id="41"/>
      </w:r>
    </w:p>
    <w:p w:rsidR="0080169E" w:rsidRDefault="0080169E" w:rsidP="00073E87">
      <w:pPr>
        <w:spacing w:before="120" w:after="240"/>
        <w:ind w:firstLine="720"/>
        <w:rPr>
          <w:szCs w:val="22"/>
        </w:rPr>
      </w:pPr>
      <w:r>
        <w:rPr>
          <w:szCs w:val="22"/>
        </w:rPr>
        <w:t>AT&amp;T states that the testing resulted in</w:t>
      </w:r>
      <w:r w:rsidR="00F24574">
        <w:rPr>
          <w:szCs w:val="22"/>
        </w:rPr>
        <w:t xml:space="preserve"> no</w:t>
      </w:r>
      <w:r>
        <w:rPr>
          <w:szCs w:val="22"/>
        </w:rPr>
        <w:t xml:space="preserve"> interference on the Public Safety Radio Network.</w:t>
      </w:r>
      <w:r>
        <w:rPr>
          <w:rStyle w:val="FootnoteReference"/>
          <w:szCs w:val="22"/>
        </w:rPr>
        <w:footnoteReference w:id="42"/>
      </w:r>
      <w:r>
        <w:rPr>
          <w:szCs w:val="22"/>
        </w:rPr>
        <w:t xml:space="preserve">  </w:t>
      </w:r>
    </w:p>
    <w:p w:rsidR="00577B42" w:rsidRDefault="00577B42" w:rsidP="00073E87">
      <w:pPr>
        <w:spacing w:before="120" w:after="240"/>
        <w:ind w:firstLine="720"/>
        <w:rPr>
          <w:szCs w:val="22"/>
        </w:rPr>
      </w:pPr>
      <w:r>
        <w:rPr>
          <w:szCs w:val="22"/>
        </w:rPr>
        <w:t xml:space="preserve">On August 13, 2014, Miami-Dade County filed an </w:t>
      </w:r>
      <w:r w:rsidRPr="00700692">
        <w:rPr>
          <w:i/>
          <w:szCs w:val="22"/>
        </w:rPr>
        <w:t>ex parte</w:t>
      </w:r>
      <w:r>
        <w:rPr>
          <w:szCs w:val="22"/>
        </w:rPr>
        <w:t xml:space="preserve"> letter </w:t>
      </w:r>
      <w:r w:rsidR="0080169E">
        <w:rPr>
          <w:szCs w:val="22"/>
        </w:rPr>
        <w:t>confirming</w:t>
      </w:r>
      <w:r>
        <w:rPr>
          <w:szCs w:val="22"/>
        </w:rPr>
        <w:t xml:space="preserve"> that representatives of AT&amp;T, </w:t>
      </w:r>
      <w:r w:rsidRPr="0080169E">
        <w:rPr>
          <w:szCs w:val="22"/>
        </w:rPr>
        <w:t xml:space="preserve">the </w:t>
      </w:r>
      <w:r w:rsidR="00DD0078" w:rsidRPr="0080169E">
        <w:rPr>
          <w:szCs w:val="22"/>
        </w:rPr>
        <w:t>State of Florida</w:t>
      </w:r>
      <w:r w:rsidR="00DD0078">
        <w:rPr>
          <w:szCs w:val="22"/>
        </w:rPr>
        <w:t xml:space="preserve"> and Miami-Dade County</w:t>
      </w:r>
      <w:r w:rsidR="002D164A">
        <w:rPr>
          <w:rStyle w:val="FootnoteReference"/>
          <w:szCs w:val="22"/>
        </w:rPr>
        <w:footnoteReference w:id="43"/>
      </w:r>
      <w:r w:rsidR="008D4991">
        <w:rPr>
          <w:szCs w:val="22"/>
        </w:rPr>
        <w:t xml:space="preserve"> </w:t>
      </w:r>
      <w:r w:rsidR="00DD0078">
        <w:rPr>
          <w:szCs w:val="22"/>
        </w:rPr>
        <w:t>conducted a field test at three different AT&amp;T cell sites located in Miami, FL</w:t>
      </w:r>
      <w:r w:rsidR="00F24574">
        <w:rPr>
          <w:szCs w:val="22"/>
        </w:rPr>
        <w:t>, as described by AT&amp;T</w:t>
      </w:r>
      <w:r w:rsidR="008579A5">
        <w:rPr>
          <w:szCs w:val="22"/>
        </w:rPr>
        <w:t xml:space="preserve">.  </w:t>
      </w:r>
      <w:r w:rsidR="00BA27BC">
        <w:rPr>
          <w:szCs w:val="22"/>
        </w:rPr>
        <w:t>A</w:t>
      </w:r>
      <w:r w:rsidR="002D164A">
        <w:rPr>
          <w:szCs w:val="22"/>
        </w:rPr>
        <w:t xml:space="preserve">s a result, </w:t>
      </w:r>
      <w:r w:rsidR="00BA27BC">
        <w:rPr>
          <w:szCs w:val="22"/>
        </w:rPr>
        <w:t>Miami-Dade County does not</w:t>
      </w:r>
      <w:r w:rsidR="002D164A">
        <w:rPr>
          <w:szCs w:val="22"/>
        </w:rPr>
        <w:t xml:space="preserve"> object to the approval of AT&amp;T’s Waiver Request, subject to the conditions stated in its March 2014 comments</w:t>
      </w:r>
      <w:r w:rsidR="00DD0078">
        <w:rPr>
          <w:szCs w:val="22"/>
        </w:rPr>
        <w:t>.</w:t>
      </w:r>
      <w:r w:rsidR="008E1577">
        <w:rPr>
          <w:rStyle w:val="FootnoteReference"/>
          <w:szCs w:val="22"/>
        </w:rPr>
        <w:footnoteReference w:id="44"/>
      </w:r>
      <w:r w:rsidR="00DD0078">
        <w:rPr>
          <w:szCs w:val="22"/>
        </w:rPr>
        <w:t xml:space="preserve">  Miami-Dade County explains that the test consisted of comparing the performance of Miami-Dade County radio system </w:t>
      </w:r>
      <w:r w:rsidR="00F24574">
        <w:rPr>
          <w:szCs w:val="22"/>
        </w:rPr>
        <w:t>and</w:t>
      </w:r>
      <w:r w:rsidR="00DD0078">
        <w:rPr>
          <w:szCs w:val="22"/>
        </w:rPr>
        <w:t xml:space="preserve"> </w:t>
      </w:r>
      <w:r w:rsidR="00297A6F">
        <w:rPr>
          <w:szCs w:val="22"/>
        </w:rPr>
        <w:t xml:space="preserve">the </w:t>
      </w:r>
      <w:r w:rsidR="00DD0078">
        <w:rPr>
          <w:szCs w:val="22"/>
        </w:rPr>
        <w:t xml:space="preserve">State of Florida’s Statewide Law Enforcement Radio System (SLERS) under the current AT&amp;T site operation conditions </w:t>
      </w:r>
      <w:r w:rsidR="00F24574">
        <w:rPr>
          <w:szCs w:val="22"/>
        </w:rPr>
        <w:t>versus</w:t>
      </w:r>
      <w:r w:rsidR="00DD0078">
        <w:rPr>
          <w:szCs w:val="22"/>
        </w:rPr>
        <w:t xml:space="preserve"> performance of the same radio systems under the PSD approach.</w:t>
      </w:r>
      <w:r w:rsidR="008E1577">
        <w:rPr>
          <w:rStyle w:val="FootnoteReference"/>
          <w:szCs w:val="22"/>
        </w:rPr>
        <w:footnoteReference w:id="45"/>
      </w:r>
      <w:r w:rsidR="00DD0078">
        <w:rPr>
          <w:szCs w:val="22"/>
        </w:rPr>
        <w:t xml:space="preserve">  Miami-D</w:t>
      </w:r>
      <w:r w:rsidR="002D164A">
        <w:rPr>
          <w:szCs w:val="22"/>
        </w:rPr>
        <w:t>ade County collected data corresponding to potential out-of-band emissions, the BER</w:t>
      </w:r>
      <w:r w:rsidR="0080169E">
        <w:rPr>
          <w:szCs w:val="22"/>
        </w:rPr>
        <w:t xml:space="preserve"> </w:t>
      </w:r>
      <w:r w:rsidR="002D164A">
        <w:rPr>
          <w:szCs w:val="22"/>
        </w:rPr>
        <w:t>behavior of its mobile and portable radios and conducted voice tests on its system.  The State of Florida also conducted voice tests utilizing portable and mobile radios.</w:t>
      </w:r>
      <w:r w:rsidR="008E1577">
        <w:rPr>
          <w:szCs w:val="22"/>
        </w:rPr>
        <w:t xml:space="preserve">  Miami-Dade County states that neither Miami-Dade County nor the State of Florida observed any significant difference </w:t>
      </w:r>
      <w:r w:rsidR="00433D33">
        <w:rPr>
          <w:szCs w:val="22"/>
        </w:rPr>
        <w:t xml:space="preserve">in electrical noise, </w:t>
      </w:r>
      <w:r w:rsidR="008E1577">
        <w:rPr>
          <w:szCs w:val="22"/>
        </w:rPr>
        <w:t>BER, or voice quality under the “ERP” versus the “PSD” scenario</w:t>
      </w:r>
      <w:r w:rsidR="00BA27BC">
        <w:rPr>
          <w:szCs w:val="22"/>
        </w:rPr>
        <w:t xml:space="preserve"> at 125 W/MHz</w:t>
      </w:r>
      <w:r w:rsidR="008E1577">
        <w:rPr>
          <w:szCs w:val="22"/>
        </w:rPr>
        <w:t>.</w:t>
      </w:r>
      <w:r w:rsidR="008E1577">
        <w:rPr>
          <w:rStyle w:val="FootnoteReference"/>
          <w:szCs w:val="22"/>
        </w:rPr>
        <w:footnoteReference w:id="46"/>
      </w:r>
    </w:p>
    <w:p w:rsidR="00CC4250" w:rsidRPr="00262ED4" w:rsidRDefault="006B235F" w:rsidP="005426A3">
      <w:pPr>
        <w:numPr>
          <w:ilvl w:val="0"/>
          <w:numId w:val="20"/>
        </w:numPr>
        <w:rPr>
          <w:b/>
          <w:szCs w:val="22"/>
        </w:rPr>
      </w:pPr>
      <w:r w:rsidRPr="00262ED4">
        <w:rPr>
          <w:b/>
          <w:szCs w:val="22"/>
        </w:rPr>
        <w:t>DISCUSSION</w:t>
      </w:r>
    </w:p>
    <w:p w:rsidR="00A8435A" w:rsidRPr="00262ED4" w:rsidRDefault="00A8435A" w:rsidP="00A8435A">
      <w:pPr>
        <w:ind w:firstLine="720"/>
        <w:rPr>
          <w:b/>
          <w:szCs w:val="22"/>
        </w:rPr>
      </w:pPr>
    </w:p>
    <w:p w:rsidR="00E41DAC" w:rsidRDefault="00982E3F" w:rsidP="00E41DAC">
      <w:pPr>
        <w:ind w:firstLine="720"/>
        <w:rPr>
          <w:szCs w:val="22"/>
        </w:rPr>
      </w:pPr>
      <w:r w:rsidRPr="00262ED4">
        <w:rPr>
          <w:szCs w:val="22"/>
        </w:rPr>
        <w:t xml:space="preserve">Under </w:t>
      </w:r>
      <w:r w:rsidR="00A8435A" w:rsidRPr="00262ED4">
        <w:rPr>
          <w:szCs w:val="22"/>
        </w:rPr>
        <w:t>Section 1.925 of the Commission’s rules, a waiver may be granted if</w:t>
      </w:r>
      <w:r w:rsidRPr="00262ED4">
        <w:rPr>
          <w:szCs w:val="22"/>
        </w:rPr>
        <w:t xml:space="preserve"> the applicant demonstrates that:  (i) the underlying purpose of the rule would not be served or would be frustrated by its application to the instant case and that grant of the requested waiver would be in the public interest; or (ii) in view of unique or unusual factual circumstances, application of the rule(s) would be inequitable, unduly burdensome, or contrary to the public interest, or the applicant has no reasonable </w:t>
      </w:r>
      <w:r w:rsidR="00997B4D" w:rsidRPr="00262ED4">
        <w:rPr>
          <w:szCs w:val="22"/>
        </w:rPr>
        <w:t>alternative</w:t>
      </w:r>
      <w:r w:rsidRPr="00262ED4">
        <w:rPr>
          <w:szCs w:val="22"/>
        </w:rPr>
        <w:t>.</w:t>
      </w:r>
      <w:r w:rsidRPr="00262ED4">
        <w:rPr>
          <w:rStyle w:val="FootnoteReference"/>
          <w:szCs w:val="22"/>
        </w:rPr>
        <w:footnoteReference w:id="47"/>
      </w:r>
      <w:r w:rsidR="00A8435A" w:rsidRPr="00262ED4">
        <w:rPr>
          <w:szCs w:val="22"/>
        </w:rPr>
        <w:t xml:space="preserve">  </w:t>
      </w:r>
    </w:p>
    <w:p w:rsidR="00E41DAC" w:rsidRDefault="00E41DAC" w:rsidP="00E41DAC">
      <w:pPr>
        <w:ind w:firstLine="720"/>
        <w:rPr>
          <w:szCs w:val="22"/>
        </w:rPr>
      </w:pPr>
    </w:p>
    <w:p w:rsidR="00E41DAC" w:rsidRDefault="00EF0642" w:rsidP="00E41DAC">
      <w:pPr>
        <w:ind w:firstLine="720"/>
        <w:rPr>
          <w:szCs w:val="22"/>
        </w:rPr>
      </w:pPr>
      <w:r>
        <w:rPr>
          <w:szCs w:val="22"/>
        </w:rPr>
        <w:t xml:space="preserve">We </w:t>
      </w:r>
      <w:r w:rsidR="008E112D">
        <w:rPr>
          <w:szCs w:val="22"/>
        </w:rPr>
        <w:t>have weighed</w:t>
      </w:r>
      <w:r w:rsidR="0079673B" w:rsidRPr="00262ED4">
        <w:rPr>
          <w:szCs w:val="22"/>
        </w:rPr>
        <w:t xml:space="preserve"> the potential public interest benefits against potential adverse effects </w:t>
      </w:r>
      <w:r w:rsidR="00B13343">
        <w:rPr>
          <w:szCs w:val="22"/>
        </w:rPr>
        <w:t xml:space="preserve">and believe it is in the public interest to grant </w:t>
      </w:r>
      <w:r w:rsidR="00C76329">
        <w:rPr>
          <w:szCs w:val="22"/>
        </w:rPr>
        <w:t xml:space="preserve">in part </w:t>
      </w:r>
      <w:r w:rsidR="00B13343">
        <w:rPr>
          <w:szCs w:val="22"/>
        </w:rPr>
        <w:t>the Waiver Request</w:t>
      </w:r>
      <w:r w:rsidR="008856F3">
        <w:rPr>
          <w:szCs w:val="22"/>
        </w:rPr>
        <w:t xml:space="preserve"> subject to the </w:t>
      </w:r>
      <w:r w:rsidR="00C76329">
        <w:rPr>
          <w:szCs w:val="22"/>
        </w:rPr>
        <w:t xml:space="preserve">below </w:t>
      </w:r>
      <w:r w:rsidR="008856F3">
        <w:rPr>
          <w:szCs w:val="22"/>
        </w:rPr>
        <w:t>conditions</w:t>
      </w:r>
      <w:r w:rsidR="0079673B" w:rsidRPr="00262ED4">
        <w:rPr>
          <w:szCs w:val="22"/>
        </w:rPr>
        <w:t xml:space="preserve">.  </w:t>
      </w:r>
      <w:r w:rsidR="002B38B6">
        <w:rPr>
          <w:szCs w:val="22"/>
        </w:rPr>
        <w:t>Specifically, w</w:t>
      </w:r>
      <w:r w:rsidR="008856F3">
        <w:rPr>
          <w:szCs w:val="22"/>
        </w:rPr>
        <w:t xml:space="preserve">e </w:t>
      </w:r>
      <w:r w:rsidR="00ED50CA">
        <w:rPr>
          <w:szCs w:val="22"/>
        </w:rPr>
        <w:t xml:space="preserve">believe </w:t>
      </w:r>
      <w:r w:rsidR="003B2A97">
        <w:rPr>
          <w:szCs w:val="22"/>
        </w:rPr>
        <w:t>it is in the public interest to foster</w:t>
      </w:r>
      <w:r w:rsidR="00ED50CA">
        <w:rPr>
          <w:szCs w:val="22"/>
        </w:rPr>
        <w:t xml:space="preserve"> the development of advanced technologies in the Cellular Service, </w:t>
      </w:r>
      <w:r w:rsidR="003B2A97">
        <w:rPr>
          <w:szCs w:val="22"/>
        </w:rPr>
        <w:t xml:space="preserve">thereby </w:t>
      </w:r>
      <w:r w:rsidR="00ED50CA">
        <w:rPr>
          <w:szCs w:val="22"/>
        </w:rPr>
        <w:t>allow</w:t>
      </w:r>
      <w:r w:rsidR="003B2A97">
        <w:rPr>
          <w:szCs w:val="22"/>
        </w:rPr>
        <w:t>ing</w:t>
      </w:r>
      <w:r w:rsidR="00ED50CA">
        <w:rPr>
          <w:szCs w:val="22"/>
        </w:rPr>
        <w:t xml:space="preserve"> </w:t>
      </w:r>
      <w:r w:rsidR="00ED50CA" w:rsidRPr="00262ED4">
        <w:rPr>
          <w:szCs w:val="22"/>
        </w:rPr>
        <w:t xml:space="preserve">AT&amp;T </w:t>
      </w:r>
      <w:r w:rsidR="00ED50CA">
        <w:rPr>
          <w:szCs w:val="22"/>
        </w:rPr>
        <w:t>to launch</w:t>
      </w:r>
      <w:r w:rsidR="00ED50CA" w:rsidRPr="00262ED4">
        <w:rPr>
          <w:szCs w:val="22"/>
        </w:rPr>
        <w:t xml:space="preserve"> LTE services and </w:t>
      </w:r>
      <w:r w:rsidR="00ED50CA">
        <w:rPr>
          <w:szCs w:val="22"/>
        </w:rPr>
        <w:t xml:space="preserve">offer </w:t>
      </w:r>
      <w:r w:rsidR="00ED50CA" w:rsidRPr="00262ED4">
        <w:rPr>
          <w:szCs w:val="22"/>
        </w:rPr>
        <w:t>its subscribers’ access to these valuable broadband wireless services</w:t>
      </w:r>
      <w:r w:rsidR="002B38B6">
        <w:rPr>
          <w:szCs w:val="22"/>
        </w:rPr>
        <w:t>.  A partial grant also</w:t>
      </w:r>
      <w:r w:rsidR="00A84FE7">
        <w:rPr>
          <w:szCs w:val="22"/>
        </w:rPr>
        <w:t xml:space="preserve"> furthers the Commission’s </w:t>
      </w:r>
      <w:r w:rsidR="002B38B6">
        <w:rPr>
          <w:szCs w:val="22"/>
        </w:rPr>
        <w:t xml:space="preserve">goal of </w:t>
      </w:r>
      <w:r w:rsidR="00ED50CA">
        <w:rPr>
          <w:szCs w:val="22"/>
        </w:rPr>
        <w:t>increas</w:t>
      </w:r>
      <w:r w:rsidR="002B38B6">
        <w:rPr>
          <w:szCs w:val="22"/>
        </w:rPr>
        <w:t>ing</w:t>
      </w:r>
      <w:r w:rsidR="00ED50CA">
        <w:rPr>
          <w:szCs w:val="22"/>
        </w:rPr>
        <w:t xml:space="preserve"> regulatory parity </w:t>
      </w:r>
      <w:r w:rsidR="00A3645F">
        <w:rPr>
          <w:szCs w:val="22"/>
        </w:rPr>
        <w:t xml:space="preserve">in technical rules </w:t>
      </w:r>
      <w:r w:rsidR="002B38B6">
        <w:rPr>
          <w:szCs w:val="22"/>
        </w:rPr>
        <w:t xml:space="preserve">when possible </w:t>
      </w:r>
      <w:r w:rsidR="00A3645F">
        <w:rPr>
          <w:szCs w:val="22"/>
        </w:rPr>
        <w:t xml:space="preserve">for </w:t>
      </w:r>
      <w:r w:rsidR="00ED50CA">
        <w:rPr>
          <w:szCs w:val="22"/>
        </w:rPr>
        <w:t>competing CMRS services.</w:t>
      </w:r>
    </w:p>
    <w:p w:rsidR="00E41DAC" w:rsidRDefault="00E41DAC" w:rsidP="00E41DAC">
      <w:pPr>
        <w:ind w:firstLine="720"/>
        <w:rPr>
          <w:szCs w:val="22"/>
        </w:rPr>
      </w:pPr>
    </w:p>
    <w:p w:rsidR="007A1744" w:rsidRDefault="00ED50CA" w:rsidP="006635A3">
      <w:pPr>
        <w:ind w:firstLine="720"/>
        <w:rPr>
          <w:szCs w:val="22"/>
        </w:rPr>
      </w:pPr>
      <w:r>
        <w:rPr>
          <w:szCs w:val="22"/>
        </w:rPr>
        <w:t xml:space="preserve">We </w:t>
      </w:r>
      <w:r w:rsidR="008856F3">
        <w:rPr>
          <w:szCs w:val="22"/>
        </w:rPr>
        <w:t>acknowledge the</w:t>
      </w:r>
      <w:r w:rsidR="00EF0642" w:rsidRPr="00262ED4">
        <w:rPr>
          <w:szCs w:val="22"/>
        </w:rPr>
        <w:t xml:space="preserve"> </w:t>
      </w:r>
      <w:r w:rsidR="00D551E4">
        <w:rPr>
          <w:szCs w:val="22"/>
        </w:rPr>
        <w:t xml:space="preserve">general </w:t>
      </w:r>
      <w:r w:rsidR="00EF0642" w:rsidRPr="00262ED4">
        <w:rPr>
          <w:szCs w:val="22"/>
        </w:rPr>
        <w:t xml:space="preserve">concerns expressed by </w:t>
      </w:r>
      <w:r w:rsidR="00DF37AC">
        <w:rPr>
          <w:szCs w:val="22"/>
        </w:rPr>
        <w:t>the public safety entities operating near the Florida Stations</w:t>
      </w:r>
      <w:r w:rsidR="00EF0642" w:rsidRPr="00262ED4">
        <w:rPr>
          <w:szCs w:val="22"/>
        </w:rPr>
        <w:t xml:space="preserve"> </w:t>
      </w:r>
      <w:r w:rsidR="00B13343">
        <w:rPr>
          <w:szCs w:val="22"/>
        </w:rPr>
        <w:t>regarding</w:t>
      </w:r>
      <w:r w:rsidR="0079673B" w:rsidRPr="00262ED4">
        <w:rPr>
          <w:szCs w:val="22"/>
        </w:rPr>
        <w:t xml:space="preserve"> </w:t>
      </w:r>
      <w:r w:rsidR="00D551E4">
        <w:rPr>
          <w:szCs w:val="22"/>
        </w:rPr>
        <w:t xml:space="preserve">potential </w:t>
      </w:r>
      <w:r w:rsidR="00EF0642">
        <w:rPr>
          <w:szCs w:val="22"/>
        </w:rPr>
        <w:t xml:space="preserve">increased risk of </w:t>
      </w:r>
      <w:r w:rsidR="00D551E4">
        <w:rPr>
          <w:szCs w:val="22"/>
        </w:rPr>
        <w:t xml:space="preserve">harmful </w:t>
      </w:r>
      <w:r w:rsidR="00EF0642">
        <w:rPr>
          <w:szCs w:val="22"/>
        </w:rPr>
        <w:t>interference</w:t>
      </w:r>
      <w:r w:rsidR="00B13343">
        <w:rPr>
          <w:szCs w:val="22"/>
        </w:rPr>
        <w:t xml:space="preserve"> and </w:t>
      </w:r>
      <w:r w:rsidR="00A84FE7">
        <w:rPr>
          <w:szCs w:val="22"/>
        </w:rPr>
        <w:t xml:space="preserve">seek to protect </w:t>
      </w:r>
      <w:r w:rsidR="006635A3" w:rsidRPr="00262ED4">
        <w:rPr>
          <w:szCs w:val="22"/>
        </w:rPr>
        <w:t xml:space="preserve">public safety </w:t>
      </w:r>
      <w:r w:rsidR="00A84FE7">
        <w:rPr>
          <w:szCs w:val="22"/>
        </w:rPr>
        <w:t>operations</w:t>
      </w:r>
      <w:r w:rsidR="006635A3" w:rsidRPr="00262ED4">
        <w:rPr>
          <w:szCs w:val="22"/>
        </w:rPr>
        <w:t>.</w:t>
      </w:r>
      <w:r w:rsidR="006635A3">
        <w:rPr>
          <w:szCs w:val="22"/>
        </w:rPr>
        <w:t xml:space="preserve">  </w:t>
      </w:r>
      <w:r w:rsidR="002B17DA">
        <w:rPr>
          <w:szCs w:val="22"/>
        </w:rPr>
        <w:t>W</w:t>
      </w:r>
      <w:r w:rsidR="00D551E4">
        <w:rPr>
          <w:szCs w:val="22"/>
        </w:rPr>
        <w:t xml:space="preserve">e </w:t>
      </w:r>
      <w:r>
        <w:rPr>
          <w:szCs w:val="22"/>
        </w:rPr>
        <w:t>believe t</w:t>
      </w:r>
      <w:r w:rsidR="00D551E4">
        <w:rPr>
          <w:szCs w:val="22"/>
        </w:rPr>
        <w:t xml:space="preserve">hat </w:t>
      </w:r>
      <w:r w:rsidR="002B17DA">
        <w:rPr>
          <w:szCs w:val="22"/>
        </w:rPr>
        <w:t>AT&amp;T’s</w:t>
      </w:r>
      <w:r w:rsidR="00D551E4">
        <w:rPr>
          <w:szCs w:val="22"/>
        </w:rPr>
        <w:t xml:space="preserve"> March 2013 Study provides a general framework for </w:t>
      </w:r>
    </w:p>
    <w:p w:rsidR="00F24574" w:rsidRDefault="00D551E4" w:rsidP="00113411">
      <w:pPr>
        <w:rPr>
          <w:szCs w:val="22"/>
        </w:rPr>
      </w:pPr>
      <w:r>
        <w:rPr>
          <w:szCs w:val="22"/>
        </w:rPr>
        <w:t>assessing the likelihood of interference from LTE deployment</w:t>
      </w:r>
      <w:r w:rsidR="00404AF3">
        <w:rPr>
          <w:szCs w:val="22"/>
        </w:rPr>
        <w:t>s with MIMO on public safety receivers</w:t>
      </w:r>
      <w:r w:rsidR="002B17DA">
        <w:rPr>
          <w:szCs w:val="22"/>
        </w:rPr>
        <w:t xml:space="preserve"> using various </w:t>
      </w:r>
      <w:r w:rsidR="00ED50CA">
        <w:rPr>
          <w:szCs w:val="22"/>
        </w:rPr>
        <w:t xml:space="preserve">reasonable </w:t>
      </w:r>
      <w:r w:rsidR="002B17DA">
        <w:rPr>
          <w:szCs w:val="22"/>
        </w:rPr>
        <w:t>scenarios to estimate the potential for intermodulation interference, out of band emissions, and overload interference</w:t>
      </w:r>
      <w:r w:rsidR="00ED50CA">
        <w:rPr>
          <w:szCs w:val="22"/>
        </w:rPr>
        <w:t xml:space="preserve">.  </w:t>
      </w:r>
      <w:r w:rsidR="00A84FE7">
        <w:rPr>
          <w:szCs w:val="22"/>
        </w:rPr>
        <w:t>W</w:t>
      </w:r>
      <w:r w:rsidR="00ED50CA">
        <w:rPr>
          <w:szCs w:val="22"/>
        </w:rPr>
        <w:t xml:space="preserve">e find it </w:t>
      </w:r>
      <w:r w:rsidR="00A3645F">
        <w:rPr>
          <w:szCs w:val="22"/>
        </w:rPr>
        <w:t xml:space="preserve">most </w:t>
      </w:r>
      <w:r w:rsidR="00ED50CA">
        <w:rPr>
          <w:szCs w:val="22"/>
        </w:rPr>
        <w:t xml:space="preserve">persuasive in </w:t>
      </w:r>
      <w:r w:rsidR="00A84FE7">
        <w:rPr>
          <w:szCs w:val="22"/>
        </w:rPr>
        <w:t>this case that AT&amp;T and several public safety entities were able to conduct successful tests demonstrating a lack of interference to public safety operations from AT&amp;T’s implementation of the PSD model for radiated power at 125 W/MHz on the Cellular B block.</w:t>
      </w:r>
      <w:r w:rsidR="00E41DAC">
        <w:rPr>
          <w:szCs w:val="22"/>
        </w:rPr>
        <w:t xml:space="preserve">  Further, t</w:t>
      </w:r>
      <w:r w:rsidR="00B13343">
        <w:rPr>
          <w:szCs w:val="22"/>
        </w:rPr>
        <w:t>he conditions we impose</w:t>
      </w:r>
      <w:r w:rsidR="00EF0642" w:rsidRPr="00262ED4">
        <w:rPr>
          <w:szCs w:val="22"/>
        </w:rPr>
        <w:t xml:space="preserve"> </w:t>
      </w:r>
      <w:r w:rsidR="00B13343">
        <w:rPr>
          <w:szCs w:val="22"/>
        </w:rPr>
        <w:t>will</w:t>
      </w:r>
      <w:r w:rsidR="00B13343" w:rsidRPr="00262ED4">
        <w:rPr>
          <w:szCs w:val="22"/>
        </w:rPr>
        <w:t xml:space="preserve"> </w:t>
      </w:r>
      <w:r w:rsidR="00A3645F">
        <w:rPr>
          <w:szCs w:val="22"/>
        </w:rPr>
        <w:t xml:space="preserve">help </w:t>
      </w:r>
      <w:r w:rsidR="00EF0642" w:rsidRPr="00262ED4">
        <w:rPr>
          <w:szCs w:val="22"/>
        </w:rPr>
        <w:t xml:space="preserve">ensure </w:t>
      </w:r>
      <w:r w:rsidR="00B13343">
        <w:rPr>
          <w:szCs w:val="22"/>
        </w:rPr>
        <w:t xml:space="preserve">that public safety systems </w:t>
      </w:r>
      <w:r w:rsidR="00212137">
        <w:rPr>
          <w:szCs w:val="22"/>
        </w:rPr>
        <w:t xml:space="preserve">and neighboring cellular licensees </w:t>
      </w:r>
      <w:r w:rsidR="00B13343">
        <w:rPr>
          <w:szCs w:val="22"/>
        </w:rPr>
        <w:t xml:space="preserve">will be </w:t>
      </w:r>
      <w:r w:rsidR="00B13343" w:rsidRPr="00262ED4">
        <w:rPr>
          <w:szCs w:val="22"/>
        </w:rPr>
        <w:t>protect</w:t>
      </w:r>
      <w:r w:rsidR="00B13343">
        <w:rPr>
          <w:szCs w:val="22"/>
        </w:rPr>
        <w:t>ed</w:t>
      </w:r>
      <w:r w:rsidR="00B13343" w:rsidRPr="00262ED4">
        <w:rPr>
          <w:szCs w:val="22"/>
        </w:rPr>
        <w:t xml:space="preserve"> </w:t>
      </w:r>
      <w:r w:rsidR="00286605">
        <w:rPr>
          <w:szCs w:val="22"/>
        </w:rPr>
        <w:t>from increased harmful interference</w:t>
      </w:r>
      <w:r w:rsidR="00A3645F">
        <w:rPr>
          <w:szCs w:val="22"/>
        </w:rPr>
        <w:t xml:space="preserve"> from AT&amp;T’s operations using </w:t>
      </w:r>
      <w:r w:rsidR="00CB62DF">
        <w:rPr>
          <w:szCs w:val="22"/>
        </w:rPr>
        <w:t xml:space="preserve">the </w:t>
      </w:r>
      <w:r w:rsidR="00A3645F">
        <w:rPr>
          <w:szCs w:val="22"/>
        </w:rPr>
        <w:t>PSD</w:t>
      </w:r>
      <w:r w:rsidR="00CB62DF">
        <w:rPr>
          <w:szCs w:val="22"/>
        </w:rPr>
        <w:t xml:space="preserve"> model</w:t>
      </w:r>
      <w:r w:rsidR="00A3645F">
        <w:rPr>
          <w:szCs w:val="22"/>
        </w:rPr>
        <w:t>.</w:t>
      </w:r>
      <w:r w:rsidR="00B13343">
        <w:rPr>
          <w:szCs w:val="22"/>
        </w:rPr>
        <w:t xml:space="preserve">  </w:t>
      </w:r>
      <w:r w:rsidR="00C76329">
        <w:rPr>
          <w:szCs w:val="22"/>
        </w:rPr>
        <w:t>Based</w:t>
      </w:r>
      <w:r w:rsidR="0079673B" w:rsidRPr="00262ED4">
        <w:rPr>
          <w:szCs w:val="22"/>
        </w:rPr>
        <w:t xml:space="preserve"> </w:t>
      </w:r>
      <w:r w:rsidR="00C76329">
        <w:rPr>
          <w:szCs w:val="22"/>
        </w:rPr>
        <w:t xml:space="preserve">on the </w:t>
      </w:r>
      <w:r w:rsidR="0079673B" w:rsidRPr="00262ED4">
        <w:rPr>
          <w:szCs w:val="22"/>
        </w:rPr>
        <w:t>totality of the circumstances</w:t>
      </w:r>
      <w:r w:rsidR="0056216F">
        <w:rPr>
          <w:szCs w:val="22"/>
        </w:rPr>
        <w:t xml:space="preserve">, </w:t>
      </w:r>
      <w:r w:rsidR="0079673B" w:rsidRPr="00262ED4">
        <w:rPr>
          <w:szCs w:val="22"/>
        </w:rPr>
        <w:t>we find that permit</w:t>
      </w:r>
      <w:r w:rsidR="00C76329">
        <w:rPr>
          <w:szCs w:val="22"/>
        </w:rPr>
        <w:t>ting</w:t>
      </w:r>
      <w:r w:rsidR="0079673B" w:rsidRPr="00262ED4">
        <w:rPr>
          <w:szCs w:val="22"/>
        </w:rPr>
        <w:t xml:space="preserve"> AT&amp;T to</w:t>
      </w:r>
      <w:r w:rsidR="00DE298E">
        <w:rPr>
          <w:szCs w:val="22"/>
        </w:rPr>
        <w:t xml:space="preserve"> operate the Florida Stations licensed on the Cellular B block at 125 W/MHz </w:t>
      </w:r>
      <w:r w:rsidR="00990C47">
        <w:rPr>
          <w:szCs w:val="22"/>
        </w:rPr>
        <w:t xml:space="preserve">better </w:t>
      </w:r>
      <w:r w:rsidR="0079673B" w:rsidRPr="00262ED4">
        <w:rPr>
          <w:szCs w:val="22"/>
        </w:rPr>
        <w:t xml:space="preserve">serves the public interest than strict application of the current </w:t>
      </w:r>
      <w:r w:rsidR="00990C47">
        <w:rPr>
          <w:szCs w:val="22"/>
        </w:rPr>
        <w:t xml:space="preserve">Cellular </w:t>
      </w:r>
      <w:r w:rsidR="0079673B" w:rsidRPr="00262ED4">
        <w:rPr>
          <w:szCs w:val="22"/>
        </w:rPr>
        <w:t>radiated power rule</w:t>
      </w:r>
      <w:r w:rsidR="00EF0642">
        <w:rPr>
          <w:szCs w:val="22"/>
        </w:rPr>
        <w:t>.</w:t>
      </w:r>
      <w:r w:rsidR="00B35F8D">
        <w:rPr>
          <w:szCs w:val="22"/>
        </w:rPr>
        <w:t xml:space="preserve"> </w:t>
      </w:r>
    </w:p>
    <w:p w:rsidR="00F823EF" w:rsidRDefault="00F823EF" w:rsidP="006635A3">
      <w:pPr>
        <w:ind w:firstLine="720"/>
        <w:rPr>
          <w:szCs w:val="22"/>
        </w:rPr>
      </w:pPr>
    </w:p>
    <w:p w:rsidR="00F24574" w:rsidRPr="00A64ABE" w:rsidRDefault="00F24574" w:rsidP="00F24574">
      <w:pPr>
        <w:ind w:firstLine="720"/>
        <w:rPr>
          <w:szCs w:val="22"/>
        </w:rPr>
      </w:pPr>
      <w:r>
        <w:rPr>
          <w:szCs w:val="22"/>
        </w:rPr>
        <w:t xml:space="preserve">We also believe that the underlying purpose of the Section 22.913, to prevent harmful interference from a Cellular licensee to public safety and neighboring Cellular co-channel licensees, will not be frustrated by a </w:t>
      </w:r>
      <w:r w:rsidR="00F823EF">
        <w:rPr>
          <w:szCs w:val="22"/>
        </w:rPr>
        <w:t xml:space="preserve">partial </w:t>
      </w:r>
      <w:r>
        <w:rPr>
          <w:szCs w:val="22"/>
        </w:rPr>
        <w:t xml:space="preserve">grant of the Waiver Request.  AT&amp;T has completed successful testing </w:t>
      </w:r>
      <w:r w:rsidR="00D91F55">
        <w:rPr>
          <w:szCs w:val="22"/>
        </w:rPr>
        <w:t xml:space="preserve">in Florida </w:t>
      </w:r>
      <w:r>
        <w:rPr>
          <w:szCs w:val="22"/>
        </w:rPr>
        <w:t>demonstrat</w:t>
      </w:r>
      <w:r w:rsidR="00C76329">
        <w:rPr>
          <w:szCs w:val="22"/>
        </w:rPr>
        <w:t>ing</w:t>
      </w:r>
      <w:r>
        <w:rPr>
          <w:szCs w:val="22"/>
        </w:rPr>
        <w:t xml:space="preserve"> that </w:t>
      </w:r>
      <w:r w:rsidR="00984BC8">
        <w:rPr>
          <w:szCs w:val="22"/>
        </w:rPr>
        <w:t>operation</w:t>
      </w:r>
      <w:r>
        <w:rPr>
          <w:szCs w:val="22"/>
        </w:rPr>
        <w:t xml:space="preserve"> </w:t>
      </w:r>
      <w:r w:rsidR="00DE298E">
        <w:rPr>
          <w:szCs w:val="22"/>
        </w:rPr>
        <w:t>at 125 W/MHz in the Cellular B block</w:t>
      </w:r>
      <w:r w:rsidR="00990C47">
        <w:rPr>
          <w:szCs w:val="22"/>
        </w:rPr>
        <w:t xml:space="preserve"> in the three Florida markets</w:t>
      </w:r>
      <w:r w:rsidR="00DE298E">
        <w:rPr>
          <w:szCs w:val="22"/>
        </w:rPr>
        <w:t xml:space="preserve"> </w:t>
      </w:r>
      <w:r>
        <w:rPr>
          <w:szCs w:val="22"/>
        </w:rPr>
        <w:t xml:space="preserve">does not cause interference to public safety entities.  Further, </w:t>
      </w:r>
      <w:r w:rsidR="00DE298E">
        <w:rPr>
          <w:szCs w:val="22"/>
        </w:rPr>
        <w:t xml:space="preserve">we note that </w:t>
      </w:r>
      <w:r w:rsidR="00104E2F">
        <w:rPr>
          <w:szCs w:val="22"/>
        </w:rPr>
        <w:t>Verizon</w:t>
      </w:r>
      <w:r w:rsidR="00DE298E">
        <w:rPr>
          <w:szCs w:val="22"/>
        </w:rPr>
        <w:t xml:space="preserve">, </w:t>
      </w:r>
      <w:r w:rsidR="00104E2F">
        <w:rPr>
          <w:szCs w:val="22"/>
        </w:rPr>
        <w:t xml:space="preserve">the only non-AT&amp;T Cellular licensee </w:t>
      </w:r>
      <w:r w:rsidRPr="00262ED4">
        <w:rPr>
          <w:szCs w:val="22"/>
        </w:rPr>
        <w:t xml:space="preserve">neighboring </w:t>
      </w:r>
      <w:r>
        <w:rPr>
          <w:szCs w:val="22"/>
        </w:rPr>
        <w:t>AT&amp;T’s C</w:t>
      </w:r>
      <w:r w:rsidR="00104E2F">
        <w:rPr>
          <w:szCs w:val="22"/>
        </w:rPr>
        <w:t>ellular B-Block system</w:t>
      </w:r>
      <w:r w:rsidRPr="00262ED4">
        <w:rPr>
          <w:szCs w:val="22"/>
        </w:rPr>
        <w:t xml:space="preserve"> in the</w:t>
      </w:r>
      <w:r>
        <w:rPr>
          <w:szCs w:val="22"/>
        </w:rPr>
        <w:t xml:space="preserve"> three Florida markets</w:t>
      </w:r>
      <w:r w:rsidR="00104E2F">
        <w:rPr>
          <w:szCs w:val="22"/>
        </w:rPr>
        <w:t xml:space="preserve">, </w:t>
      </w:r>
      <w:r w:rsidR="00DE298E">
        <w:rPr>
          <w:szCs w:val="22"/>
        </w:rPr>
        <w:t>raised no</w:t>
      </w:r>
      <w:r w:rsidR="00F823EF">
        <w:rPr>
          <w:szCs w:val="22"/>
        </w:rPr>
        <w:t xml:space="preserve"> </w:t>
      </w:r>
      <w:r w:rsidR="00104E2F">
        <w:rPr>
          <w:szCs w:val="22"/>
        </w:rPr>
        <w:t>objection</w:t>
      </w:r>
      <w:r>
        <w:rPr>
          <w:szCs w:val="22"/>
        </w:rPr>
        <w:t xml:space="preserve">.  </w:t>
      </w:r>
    </w:p>
    <w:p w:rsidR="0079673B" w:rsidRPr="006635A3" w:rsidRDefault="00B35F8D" w:rsidP="006635A3">
      <w:pPr>
        <w:ind w:firstLine="720"/>
        <w:rPr>
          <w:b/>
          <w:szCs w:val="22"/>
        </w:rPr>
      </w:pPr>
      <w:r>
        <w:rPr>
          <w:szCs w:val="22"/>
        </w:rPr>
        <w:t xml:space="preserve"> </w:t>
      </w:r>
      <w:r w:rsidR="006635A3">
        <w:rPr>
          <w:szCs w:val="22"/>
        </w:rPr>
        <w:t xml:space="preserve">  </w:t>
      </w:r>
    </w:p>
    <w:p w:rsidR="005F32E4" w:rsidRPr="00262ED4" w:rsidRDefault="00104E2F" w:rsidP="009631E6">
      <w:pPr>
        <w:rPr>
          <w:szCs w:val="22"/>
        </w:rPr>
      </w:pPr>
      <w:r>
        <w:rPr>
          <w:szCs w:val="22"/>
        </w:rPr>
        <w:tab/>
      </w:r>
      <w:r w:rsidR="00E5371F" w:rsidRPr="00262ED4">
        <w:rPr>
          <w:szCs w:val="22"/>
        </w:rPr>
        <w:t>Accordingly, w</w:t>
      </w:r>
      <w:r w:rsidR="005F32E4" w:rsidRPr="00262ED4">
        <w:rPr>
          <w:color w:val="000000"/>
          <w:szCs w:val="22"/>
        </w:rPr>
        <w:t xml:space="preserve">e grant </w:t>
      </w:r>
      <w:r w:rsidR="00A3645F">
        <w:rPr>
          <w:color w:val="000000"/>
          <w:szCs w:val="22"/>
        </w:rPr>
        <w:t xml:space="preserve">in part AT&amp;T’s request and will </w:t>
      </w:r>
      <w:r w:rsidR="00A3645F" w:rsidRPr="00A3645F">
        <w:rPr>
          <w:color w:val="000000"/>
          <w:szCs w:val="22"/>
        </w:rPr>
        <w:t>permit</w:t>
      </w:r>
      <w:r w:rsidR="00A3645F">
        <w:rPr>
          <w:color w:val="000000"/>
          <w:szCs w:val="22"/>
        </w:rPr>
        <w:t xml:space="preserve"> </w:t>
      </w:r>
      <w:r w:rsidR="006E3D48" w:rsidRPr="001D393B">
        <w:rPr>
          <w:color w:val="000000"/>
          <w:szCs w:val="22"/>
        </w:rPr>
        <w:t>AT</w:t>
      </w:r>
      <w:r w:rsidR="006E3D48">
        <w:rPr>
          <w:color w:val="000000"/>
          <w:szCs w:val="22"/>
        </w:rPr>
        <w:t xml:space="preserve">&amp;T to utilize the PSD model </w:t>
      </w:r>
      <w:r w:rsidR="00C07261">
        <w:rPr>
          <w:color w:val="000000"/>
          <w:szCs w:val="22"/>
        </w:rPr>
        <w:t xml:space="preserve">in the Cellular B Block </w:t>
      </w:r>
      <w:r w:rsidR="006E3D48">
        <w:rPr>
          <w:color w:val="000000"/>
          <w:szCs w:val="22"/>
        </w:rPr>
        <w:t>at a</w:t>
      </w:r>
      <w:r w:rsidR="00A3645F">
        <w:rPr>
          <w:color w:val="000000"/>
          <w:szCs w:val="22"/>
        </w:rPr>
        <w:t xml:space="preserve">n ERP </w:t>
      </w:r>
      <w:r w:rsidR="006E3D48">
        <w:rPr>
          <w:color w:val="000000"/>
          <w:szCs w:val="22"/>
        </w:rPr>
        <w:t>level of 125 W/MHz</w:t>
      </w:r>
      <w:r w:rsidR="00C02821">
        <w:rPr>
          <w:color w:val="000000"/>
          <w:szCs w:val="22"/>
        </w:rPr>
        <w:t xml:space="preserve">.  </w:t>
      </w:r>
      <w:r w:rsidR="00AD3CC0">
        <w:rPr>
          <w:color w:val="000000"/>
          <w:szCs w:val="22"/>
        </w:rPr>
        <w:t>AT&amp;T’s operation under this waiver</w:t>
      </w:r>
      <w:r w:rsidR="006E3D48">
        <w:rPr>
          <w:color w:val="000000"/>
          <w:szCs w:val="22"/>
        </w:rPr>
        <w:t xml:space="preserve"> is </w:t>
      </w:r>
      <w:r w:rsidR="00A3645F">
        <w:rPr>
          <w:color w:val="000000"/>
          <w:szCs w:val="22"/>
        </w:rPr>
        <w:t>subject to any rule changes resulting from Commission action on</w:t>
      </w:r>
      <w:r w:rsidR="00236F57" w:rsidRPr="00262ED4">
        <w:rPr>
          <w:color w:val="000000"/>
          <w:szCs w:val="22"/>
        </w:rPr>
        <w:t xml:space="preserve"> </w:t>
      </w:r>
      <w:r w:rsidR="005F32E4" w:rsidRPr="00262ED4">
        <w:rPr>
          <w:color w:val="000000"/>
          <w:szCs w:val="22"/>
        </w:rPr>
        <w:t xml:space="preserve">AT&amp;T’s </w:t>
      </w:r>
      <w:r w:rsidR="00540072" w:rsidRPr="00262ED4">
        <w:rPr>
          <w:color w:val="000000"/>
          <w:szCs w:val="22"/>
        </w:rPr>
        <w:t xml:space="preserve">pending Petition </w:t>
      </w:r>
      <w:r w:rsidR="005F32E4" w:rsidRPr="00262ED4">
        <w:rPr>
          <w:color w:val="000000"/>
          <w:szCs w:val="22"/>
        </w:rPr>
        <w:t>to modify the rule</w:t>
      </w:r>
      <w:r w:rsidR="00AD3CC0">
        <w:rPr>
          <w:color w:val="000000"/>
          <w:szCs w:val="22"/>
        </w:rPr>
        <w:t>.  Further, this partial grant of waiver</w:t>
      </w:r>
      <w:r w:rsidR="00A3645F">
        <w:rPr>
          <w:color w:val="000000"/>
          <w:szCs w:val="22"/>
        </w:rPr>
        <w:t xml:space="preserve"> is </w:t>
      </w:r>
      <w:r w:rsidR="005F32E4" w:rsidRPr="00262ED4">
        <w:rPr>
          <w:color w:val="000000"/>
          <w:szCs w:val="22"/>
        </w:rPr>
        <w:t>condition</w:t>
      </w:r>
      <w:r w:rsidR="00AD3CC0">
        <w:rPr>
          <w:color w:val="000000"/>
          <w:szCs w:val="22"/>
        </w:rPr>
        <w:t>ed on</w:t>
      </w:r>
      <w:r w:rsidR="00067049">
        <w:rPr>
          <w:color w:val="000000"/>
          <w:szCs w:val="22"/>
        </w:rPr>
        <w:t xml:space="preserve"> the following</w:t>
      </w:r>
      <w:r w:rsidR="00AD3CC0">
        <w:rPr>
          <w:color w:val="000000"/>
          <w:szCs w:val="22"/>
        </w:rPr>
        <w:t>:</w:t>
      </w:r>
      <w:r w:rsidR="00C07261">
        <w:rPr>
          <w:color w:val="000000"/>
          <w:szCs w:val="22"/>
        </w:rPr>
        <w:t xml:space="preserve"> </w:t>
      </w:r>
    </w:p>
    <w:p w:rsidR="007C3C4A" w:rsidRPr="00262ED4" w:rsidRDefault="007C3C4A" w:rsidP="00571AC8">
      <w:pPr>
        <w:rPr>
          <w:color w:val="000000"/>
          <w:szCs w:val="22"/>
        </w:rPr>
      </w:pPr>
    </w:p>
    <w:p w:rsidR="007C3C4A" w:rsidRPr="00262ED4" w:rsidRDefault="00A8435A" w:rsidP="00A8435A">
      <w:pPr>
        <w:numPr>
          <w:ilvl w:val="0"/>
          <w:numId w:val="25"/>
        </w:numPr>
        <w:rPr>
          <w:color w:val="000000"/>
          <w:szCs w:val="22"/>
        </w:rPr>
      </w:pPr>
      <w:r w:rsidRPr="009631E6">
        <w:rPr>
          <w:color w:val="000000" w:themeColor="text1"/>
          <w:szCs w:val="22"/>
        </w:rPr>
        <w:t>AT&amp;T’s use of a PSD</w:t>
      </w:r>
      <w:r w:rsidR="00540072" w:rsidRPr="009631E6">
        <w:rPr>
          <w:color w:val="000000" w:themeColor="text1"/>
          <w:szCs w:val="22"/>
        </w:rPr>
        <w:t xml:space="preserve"> </w:t>
      </w:r>
      <w:r w:rsidRPr="009631E6">
        <w:rPr>
          <w:color w:val="000000" w:themeColor="text1"/>
          <w:szCs w:val="22"/>
        </w:rPr>
        <w:t xml:space="preserve">model </w:t>
      </w:r>
      <w:r w:rsidR="007C3C4A" w:rsidRPr="009631E6">
        <w:rPr>
          <w:color w:val="000000" w:themeColor="text1"/>
          <w:szCs w:val="22"/>
        </w:rPr>
        <w:t>is limited to</w:t>
      </w:r>
      <w:r w:rsidR="00AD3CC0">
        <w:rPr>
          <w:color w:val="000000" w:themeColor="text1"/>
          <w:szCs w:val="22"/>
        </w:rPr>
        <w:t xml:space="preserve"> </w:t>
      </w:r>
      <w:r w:rsidR="001D393B">
        <w:rPr>
          <w:szCs w:val="22"/>
        </w:rPr>
        <w:t xml:space="preserve">a </w:t>
      </w:r>
      <w:r w:rsidR="001D393B" w:rsidRPr="00A474A4">
        <w:rPr>
          <w:color w:val="000000"/>
          <w:szCs w:val="22"/>
        </w:rPr>
        <w:t xml:space="preserve">maximum ERP </w:t>
      </w:r>
      <w:r w:rsidR="001D393B" w:rsidRPr="00A474A4">
        <w:rPr>
          <w:szCs w:val="22"/>
        </w:rPr>
        <w:t>limit of 125 Watts/MHz</w:t>
      </w:r>
      <w:r w:rsidR="001D393B">
        <w:rPr>
          <w:color w:val="000000" w:themeColor="text1"/>
          <w:szCs w:val="22"/>
        </w:rPr>
        <w:t xml:space="preserve"> </w:t>
      </w:r>
      <w:r w:rsidR="00212137">
        <w:rPr>
          <w:color w:val="000000" w:themeColor="text1"/>
          <w:szCs w:val="22"/>
        </w:rPr>
        <w:t xml:space="preserve">using LTE as described in AT&amp;T’s Waiver Request </w:t>
      </w:r>
      <w:r w:rsidR="001D393B">
        <w:rPr>
          <w:color w:val="000000" w:themeColor="text1"/>
          <w:szCs w:val="22"/>
        </w:rPr>
        <w:t xml:space="preserve">and only applies to </w:t>
      </w:r>
      <w:r w:rsidR="00AD3CC0">
        <w:rPr>
          <w:color w:val="000000" w:themeColor="text1"/>
          <w:szCs w:val="22"/>
        </w:rPr>
        <w:t>those</w:t>
      </w:r>
      <w:r w:rsidR="007C3C4A" w:rsidRPr="009631E6">
        <w:rPr>
          <w:color w:val="000000" w:themeColor="text1"/>
          <w:szCs w:val="22"/>
        </w:rPr>
        <w:t xml:space="preserve"> </w:t>
      </w:r>
      <w:r w:rsidRPr="009631E6">
        <w:rPr>
          <w:color w:val="000000" w:themeColor="text1"/>
          <w:szCs w:val="22"/>
        </w:rPr>
        <w:t>Florida Stations</w:t>
      </w:r>
      <w:r w:rsidR="008E112D" w:rsidRPr="009631E6">
        <w:rPr>
          <w:color w:val="000000" w:themeColor="text1"/>
          <w:szCs w:val="22"/>
        </w:rPr>
        <w:t xml:space="preserve"> operating in the </w:t>
      </w:r>
      <w:r w:rsidR="006E3D48">
        <w:rPr>
          <w:color w:val="000000" w:themeColor="text1"/>
          <w:szCs w:val="22"/>
        </w:rPr>
        <w:t>C</w:t>
      </w:r>
      <w:r w:rsidR="002E0CFB" w:rsidRPr="009631E6">
        <w:rPr>
          <w:color w:val="000000" w:themeColor="text1"/>
          <w:szCs w:val="22"/>
        </w:rPr>
        <w:t xml:space="preserve">ellular </w:t>
      </w:r>
      <w:r w:rsidR="0087486F" w:rsidRPr="009631E6">
        <w:rPr>
          <w:color w:val="000000" w:themeColor="text1"/>
          <w:szCs w:val="22"/>
        </w:rPr>
        <w:t>B</w:t>
      </w:r>
      <w:r w:rsidR="008E112D" w:rsidRPr="009631E6">
        <w:rPr>
          <w:color w:val="000000" w:themeColor="text1"/>
          <w:szCs w:val="22"/>
        </w:rPr>
        <w:t xml:space="preserve"> Block</w:t>
      </w:r>
      <w:r w:rsidRPr="00262ED4">
        <w:rPr>
          <w:color w:val="000000"/>
          <w:szCs w:val="22"/>
        </w:rPr>
        <w:t xml:space="preserve">, as follows:  </w:t>
      </w:r>
      <w:r w:rsidR="00737FC2" w:rsidRPr="00262ED4">
        <w:rPr>
          <w:szCs w:val="22"/>
        </w:rPr>
        <w:t xml:space="preserve">West Palm Beach (CMA 72), </w:t>
      </w:r>
      <w:r w:rsidR="00056BDE">
        <w:rPr>
          <w:szCs w:val="22"/>
        </w:rPr>
        <w:t>Call sign</w:t>
      </w:r>
      <w:r w:rsidR="00056BDE" w:rsidRPr="00262ED4">
        <w:rPr>
          <w:szCs w:val="22"/>
        </w:rPr>
        <w:t xml:space="preserve"> </w:t>
      </w:r>
      <w:r w:rsidR="00737FC2" w:rsidRPr="00262ED4">
        <w:rPr>
          <w:szCs w:val="22"/>
        </w:rPr>
        <w:t xml:space="preserve">KNKA264; Miami (CMA 12), </w:t>
      </w:r>
      <w:r w:rsidR="00056BDE">
        <w:rPr>
          <w:szCs w:val="22"/>
        </w:rPr>
        <w:t>Call sign</w:t>
      </w:r>
      <w:r w:rsidR="00056BDE" w:rsidRPr="00262ED4">
        <w:rPr>
          <w:szCs w:val="22"/>
        </w:rPr>
        <w:t xml:space="preserve"> </w:t>
      </w:r>
      <w:r w:rsidR="00737FC2" w:rsidRPr="00262ED4">
        <w:rPr>
          <w:szCs w:val="22"/>
        </w:rPr>
        <w:t xml:space="preserve">KNKA225; and Monroe, FL-11 (CMA 370), </w:t>
      </w:r>
      <w:r w:rsidR="00056BDE">
        <w:rPr>
          <w:szCs w:val="22"/>
        </w:rPr>
        <w:t>Call sign</w:t>
      </w:r>
      <w:r w:rsidR="00056BDE" w:rsidRPr="00262ED4">
        <w:rPr>
          <w:szCs w:val="22"/>
        </w:rPr>
        <w:t xml:space="preserve"> </w:t>
      </w:r>
      <w:r w:rsidR="00737FC2" w:rsidRPr="00262ED4">
        <w:rPr>
          <w:szCs w:val="22"/>
        </w:rPr>
        <w:t>KNKN793.</w:t>
      </w:r>
    </w:p>
    <w:p w:rsidR="00737FC2" w:rsidRPr="00262ED4" w:rsidRDefault="00737FC2" w:rsidP="00737FC2">
      <w:pPr>
        <w:ind w:left="1080"/>
        <w:rPr>
          <w:color w:val="000000"/>
          <w:szCs w:val="22"/>
        </w:rPr>
      </w:pPr>
    </w:p>
    <w:p w:rsidR="00056BDE" w:rsidRDefault="00BF6F6D" w:rsidP="00BF6F6D">
      <w:pPr>
        <w:numPr>
          <w:ilvl w:val="0"/>
          <w:numId w:val="25"/>
        </w:numPr>
        <w:rPr>
          <w:szCs w:val="22"/>
        </w:rPr>
      </w:pPr>
      <w:r w:rsidRPr="00262ED4">
        <w:rPr>
          <w:szCs w:val="22"/>
        </w:rPr>
        <w:t xml:space="preserve">Before </w:t>
      </w:r>
      <w:r w:rsidR="003A1A09">
        <w:rPr>
          <w:szCs w:val="22"/>
        </w:rPr>
        <w:t>deploying</w:t>
      </w:r>
      <w:r w:rsidR="00523A51">
        <w:rPr>
          <w:szCs w:val="22"/>
        </w:rPr>
        <w:t xml:space="preserve"> </w:t>
      </w:r>
      <w:r w:rsidR="00067049">
        <w:rPr>
          <w:szCs w:val="22"/>
        </w:rPr>
        <w:t xml:space="preserve">a </w:t>
      </w:r>
      <w:r w:rsidR="007F39EF">
        <w:rPr>
          <w:szCs w:val="22"/>
        </w:rPr>
        <w:t>base statio</w:t>
      </w:r>
      <w:r w:rsidR="00DD1941">
        <w:rPr>
          <w:szCs w:val="22"/>
        </w:rPr>
        <w:t>n</w:t>
      </w:r>
      <w:r w:rsidR="00E1566C">
        <w:rPr>
          <w:szCs w:val="22"/>
        </w:rPr>
        <w:t xml:space="preserve"> </w:t>
      </w:r>
      <w:r w:rsidR="00067049" w:rsidRPr="00262ED4">
        <w:rPr>
          <w:szCs w:val="22"/>
        </w:rPr>
        <w:t>w</w:t>
      </w:r>
      <w:r w:rsidR="00067049">
        <w:rPr>
          <w:szCs w:val="22"/>
        </w:rPr>
        <w:t>ith</w:t>
      </w:r>
      <w:r w:rsidR="00067049" w:rsidRPr="00262ED4">
        <w:rPr>
          <w:szCs w:val="22"/>
        </w:rPr>
        <w:t xml:space="preserve"> </w:t>
      </w:r>
      <w:r w:rsidRPr="00262ED4">
        <w:rPr>
          <w:szCs w:val="22"/>
        </w:rPr>
        <w:t xml:space="preserve">power specified in terms of </w:t>
      </w:r>
      <w:r w:rsidR="007E742C">
        <w:rPr>
          <w:szCs w:val="22"/>
        </w:rPr>
        <w:t>PSD</w:t>
      </w:r>
      <w:r w:rsidR="00067049">
        <w:rPr>
          <w:szCs w:val="22"/>
        </w:rPr>
        <w:t xml:space="preserve"> under this waiver</w:t>
      </w:r>
      <w:r w:rsidRPr="00262ED4">
        <w:rPr>
          <w:szCs w:val="22"/>
        </w:rPr>
        <w:t xml:space="preserve">, AT&amp;T shall provide a minimum of </w:t>
      </w:r>
      <w:r w:rsidR="001D393B">
        <w:rPr>
          <w:szCs w:val="22"/>
        </w:rPr>
        <w:t>thirty (30)</w:t>
      </w:r>
      <w:r w:rsidR="001D393B" w:rsidRPr="00262ED4">
        <w:rPr>
          <w:b/>
          <w:szCs w:val="22"/>
        </w:rPr>
        <w:t xml:space="preserve"> </w:t>
      </w:r>
      <w:r w:rsidRPr="00262ED4">
        <w:rPr>
          <w:szCs w:val="22"/>
        </w:rPr>
        <w:t xml:space="preserve">days written advance notice to </w:t>
      </w:r>
      <w:r w:rsidR="001D393B">
        <w:rPr>
          <w:szCs w:val="22"/>
        </w:rPr>
        <w:t>any</w:t>
      </w:r>
      <w:r w:rsidRPr="00262ED4">
        <w:rPr>
          <w:szCs w:val="22"/>
        </w:rPr>
        <w:t xml:space="preserve"> public safety</w:t>
      </w:r>
      <w:r w:rsidR="001D393B">
        <w:rPr>
          <w:rStyle w:val="FootnoteReference"/>
          <w:szCs w:val="22"/>
        </w:rPr>
        <w:footnoteReference w:id="48"/>
      </w:r>
      <w:r w:rsidRPr="00262ED4">
        <w:rPr>
          <w:szCs w:val="22"/>
        </w:rPr>
        <w:t xml:space="preserve"> </w:t>
      </w:r>
      <w:r w:rsidR="001D393B">
        <w:rPr>
          <w:szCs w:val="22"/>
        </w:rPr>
        <w:t>licensee</w:t>
      </w:r>
      <w:r w:rsidR="00067049">
        <w:rPr>
          <w:szCs w:val="22"/>
        </w:rPr>
        <w:t xml:space="preserve"> authorized</w:t>
      </w:r>
      <w:r w:rsidR="00067049" w:rsidRPr="00262ED4">
        <w:rPr>
          <w:szCs w:val="22"/>
        </w:rPr>
        <w:t xml:space="preserve"> in the frequency range 806-8</w:t>
      </w:r>
      <w:r w:rsidR="00067049">
        <w:rPr>
          <w:szCs w:val="22"/>
        </w:rPr>
        <w:t>24</w:t>
      </w:r>
      <w:r w:rsidR="00067049" w:rsidRPr="00262ED4">
        <w:rPr>
          <w:szCs w:val="22"/>
        </w:rPr>
        <w:t xml:space="preserve"> MHz/851-86</w:t>
      </w:r>
      <w:r w:rsidR="00067049">
        <w:rPr>
          <w:szCs w:val="22"/>
        </w:rPr>
        <w:t>9</w:t>
      </w:r>
      <w:r w:rsidR="00067049" w:rsidRPr="00262ED4">
        <w:rPr>
          <w:szCs w:val="22"/>
        </w:rPr>
        <w:t xml:space="preserve"> MHz</w:t>
      </w:r>
      <w:r w:rsidR="00067049" w:rsidRPr="00262ED4" w:rsidDel="001D393B">
        <w:rPr>
          <w:szCs w:val="22"/>
        </w:rPr>
        <w:t xml:space="preserve"> </w:t>
      </w:r>
      <w:r w:rsidR="001D393B">
        <w:rPr>
          <w:szCs w:val="22"/>
        </w:rPr>
        <w:t xml:space="preserve">with </w:t>
      </w:r>
      <w:r w:rsidR="00067049">
        <w:rPr>
          <w:szCs w:val="22"/>
        </w:rPr>
        <w:t xml:space="preserve">a </w:t>
      </w:r>
      <w:r w:rsidR="001D393B">
        <w:rPr>
          <w:szCs w:val="22"/>
        </w:rPr>
        <w:t>base station</w:t>
      </w:r>
      <w:r w:rsidR="00067049">
        <w:rPr>
          <w:szCs w:val="22"/>
        </w:rPr>
        <w:t>(</w:t>
      </w:r>
      <w:r w:rsidR="001D393B">
        <w:rPr>
          <w:szCs w:val="22"/>
        </w:rPr>
        <w:t>s</w:t>
      </w:r>
      <w:r w:rsidR="00067049">
        <w:rPr>
          <w:szCs w:val="22"/>
        </w:rPr>
        <w:t>)</w:t>
      </w:r>
      <w:r w:rsidR="001D393B">
        <w:rPr>
          <w:szCs w:val="22"/>
        </w:rPr>
        <w:t xml:space="preserve"> located within a radius of 113 km</w:t>
      </w:r>
      <w:r w:rsidR="005955CA">
        <w:rPr>
          <w:rStyle w:val="FootnoteReference"/>
          <w:szCs w:val="22"/>
        </w:rPr>
        <w:footnoteReference w:id="49"/>
      </w:r>
      <w:r w:rsidR="001D393B">
        <w:rPr>
          <w:szCs w:val="22"/>
        </w:rPr>
        <w:t xml:space="preserve"> </w:t>
      </w:r>
      <w:r w:rsidR="00067049">
        <w:rPr>
          <w:szCs w:val="22"/>
        </w:rPr>
        <w:t>of the base station to be deployed.</w:t>
      </w:r>
      <w:r w:rsidR="00523A51">
        <w:rPr>
          <w:szCs w:val="22"/>
        </w:rPr>
        <w:t xml:space="preserve">  </w:t>
      </w:r>
      <w:r w:rsidR="00067049">
        <w:rPr>
          <w:szCs w:val="22"/>
        </w:rPr>
        <w:t>The</w:t>
      </w:r>
      <w:r w:rsidR="00067049" w:rsidRPr="00262ED4">
        <w:rPr>
          <w:szCs w:val="22"/>
        </w:rPr>
        <w:t xml:space="preserve"> </w:t>
      </w:r>
      <w:r w:rsidRPr="00262ED4">
        <w:rPr>
          <w:szCs w:val="22"/>
        </w:rPr>
        <w:t xml:space="preserve">written notice shall specify (a) the location of the </w:t>
      </w:r>
      <w:r w:rsidR="007F39EF">
        <w:rPr>
          <w:szCs w:val="22"/>
        </w:rPr>
        <w:t>base station</w:t>
      </w:r>
      <w:r w:rsidR="00E1566C">
        <w:rPr>
          <w:szCs w:val="22"/>
        </w:rPr>
        <w:t>(s)</w:t>
      </w:r>
      <w:r w:rsidRPr="00262ED4">
        <w:rPr>
          <w:szCs w:val="22"/>
        </w:rPr>
        <w:t xml:space="preserve"> by geographical coordinates and street intersection or address, (b) the height above ground level of the radiation center of the </w:t>
      </w:r>
      <w:r w:rsidR="007F39EF">
        <w:rPr>
          <w:szCs w:val="22"/>
        </w:rPr>
        <w:t>base station</w:t>
      </w:r>
      <w:r w:rsidR="00E1566C">
        <w:rPr>
          <w:szCs w:val="22"/>
        </w:rPr>
        <w:t>(s)</w:t>
      </w:r>
      <w:r w:rsidRPr="00262ED4">
        <w:rPr>
          <w:szCs w:val="22"/>
        </w:rPr>
        <w:t xml:space="preserve"> antenna(s) and the amount of beam tilt, if any, (c) the date and time when the </w:t>
      </w:r>
      <w:r w:rsidR="007F39EF">
        <w:rPr>
          <w:szCs w:val="22"/>
        </w:rPr>
        <w:t>base station</w:t>
      </w:r>
      <w:r w:rsidR="00E1566C">
        <w:rPr>
          <w:szCs w:val="22"/>
        </w:rPr>
        <w:t>(s)</w:t>
      </w:r>
      <w:r w:rsidRPr="00262ED4">
        <w:rPr>
          <w:szCs w:val="22"/>
        </w:rPr>
        <w:t xml:space="preserve"> will be activated, and (d) a telephone number monitored 24 hours a day </w:t>
      </w:r>
      <w:r w:rsidR="00067049">
        <w:rPr>
          <w:szCs w:val="22"/>
        </w:rPr>
        <w:t>to</w:t>
      </w:r>
      <w:r w:rsidR="00067049" w:rsidRPr="00262ED4">
        <w:rPr>
          <w:szCs w:val="22"/>
        </w:rPr>
        <w:t xml:space="preserve"> </w:t>
      </w:r>
      <w:r w:rsidRPr="00262ED4">
        <w:rPr>
          <w:szCs w:val="22"/>
        </w:rPr>
        <w:t>advis</w:t>
      </w:r>
      <w:r w:rsidR="00067049">
        <w:rPr>
          <w:szCs w:val="22"/>
        </w:rPr>
        <w:t>e</w:t>
      </w:r>
      <w:r w:rsidRPr="00262ED4">
        <w:rPr>
          <w:szCs w:val="22"/>
        </w:rPr>
        <w:t xml:space="preserve"> AT&amp;T of any resulting interference.</w:t>
      </w:r>
    </w:p>
    <w:p w:rsidR="00056BDE" w:rsidRDefault="00056BDE" w:rsidP="00056BDE">
      <w:pPr>
        <w:pStyle w:val="ListParagraph"/>
        <w:rPr>
          <w:szCs w:val="22"/>
        </w:rPr>
      </w:pPr>
    </w:p>
    <w:p w:rsidR="00BF6F6D" w:rsidRPr="00262ED4" w:rsidRDefault="00BF6F6D" w:rsidP="00BF6F6D">
      <w:pPr>
        <w:numPr>
          <w:ilvl w:val="0"/>
          <w:numId w:val="25"/>
        </w:numPr>
        <w:rPr>
          <w:szCs w:val="22"/>
        </w:rPr>
      </w:pPr>
      <w:r w:rsidRPr="00262ED4">
        <w:rPr>
          <w:szCs w:val="22"/>
        </w:rPr>
        <w:t xml:space="preserve">If AT&amp;T receives a report that such </w:t>
      </w:r>
      <w:r w:rsidR="007F39EF">
        <w:rPr>
          <w:szCs w:val="22"/>
        </w:rPr>
        <w:t>base station</w:t>
      </w:r>
      <w:r w:rsidR="00E1566C">
        <w:rPr>
          <w:szCs w:val="22"/>
        </w:rPr>
        <w:t>(s)</w:t>
      </w:r>
      <w:r w:rsidRPr="00262ED4">
        <w:rPr>
          <w:szCs w:val="22"/>
        </w:rPr>
        <w:t xml:space="preserve"> or is </w:t>
      </w:r>
      <w:r w:rsidR="00067049">
        <w:rPr>
          <w:szCs w:val="22"/>
        </w:rPr>
        <w:t xml:space="preserve">causing harmful </w:t>
      </w:r>
      <w:r w:rsidRPr="00262ED4">
        <w:rPr>
          <w:szCs w:val="22"/>
        </w:rPr>
        <w:t>interfering with a public safety licensee, it shall</w:t>
      </w:r>
      <w:r w:rsidR="001D393B">
        <w:rPr>
          <w:b/>
          <w:szCs w:val="22"/>
        </w:rPr>
        <w:t xml:space="preserve"> </w:t>
      </w:r>
      <w:r w:rsidR="001D393B" w:rsidRPr="00523A51">
        <w:rPr>
          <w:szCs w:val="22"/>
        </w:rPr>
        <w:t xml:space="preserve">immediately </w:t>
      </w:r>
      <w:r w:rsidRPr="00262ED4">
        <w:rPr>
          <w:szCs w:val="22"/>
        </w:rPr>
        <w:t xml:space="preserve">suspend operation </w:t>
      </w:r>
      <w:r w:rsidR="00212137">
        <w:rPr>
          <w:szCs w:val="22"/>
        </w:rPr>
        <w:t xml:space="preserve">under this waiver </w:t>
      </w:r>
      <w:r w:rsidRPr="00262ED4">
        <w:rPr>
          <w:szCs w:val="22"/>
        </w:rPr>
        <w:t xml:space="preserve">of such </w:t>
      </w:r>
      <w:r w:rsidR="007F39EF">
        <w:rPr>
          <w:szCs w:val="22"/>
        </w:rPr>
        <w:t>base station</w:t>
      </w:r>
      <w:r w:rsidR="00E1566C">
        <w:rPr>
          <w:szCs w:val="22"/>
        </w:rPr>
        <w:t>(s)</w:t>
      </w:r>
      <w:r w:rsidRPr="00262ED4">
        <w:rPr>
          <w:szCs w:val="22"/>
        </w:rPr>
        <w:t xml:space="preserve"> except for test transmissions to identify and eliminate the interference.  </w:t>
      </w:r>
      <w:r w:rsidR="00DD1941">
        <w:rPr>
          <w:szCs w:val="22"/>
        </w:rPr>
        <w:t xml:space="preserve">AT&amp;T may resume operation </w:t>
      </w:r>
      <w:r w:rsidR="00212137">
        <w:rPr>
          <w:szCs w:val="22"/>
        </w:rPr>
        <w:t xml:space="preserve">under this waiver </w:t>
      </w:r>
      <w:r w:rsidR="00DD1941">
        <w:rPr>
          <w:szCs w:val="22"/>
        </w:rPr>
        <w:t>of such base station</w:t>
      </w:r>
      <w:r w:rsidR="00E1566C">
        <w:rPr>
          <w:szCs w:val="22"/>
        </w:rPr>
        <w:t>(s)</w:t>
      </w:r>
      <w:r w:rsidR="00DD1941">
        <w:rPr>
          <w:szCs w:val="22"/>
        </w:rPr>
        <w:t xml:space="preserve"> after the interference has been </w:t>
      </w:r>
      <w:r w:rsidR="00067049">
        <w:rPr>
          <w:szCs w:val="22"/>
        </w:rPr>
        <w:t xml:space="preserve">successfully </w:t>
      </w:r>
      <w:r w:rsidR="00DD1941">
        <w:rPr>
          <w:szCs w:val="22"/>
        </w:rPr>
        <w:t xml:space="preserve">mitigated. </w:t>
      </w:r>
      <w:r w:rsidR="00056BDE">
        <w:rPr>
          <w:szCs w:val="22"/>
        </w:rPr>
        <w:t xml:space="preserve"> </w:t>
      </w:r>
      <w:r w:rsidRPr="00262ED4">
        <w:rPr>
          <w:szCs w:val="22"/>
        </w:rPr>
        <w:t xml:space="preserve">This condition shall remain in effect until further action of the Commission, and is in addition to, not a replacement for, AT&amp;T’s obligations pursuant to 47 C.F.R. §§ </w:t>
      </w:r>
      <w:r w:rsidR="008E3144">
        <w:rPr>
          <w:szCs w:val="22"/>
        </w:rPr>
        <w:t>22.971</w:t>
      </w:r>
      <w:r w:rsidRPr="00262ED4">
        <w:rPr>
          <w:szCs w:val="22"/>
        </w:rPr>
        <w:t xml:space="preserve"> and </w:t>
      </w:r>
      <w:r w:rsidR="008E3144">
        <w:rPr>
          <w:szCs w:val="22"/>
        </w:rPr>
        <w:t>22.972</w:t>
      </w:r>
      <w:r w:rsidRPr="00262ED4">
        <w:rPr>
          <w:szCs w:val="22"/>
        </w:rPr>
        <w:t xml:space="preserve">. </w:t>
      </w:r>
    </w:p>
    <w:p w:rsidR="007B475A" w:rsidRPr="00262ED4" w:rsidRDefault="00605B98" w:rsidP="00BF6F6D">
      <w:pPr>
        <w:ind w:left="1080" w:right="720"/>
        <w:rPr>
          <w:color w:val="000000"/>
          <w:szCs w:val="22"/>
        </w:rPr>
      </w:pPr>
      <w:r w:rsidRPr="00262ED4">
        <w:rPr>
          <w:b/>
          <w:color w:val="000000"/>
          <w:szCs w:val="22"/>
        </w:rPr>
        <w:t xml:space="preserve"> </w:t>
      </w:r>
    </w:p>
    <w:p w:rsidR="00212137" w:rsidRPr="00212137" w:rsidRDefault="005F02C0" w:rsidP="00212137">
      <w:pPr>
        <w:numPr>
          <w:ilvl w:val="0"/>
          <w:numId w:val="25"/>
        </w:numPr>
        <w:rPr>
          <w:color w:val="000000"/>
          <w:szCs w:val="22"/>
        </w:rPr>
      </w:pPr>
      <w:r w:rsidRPr="00212137">
        <w:rPr>
          <w:color w:val="000000"/>
          <w:szCs w:val="22"/>
        </w:rPr>
        <w:t>AT&amp;T</w:t>
      </w:r>
      <w:r w:rsidR="00212137" w:rsidRPr="00212137">
        <w:rPr>
          <w:color w:val="000000"/>
          <w:szCs w:val="22"/>
        </w:rPr>
        <w:t xml:space="preserve"> must coordinate with adjacent channel and neighboring co-channel cellular licensees prior to commencing operation under this waiver, and must cease operation under this waiver upon receipt of a complaint of harmful interference until such interference concerns are </w:t>
      </w:r>
      <w:r w:rsidR="00E03DC9">
        <w:rPr>
          <w:color w:val="000000"/>
          <w:szCs w:val="22"/>
        </w:rPr>
        <w:t>mitigated</w:t>
      </w:r>
      <w:r w:rsidR="00212137" w:rsidRPr="00212137">
        <w:rPr>
          <w:color w:val="000000"/>
          <w:szCs w:val="22"/>
        </w:rPr>
        <w:t>.</w:t>
      </w:r>
    </w:p>
    <w:p w:rsidR="00056BDE" w:rsidRPr="00212137" w:rsidRDefault="007B475A" w:rsidP="00212137">
      <w:pPr>
        <w:ind w:left="1080"/>
        <w:rPr>
          <w:color w:val="000000"/>
          <w:szCs w:val="22"/>
        </w:rPr>
      </w:pPr>
      <w:r w:rsidRPr="00212137">
        <w:rPr>
          <w:color w:val="000000"/>
          <w:szCs w:val="22"/>
        </w:rPr>
        <w:t xml:space="preserve"> </w:t>
      </w:r>
    </w:p>
    <w:p w:rsidR="00BF760F" w:rsidRDefault="008856F3" w:rsidP="00BF760F">
      <w:pPr>
        <w:ind w:firstLine="720"/>
        <w:rPr>
          <w:b/>
          <w:szCs w:val="22"/>
        </w:rPr>
      </w:pPr>
      <w:r w:rsidRPr="009631E6">
        <w:rPr>
          <w:color w:val="000000"/>
          <w:szCs w:val="22"/>
        </w:rPr>
        <w:t xml:space="preserve">We </w:t>
      </w:r>
      <w:r w:rsidR="00175292">
        <w:rPr>
          <w:color w:val="000000"/>
          <w:szCs w:val="22"/>
        </w:rPr>
        <w:t>understand</w:t>
      </w:r>
      <w:r w:rsidR="00175292" w:rsidRPr="009631E6">
        <w:rPr>
          <w:color w:val="000000"/>
          <w:szCs w:val="22"/>
        </w:rPr>
        <w:t xml:space="preserve"> </w:t>
      </w:r>
      <w:r w:rsidRPr="009631E6">
        <w:rPr>
          <w:color w:val="000000"/>
          <w:szCs w:val="22"/>
        </w:rPr>
        <w:t xml:space="preserve">that the City of West Palm Beach </w:t>
      </w:r>
      <w:r w:rsidR="00175292">
        <w:rPr>
          <w:color w:val="000000"/>
          <w:szCs w:val="22"/>
        </w:rPr>
        <w:t>has not</w:t>
      </w:r>
      <w:r w:rsidRPr="009631E6">
        <w:rPr>
          <w:color w:val="000000"/>
          <w:szCs w:val="22"/>
        </w:rPr>
        <w:t xml:space="preserve"> withdraw</w:t>
      </w:r>
      <w:r w:rsidR="00175292">
        <w:rPr>
          <w:color w:val="000000"/>
          <w:szCs w:val="22"/>
        </w:rPr>
        <w:t>n</w:t>
      </w:r>
      <w:r w:rsidRPr="009631E6">
        <w:rPr>
          <w:color w:val="000000"/>
          <w:szCs w:val="22"/>
        </w:rPr>
        <w:t xml:space="preserve"> its objection to </w:t>
      </w:r>
      <w:r w:rsidR="005B6E8A">
        <w:rPr>
          <w:color w:val="000000"/>
          <w:szCs w:val="22"/>
        </w:rPr>
        <w:t>a grant of waiver relief to AT&amp;T at the requested ERP level of 250 W/MHz</w:t>
      </w:r>
      <w:r w:rsidRPr="009631E6">
        <w:rPr>
          <w:color w:val="000000"/>
          <w:szCs w:val="22"/>
        </w:rPr>
        <w:t xml:space="preserve">.  </w:t>
      </w:r>
      <w:r w:rsidR="00BF760F">
        <w:rPr>
          <w:szCs w:val="22"/>
        </w:rPr>
        <w:t>However, AT&amp;T has completed successful testing at 125 W/MHz with the majority of the public safety entities operating near the Florida Stations, and the City of West Palm Beach has not provided</w:t>
      </w:r>
      <w:r w:rsidR="00BF760F">
        <w:rPr>
          <w:i/>
          <w:szCs w:val="22"/>
        </w:rPr>
        <w:t xml:space="preserve"> </w:t>
      </w:r>
      <w:r w:rsidR="00BF760F">
        <w:rPr>
          <w:szCs w:val="22"/>
        </w:rPr>
        <w:t xml:space="preserve">any comments or technical showing on the record demonstrating that this lower power level will cause harmful interference.  We stress that we will consider expansion of the granted waiver relief in order for AT&amp;T to increase its power levels for the B block Florida Stations to those sought in the Waiver Request, 250 Watts/MHz in urban areas and 500 Watts/MHz in rural areas, or to use the PSD model </w:t>
      </w:r>
      <w:r w:rsidR="008D4991">
        <w:rPr>
          <w:szCs w:val="22"/>
        </w:rPr>
        <w:t>to measure ERP</w:t>
      </w:r>
      <w:r w:rsidR="00BF760F">
        <w:rPr>
          <w:szCs w:val="22"/>
        </w:rPr>
        <w:t xml:space="preserve"> for the Cellular A Block Florida Stations, </w:t>
      </w:r>
      <w:r w:rsidR="001321C1">
        <w:rPr>
          <w:szCs w:val="22"/>
        </w:rPr>
        <w:t xml:space="preserve">provided </w:t>
      </w:r>
      <w:r w:rsidR="00BF760F">
        <w:rPr>
          <w:szCs w:val="22"/>
        </w:rPr>
        <w:t>AT&amp;T make</w:t>
      </w:r>
      <w:r w:rsidR="001321C1">
        <w:rPr>
          <w:szCs w:val="22"/>
        </w:rPr>
        <w:t>s</w:t>
      </w:r>
      <w:r w:rsidR="00BF760F">
        <w:rPr>
          <w:szCs w:val="22"/>
        </w:rPr>
        <w:t xml:space="preserve"> a</w:t>
      </w:r>
      <w:r w:rsidR="001321C1">
        <w:rPr>
          <w:szCs w:val="22"/>
        </w:rPr>
        <w:t>n adequate</w:t>
      </w:r>
      <w:r w:rsidR="00BF760F">
        <w:rPr>
          <w:szCs w:val="22"/>
        </w:rPr>
        <w:t xml:space="preserve"> showing that it has completed successful testing with </w:t>
      </w:r>
      <w:r w:rsidR="00BF760F" w:rsidRPr="00F823EF">
        <w:rPr>
          <w:szCs w:val="22"/>
          <w:u w:val="single"/>
        </w:rPr>
        <w:t>any</w:t>
      </w:r>
      <w:r w:rsidR="00BF760F">
        <w:rPr>
          <w:szCs w:val="22"/>
        </w:rPr>
        <w:t xml:space="preserve"> public safety entity that has submitted objections on the record to AT&amp;T’s use of the PSD model in this proceeding.</w:t>
      </w:r>
    </w:p>
    <w:p w:rsidR="005B0808" w:rsidRDefault="005B0808" w:rsidP="00540072">
      <w:pPr>
        <w:ind w:right="720" w:firstLine="720"/>
        <w:rPr>
          <w:b/>
          <w:szCs w:val="22"/>
        </w:rPr>
      </w:pPr>
    </w:p>
    <w:p w:rsidR="00964E77" w:rsidRDefault="00530A87" w:rsidP="0075441A">
      <w:pPr>
        <w:ind w:firstLine="720"/>
        <w:rPr>
          <w:szCs w:val="22"/>
        </w:rPr>
      </w:pPr>
      <w:r w:rsidRPr="00262ED4">
        <w:rPr>
          <w:szCs w:val="22"/>
        </w:rPr>
        <w:t xml:space="preserve">We conclude that the relief we grant today </w:t>
      </w:r>
      <w:r w:rsidR="00286605">
        <w:rPr>
          <w:szCs w:val="22"/>
        </w:rPr>
        <w:t xml:space="preserve">strikes </w:t>
      </w:r>
      <w:r w:rsidR="00671EB7">
        <w:rPr>
          <w:szCs w:val="22"/>
        </w:rPr>
        <w:t xml:space="preserve">an </w:t>
      </w:r>
      <w:r w:rsidR="00286605">
        <w:rPr>
          <w:szCs w:val="22"/>
        </w:rPr>
        <w:t>appropriate balance</w:t>
      </w:r>
      <w:r w:rsidR="00671EB7">
        <w:rPr>
          <w:szCs w:val="22"/>
        </w:rPr>
        <w:t xml:space="preserve"> in the public interest by </w:t>
      </w:r>
      <w:r w:rsidRPr="00262ED4">
        <w:rPr>
          <w:szCs w:val="22"/>
        </w:rPr>
        <w:t>enabl</w:t>
      </w:r>
      <w:r w:rsidR="00671EB7">
        <w:rPr>
          <w:szCs w:val="22"/>
        </w:rPr>
        <w:t>ing</w:t>
      </w:r>
      <w:r w:rsidRPr="00262ED4">
        <w:rPr>
          <w:szCs w:val="22"/>
        </w:rPr>
        <w:t xml:space="preserve"> AT&amp;T to deploy LTE </w:t>
      </w:r>
      <w:r w:rsidR="00BF760F">
        <w:rPr>
          <w:szCs w:val="22"/>
        </w:rPr>
        <w:t xml:space="preserve">using </w:t>
      </w:r>
      <w:r w:rsidRPr="00262ED4">
        <w:rPr>
          <w:szCs w:val="22"/>
        </w:rPr>
        <w:t xml:space="preserve">the </w:t>
      </w:r>
      <w:r w:rsidR="00083382">
        <w:rPr>
          <w:szCs w:val="22"/>
        </w:rPr>
        <w:t xml:space="preserve">Cellular B Block </w:t>
      </w:r>
      <w:r w:rsidRPr="00262ED4">
        <w:rPr>
          <w:szCs w:val="22"/>
        </w:rPr>
        <w:t>Florida Stations</w:t>
      </w:r>
      <w:r w:rsidR="00671EB7">
        <w:rPr>
          <w:szCs w:val="22"/>
        </w:rPr>
        <w:t xml:space="preserve"> and</w:t>
      </w:r>
      <w:r w:rsidR="00EF0642">
        <w:rPr>
          <w:szCs w:val="22"/>
        </w:rPr>
        <w:t xml:space="preserve"> </w:t>
      </w:r>
      <w:r w:rsidRPr="00262ED4">
        <w:rPr>
          <w:szCs w:val="22"/>
        </w:rPr>
        <w:t>allow</w:t>
      </w:r>
      <w:r w:rsidR="00EF0642">
        <w:rPr>
          <w:szCs w:val="22"/>
        </w:rPr>
        <w:t>ing</w:t>
      </w:r>
      <w:r w:rsidRPr="00262ED4">
        <w:rPr>
          <w:szCs w:val="22"/>
        </w:rPr>
        <w:t xml:space="preserve"> it to mak</w:t>
      </w:r>
      <w:r w:rsidR="00671EB7">
        <w:rPr>
          <w:szCs w:val="22"/>
        </w:rPr>
        <w:t>e</w:t>
      </w:r>
      <w:r w:rsidRPr="00262ED4">
        <w:rPr>
          <w:szCs w:val="22"/>
        </w:rPr>
        <w:t xml:space="preserve"> more effective use of the spectrum </w:t>
      </w:r>
      <w:r w:rsidR="00671EB7">
        <w:rPr>
          <w:szCs w:val="22"/>
        </w:rPr>
        <w:t>by</w:t>
      </w:r>
      <w:r w:rsidR="00671EB7" w:rsidRPr="00262ED4">
        <w:rPr>
          <w:szCs w:val="22"/>
        </w:rPr>
        <w:t xml:space="preserve"> </w:t>
      </w:r>
      <w:r w:rsidRPr="00262ED4">
        <w:rPr>
          <w:szCs w:val="22"/>
        </w:rPr>
        <w:t xml:space="preserve">providing enhanced product offerings to consumers, while also protecting </w:t>
      </w:r>
      <w:r w:rsidR="00EB42A5" w:rsidRPr="00262ED4">
        <w:rPr>
          <w:szCs w:val="22"/>
        </w:rPr>
        <w:t>p</w:t>
      </w:r>
      <w:r w:rsidRPr="00262ED4">
        <w:rPr>
          <w:szCs w:val="22"/>
        </w:rPr>
        <w:t xml:space="preserve">ublic </w:t>
      </w:r>
      <w:r w:rsidR="00EB42A5" w:rsidRPr="00262ED4">
        <w:rPr>
          <w:szCs w:val="22"/>
        </w:rPr>
        <w:t>s</w:t>
      </w:r>
      <w:r w:rsidRPr="00262ED4">
        <w:rPr>
          <w:szCs w:val="22"/>
        </w:rPr>
        <w:t>afety licensees</w:t>
      </w:r>
      <w:r w:rsidR="00BF760F">
        <w:rPr>
          <w:szCs w:val="22"/>
        </w:rPr>
        <w:t xml:space="preserve"> and </w:t>
      </w:r>
      <w:r w:rsidR="008D4991">
        <w:rPr>
          <w:szCs w:val="22"/>
        </w:rPr>
        <w:t>neighboring</w:t>
      </w:r>
      <w:r w:rsidR="002670E1">
        <w:rPr>
          <w:szCs w:val="22"/>
        </w:rPr>
        <w:t xml:space="preserve"> Cellular licensees </w:t>
      </w:r>
      <w:r w:rsidR="00BF760F">
        <w:rPr>
          <w:szCs w:val="22"/>
        </w:rPr>
        <w:t>fr</w:t>
      </w:r>
      <w:r w:rsidR="00BF760F" w:rsidRPr="00262ED4">
        <w:rPr>
          <w:szCs w:val="22"/>
        </w:rPr>
        <w:t xml:space="preserve">om </w:t>
      </w:r>
      <w:r w:rsidR="00EB42A5" w:rsidRPr="00262ED4">
        <w:rPr>
          <w:szCs w:val="22"/>
        </w:rPr>
        <w:t xml:space="preserve">increased risk of </w:t>
      </w:r>
      <w:r w:rsidRPr="00262ED4">
        <w:rPr>
          <w:szCs w:val="22"/>
        </w:rPr>
        <w:t>harmful interference.</w:t>
      </w:r>
      <w:r w:rsidR="00B232D3">
        <w:rPr>
          <w:szCs w:val="22"/>
        </w:rPr>
        <w:t xml:space="preserve">  </w:t>
      </w:r>
    </w:p>
    <w:p w:rsidR="005B0808" w:rsidRDefault="005B0808" w:rsidP="00540072">
      <w:pPr>
        <w:ind w:right="720" w:firstLine="720"/>
        <w:rPr>
          <w:szCs w:val="22"/>
        </w:rPr>
      </w:pPr>
    </w:p>
    <w:p w:rsidR="006B235F" w:rsidRPr="00262ED4" w:rsidRDefault="006B235F" w:rsidP="0047795D">
      <w:pPr>
        <w:numPr>
          <w:ilvl w:val="0"/>
          <w:numId w:val="20"/>
        </w:numPr>
        <w:rPr>
          <w:b/>
          <w:szCs w:val="22"/>
        </w:rPr>
      </w:pPr>
      <w:r w:rsidRPr="00262ED4">
        <w:rPr>
          <w:b/>
          <w:szCs w:val="22"/>
        </w:rPr>
        <w:t>ORDERING CLAUSE</w:t>
      </w:r>
    </w:p>
    <w:p w:rsidR="006B235F" w:rsidRPr="00262ED4" w:rsidRDefault="006B235F" w:rsidP="0047795D">
      <w:pPr>
        <w:pStyle w:val="ParaNum"/>
        <w:numPr>
          <w:ilvl w:val="0"/>
          <w:numId w:val="0"/>
        </w:numPr>
        <w:spacing w:after="0"/>
        <w:ind w:firstLine="720"/>
      </w:pPr>
    </w:p>
    <w:p w:rsidR="005C34AE" w:rsidRPr="00262ED4" w:rsidRDefault="005C34AE" w:rsidP="0047795D">
      <w:pPr>
        <w:pStyle w:val="ParaNum"/>
        <w:numPr>
          <w:ilvl w:val="0"/>
          <w:numId w:val="0"/>
        </w:numPr>
        <w:spacing w:after="0"/>
        <w:ind w:firstLine="720"/>
      </w:pPr>
      <w:r w:rsidRPr="00262ED4">
        <w:t>Accordingly, IT IS ORDERED</w:t>
      </w:r>
      <w:r w:rsidRPr="00262ED4">
        <w:rPr>
          <w:i/>
        </w:rPr>
        <w:t xml:space="preserve"> </w:t>
      </w:r>
      <w:r w:rsidRPr="00262ED4">
        <w:t xml:space="preserve">that the request </w:t>
      </w:r>
      <w:r w:rsidR="00571AC8" w:rsidRPr="00262ED4">
        <w:t>f</w:t>
      </w:r>
      <w:r w:rsidRPr="00262ED4">
        <w:t xml:space="preserve">iled by </w:t>
      </w:r>
      <w:r w:rsidR="00DC4B36" w:rsidRPr="00262ED4">
        <w:t xml:space="preserve">AT&amp;T Services, Inc. on behalf of AT&amp;T, Inc. and its subsidiaries </w:t>
      </w:r>
      <w:r w:rsidRPr="00262ED4">
        <w:t xml:space="preserve">is </w:t>
      </w:r>
      <w:r w:rsidR="00171DFC" w:rsidRPr="00262ED4">
        <w:t xml:space="preserve">HEREBY </w:t>
      </w:r>
      <w:r w:rsidRPr="00262ED4">
        <w:t xml:space="preserve">GRANTED </w:t>
      </w:r>
      <w:r w:rsidR="00671EB7">
        <w:t xml:space="preserve">IN PART </w:t>
      </w:r>
      <w:r w:rsidR="002625B1" w:rsidRPr="00262ED4">
        <w:t xml:space="preserve">WITH THE CONDITIONS SET FORTH ABOVE and </w:t>
      </w:r>
      <w:r w:rsidR="001321C1">
        <w:t xml:space="preserve">FURTHER </w:t>
      </w:r>
      <w:r w:rsidR="002625B1" w:rsidRPr="00262ED4">
        <w:t xml:space="preserve">CONDITIONED ON COMPLIANCE with </w:t>
      </w:r>
      <w:r w:rsidR="00530A87" w:rsidRPr="00262ED4">
        <w:t xml:space="preserve">new </w:t>
      </w:r>
      <w:r w:rsidR="003003DF" w:rsidRPr="00262ED4">
        <w:t xml:space="preserve">rules that may be adopted as a result of AT&amp;T’s pending </w:t>
      </w:r>
      <w:r w:rsidR="00FE234D" w:rsidRPr="00262ED4">
        <w:t>P</w:t>
      </w:r>
      <w:r w:rsidR="003003DF" w:rsidRPr="00262ED4">
        <w:t xml:space="preserve">etition for rulemaking (RM-11660).  </w:t>
      </w:r>
      <w:r w:rsidRPr="00262ED4">
        <w:t>Th</w:t>
      </w:r>
      <w:r w:rsidR="00CC4250" w:rsidRPr="00262ED4">
        <w:t>is action is</w:t>
      </w:r>
      <w:r w:rsidRPr="00262ED4">
        <w:t xml:space="preserve"> taken under delegated authority pursuant to sections 0.11, 0.231, 0.131, 0.331 </w:t>
      </w:r>
      <w:r w:rsidR="00E03DC9">
        <w:t xml:space="preserve">and 1.925 </w:t>
      </w:r>
      <w:r w:rsidRPr="00262ED4">
        <w:t>of the Commission’s rules, 47 C.F.R. §§ 0.11, 0.231, 0.131, 0.331</w:t>
      </w:r>
      <w:r w:rsidR="00E03DC9">
        <w:t xml:space="preserve"> and 1.925</w:t>
      </w:r>
      <w:r w:rsidRPr="00262ED4">
        <w:t>.</w:t>
      </w:r>
    </w:p>
    <w:p w:rsidR="0047795D" w:rsidRPr="00262ED4" w:rsidRDefault="0047795D" w:rsidP="0047795D">
      <w:pPr>
        <w:pStyle w:val="ParaNum"/>
        <w:numPr>
          <w:ilvl w:val="0"/>
          <w:numId w:val="0"/>
        </w:numPr>
        <w:spacing w:after="0"/>
        <w:ind w:firstLine="720"/>
      </w:pPr>
    </w:p>
    <w:p w:rsidR="006B62CE" w:rsidRDefault="00CC4250" w:rsidP="0047795D">
      <w:pPr>
        <w:pStyle w:val="ParaNum"/>
        <w:numPr>
          <w:ilvl w:val="0"/>
          <w:numId w:val="0"/>
        </w:numPr>
        <w:spacing w:after="0"/>
      </w:pPr>
      <w:r w:rsidRPr="00262ED4">
        <w:tab/>
      </w:r>
      <w:r w:rsidRPr="00262ED4">
        <w:tab/>
      </w:r>
      <w:r w:rsidRPr="00262ED4">
        <w:tab/>
      </w:r>
      <w:r w:rsidRPr="00262ED4">
        <w:tab/>
      </w:r>
      <w:r w:rsidRPr="00262ED4">
        <w:tab/>
      </w:r>
      <w:r w:rsidRPr="00262ED4">
        <w:tab/>
      </w:r>
    </w:p>
    <w:p w:rsidR="00CC4250" w:rsidRPr="00262ED4" w:rsidRDefault="00CC4250" w:rsidP="006B62CE">
      <w:pPr>
        <w:pStyle w:val="ParaNum"/>
        <w:numPr>
          <w:ilvl w:val="0"/>
          <w:numId w:val="0"/>
        </w:numPr>
        <w:spacing w:after="0"/>
        <w:ind w:left="3600" w:firstLine="720"/>
      </w:pPr>
      <w:r w:rsidRPr="00262ED4">
        <w:t>Sincerely,</w:t>
      </w:r>
    </w:p>
    <w:p w:rsidR="00CC4250" w:rsidRPr="00262ED4" w:rsidRDefault="00CC4250" w:rsidP="00CC4250">
      <w:pPr>
        <w:pStyle w:val="ParaNum"/>
        <w:numPr>
          <w:ilvl w:val="0"/>
          <w:numId w:val="0"/>
        </w:numPr>
        <w:spacing w:after="0"/>
      </w:pPr>
    </w:p>
    <w:p w:rsidR="00CC4250" w:rsidRPr="00262ED4" w:rsidRDefault="00CC4250" w:rsidP="00CC4250">
      <w:pPr>
        <w:pStyle w:val="ParaNum"/>
        <w:numPr>
          <w:ilvl w:val="0"/>
          <w:numId w:val="0"/>
        </w:numPr>
        <w:spacing w:after="0"/>
      </w:pPr>
    </w:p>
    <w:p w:rsidR="00CC4250" w:rsidRPr="00262ED4" w:rsidRDefault="00CC4250" w:rsidP="006B62CE">
      <w:pPr>
        <w:pStyle w:val="ParaNum"/>
        <w:numPr>
          <w:ilvl w:val="0"/>
          <w:numId w:val="0"/>
        </w:numPr>
        <w:spacing w:after="0"/>
      </w:pPr>
      <w:r w:rsidRPr="00262ED4">
        <w:tab/>
      </w:r>
      <w:r w:rsidRPr="00262ED4">
        <w:tab/>
      </w:r>
      <w:r w:rsidRPr="00262ED4">
        <w:tab/>
      </w:r>
      <w:r w:rsidRPr="00262ED4">
        <w:tab/>
      </w:r>
      <w:r w:rsidRPr="00262ED4">
        <w:tab/>
      </w:r>
      <w:r w:rsidRPr="00262ED4">
        <w:tab/>
        <w:t xml:space="preserve">Roger </w:t>
      </w:r>
      <w:r w:rsidR="00671EB7">
        <w:t xml:space="preserve">S. </w:t>
      </w:r>
      <w:r w:rsidRPr="00262ED4">
        <w:t>Noel</w:t>
      </w:r>
    </w:p>
    <w:p w:rsidR="00CC4250" w:rsidRPr="00262ED4" w:rsidRDefault="00C4038A" w:rsidP="00CC4250">
      <w:pPr>
        <w:pStyle w:val="ParaNum"/>
        <w:numPr>
          <w:ilvl w:val="0"/>
          <w:numId w:val="0"/>
        </w:numPr>
        <w:spacing w:after="0"/>
      </w:pPr>
      <w:r w:rsidRPr="00262ED4">
        <w:tab/>
      </w:r>
      <w:r w:rsidRPr="00262ED4">
        <w:tab/>
      </w:r>
      <w:r w:rsidRPr="00262ED4">
        <w:tab/>
      </w:r>
      <w:r w:rsidRPr="00262ED4">
        <w:tab/>
      </w:r>
      <w:r w:rsidRPr="00262ED4">
        <w:tab/>
      </w:r>
      <w:r w:rsidR="00CC4250" w:rsidRPr="00262ED4">
        <w:tab/>
        <w:t>Chief, Mobility Division</w:t>
      </w:r>
    </w:p>
    <w:p w:rsidR="003F6CDC" w:rsidRPr="00262ED4" w:rsidRDefault="00C4038A" w:rsidP="00182F1A">
      <w:pPr>
        <w:pStyle w:val="ParaNum"/>
        <w:numPr>
          <w:ilvl w:val="0"/>
          <w:numId w:val="0"/>
        </w:numPr>
        <w:spacing w:after="0"/>
      </w:pPr>
      <w:r w:rsidRPr="00262ED4">
        <w:tab/>
      </w:r>
      <w:r w:rsidRPr="00262ED4">
        <w:tab/>
      </w:r>
      <w:r w:rsidRPr="00262ED4">
        <w:tab/>
      </w:r>
      <w:r w:rsidRPr="00262ED4">
        <w:tab/>
      </w:r>
      <w:r w:rsidR="00CC4250" w:rsidRPr="00262ED4">
        <w:tab/>
      </w:r>
      <w:r w:rsidR="00CC4250" w:rsidRPr="00262ED4">
        <w:tab/>
        <w:t>Wireless Telecommunications Bureau</w:t>
      </w:r>
    </w:p>
    <w:sectPr w:rsidR="003F6CDC" w:rsidRPr="00262ED4" w:rsidSect="0011341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9E" w:rsidRDefault="00D5469E">
      <w:r>
        <w:separator/>
      </w:r>
    </w:p>
  </w:endnote>
  <w:endnote w:type="continuationSeparator" w:id="0">
    <w:p w:rsidR="00D5469E" w:rsidRDefault="00D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09" w:rsidRDefault="003A1A09" w:rsidP="005B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A09" w:rsidRDefault="003A1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09" w:rsidRDefault="003A1A09" w:rsidP="005B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1DD">
      <w:rPr>
        <w:rStyle w:val="PageNumber"/>
        <w:noProof/>
      </w:rPr>
      <w:t>2</w:t>
    </w:r>
    <w:r>
      <w:rPr>
        <w:rStyle w:val="PageNumber"/>
      </w:rPr>
      <w:fldChar w:fldCharType="end"/>
    </w:r>
  </w:p>
  <w:p w:rsidR="003A1A09" w:rsidRDefault="003A1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09" w:rsidRPr="009631E6" w:rsidRDefault="003A1A09" w:rsidP="005955CA">
    <w:pPr>
      <w:pStyle w:val="Footer"/>
      <w:rPr>
        <w:i/>
      </w:rPr>
    </w:pPr>
    <w:r>
      <w:tab/>
    </w:r>
    <w:r>
      <w:tab/>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9E" w:rsidRDefault="00D5469E">
      <w:r>
        <w:separator/>
      </w:r>
    </w:p>
  </w:footnote>
  <w:footnote w:type="continuationSeparator" w:id="0">
    <w:p w:rsidR="00D5469E" w:rsidRDefault="00D5469E">
      <w:r>
        <w:continuationSeparator/>
      </w:r>
    </w:p>
  </w:footnote>
  <w:footnote w:id="1">
    <w:p w:rsidR="003A1A09" w:rsidRPr="000B22BA" w:rsidRDefault="003A1A09" w:rsidP="009221FF">
      <w:pPr>
        <w:pStyle w:val="FootnoteText"/>
        <w:ind w:firstLine="0"/>
      </w:pPr>
      <w:r w:rsidRPr="0048768B">
        <w:rPr>
          <w:rStyle w:val="FootnoteReference"/>
          <w:sz w:val="20"/>
        </w:rPr>
        <w:footnoteRef/>
      </w:r>
      <w:r w:rsidRPr="0048768B">
        <w:t xml:space="preserve"> AT&amp;T Services, Inc., Request for Rule Waiver (filed July 22, 2013) (Waiver Request) (</w:t>
      </w:r>
      <w:r>
        <w:t>under cover l</w:t>
      </w:r>
      <w:r w:rsidRPr="0048768B">
        <w:t xml:space="preserve">etter from William </w:t>
      </w:r>
      <w:r w:rsidR="0023571C">
        <w:t xml:space="preserve">L. </w:t>
      </w:r>
      <w:r w:rsidRPr="0048768B">
        <w:t xml:space="preserve">Roughton, </w:t>
      </w:r>
      <w:r w:rsidR="0023571C">
        <w:t xml:space="preserve">Jr., </w:t>
      </w:r>
      <w:r w:rsidRPr="0048768B">
        <w:t>Esq., AT&amp;T Services, Inc.</w:t>
      </w:r>
      <w:r>
        <w:t xml:space="preserve">, to Marlene H. Dortch, Secretary, FCC, and attaching </w:t>
      </w:r>
      <w:r w:rsidRPr="0048768B">
        <w:t>a technical study dated March 2</w:t>
      </w:r>
      <w:r>
        <w:t>1</w:t>
      </w:r>
      <w:r w:rsidRPr="0048768B">
        <w:t>, 2013</w:t>
      </w:r>
      <w:r>
        <w:t xml:space="preserve"> (March 2013 Study</w:t>
      </w:r>
      <w:r w:rsidRPr="0048768B">
        <w:t>)</w:t>
      </w:r>
      <w:r>
        <w:t xml:space="preserve">). The Waiver Request was </w:t>
      </w:r>
      <w:r w:rsidRPr="00262ED4">
        <w:rPr>
          <w:szCs w:val="22"/>
        </w:rPr>
        <w:t>supplemented on December 5, 2013,</w:t>
      </w:r>
      <w:r>
        <w:rPr>
          <w:szCs w:val="22"/>
        </w:rPr>
        <w:t xml:space="preserve"> and again on July 9, 2014.  </w:t>
      </w:r>
      <w:r w:rsidRPr="00A474A4">
        <w:rPr>
          <w:i/>
          <w:szCs w:val="22"/>
        </w:rPr>
        <w:t>See</w:t>
      </w:r>
      <w:r>
        <w:rPr>
          <w:szCs w:val="22"/>
        </w:rPr>
        <w:t xml:space="preserve"> </w:t>
      </w:r>
      <w:r>
        <w:t>Letter from Jeanine Poltronieri, Esq., Assistant Vice President for External Affairs, AT&amp;T Services, Inc., dated Dec. 5, 2013, to Marlene Dortch, Secretary, FCC (AT&amp;T Supplement);</w:t>
      </w:r>
      <w:r w:rsidRPr="0048768B">
        <w:t xml:space="preserve">  </w:t>
      </w:r>
      <w:r>
        <w:rPr>
          <w:i/>
        </w:rPr>
        <w:t xml:space="preserve">Ex Parte </w:t>
      </w:r>
      <w:r>
        <w:t xml:space="preserve">Letter from Linda Vandeloop, Director-Regulatory, AT&amp;T, to Marlene H. Dortch, Secretary, FCC (July 9, 2014) (AT&amp;T July 9, 2014 </w:t>
      </w:r>
      <w:r>
        <w:rPr>
          <w:i/>
        </w:rPr>
        <w:t xml:space="preserve">Ex Parte </w:t>
      </w:r>
      <w:r>
        <w:t>Letter).</w:t>
      </w:r>
    </w:p>
  </w:footnote>
  <w:footnote w:id="2">
    <w:p w:rsidR="003A1A09" w:rsidRDefault="003A1A09" w:rsidP="009631E6">
      <w:pPr>
        <w:pStyle w:val="FootnoteText"/>
        <w:ind w:firstLine="0"/>
      </w:pPr>
      <w:r>
        <w:rPr>
          <w:rStyle w:val="FootnoteReference"/>
        </w:rPr>
        <w:footnoteRef/>
      </w:r>
      <w:r>
        <w:t xml:space="preserve"> We note that the licenses subject to the Waiver Request are licensed under New Cingular Wireless PCS, LLC d/b/a AT&amp;T Mobility, which is a wholly owned subsidiary of AT&amp;T, Inc.</w:t>
      </w:r>
    </w:p>
  </w:footnote>
  <w:footnote w:id="3">
    <w:p w:rsidR="003A1A09" w:rsidRPr="00117212" w:rsidRDefault="003A1A09" w:rsidP="00117212">
      <w:pPr>
        <w:pStyle w:val="FootnoteText"/>
        <w:ind w:firstLine="0"/>
      </w:pPr>
      <w:r>
        <w:rPr>
          <w:rStyle w:val="FootnoteReference"/>
        </w:rPr>
        <w:footnoteRef/>
      </w:r>
      <w:r>
        <w:t xml:space="preserve"> </w:t>
      </w:r>
      <w:r>
        <w:rPr>
          <w:i/>
        </w:rPr>
        <w:t xml:space="preserve">See </w:t>
      </w:r>
      <w:r>
        <w:t>47 C.F.R. § 22.913.</w:t>
      </w:r>
    </w:p>
  </w:footnote>
  <w:footnote w:id="4">
    <w:p w:rsidR="003A1A09" w:rsidRDefault="003A1A09" w:rsidP="001F4A86">
      <w:pPr>
        <w:pStyle w:val="FootnoteText"/>
        <w:ind w:firstLine="0"/>
      </w:pPr>
      <w:r>
        <w:rPr>
          <w:rStyle w:val="FootnoteReference"/>
        </w:rPr>
        <w:footnoteRef/>
      </w:r>
      <w:r>
        <w:t xml:space="preserve"> </w:t>
      </w:r>
      <w:r>
        <w:rPr>
          <w:i/>
        </w:rPr>
        <w:t xml:space="preserve">See id. </w:t>
      </w:r>
      <w:r>
        <w:t xml:space="preserve">(establishing the current ERP maximum of 500 Watts for base transmitters and Cellular repeaters, with a maximum of 1000 Watts ERP when operating in rural counties a certain distance from international borders).  </w:t>
      </w:r>
    </w:p>
  </w:footnote>
  <w:footnote w:id="5">
    <w:p w:rsidR="005955CA" w:rsidRDefault="005955CA" w:rsidP="005955CA">
      <w:pPr>
        <w:pStyle w:val="FootnoteText"/>
        <w:ind w:firstLine="0"/>
      </w:pPr>
      <w:r>
        <w:rPr>
          <w:rStyle w:val="FootnoteReference"/>
        </w:rPr>
        <w:footnoteRef/>
      </w:r>
      <w:r>
        <w:t xml:space="preserve"> Power spectral density is a method of expressing radiated power over a unit of bandwidth, </w:t>
      </w:r>
      <w:r w:rsidRPr="009C2180">
        <w:rPr>
          <w:i/>
        </w:rPr>
        <w:t>e.g</w:t>
      </w:r>
      <w:r>
        <w:t xml:space="preserve">. per megahertz, rather than per emission. </w:t>
      </w:r>
    </w:p>
  </w:footnote>
  <w:footnote w:id="6">
    <w:p w:rsidR="003A1A09" w:rsidRPr="00940102" w:rsidRDefault="003A1A09" w:rsidP="008F2607">
      <w:pPr>
        <w:pStyle w:val="FootnoteText"/>
        <w:ind w:firstLine="0"/>
      </w:pPr>
      <w:r w:rsidRPr="00940102">
        <w:rPr>
          <w:rStyle w:val="FootnoteReference"/>
        </w:rPr>
        <w:footnoteRef/>
      </w:r>
      <w:r w:rsidRPr="00940102">
        <w:t xml:space="preserve"> </w:t>
      </w:r>
      <w:r>
        <w:rPr>
          <w:i/>
        </w:rPr>
        <w:t xml:space="preserve">See </w:t>
      </w:r>
      <w:r w:rsidRPr="00940102">
        <w:t xml:space="preserve">Biennial Regulatory Review – Amendment of Parts 1, 22, 24, 27 and 90 to Streamline and Harmonize Various Rules Affecting Wireless Radio Services, </w:t>
      </w:r>
      <w:r w:rsidRPr="00940102">
        <w:rPr>
          <w:i/>
        </w:rPr>
        <w:t>Third Report and Order</w:t>
      </w:r>
      <w:r w:rsidRPr="00940102">
        <w:t>, WT Docket No. 03-264, 23 FCC Rcd 5319 (2008) (Streamlining 3d R&amp;O)</w:t>
      </w:r>
      <w:r w:rsidRPr="00E72D6F">
        <w:t xml:space="preserve"> </w:t>
      </w:r>
      <w:r>
        <w:t>(revising §§ 24.232 and 27.50(d)).</w:t>
      </w:r>
    </w:p>
  </w:footnote>
  <w:footnote w:id="7">
    <w:p w:rsidR="003A1A09" w:rsidRPr="00915F3C" w:rsidRDefault="003A1A09" w:rsidP="008F2607">
      <w:pPr>
        <w:pStyle w:val="FootnoteText"/>
        <w:ind w:firstLine="0"/>
        <w:rPr>
          <w:b/>
          <w:sz w:val="18"/>
        </w:rPr>
      </w:pPr>
      <w:r w:rsidRPr="00940102">
        <w:rPr>
          <w:rStyle w:val="FootnoteReference"/>
        </w:rPr>
        <w:footnoteRef/>
      </w:r>
      <w:r w:rsidRPr="00940102">
        <w:t xml:space="preserve"> </w:t>
      </w:r>
      <w:r>
        <w:rPr>
          <w:i/>
        </w:rPr>
        <w:t xml:space="preserve">See </w:t>
      </w:r>
      <w:r>
        <w:t xml:space="preserve">Service Rules for the 698-746, 747-762 and 777-792 MHz Bands, </w:t>
      </w:r>
      <w:r>
        <w:rPr>
          <w:i/>
        </w:rPr>
        <w:t>Re</w:t>
      </w:r>
      <w:r w:rsidRPr="00600607">
        <w:rPr>
          <w:i/>
        </w:rPr>
        <w:t>port and Order</w:t>
      </w:r>
      <w:r>
        <w:rPr>
          <w:i/>
        </w:rPr>
        <w:t xml:space="preserve"> and Further Notice of Proposed Rulemaking</w:t>
      </w:r>
      <w:r>
        <w:t>, WT Docket No. 06-150, 22 FCC Rcd 8064 (2007)</w:t>
      </w:r>
      <w:r w:rsidR="008F2607">
        <w:t>.</w:t>
      </w:r>
      <w:r>
        <w:t xml:space="preserve"> </w:t>
      </w:r>
    </w:p>
  </w:footnote>
  <w:footnote w:id="8">
    <w:p w:rsidR="003A1A09" w:rsidRPr="00940102" w:rsidRDefault="003A1A09" w:rsidP="008F2607">
      <w:pPr>
        <w:pStyle w:val="FootnoteText"/>
        <w:ind w:firstLine="0"/>
        <w:rPr>
          <w:b/>
        </w:rPr>
      </w:pPr>
      <w:r w:rsidRPr="00940102">
        <w:rPr>
          <w:rStyle w:val="FootnoteReference"/>
        </w:rPr>
        <w:footnoteRef/>
      </w:r>
      <w:r w:rsidRPr="00940102">
        <w:t xml:space="preserve"> </w:t>
      </w:r>
      <w:r>
        <w:rPr>
          <w:i/>
        </w:rPr>
        <w:t xml:space="preserve">See </w:t>
      </w:r>
      <w:r>
        <w:t xml:space="preserve">Service Rules for the 698-746, 747-762 and 777-792 MHz Bands, WT Docket No. 06-150, </w:t>
      </w:r>
      <w:r w:rsidRPr="00600607">
        <w:rPr>
          <w:i/>
        </w:rPr>
        <w:t>Second</w:t>
      </w:r>
      <w:r>
        <w:rPr>
          <w:i/>
        </w:rPr>
        <w:t xml:space="preserve"> R</w:t>
      </w:r>
      <w:r w:rsidRPr="00600607">
        <w:rPr>
          <w:i/>
        </w:rPr>
        <w:t>eport and Order</w:t>
      </w:r>
      <w:r>
        <w:t>, 22 FCC Rcd 15289 (2007)</w:t>
      </w:r>
      <w:r w:rsidR="008F2607">
        <w:t>.</w:t>
      </w:r>
      <w:r w:rsidRPr="00940102">
        <w:t xml:space="preserve">   </w:t>
      </w:r>
    </w:p>
  </w:footnote>
  <w:footnote w:id="9">
    <w:p w:rsidR="003A1A09" w:rsidRPr="00B517A5" w:rsidRDefault="003A1A09" w:rsidP="008F2607">
      <w:pPr>
        <w:pStyle w:val="FootnoteText"/>
        <w:ind w:firstLine="0"/>
      </w:pPr>
      <w:r>
        <w:rPr>
          <w:rStyle w:val="FootnoteReference"/>
        </w:rPr>
        <w:footnoteRef/>
      </w:r>
      <w:r>
        <w:t xml:space="preserve"> More recently, the Commission adopted the PSD model </w:t>
      </w:r>
      <w:r w:rsidR="009B46D8">
        <w:rPr>
          <w:szCs w:val="22"/>
        </w:rPr>
        <w:t>as an alternative for measuring ERP</w:t>
      </w:r>
      <w:r w:rsidR="009B46D8" w:rsidRPr="006658ED">
        <w:rPr>
          <w:szCs w:val="22"/>
        </w:rPr>
        <w:t xml:space="preserve"> </w:t>
      </w:r>
      <w:r w:rsidR="009B46D8">
        <w:rPr>
          <w:szCs w:val="22"/>
        </w:rPr>
        <w:t>in</w:t>
      </w:r>
      <w:r>
        <w:t xml:space="preserve"> the 600 MHz band, AWS-3, H Block and AWS-4.  </w:t>
      </w:r>
      <w:r w:rsidR="007A4BB4" w:rsidRPr="00C75339">
        <w:rPr>
          <w:i/>
        </w:rPr>
        <w:t>See</w:t>
      </w:r>
      <w:r w:rsidR="007A4BB4">
        <w:rPr>
          <w:i/>
        </w:rPr>
        <w:t>, e.g.</w:t>
      </w:r>
      <w:r w:rsidR="007A4BB4">
        <w:t xml:space="preserve"> Expanding the Economic and Innovation Opportunities of Spectrum Through Incentive Auctions, </w:t>
      </w:r>
      <w:r w:rsidR="007A4BB4">
        <w:rPr>
          <w:i/>
        </w:rPr>
        <w:t>Report and Order</w:t>
      </w:r>
      <w:r w:rsidR="007A4BB4">
        <w:t xml:space="preserve">, GN Docket No. 12-268, FCC 14-50, 2014 WL 2464834 at *211-12 (FCC June 2, 2014) (PSD in 600 MHz band); </w:t>
      </w:r>
      <w:r w:rsidR="007A4BB4" w:rsidRPr="00940102">
        <w:rPr>
          <w:color w:val="000000" w:themeColor="text1"/>
        </w:rPr>
        <w:t>Amendment of the Commission’s Rules With Regard to Commercial Operations in the 1695-1710 MHz, 1755-1780 MHz, and 2155-2180 MHz Bands</w:t>
      </w:r>
      <w:r w:rsidR="007A4BB4" w:rsidRPr="00940102">
        <w:rPr>
          <w:i/>
          <w:color w:val="000000" w:themeColor="text1"/>
        </w:rPr>
        <w:t>,</w:t>
      </w:r>
      <w:r w:rsidR="007A4BB4" w:rsidRPr="00940102">
        <w:rPr>
          <w:color w:val="000000" w:themeColor="text1"/>
        </w:rPr>
        <w:t xml:space="preserve"> </w:t>
      </w:r>
      <w:r w:rsidR="007A4BB4" w:rsidRPr="00940102">
        <w:rPr>
          <w:i/>
          <w:color w:val="000000" w:themeColor="text1"/>
        </w:rPr>
        <w:t>Report and Order</w:t>
      </w:r>
      <w:r w:rsidR="007A4BB4" w:rsidRPr="00940102">
        <w:rPr>
          <w:color w:val="000000" w:themeColor="text1"/>
        </w:rPr>
        <w:t>, GN Docket No. 13-1</w:t>
      </w:r>
      <w:r w:rsidR="007A4BB4" w:rsidRPr="00B02D90">
        <w:rPr>
          <w:color w:val="000000" w:themeColor="text1"/>
        </w:rPr>
        <w:t xml:space="preserve">85, </w:t>
      </w:r>
      <w:r w:rsidR="007A4BB4" w:rsidRPr="00B02D90">
        <w:rPr>
          <w:color w:val="000000"/>
        </w:rPr>
        <w:t>29 FCC</w:t>
      </w:r>
      <w:r w:rsidR="007A4BB4">
        <w:rPr>
          <w:color w:val="000000"/>
        </w:rPr>
        <w:t xml:space="preserve"> Rcd</w:t>
      </w:r>
      <w:r w:rsidR="007A4BB4" w:rsidRPr="00B02D90">
        <w:rPr>
          <w:color w:val="000000"/>
        </w:rPr>
        <w:t xml:space="preserve"> 4610</w:t>
      </w:r>
      <w:r w:rsidR="007A4BB4">
        <w:rPr>
          <w:color w:val="000000"/>
        </w:rPr>
        <w:t>, 4642-43</w:t>
      </w:r>
      <w:r w:rsidR="007A4BB4" w:rsidRPr="00B02D90">
        <w:rPr>
          <w:color w:val="000000" w:themeColor="text1"/>
        </w:rPr>
        <w:t xml:space="preserve"> (20</w:t>
      </w:r>
      <w:r w:rsidR="007A4BB4" w:rsidRPr="00940102">
        <w:rPr>
          <w:color w:val="000000" w:themeColor="text1"/>
        </w:rPr>
        <w:t>14)</w:t>
      </w:r>
      <w:r w:rsidR="007A4BB4">
        <w:rPr>
          <w:color w:val="000000" w:themeColor="text1"/>
        </w:rPr>
        <w:t xml:space="preserve"> (PSD in AWS-3 bands); </w:t>
      </w:r>
      <w:r w:rsidR="007A4BB4" w:rsidRPr="00940102">
        <w:rPr>
          <w:color w:val="000000" w:themeColor="text1"/>
        </w:rPr>
        <w:t>Service Rules for Advanced Wireless Services H</w:t>
      </w:r>
      <w:r w:rsidR="007A4BB4">
        <w:rPr>
          <w:color w:val="000000" w:themeColor="text1"/>
        </w:rPr>
        <w:t xml:space="preserve"> </w:t>
      </w:r>
      <w:r w:rsidR="007A4BB4" w:rsidRPr="00940102">
        <w:rPr>
          <w:color w:val="000000" w:themeColor="text1"/>
        </w:rPr>
        <w:t>Block – Implementing Section 6401 of the Middle Class Tax Relief and Job Creation Act of 2012 Related to the 1915-1920 MHz and 1995-2000 MHz Bands,</w:t>
      </w:r>
      <w:r w:rsidR="007A4BB4" w:rsidRPr="00940102">
        <w:rPr>
          <w:i/>
          <w:color w:val="000000" w:themeColor="text1"/>
        </w:rPr>
        <w:t xml:space="preserve"> Report and Order</w:t>
      </w:r>
      <w:r w:rsidR="007A4BB4" w:rsidRPr="00940102">
        <w:rPr>
          <w:color w:val="000000" w:themeColor="text1"/>
        </w:rPr>
        <w:t>,</w:t>
      </w:r>
      <w:r w:rsidR="007A4BB4" w:rsidRPr="00940102">
        <w:rPr>
          <w:i/>
          <w:color w:val="000000" w:themeColor="text1"/>
        </w:rPr>
        <w:t xml:space="preserve"> </w:t>
      </w:r>
      <w:r w:rsidR="007A4BB4" w:rsidRPr="00940102">
        <w:rPr>
          <w:color w:val="000000" w:themeColor="text1"/>
        </w:rPr>
        <w:t>WT Docket No. 12-357, 28 FCC Rcd 9483, 950</w:t>
      </w:r>
      <w:r w:rsidR="007A4BB4">
        <w:rPr>
          <w:color w:val="000000" w:themeColor="text1"/>
        </w:rPr>
        <w:t>4-05</w:t>
      </w:r>
      <w:r w:rsidR="007A4BB4" w:rsidRPr="00940102">
        <w:rPr>
          <w:color w:val="000000" w:themeColor="text1"/>
        </w:rPr>
        <w:t xml:space="preserve"> (2013)</w:t>
      </w:r>
      <w:r w:rsidR="007A4BB4">
        <w:rPr>
          <w:color w:val="000000" w:themeColor="text1"/>
        </w:rPr>
        <w:t xml:space="preserve"> (PSD in H Block)</w:t>
      </w:r>
      <w:r>
        <w:t>;</w:t>
      </w:r>
      <w:r>
        <w:rPr>
          <w:color w:val="000000" w:themeColor="text1"/>
        </w:rPr>
        <w:t xml:space="preserve"> </w:t>
      </w:r>
      <w:r w:rsidR="007A4BB4" w:rsidRPr="00940102">
        <w:rPr>
          <w:color w:val="000000" w:themeColor="text1"/>
        </w:rPr>
        <w:t xml:space="preserve">Service Rules for Advanced Wireless Services in the 2000-2020 MHz and 2180-2200 MHz Bands, </w:t>
      </w:r>
      <w:r w:rsidR="007A4BB4" w:rsidRPr="00940102">
        <w:rPr>
          <w:i/>
          <w:color w:val="000000" w:themeColor="text1"/>
        </w:rPr>
        <w:t>Report and Order and Order of Proposed Modification</w:t>
      </w:r>
      <w:r w:rsidR="007A4BB4" w:rsidRPr="00940102">
        <w:rPr>
          <w:color w:val="000000" w:themeColor="text1"/>
        </w:rPr>
        <w:t>, WT Docket Nos. 04-356 and ET Docket No. 10-142, 27 FCC Rcd 16102, 16</w:t>
      </w:r>
      <w:r w:rsidR="007A4BB4">
        <w:rPr>
          <w:color w:val="000000" w:themeColor="text1"/>
        </w:rPr>
        <w:t>156</w:t>
      </w:r>
      <w:r w:rsidR="007A4BB4" w:rsidRPr="00940102">
        <w:rPr>
          <w:color w:val="000000" w:themeColor="text1"/>
        </w:rPr>
        <w:t xml:space="preserve"> (2012)</w:t>
      </w:r>
      <w:r w:rsidR="007A4BB4">
        <w:rPr>
          <w:color w:val="000000" w:themeColor="text1"/>
        </w:rPr>
        <w:t xml:space="preserve"> (PSD in AWS-4 bands)</w:t>
      </w:r>
      <w:r>
        <w:rPr>
          <w:color w:val="000000" w:themeColor="text1"/>
        </w:rPr>
        <w:t>.</w:t>
      </w:r>
    </w:p>
  </w:footnote>
  <w:footnote w:id="10">
    <w:p w:rsidR="003A1A09" w:rsidRPr="00940102" w:rsidRDefault="003A1A09" w:rsidP="008F2607">
      <w:pPr>
        <w:pStyle w:val="FootnoteText"/>
        <w:ind w:firstLine="0"/>
        <w:rPr>
          <w:b/>
        </w:rPr>
      </w:pPr>
      <w:r w:rsidRPr="00940102">
        <w:rPr>
          <w:rStyle w:val="FootnoteReference"/>
        </w:rPr>
        <w:footnoteRef/>
      </w:r>
      <w:r w:rsidRPr="00940102">
        <w:t xml:space="preserve"> </w:t>
      </w:r>
      <w:r w:rsidRPr="00940102">
        <w:rPr>
          <w:i/>
        </w:rPr>
        <w:t>See</w:t>
      </w:r>
      <w:r w:rsidRPr="00940102">
        <w:t xml:space="preserve"> Streamlining 3d R&amp;O, 23 FCC Rcd at 5321, 5341.  </w:t>
      </w:r>
      <w:r w:rsidRPr="00940102">
        <w:rPr>
          <w:i/>
        </w:rPr>
        <w:t>See also</w:t>
      </w:r>
      <w:r w:rsidRPr="00940102">
        <w:t xml:space="preserve"> </w:t>
      </w:r>
      <w:r w:rsidRPr="00940102">
        <w:rPr>
          <w:color w:val="000000"/>
        </w:rPr>
        <w:t>Improving Public Safety Communications in the 800 MHz Band,</w:t>
      </w:r>
      <w:r w:rsidRPr="00940102">
        <w:rPr>
          <w:color w:val="000000" w:themeColor="text1"/>
        </w:rPr>
        <w:t xml:space="preserve"> </w:t>
      </w:r>
      <w:hyperlink r:id="rId1" w:tgtFrame="_top" w:history="1">
        <w:r w:rsidRPr="00940102">
          <w:rPr>
            <w:i/>
            <w:iCs/>
            <w:color w:val="000000" w:themeColor="text1"/>
          </w:rPr>
          <w:t>Report and Order, Fifth Report and Order, Fourth Memorandum Opinion and Order, and Order</w:t>
        </w:r>
        <w:r w:rsidRPr="00940102">
          <w:rPr>
            <w:color w:val="000000" w:themeColor="text1"/>
          </w:rPr>
          <w:t>, WT Docket No. 02-55, 19 FCC Rcd 14969, 15074 (2004)</w:t>
        </w:r>
      </w:hyperlink>
      <w:r w:rsidRPr="00940102">
        <w:rPr>
          <w:color w:val="000000" w:themeColor="text1"/>
        </w:rPr>
        <w:t xml:space="preserve"> </w:t>
      </w:r>
      <w:r>
        <w:rPr>
          <w:color w:val="000000" w:themeColor="text1"/>
        </w:rPr>
        <w:t xml:space="preserve">(other captions and docket numbers omitted) </w:t>
      </w:r>
      <w:r w:rsidRPr="00940102">
        <w:rPr>
          <w:color w:val="000000" w:themeColor="text1"/>
        </w:rPr>
        <w:t xml:space="preserve">(800 MHz Rebanding Order), </w:t>
      </w:r>
      <w:r w:rsidRPr="00940102">
        <w:rPr>
          <w:i/>
          <w:iCs/>
          <w:color w:val="000000" w:themeColor="text1"/>
        </w:rPr>
        <w:t>clarified by</w:t>
      </w:r>
      <w:r w:rsidRPr="00940102">
        <w:rPr>
          <w:color w:val="000000" w:themeColor="text1"/>
        </w:rPr>
        <w:t xml:space="preserve"> Improving Public Safety Communications in the 800 MHz Band, </w:t>
      </w:r>
      <w:hyperlink r:id="rId2" w:tgtFrame="_top" w:history="1">
        <w:r w:rsidRPr="00940102">
          <w:rPr>
            <w:i/>
            <w:iCs/>
            <w:color w:val="000000" w:themeColor="text1"/>
          </w:rPr>
          <w:t>Memorandum Opinion and Order,</w:t>
        </w:r>
        <w:r w:rsidRPr="00940102">
          <w:rPr>
            <w:color w:val="000000" w:themeColor="text1"/>
          </w:rPr>
          <w:t xml:space="preserve"> WT Docket No. 02-55, 22 FCC Rcd 9818, 9819-21 (2007)</w:t>
        </w:r>
      </w:hyperlink>
      <w:r>
        <w:rPr>
          <w:color w:val="000000" w:themeColor="text1"/>
        </w:rPr>
        <w:t>.</w:t>
      </w:r>
    </w:p>
  </w:footnote>
  <w:footnote w:id="11">
    <w:p w:rsidR="003A1A09" w:rsidRPr="00940102" w:rsidRDefault="003A1A09" w:rsidP="008F2607">
      <w:pPr>
        <w:pStyle w:val="FootnoteText"/>
        <w:ind w:firstLine="0"/>
      </w:pPr>
      <w:r w:rsidRPr="00940102">
        <w:rPr>
          <w:rStyle w:val="FootnoteReference"/>
        </w:rPr>
        <w:footnoteRef/>
      </w:r>
      <w:r w:rsidRPr="00940102">
        <w:t xml:space="preserve"> </w:t>
      </w:r>
      <w:r w:rsidRPr="00940102">
        <w:rPr>
          <w:i/>
        </w:rPr>
        <w:t xml:space="preserve">See </w:t>
      </w:r>
      <w:r w:rsidRPr="00940102">
        <w:t>Streamlining 3d R&amp;O, 23 FCC Rcd at 5338.</w:t>
      </w:r>
    </w:p>
  </w:footnote>
  <w:footnote w:id="12">
    <w:p w:rsidR="003A1A09" w:rsidRPr="0048768B" w:rsidRDefault="003A1A09" w:rsidP="007C5270">
      <w:pPr>
        <w:rPr>
          <w:sz w:val="20"/>
        </w:rPr>
      </w:pPr>
      <w:r w:rsidRPr="0048768B">
        <w:rPr>
          <w:rStyle w:val="FootnoteReference"/>
          <w:sz w:val="20"/>
        </w:rPr>
        <w:footnoteRef/>
      </w:r>
      <w:r w:rsidRPr="0048768B">
        <w:rPr>
          <w:sz w:val="20"/>
        </w:rPr>
        <w:t xml:space="preserve"> </w:t>
      </w:r>
      <w:r w:rsidRPr="0048768B">
        <w:rPr>
          <w:i/>
          <w:sz w:val="20"/>
        </w:rPr>
        <w:t xml:space="preserve">See </w:t>
      </w:r>
      <w:r w:rsidRPr="0048768B">
        <w:rPr>
          <w:sz w:val="20"/>
        </w:rPr>
        <w:t>AT&amp;T Services, Inc., Petition for Expedited Rulemaking and Request for Waiver of Section 22.913 of the Commission’s Rules (filed February 29, 2012) (Petition)</w:t>
      </w:r>
      <w:r>
        <w:rPr>
          <w:sz w:val="20"/>
        </w:rPr>
        <w:t xml:space="preserve">.  </w:t>
      </w:r>
      <w:r w:rsidRPr="0048768B">
        <w:rPr>
          <w:sz w:val="20"/>
        </w:rPr>
        <w:t>A technical study dated February 14, 201</w:t>
      </w:r>
      <w:r>
        <w:rPr>
          <w:sz w:val="20"/>
        </w:rPr>
        <w:t>2</w:t>
      </w:r>
      <w:r w:rsidRPr="0048768B">
        <w:rPr>
          <w:sz w:val="20"/>
        </w:rPr>
        <w:t xml:space="preserve">, </w:t>
      </w:r>
      <w:r>
        <w:rPr>
          <w:sz w:val="20"/>
        </w:rPr>
        <w:t xml:space="preserve">similar to the March 2013 Study, </w:t>
      </w:r>
      <w:r w:rsidRPr="0048768B">
        <w:rPr>
          <w:sz w:val="20"/>
        </w:rPr>
        <w:t xml:space="preserve">was attached to AT&amp;T’s Petition at Appendix A.  On May 2, 2012, the Wireless Telecommunications Bureau (Bureau) sought comment on the Petition, which remains pending.  </w:t>
      </w:r>
      <w:r w:rsidRPr="0048768B">
        <w:rPr>
          <w:i/>
          <w:sz w:val="20"/>
        </w:rPr>
        <w:t xml:space="preserve">See </w:t>
      </w:r>
      <w:r w:rsidRPr="00623CF2">
        <w:rPr>
          <w:sz w:val="20"/>
        </w:rPr>
        <w:t>“</w:t>
      </w:r>
      <w:r w:rsidRPr="0048768B">
        <w:rPr>
          <w:sz w:val="20"/>
        </w:rPr>
        <w:t>Wireless Telecommunications Bureau Seeks Comment on Petition for Rulemaking Filed by AT&amp;T Consistent with Rules for Other Mobile Broadband Services,</w:t>
      </w:r>
      <w:r>
        <w:rPr>
          <w:sz w:val="20"/>
        </w:rPr>
        <w:t>”</w:t>
      </w:r>
      <w:r w:rsidRPr="0048768B">
        <w:rPr>
          <w:sz w:val="20"/>
        </w:rPr>
        <w:t xml:space="preserve"> </w:t>
      </w:r>
      <w:r w:rsidRPr="0048768B">
        <w:rPr>
          <w:i/>
          <w:sz w:val="20"/>
        </w:rPr>
        <w:t>Public Notice,</w:t>
      </w:r>
      <w:r w:rsidRPr="0048768B">
        <w:rPr>
          <w:sz w:val="20"/>
        </w:rPr>
        <w:t xml:space="preserve"> RM-11660, 27 FCC Rcd 4926 (WTB 2012).  The Bureau did not seek comment on AT&amp;T’s request for a blanket interim waiver of 47 C.F.R. § 22.913</w:t>
      </w:r>
      <w:r>
        <w:rPr>
          <w:sz w:val="20"/>
        </w:rPr>
        <w:t>, which was included with the Petition, and AT&amp;T withdrew the request on July 22, 2013</w:t>
      </w:r>
      <w:r w:rsidRPr="0048768B">
        <w:rPr>
          <w:sz w:val="20"/>
        </w:rPr>
        <w:t xml:space="preserve">.  </w:t>
      </w:r>
      <w:r w:rsidRPr="0048768B">
        <w:rPr>
          <w:i/>
          <w:sz w:val="20"/>
        </w:rPr>
        <w:t xml:space="preserve">See </w:t>
      </w:r>
      <w:r w:rsidRPr="0048768B">
        <w:rPr>
          <w:sz w:val="20"/>
        </w:rPr>
        <w:t>Waiver Request at 1, n.2.</w:t>
      </w:r>
    </w:p>
    <w:p w:rsidR="003A1A09" w:rsidRPr="0048768B" w:rsidRDefault="003A1A09" w:rsidP="00877CC0">
      <w:pPr>
        <w:rPr>
          <w:sz w:val="20"/>
        </w:rPr>
      </w:pPr>
    </w:p>
  </w:footnote>
  <w:footnote w:id="13">
    <w:p w:rsidR="003A1A09" w:rsidRDefault="003A1A09" w:rsidP="009950E9">
      <w:pPr>
        <w:pStyle w:val="FootnoteText"/>
        <w:ind w:firstLine="0"/>
      </w:pPr>
      <w:r>
        <w:rPr>
          <w:rStyle w:val="FootnoteReference"/>
        </w:rPr>
        <w:footnoteRef/>
      </w:r>
      <w:r>
        <w:t xml:space="preserve"> </w:t>
      </w:r>
      <w:r w:rsidRPr="009950E9">
        <w:rPr>
          <w:i/>
        </w:rPr>
        <w:t>See</w:t>
      </w:r>
      <w:r>
        <w:t xml:space="preserve"> ULS call signs </w:t>
      </w:r>
      <w:r w:rsidRPr="00262ED4">
        <w:rPr>
          <w:szCs w:val="22"/>
        </w:rPr>
        <w:t>KNKA264 and KNKA355</w:t>
      </w:r>
      <w:r>
        <w:rPr>
          <w:szCs w:val="22"/>
        </w:rPr>
        <w:t>.</w:t>
      </w:r>
    </w:p>
  </w:footnote>
  <w:footnote w:id="14">
    <w:p w:rsidR="003A1A09" w:rsidRDefault="003A1A09" w:rsidP="009950E9">
      <w:pPr>
        <w:pStyle w:val="FootnoteText"/>
        <w:ind w:firstLine="0"/>
      </w:pPr>
      <w:r>
        <w:rPr>
          <w:rStyle w:val="FootnoteReference"/>
        </w:rPr>
        <w:footnoteRef/>
      </w:r>
      <w:r>
        <w:t xml:space="preserve"> </w:t>
      </w:r>
      <w:r w:rsidRPr="009950E9">
        <w:rPr>
          <w:i/>
          <w:szCs w:val="22"/>
        </w:rPr>
        <w:t>See</w:t>
      </w:r>
      <w:r>
        <w:rPr>
          <w:szCs w:val="22"/>
        </w:rPr>
        <w:t xml:space="preserve"> ULS call signs </w:t>
      </w:r>
      <w:r w:rsidRPr="00262ED4">
        <w:rPr>
          <w:szCs w:val="22"/>
        </w:rPr>
        <w:t>KNKA225 and KNKA364</w:t>
      </w:r>
      <w:r>
        <w:rPr>
          <w:szCs w:val="22"/>
        </w:rPr>
        <w:t>.</w:t>
      </w:r>
      <w:r>
        <w:t xml:space="preserve"> </w:t>
      </w:r>
    </w:p>
  </w:footnote>
  <w:footnote w:id="15">
    <w:p w:rsidR="003A1A09" w:rsidRDefault="003A1A09" w:rsidP="009950E9">
      <w:pPr>
        <w:pStyle w:val="FootnoteText"/>
        <w:ind w:firstLine="0"/>
      </w:pPr>
      <w:r>
        <w:rPr>
          <w:rStyle w:val="FootnoteReference"/>
        </w:rPr>
        <w:footnoteRef/>
      </w:r>
      <w:r>
        <w:t xml:space="preserve"> </w:t>
      </w:r>
      <w:r w:rsidRPr="00A474A4">
        <w:rPr>
          <w:i/>
          <w:szCs w:val="22"/>
        </w:rPr>
        <w:t>See</w:t>
      </w:r>
      <w:r w:rsidRPr="00262ED4">
        <w:rPr>
          <w:szCs w:val="22"/>
        </w:rPr>
        <w:t xml:space="preserve"> </w:t>
      </w:r>
      <w:r>
        <w:rPr>
          <w:szCs w:val="22"/>
        </w:rPr>
        <w:t xml:space="preserve">ULS call signs </w:t>
      </w:r>
      <w:r w:rsidRPr="00262ED4">
        <w:rPr>
          <w:szCs w:val="22"/>
        </w:rPr>
        <w:t>KNKN793 and WPSJ791.</w:t>
      </w:r>
    </w:p>
  </w:footnote>
  <w:footnote w:id="16">
    <w:p w:rsidR="003A1A09" w:rsidRPr="00CC100A" w:rsidRDefault="003A1A09" w:rsidP="00CC100A">
      <w:pPr>
        <w:pStyle w:val="FootnoteText"/>
        <w:ind w:firstLine="0"/>
      </w:pPr>
      <w:r>
        <w:rPr>
          <w:rStyle w:val="FootnoteReference"/>
        </w:rPr>
        <w:footnoteRef/>
      </w:r>
      <w:r>
        <w:t xml:space="preserve"> </w:t>
      </w:r>
      <w:r>
        <w:rPr>
          <w:i/>
        </w:rPr>
        <w:t xml:space="preserve">See </w:t>
      </w:r>
      <w:r>
        <w:t xml:space="preserve">Waiver Request at 1, 4, 8.  </w:t>
      </w:r>
    </w:p>
  </w:footnote>
  <w:footnote w:id="17">
    <w:p w:rsidR="003A1A09" w:rsidRPr="0014799C" w:rsidRDefault="003A1A09" w:rsidP="0014799C">
      <w:pPr>
        <w:pStyle w:val="FootnoteText"/>
        <w:ind w:firstLine="0"/>
      </w:pPr>
      <w:r>
        <w:rPr>
          <w:rStyle w:val="FootnoteReference"/>
        </w:rPr>
        <w:footnoteRef/>
      </w:r>
      <w:r>
        <w:t xml:space="preserve"> </w:t>
      </w:r>
      <w:r w:rsidR="000C3E36" w:rsidRPr="000C3E36">
        <w:rPr>
          <w:i/>
        </w:rPr>
        <w:t>Id</w:t>
      </w:r>
      <w:r w:rsidR="000C3E36">
        <w:t>.</w:t>
      </w:r>
      <w:r>
        <w:t xml:space="preserve"> at 5.  </w:t>
      </w:r>
    </w:p>
  </w:footnote>
  <w:footnote w:id="18">
    <w:p w:rsidR="003A1A09" w:rsidRDefault="003A1A09" w:rsidP="0014799C">
      <w:pPr>
        <w:pStyle w:val="FootnoteText"/>
        <w:ind w:firstLine="0"/>
        <w:jc w:val="both"/>
      </w:pPr>
      <w:r>
        <w:rPr>
          <w:rStyle w:val="FootnoteReference"/>
        </w:rPr>
        <w:footnoteRef/>
      </w:r>
      <w:r>
        <w:t xml:space="preserve"> </w:t>
      </w:r>
      <w:r w:rsidR="000C3E36" w:rsidRPr="000C3E36">
        <w:rPr>
          <w:i/>
        </w:rPr>
        <w:t>Id</w:t>
      </w:r>
      <w:r>
        <w:t xml:space="preserve">.  </w:t>
      </w:r>
      <w:r w:rsidRPr="009F3D94">
        <w:rPr>
          <w:i/>
        </w:rPr>
        <w:t>See also</w:t>
      </w:r>
      <w:r>
        <w:t xml:space="preserve"> AT&amp;T Reply Comments at 2.</w:t>
      </w:r>
    </w:p>
  </w:footnote>
  <w:footnote w:id="19">
    <w:p w:rsidR="003A1A09" w:rsidRPr="0048768B" w:rsidRDefault="003A1A09" w:rsidP="00740190">
      <w:pPr>
        <w:pStyle w:val="FootnoteText"/>
        <w:ind w:firstLine="0"/>
        <w:rPr>
          <w:b/>
        </w:rPr>
      </w:pPr>
      <w:r w:rsidRPr="0048768B">
        <w:rPr>
          <w:rStyle w:val="FootnoteReference"/>
          <w:sz w:val="20"/>
        </w:rPr>
        <w:footnoteRef/>
      </w:r>
      <w:r w:rsidRPr="0048768B">
        <w:t xml:space="preserve"> </w:t>
      </w:r>
      <w:r w:rsidRPr="000C3E36">
        <w:rPr>
          <w:i/>
        </w:rPr>
        <w:t xml:space="preserve">See </w:t>
      </w:r>
      <w:r w:rsidR="000C3E36" w:rsidRPr="00700692">
        <w:rPr>
          <w:i/>
        </w:rPr>
        <w:t>id</w:t>
      </w:r>
      <w:r w:rsidR="000C3E36">
        <w:t>.</w:t>
      </w:r>
      <w:r w:rsidRPr="0048768B">
        <w:t xml:space="preserve"> at 6</w:t>
      </w:r>
      <w:r>
        <w:t xml:space="preserve"> (describing its March 2013 Study)</w:t>
      </w:r>
      <w:r w:rsidRPr="0048768B">
        <w:t xml:space="preserve">. </w:t>
      </w:r>
    </w:p>
  </w:footnote>
  <w:footnote w:id="20">
    <w:p w:rsidR="003A1A09" w:rsidRPr="00E35418" w:rsidRDefault="003A1A09" w:rsidP="00740190">
      <w:pPr>
        <w:pStyle w:val="FootnoteText"/>
        <w:ind w:firstLine="0"/>
      </w:pPr>
      <w:r>
        <w:rPr>
          <w:rStyle w:val="FootnoteReference"/>
        </w:rPr>
        <w:footnoteRef/>
      </w:r>
      <w:r>
        <w:t xml:space="preserve"> Waiver Request at 7-8.</w:t>
      </w:r>
    </w:p>
  </w:footnote>
  <w:footnote w:id="21">
    <w:p w:rsidR="003A1A09" w:rsidRDefault="003A1A09" w:rsidP="00740190">
      <w:pPr>
        <w:pStyle w:val="FootnoteText"/>
        <w:ind w:firstLine="0"/>
      </w:pPr>
      <w:r>
        <w:rPr>
          <w:rStyle w:val="FootnoteReference"/>
        </w:rPr>
        <w:footnoteRef/>
      </w:r>
      <w:r>
        <w:t xml:space="preserve"> </w:t>
      </w:r>
      <w:r>
        <w:rPr>
          <w:i/>
        </w:rPr>
        <w:t xml:space="preserve">See </w:t>
      </w:r>
      <w:r w:rsidR="00700692" w:rsidRPr="00700692">
        <w:rPr>
          <w:i/>
        </w:rPr>
        <w:t>id</w:t>
      </w:r>
      <w:r w:rsidR="00700692">
        <w:t>.</w:t>
      </w:r>
      <w:r>
        <w:t xml:space="preserve"> at 6-7 and n.20 (referencing its March 2013 Study).</w:t>
      </w:r>
    </w:p>
  </w:footnote>
  <w:footnote w:id="22">
    <w:p w:rsidR="003A1A09" w:rsidRPr="00EF32A7" w:rsidRDefault="003A1A09" w:rsidP="00740190">
      <w:pPr>
        <w:pStyle w:val="FootnoteText"/>
        <w:ind w:firstLine="0"/>
      </w:pPr>
      <w:r>
        <w:rPr>
          <w:rStyle w:val="FootnoteReference"/>
        </w:rPr>
        <w:footnoteRef/>
      </w:r>
      <w:r>
        <w:t xml:space="preserve"> </w:t>
      </w:r>
      <w:r w:rsidR="005955CA">
        <w:t>Waiver Request at 7.</w:t>
      </w:r>
    </w:p>
  </w:footnote>
  <w:footnote w:id="23">
    <w:p w:rsidR="003A1A09" w:rsidRDefault="003A1A09" w:rsidP="00F86074">
      <w:pPr>
        <w:pStyle w:val="FootnoteText"/>
        <w:ind w:firstLine="0"/>
      </w:pPr>
      <w:r>
        <w:rPr>
          <w:rStyle w:val="FootnoteReference"/>
        </w:rPr>
        <w:footnoteRef/>
      </w:r>
      <w:r>
        <w:t xml:space="preserve"> AT&amp;T Supplement at 3.</w:t>
      </w:r>
      <w:r w:rsidR="000C3E36">
        <w:t xml:space="preserve">  </w:t>
      </w:r>
      <w:r w:rsidR="000C3E36" w:rsidRPr="00262ED4">
        <w:rPr>
          <w:szCs w:val="22"/>
        </w:rPr>
        <w:t xml:space="preserve">AT&amp;T </w:t>
      </w:r>
      <w:r w:rsidR="000C3E36">
        <w:rPr>
          <w:szCs w:val="22"/>
        </w:rPr>
        <w:t xml:space="preserve">indicates that there will be no increase in interference to public safety from PSD-based operation </w:t>
      </w:r>
      <w:r w:rsidR="000C3E36" w:rsidRPr="00262ED4">
        <w:rPr>
          <w:szCs w:val="22"/>
        </w:rPr>
        <w:t>“whether or not rebanding has been completed.”</w:t>
      </w:r>
      <w:r w:rsidR="000C3E36">
        <w:rPr>
          <w:szCs w:val="22"/>
        </w:rPr>
        <w:t xml:space="preserve">  </w:t>
      </w:r>
      <w:r w:rsidR="000C3E36" w:rsidRPr="000C3E36">
        <w:rPr>
          <w:i/>
          <w:szCs w:val="22"/>
        </w:rPr>
        <w:t>Id.</w:t>
      </w:r>
      <w:r w:rsidR="000C3E36">
        <w:rPr>
          <w:szCs w:val="22"/>
        </w:rPr>
        <w:t xml:space="preserve"> </w:t>
      </w:r>
    </w:p>
  </w:footnote>
  <w:footnote w:id="24">
    <w:p w:rsidR="003A1A09" w:rsidRDefault="003A1A09" w:rsidP="000A785F">
      <w:pPr>
        <w:pStyle w:val="FootnoteText"/>
        <w:ind w:firstLine="0"/>
      </w:pPr>
      <w:r>
        <w:rPr>
          <w:rStyle w:val="FootnoteReference"/>
        </w:rPr>
        <w:footnoteRef/>
      </w:r>
      <w:r>
        <w:t xml:space="preserve"> </w:t>
      </w:r>
      <w:r w:rsidR="00700692" w:rsidRPr="00700692">
        <w:rPr>
          <w:i/>
        </w:rPr>
        <w:t>Id</w:t>
      </w:r>
      <w:r w:rsidR="00700692">
        <w:t>.</w:t>
      </w:r>
      <w:r>
        <w:t xml:space="preserve"> at 3. </w:t>
      </w:r>
    </w:p>
  </w:footnote>
  <w:footnote w:id="25">
    <w:p w:rsidR="003A1A09" w:rsidRDefault="003A1A09" w:rsidP="000A785F">
      <w:pPr>
        <w:pStyle w:val="FootnoteText"/>
        <w:ind w:firstLine="0"/>
      </w:pPr>
      <w:r>
        <w:rPr>
          <w:rStyle w:val="FootnoteReference"/>
        </w:rPr>
        <w:footnoteRef/>
      </w:r>
      <w:r>
        <w:t xml:space="preserve"> </w:t>
      </w:r>
      <w:r w:rsidR="00700692" w:rsidRPr="00700692">
        <w:rPr>
          <w:i/>
        </w:rPr>
        <w:t>Id</w:t>
      </w:r>
      <w:r w:rsidR="00700692">
        <w:t>.</w:t>
      </w:r>
      <w:r>
        <w:t xml:space="preserve"> at 3 (citing 47 U.S.C. § 302). </w:t>
      </w:r>
    </w:p>
  </w:footnote>
  <w:footnote w:id="26">
    <w:p w:rsidR="003A1A09" w:rsidRDefault="003A1A09" w:rsidP="000A785F">
      <w:pPr>
        <w:pStyle w:val="FootnoteText"/>
        <w:ind w:firstLine="0"/>
      </w:pPr>
      <w:r>
        <w:rPr>
          <w:rStyle w:val="FootnoteReference"/>
        </w:rPr>
        <w:footnoteRef/>
      </w:r>
      <w:r>
        <w:t xml:space="preserve"> </w:t>
      </w:r>
      <w:r w:rsidR="00700692" w:rsidRPr="00700692">
        <w:rPr>
          <w:i/>
        </w:rPr>
        <w:t>Id</w:t>
      </w:r>
      <w:r w:rsidR="00700692">
        <w:t>.</w:t>
      </w:r>
      <w:r>
        <w:t xml:space="preserve"> at 3-4. </w:t>
      </w:r>
    </w:p>
  </w:footnote>
  <w:footnote w:id="27">
    <w:p w:rsidR="003A1A09" w:rsidRDefault="003A1A09" w:rsidP="000A785F">
      <w:pPr>
        <w:pStyle w:val="FootnoteText"/>
        <w:ind w:firstLine="0"/>
      </w:pPr>
      <w:r>
        <w:rPr>
          <w:rStyle w:val="FootnoteReference"/>
        </w:rPr>
        <w:footnoteRef/>
      </w:r>
      <w:r>
        <w:t xml:space="preserve"> </w:t>
      </w:r>
      <w:r w:rsidR="00700692" w:rsidRPr="00700692">
        <w:rPr>
          <w:i/>
        </w:rPr>
        <w:t>Id</w:t>
      </w:r>
      <w:r w:rsidR="00700692">
        <w:t>.</w:t>
      </w:r>
      <w:r>
        <w:t xml:space="preserve"> at 4.</w:t>
      </w:r>
    </w:p>
  </w:footnote>
  <w:footnote w:id="28">
    <w:p w:rsidR="003A1A09" w:rsidRPr="007B475A" w:rsidRDefault="003A1A09" w:rsidP="00594E59">
      <w:pPr>
        <w:pStyle w:val="FootnoteText"/>
        <w:ind w:firstLine="0"/>
        <w:rPr>
          <w:b/>
        </w:rPr>
      </w:pPr>
      <w:r w:rsidRPr="0048768B">
        <w:rPr>
          <w:rStyle w:val="FootnoteReference"/>
          <w:sz w:val="20"/>
        </w:rPr>
        <w:footnoteRef/>
      </w:r>
      <w:r w:rsidRPr="0048768B">
        <w:t xml:space="preserve"> </w:t>
      </w:r>
      <w:r w:rsidR="001321C1" w:rsidRPr="00D73A4B">
        <w:rPr>
          <w:i/>
        </w:rPr>
        <w:t xml:space="preserve">See </w:t>
      </w:r>
      <w:r w:rsidR="001321C1" w:rsidRPr="00D73A4B">
        <w:t xml:space="preserve">“Wireless Telecommunications Bureau Seeks Comment on AT&amp;T Request for Waiver to Permit Power Spectral Density Model for 800 MHz Cellular Operations in Three Florida Markets,” </w:t>
      </w:r>
      <w:r w:rsidR="001321C1" w:rsidRPr="00D73A4B">
        <w:rPr>
          <w:i/>
        </w:rPr>
        <w:t>Public Notice,</w:t>
      </w:r>
      <w:r w:rsidR="001321C1" w:rsidRPr="00D73A4B">
        <w:t xml:space="preserve"> </w:t>
      </w:r>
      <w:r w:rsidR="001321C1" w:rsidRPr="009631E6">
        <w:rPr>
          <w:color w:val="000000"/>
          <w:shd w:val="clear" w:color="auto" w:fill="FFFFFF"/>
        </w:rPr>
        <w:t>28 FCC Rcd 12584</w:t>
      </w:r>
      <w:r w:rsidR="001321C1" w:rsidRPr="00D73A4B" w:rsidDel="00D73A4B">
        <w:t xml:space="preserve"> </w:t>
      </w:r>
      <w:r w:rsidR="001321C1" w:rsidRPr="00D73A4B">
        <w:t>(Aug. 22, 2013).</w:t>
      </w:r>
      <w:r w:rsidR="001321C1">
        <w:t xml:space="preserve">  </w:t>
      </w:r>
    </w:p>
  </w:footnote>
  <w:footnote w:id="29">
    <w:p w:rsidR="003A1A09" w:rsidRDefault="003A1A09" w:rsidP="00700692">
      <w:pPr>
        <w:pStyle w:val="FootnoteText"/>
        <w:ind w:firstLine="0"/>
      </w:pPr>
      <w:r>
        <w:rPr>
          <w:rStyle w:val="FootnoteReference"/>
        </w:rPr>
        <w:footnoteRef/>
      </w:r>
      <w:r>
        <w:t xml:space="preserve"> </w:t>
      </w:r>
      <w:r w:rsidRPr="0048768B">
        <w:t>Letter from William</w:t>
      </w:r>
      <w:r w:rsidR="00CE4F5F">
        <w:t xml:space="preserve"> L. </w:t>
      </w:r>
      <w:r w:rsidRPr="0048768B">
        <w:t xml:space="preserve">Roughton, </w:t>
      </w:r>
      <w:r w:rsidR="00CE4F5F">
        <w:t xml:space="preserve">Jr., </w:t>
      </w:r>
      <w:r>
        <w:t>A</w:t>
      </w:r>
      <w:r w:rsidRPr="0048768B">
        <w:t>T&amp;T Services, Inc.</w:t>
      </w:r>
      <w:r>
        <w:t>,</w:t>
      </w:r>
      <w:r w:rsidRPr="0048768B">
        <w:t xml:space="preserve"> to Marlene H. Dortch, Secretary, FCC, dated Oct</w:t>
      </w:r>
      <w:r>
        <w:t>.</w:t>
      </w:r>
      <w:r w:rsidR="008D4991">
        <w:t xml:space="preserve"> 25, 2013 (</w:t>
      </w:r>
      <w:r w:rsidRPr="0048768B">
        <w:t>AT&amp;T Reply Comments)</w:t>
      </w:r>
      <w:r>
        <w:t xml:space="preserve">; </w:t>
      </w:r>
      <w:r w:rsidRPr="00700692">
        <w:rPr>
          <w:i/>
        </w:rPr>
        <w:t>See also</w:t>
      </w:r>
      <w:r>
        <w:t xml:space="preserve"> Letter from Jeanine Poltronieri, AT&amp;T Services, Inc., to Marlene H. Dortch, Secretary, FCC, dated Nov. 20, 2013.  </w:t>
      </w:r>
    </w:p>
  </w:footnote>
  <w:footnote w:id="30">
    <w:p w:rsidR="003A1A09" w:rsidRDefault="003A1A09" w:rsidP="00BD3B79">
      <w:pPr>
        <w:pStyle w:val="FootnoteText"/>
        <w:ind w:firstLine="0"/>
      </w:pPr>
      <w:r>
        <w:rPr>
          <w:rStyle w:val="FootnoteReference"/>
        </w:rPr>
        <w:footnoteRef/>
      </w:r>
      <w:r>
        <w:t xml:space="preserve"> We will consider filings made outside the pleading cycle as informal comments in the interest of achieving a complete record in this proceeding.  </w:t>
      </w:r>
    </w:p>
  </w:footnote>
  <w:footnote w:id="31">
    <w:p w:rsidR="003A1A09" w:rsidRDefault="003A1A09" w:rsidP="00572521">
      <w:pPr>
        <w:pStyle w:val="FootnoteText"/>
        <w:ind w:firstLine="0"/>
      </w:pPr>
      <w:r>
        <w:rPr>
          <w:rStyle w:val="FootnoteReference"/>
        </w:rPr>
        <w:footnoteRef/>
      </w:r>
      <w:r>
        <w:t xml:space="preserve"> </w:t>
      </w:r>
      <w:r>
        <w:rPr>
          <w:i/>
        </w:rPr>
        <w:t xml:space="preserve">See </w:t>
      </w:r>
      <w:r>
        <w:t>“Input by the State of Florida to the AT&amp;T Request for Waiver,” signed by John Ford, Chief, Bureau of Public Safety, dated Dec. 3, 2013 (filed Dec. 5, 2013) (State of Florida December 2013 Comments); Letter from Cindy M. Cast, Radio Systems Manager, Miami-Dade County, to Marlene Dortch, Secretary, FCC, dated Dec. 5, 2013 (Miami-Dade December 2013 Comments); Memorandum from Robert G. Mangold, Chief of Police, Atlantis, to the FCC, dated Dec. 16, 2013 (Atlantis Police Comments); Comments Letter from Jeffrey L. Green, City Administrator, West Palm Beach, to Marlene H. Dortch, Secretary, FCC, dated Dec. 12, 2013 (filed Dec. 16, 2013) (West Palm Beach Comments); Memorandum from Brian J. Smith, Chief, Juno Beach Police Department, to the FCC, dated December 24, 2013 (Juno Police Comments); Letter from Mark Hammond, Executive Director, Solid Waste Authority (SWA) of Palm Beach County, to Marlene Dortch, Secretary, FCC, dated Dec. 19, 2013 (Palm Beach County SWA Comments); “Input by Palm Beach County (FL) to the AT&amp;T Request for Waiver," signed by Audrey Wolf, Director, Palm Beach County Facilities Development &amp; Operations (undated; filed Jan. 3, 2014) (Palm Beach County Comments); Memorandum from Tommy L. Copen, Technical Manager, School District of Palm Beach County, Department of School Police, to Marlene H. Dortch, Secretary, FCC, dated Dec. 17, 2013 (Palm Beach County School Police Dept. Comments); Comments filed Dec. 18, 2013, by Major David England, a representative of the Jupiter Police Department (Jupiter Police Comments); Letter from Christine Cunningham, Communications Manager, Palm Beach Police Department, dated Dec. 20, 2013 (Palm Beach Police Comments).</w:t>
      </w:r>
    </w:p>
  </w:footnote>
  <w:footnote w:id="32">
    <w:p w:rsidR="003A1A09" w:rsidRPr="009631E6" w:rsidRDefault="003A1A09" w:rsidP="00073E87">
      <w:pPr>
        <w:pStyle w:val="FootnoteText"/>
        <w:ind w:firstLine="0"/>
      </w:pPr>
      <w:r>
        <w:rPr>
          <w:rStyle w:val="FootnoteReference"/>
        </w:rPr>
        <w:footnoteRef/>
      </w:r>
      <w:r>
        <w:t xml:space="preserve"> Miami-Dade December 2013 Comments at 1.</w:t>
      </w:r>
    </w:p>
  </w:footnote>
  <w:footnote w:id="33">
    <w:p w:rsidR="00E41DAC" w:rsidRDefault="00E41DAC" w:rsidP="00E41DAC">
      <w:pPr>
        <w:pStyle w:val="FootnoteText"/>
        <w:ind w:firstLine="0"/>
      </w:pPr>
      <w:r>
        <w:rPr>
          <w:rStyle w:val="FootnoteReference"/>
        </w:rPr>
        <w:footnoteRef/>
      </w:r>
      <w:r>
        <w:t xml:space="preserve"> </w:t>
      </w:r>
      <w:r w:rsidRPr="00E41DAC">
        <w:rPr>
          <w:i/>
        </w:rPr>
        <w:t>See, e.g.</w:t>
      </w:r>
      <w:r>
        <w:t xml:space="preserve"> Miami-Dade December 2013 Comments at 1; State of Florida December 2013 Comments at 2; </w:t>
      </w:r>
      <w:r w:rsidRPr="009631E6">
        <w:t>State of Florida December 2013 Comments at 2</w:t>
      </w:r>
      <w:r>
        <w:t>; Palm Beach County SWA Comments; Miami-Dade March 2014 Comments at 4.</w:t>
      </w:r>
    </w:p>
  </w:footnote>
  <w:footnote w:id="34">
    <w:p w:rsidR="003A1A09" w:rsidRDefault="003A1A09" w:rsidP="009631E6">
      <w:pPr>
        <w:pStyle w:val="FootnoteText"/>
        <w:ind w:firstLine="0"/>
      </w:pPr>
      <w:r>
        <w:rPr>
          <w:rStyle w:val="FootnoteReference"/>
        </w:rPr>
        <w:footnoteRef/>
      </w:r>
      <w:r>
        <w:t xml:space="preserve"> Letter from Felix Perez, Director, Radio Communications Division, Information Technology Department, Miami-Dade County, dated March 24, 2014 (Miami-Dade March 2014 Comments);  </w:t>
      </w:r>
      <w:r w:rsidRPr="000336F4">
        <w:t>"Follow-up Comments by the State of Florida to the AT&amp;T Request for Waiver," signed by John Ford, Chief, Bureau of Public Safety, dated Apr. 18, 2014 (State o</w:t>
      </w:r>
      <w:r>
        <w:t xml:space="preserve">f Florida April 2014 Comments). </w:t>
      </w:r>
    </w:p>
  </w:footnote>
  <w:footnote w:id="35">
    <w:p w:rsidR="003A1A09" w:rsidRDefault="003A1A09" w:rsidP="009631E6">
      <w:pPr>
        <w:pStyle w:val="FootnoteText"/>
        <w:ind w:firstLine="0"/>
      </w:pPr>
      <w:r>
        <w:rPr>
          <w:rStyle w:val="FootnoteReference"/>
        </w:rPr>
        <w:footnoteRef/>
      </w:r>
      <w:r>
        <w:t xml:space="preserve"> Miami-Dade County March 2014 Comments at 2.</w:t>
      </w:r>
    </w:p>
  </w:footnote>
  <w:footnote w:id="36">
    <w:p w:rsidR="003A1A09" w:rsidRDefault="003A1A09" w:rsidP="009631E6">
      <w:pPr>
        <w:pStyle w:val="FootnoteText"/>
        <w:ind w:firstLine="0"/>
      </w:pPr>
      <w:r>
        <w:rPr>
          <w:rStyle w:val="FootnoteReference"/>
        </w:rPr>
        <w:footnoteRef/>
      </w:r>
      <w:r>
        <w:t xml:space="preserve"> State of Florida April 2014 Comments at 1.</w:t>
      </w:r>
    </w:p>
  </w:footnote>
  <w:footnote w:id="37">
    <w:p w:rsidR="003A1A09" w:rsidRPr="00940102" w:rsidRDefault="003A1A09" w:rsidP="009631E6">
      <w:pPr>
        <w:pStyle w:val="FootnoteText"/>
        <w:ind w:firstLine="0"/>
      </w:pPr>
      <w:r w:rsidRPr="00940102">
        <w:rPr>
          <w:rStyle w:val="FootnoteReference"/>
        </w:rPr>
        <w:footnoteRef/>
      </w:r>
      <w:r w:rsidRPr="00940102">
        <w:t xml:space="preserve"> </w:t>
      </w:r>
      <w:r w:rsidRPr="00940102">
        <w:rPr>
          <w:i/>
        </w:rPr>
        <w:t xml:space="preserve">See </w:t>
      </w:r>
      <w:r w:rsidRPr="00940102">
        <w:t xml:space="preserve">FCC File No. 0376-EX-ST-2014 (assigning call sign WH9XP for experimental service effective May 9-Nov. 10, 2014). </w:t>
      </w:r>
    </w:p>
  </w:footnote>
  <w:footnote w:id="38">
    <w:p w:rsidR="003A1A09" w:rsidRDefault="003A1A09" w:rsidP="009631E6">
      <w:pPr>
        <w:pStyle w:val="FootnoteText"/>
        <w:ind w:firstLine="0"/>
      </w:pPr>
      <w:r>
        <w:rPr>
          <w:rStyle w:val="FootnoteReference"/>
        </w:rPr>
        <w:footnoteRef/>
      </w:r>
      <w:r>
        <w:t xml:space="preserve"> AT&amp;T July 9, 2014 </w:t>
      </w:r>
      <w:r>
        <w:rPr>
          <w:i/>
        </w:rPr>
        <w:t xml:space="preserve">Ex Parte </w:t>
      </w:r>
      <w:r>
        <w:t>Letter at 1.</w:t>
      </w:r>
    </w:p>
  </w:footnote>
  <w:footnote w:id="39">
    <w:p w:rsidR="003A1A09" w:rsidRPr="009631E6" w:rsidRDefault="003A1A09" w:rsidP="009631E6">
      <w:pPr>
        <w:pStyle w:val="FootnoteText"/>
        <w:ind w:firstLine="0"/>
        <w:rPr>
          <w:i/>
        </w:rPr>
      </w:pPr>
      <w:r>
        <w:rPr>
          <w:rStyle w:val="FootnoteReference"/>
        </w:rPr>
        <w:footnoteRef/>
      </w:r>
      <w:r>
        <w:t xml:space="preserve"> </w:t>
      </w:r>
      <w:r>
        <w:rPr>
          <w:i/>
        </w:rPr>
        <w:t>Id.</w:t>
      </w:r>
    </w:p>
  </w:footnote>
  <w:footnote w:id="40">
    <w:p w:rsidR="003A1A09" w:rsidRPr="009631E6" w:rsidRDefault="003A1A09" w:rsidP="009631E6">
      <w:pPr>
        <w:pStyle w:val="FootnoteText"/>
        <w:ind w:firstLine="0"/>
        <w:rPr>
          <w:i/>
        </w:rPr>
      </w:pPr>
      <w:r>
        <w:rPr>
          <w:rStyle w:val="FootnoteReference"/>
        </w:rPr>
        <w:footnoteRef/>
      </w:r>
      <w:r>
        <w:t xml:space="preserve"> </w:t>
      </w:r>
      <w:r>
        <w:rPr>
          <w:i/>
        </w:rPr>
        <w:t>Id.</w:t>
      </w:r>
    </w:p>
  </w:footnote>
  <w:footnote w:id="41">
    <w:p w:rsidR="003A1A09" w:rsidRPr="00603DB4" w:rsidRDefault="003A1A09" w:rsidP="009631E6">
      <w:pPr>
        <w:pStyle w:val="FootnoteText"/>
        <w:ind w:firstLine="0"/>
      </w:pPr>
      <w:r>
        <w:rPr>
          <w:rStyle w:val="FootnoteReference"/>
        </w:rPr>
        <w:footnoteRef/>
      </w:r>
      <w:r>
        <w:t xml:space="preserve"> </w:t>
      </w:r>
      <w:r>
        <w:rPr>
          <w:i/>
        </w:rPr>
        <w:t xml:space="preserve">See </w:t>
      </w:r>
      <w:r>
        <w:t xml:space="preserve">AT&amp;T July 9, 2014 </w:t>
      </w:r>
      <w:r>
        <w:rPr>
          <w:i/>
        </w:rPr>
        <w:t xml:space="preserve">Ex Parte </w:t>
      </w:r>
      <w:r>
        <w:t>Letter at 1-2.</w:t>
      </w:r>
    </w:p>
  </w:footnote>
  <w:footnote w:id="42">
    <w:p w:rsidR="003A1A09" w:rsidRPr="0080169E" w:rsidRDefault="003A1A09" w:rsidP="009631E6">
      <w:pPr>
        <w:pStyle w:val="FootnoteText"/>
        <w:ind w:firstLine="0"/>
      </w:pPr>
      <w:r>
        <w:rPr>
          <w:rStyle w:val="FootnoteReference"/>
        </w:rPr>
        <w:footnoteRef/>
      </w:r>
      <w:r>
        <w:t xml:space="preserve"> </w:t>
      </w:r>
      <w:r>
        <w:rPr>
          <w:i/>
        </w:rPr>
        <w:t xml:space="preserve">Id. </w:t>
      </w:r>
      <w:r>
        <w:t>at 2.</w:t>
      </w:r>
    </w:p>
  </w:footnote>
  <w:footnote w:id="43">
    <w:p w:rsidR="003A1A09" w:rsidRDefault="003A1A09" w:rsidP="009631E6">
      <w:pPr>
        <w:pStyle w:val="FootnoteText"/>
        <w:ind w:firstLine="0"/>
      </w:pPr>
      <w:r>
        <w:rPr>
          <w:rStyle w:val="FootnoteReference"/>
        </w:rPr>
        <w:footnoteRef/>
      </w:r>
      <w:r>
        <w:t xml:space="preserve"> </w:t>
      </w:r>
      <w:r>
        <w:rPr>
          <w:szCs w:val="22"/>
        </w:rPr>
        <w:t xml:space="preserve">Palm Beach County witnessed, but did not participate in, the testing.  </w:t>
      </w:r>
    </w:p>
  </w:footnote>
  <w:footnote w:id="44">
    <w:p w:rsidR="003A1A09" w:rsidRPr="008E112D" w:rsidRDefault="003A1A09" w:rsidP="009631E6">
      <w:pPr>
        <w:pStyle w:val="FootnoteText"/>
        <w:ind w:firstLine="0"/>
      </w:pPr>
      <w:r>
        <w:rPr>
          <w:rStyle w:val="FootnoteReference"/>
        </w:rPr>
        <w:footnoteRef/>
      </w:r>
      <w:r>
        <w:t xml:space="preserve"> </w:t>
      </w:r>
      <w:r>
        <w:rPr>
          <w:i/>
        </w:rPr>
        <w:t xml:space="preserve">Ex Parte </w:t>
      </w:r>
      <w:r w:rsidRPr="008E112D">
        <w:t>Letter from</w:t>
      </w:r>
      <w:r>
        <w:t xml:space="preserve"> Felix Perez, Division Director, Miami-Dade County</w:t>
      </w:r>
      <w:r w:rsidRPr="008E112D">
        <w:t xml:space="preserve"> (Aug. 14, 2014) (</w:t>
      </w:r>
      <w:r w:rsidRPr="009631E6">
        <w:t xml:space="preserve">Miami-Dade County August 2014 </w:t>
      </w:r>
      <w:r w:rsidRPr="009631E6">
        <w:rPr>
          <w:i/>
        </w:rPr>
        <w:t>Ex Parte</w:t>
      </w:r>
      <w:r w:rsidRPr="009631E6">
        <w:t xml:space="preserve"> Letter).</w:t>
      </w:r>
    </w:p>
  </w:footnote>
  <w:footnote w:id="45">
    <w:p w:rsidR="003A1A09" w:rsidRPr="00F24574" w:rsidRDefault="003A1A09" w:rsidP="009631E6">
      <w:pPr>
        <w:pStyle w:val="FootnoteText"/>
        <w:ind w:firstLine="0"/>
      </w:pPr>
      <w:r>
        <w:rPr>
          <w:rStyle w:val="FootnoteReference"/>
        </w:rPr>
        <w:footnoteRef/>
      </w:r>
      <w:r>
        <w:t xml:space="preserve"> </w:t>
      </w:r>
      <w:r w:rsidRPr="00F24574">
        <w:t xml:space="preserve">Miami-Dade County August 2014 </w:t>
      </w:r>
      <w:r w:rsidRPr="009631E6">
        <w:rPr>
          <w:i/>
        </w:rPr>
        <w:t>Ex P</w:t>
      </w:r>
      <w:r w:rsidRPr="00F24574">
        <w:rPr>
          <w:i/>
        </w:rPr>
        <w:t>arte</w:t>
      </w:r>
      <w:r w:rsidRPr="009631E6">
        <w:rPr>
          <w:i/>
        </w:rPr>
        <w:t xml:space="preserve"> </w:t>
      </w:r>
      <w:r w:rsidRPr="009631E6">
        <w:t>Letter</w:t>
      </w:r>
      <w:r w:rsidRPr="00F24574">
        <w:rPr>
          <w:i/>
        </w:rPr>
        <w:t xml:space="preserve"> </w:t>
      </w:r>
      <w:r w:rsidRPr="00F24574">
        <w:t>at 2.</w:t>
      </w:r>
    </w:p>
  </w:footnote>
  <w:footnote w:id="46">
    <w:p w:rsidR="003A1A09" w:rsidRPr="009631E6" w:rsidRDefault="003A1A09" w:rsidP="009631E6">
      <w:pPr>
        <w:pStyle w:val="FootnoteText"/>
        <w:ind w:firstLine="0"/>
        <w:rPr>
          <w:i/>
        </w:rPr>
      </w:pPr>
      <w:r w:rsidRPr="00F24574">
        <w:rPr>
          <w:rStyle w:val="FootnoteReference"/>
        </w:rPr>
        <w:footnoteRef/>
      </w:r>
      <w:r w:rsidRPr="00F24574">
        <w:t xml:space="preserve"> </w:t>
      </w:r>
      <w:r w:rsidRPr="00F24574">
        <w:rPr>
          <w:i/>
        </w:rPr>
        <w:t xml:space="preserve">Id. </w:t>
      </w:r>
      <w:r w:rsidR="00CB62DF">
        <w:t>(</w:t>
      </w:r>
      <w:r w:rsidRPr="009631E6">
        <w:t xml:space="preserve">Miami-Dade County August 2014 </w:t>
      </w:r>
      <w:r w:rsidRPr="009631E6">
        <w:rPr>
          <w:i/>
        </w:rPr>
        <w:t xml:space="preserve">Ex Parte </w:t>
      </w:r>
      <w:r w:rsidRPr="009631E6">
        <w:t>Letter</w:t>
      </w:r>
      <w:r w:rsidRPr="009631E6">
        <w:rPr>
          <w:i/>
        </w:rPr>
        <w:t xml:space="preserve"> </w:t>
      </w:r>
      <w:r w:rsidRPr="009631E6">
        <w:t>at 2.</w:t>
      </w:r>
      <w:r w:rsidRPr="00F24574">
        <w:t>)</w:t>
      </w:r>
    </w:p>
  </w:footnote>
  <w:footnote w:id="47">
    <w:p w:rsidR="003A1A09" w:rsidRPr="009631E6" w:rsidRDefault="003A1A09" w:rsidP="00982E3F">
      <w:pPr>
        <w:pStyle w:val="FootnoteText"/>
        <w:ind w:firstLine="0"/>
        <w:rPr>
          <w:b/>
          <w:i/>
        </w:rPr>
      </w:pPr>
      <w:r>
        <w:rPr>
          <w:rStyle w:val="FootnoteReference"/>
        </w:rPr>
        <w:footnoteRef/>
      </w:r>
      <w:r>
        <w:t xml:space="preserve"> 47 C.F.R. § 1.925.  </w:t>
      </w:r>
    </w:p>
  </w:footnote>
  <w:footnote w:id="48">
    <w:p w:rsidR="003A1A09" w:rsidRDefault="003A1A09" w:rsidP="00056BDE">
      <w:pPr>
        <w:pStyle w:val="FootnoteText"/>
        <w:ind w:firstLine="0"/>
      </w:pPr>
      <w:r>
        <w:rPr>
          <w:rStyle w:val="FootnoteReference"/>
        </w:rPr>
        <w:footnoteRef/>
      </w:r>
      <w:r>
        <w:t xml:space="preserve"> Public safety licensees are defined for purposes of this waiver relief as licensees authorized under the following Universal Licensing System radio service codes: GE, GF, GP, YE, YF and YP. </w:t>
      </w:r>
    </w:p>
  </w:footnote>
  <w:footnote w:id="49">
    <w:p w:rsidR="005955CA" w:rsidRDefault="005955CA" w:rsidP="005955CA">
      <w:pPr>
        <w:pStyle w:val="FootnoteText"/>
        <w:ind w:firstLine="0"/>
      </w:pPr>
      <w:r>
        <w:rPr>
          <w:rStyle w:val="FootnoteReference"/>
        </w:rPr>
        <w:footnoteRef/>
      </w:r>
      <w:r>
        <w:t xml:space="preserve"> We note that t</w:t>
      </w:r>
      <w:r w:rsidRPr="008E24CF">
        <w:t xml:space="preserve">he general </w:t>
      </w:r>
      <w:r>
        <w:t xml:space="preserve">required </w:t>
      </w:r>
      <w:r w:rsidRPr="008E24CF">
        <w:t xml:space="preserve">separation </w:t>
      </w:r>
      <w:r>
        <w:t xml:space="preserve">distance </w:t>
      </w:r>
      <w:r w:rsidRPr="008E24CF">
        <w:t xml:space="preserve">between </w:t>
      </w:r>
      <w:r>
        <w:t xml:space="preserve">certain </w:t>
      </w:r>
      <w:r w:rsidRPr="008E24CF">
        <w:t xml:space="preserve">co-channel </w:t>
      </w:r>
      <w:r>
        <w:t xml:space="preserve">800 MHz </w:t>
      </w:r>
      <w:r w:rsidRPr="008E24CF">
        <w:t>systems is 113 km.  </w:t>
      </w:r>
      <w:r w:rsidRPr="008E24CF">
        <w:rPr>
          <w:i/>
          <w:iCs/>
        </w:rPr>
        <w:t xml:space="preserve">See </w:t>
      </w:r>
      <w:r w:rsidRPr="008E24CF">
        <w:t>47 C.F.R. § 90.621(b).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8B" w:rsidRDefault="002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8B" w:rsidRDefault="00256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09" w:rsidRDefault="003A1A09" w:rsidP="001F6D1F">
    <w:pPr>
      <w:pStyle w:val="Header"/>
      <w:tabs>
        <w:tab w:val="clear" w:pos="4320"/>
        <w:tab w:val="clear" w:pos="8640"/>
      </w:tabs>
      <w:spacing w:before="360" w:line="228" w:lineRule="auto"/>
      <w:jc w:val="center"/>
    </w:pPr>
    <w:r>
      <w:rPr>
        <w:noProof/>
        <w:snapToGrid/>
      </w:rPr>
      <w:drawing>
        <wp:anchor distT="0" distB="0" distL="114300" distR="114300" simplePos="0" relativeHeight="251657728" behindDoc="0" locked="0" layoutInCell="0" allowOverlap="1" wp14:anchorId="522F1B18" wp14:editId="742F4D05">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3A1A09" w:rsidRDefault="003A1A09" w:rsidP="001F6D1F">
    <w:pPr>
      <w:jc w:val="center"/>
    </w:pPr>
    <w:r>
      <w:rPr>
        <w:rFonts w:ascii="CG Times (W1)" w:hAnsi="CG Times (W1)"/>
        <w:sz w:val="28"/>
      </w:rPr>
      <w:t>Washington, D.C. 20554</w:t>
    </w:r>
  </w:p>
  <w:p w:rsidR="003A1A09" w:rsidRDefault="00113411" w:rsidP="00113411">
    <w:pPr>
      <w:pStyle w:val="Header"/>
      <w:jc w:val="center"/>
    </w:pPr>
    <w:r>
      <w:t>September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6B9BC"/>
    <w:lvl w:ilvl="0">
      <w:start w:val="1"/>
      <w:numFmt w:val="decimal"/>
      <w:lvlText w:val="%1."/>
      <w:lvlJc w:val="left"/>
      <w:pPr>
        <w:tabs>
          <w:tab w:val="num" w:pos="1800"/>
        </w:tabs>
        <w:ind w:left="1800" w:hanging="360"/>
      </w:pPr>
    </w:lvl>
  </w:abstractNum>
  <w:abstractNum w:abstractNumId="1">
    <w:nsid w:val="FFFFFF7D"/>
    <w:multiLevelType w:val="singleLevel"/>
    <w:tmpl w:val="93FA5D98"/>
    <w:lvl w:ilvl="0">
      <w:start w:val="1"/>
      <w:numFmt w:val="decimal"/>
      <w:lvlText w:val="%1."/>
      <w:lvlJc w:val="left"/>
      <w:pPr>
        <w:tabs>
          <w:tab w:val="num" w:pos="1440"/>
        </w:tabs>
        <w:ind w:left="1440" w:hanging="360"/>
      </w:pPr>
    </w:lvl>
  </w:abstractNum>
  <w:abstractNum w:abstractNumId="2">
    <w:nsid w:val="FFFFFF7E"/>
    <w:multiLevelType w:val="singleLevel"/>
    <w:tmpl w:val="C73E2740"/>
    <w:lvl w:ilvl="0">
      <w:start w:val="1"/>
      <w:numFmt w:val="decimal"/>
      <w:lvlText w:val="%1."/>
      <w:lvlJc w:val="left"/>
      <w:pPr>
        <w:tabs>
          <w:tab w:val="num" w:pos="1080"/>
        </w:tabs>
        <w:ind w:left="1080" w:hanging="360"/>
      </w:pPr>
    </w:lvl>
  </w:abstractNum>
  <w:abstractNum w:abstractNumId="3">
    <w:nsid w:val="FFFFFF7F"/>
    <w:multiLevelType w:val="singleLevel"/>
    <w:tmpl w:val="FEA49386"/>
    <w:lvl w:ilvl="0">
      <w:start w:val="1"/>
      <w:numFmt w:val="decimal"/>
      <w:lvlText w:val="%1."/>
      <w:lvlJc w:val="left"/>
      <w:pPr>
        <w:tabs>
          <w:tab w:val="num" w:pos="720"/>
        </w:tabs>
        <w:ind w:left="720" w:hanging="360"/>
      </w:pPr>
    </w:lvl>
  </w:abstractNum>
  <w:abstractNum w:abstractNumId="4">
    <w:nsid w:val="FFFFFF80"/>
    <w:multiLevelType w:val="singleLevel"/>
    <w:tmpl w:val="ECBE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869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9874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C57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6E6376"/>
    <w:lvl w:ilvl="0">
      <w:start w:val="1"/>
      <w:numFmt w:val="decimal"/>
      <w:lvlText w:val="%1."/>
      <w:lvlJc w:val="left"/>
      <w:pPr>
        <w:tabs>
          <w:tab w:val="num" w:pos="360"/>
        </w:tabs>
        <w:ind w:left="360" w:hanging="360"/>
      </w:pPr>
    </w:lvl>
  </w:abstractNum>
  <w:abstractNum w:abstractNumId="9">
    <w:nsid w:val="FFFFFF89"/>
    <w:multiLevelType w:val="singleLevel"/>
    <w:tmpl w:val="4E1CEAA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85C74A9"/>
    <w:multiLevelType w:val="hybridMultilevel"/>
    <w:tmpl w:val="49304970"/>
    <w:lvl w:ilvl="0" w:tplc="A94E9E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D094219"/>
    <w:multiLevelType w:val="hybridMultilevel"/>
    <w:tmpl w:val="F83CA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C90421"/>
    <w:multiLevelType w:val="hybridMultilevel"/>
    <w:tmpl w:val="32C0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E4859"/>
    <w:multiLevelType w:val="hybridMultilevel"/>
    <w:tmpl w:val="0464B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457F16"/>
    <w:multiLevelType w:val="hybridMultilevel"/>
    <w:tmpl w:val="14D20982"/>
    <w:lvl w:ilvl="0" w:tplc="92960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182925"/>
    <w:multiLevelType w:val="singleLevel"/>
    <w:tmpl w:val="E89EA4A4"/>
    <w:lvl w:ilvl="0">
      <w:start w:val="1"/>
      <w:numFmt w:val="decimal"/>
      <w:pStyle w:val="ParaNum"/>
      <w:lvlText w:val="%1."/>
      <w:lvlJc w:val="left"/>
      <w:pPr>
        <w:tabs>
          <w:tab w:val="num" w:pos="1080"/>
        </w:tabs>
        <w:ind w:left="0" w:firstLine="720"/>
      </w:pPr>
      <w:rPr>
        <w:b w:val="0"/>
      </w:rPr>
    </w:lvl>
  </w:abstractNum>
  <w:abstractNum w:abstractNumId="21">
    <w:nsid w:val="65D03630"/>
    <w:multiLevelType w:val="hybridMultilevel"/>
    <w:tmpl w:val="1EA6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366E11"/>
    <w:multiLevelType w:val="hybridMultilevel"/>
    <w:tmpl w:val="DE562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BC3C4B"/>
    <w:multiLevelType w:val="hybridMultilevel"/>
    <w:tmpl w:val="BC2802E4"/>
    <w:lvl w:ilvl="0" w:tplc="17D83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C0A6D"/>
    <w:multiLevelType w:val="hybridMultilevel"/>
    <w:tmpl w:val="5E5A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B4D89"/>
    <w:multiLevelType w:val="hybridMultilevel"/>
    <w:tmpl w:val="02DAE852"/>
    <w:lvl w:ilvl="0" w:tplc="BB9025B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12"/>
  </w:num>
  <w:num w:numId="4">
    <w:abstractNumId w:val="18"/>
  </w:num>
  <w:num w:numId="5">
    <w:abstractNumId w:val="13"/>
  </w:num>
  <w:num w:numId="6">
    <w:abstractNumId w:val="10"/>
  </w:num>
  <w:num w:numId="7">
    <w:abstractNumId w:val="19"/>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22"/>
  </w:num>
  <w:num w:numId="22">
    <w:abstractNumId w:val="24"/>
  </w:num>
  <w:num w:numId="23">
    <w:abstractNumId w:val="15"/>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AE"/>
    <w:rsid w:val="00002610"/>
    <w:rsid w:val="00017C3C"/>
    <w:rsid w:val="00021AD4"/>
    <w:rsid w:val="000336F4"/>
    <w:rsid w:val="00034E07"/>
    <w:rsid w:val="00044630"/>
    <w:rsid w:val="00045416"/>
    <w:rsid w:val="00046D1A"/>
    <w:rsid w:val="000473AF"/>
    <w:rsid w:val="00056BDE"/>
    <w:rsid w:val="00067049"/>
    <w:rsid w:val="00067AC9"/>
    <w:rsid w:val="00071F76"/>
    <w:rsid w:val="00073159"/>
    <w:rsid w:val="00073E87"/>
    <w:rsid w:val="00075E1D"/>
    <w:rsid w:val="00080D7E"/>
    <w:rsid w:val="00081389"/>
    <w:rsid w:val="00083382"/>
    <w:rsid w:val="00090F04"/>
    <w:rsid w:val="000A13CC"/>
    <w:rsid w:val="000A7070"/>
    <w:rsid w:val="000A785F"/>
    <w:rsid w:val="000B22BA"/>
    <w:rsid w:val="000C3E36"/>
    <w:rsid w:val="000C503B"/>
    <w:rsid w:val="000D27F1"/>
    <w:rsid w:val="000D3D86"/>
    <w:rsid w:val="000E0444"/>
    <w:rsid w:val="000E090F"/>
    <w:rsid w:val="000E6C8C"/>
    <w:rsid w:val="000F0E08"/>
    <w:rsid w:val="000F153D"/>
    <w:rsid w:val="000F70C1"/>
    <w:rsid w:val="000F739F"/>
    <w:rsid w:val="001008E2"/>
    <w:rsid w:val="00102FFE"/>
    <w:rsid w:val="001031A5"/>
    <w:rsid w:val="00104E2F"/>
    <w:rsid w:val="00113411"/>
    <w:rsid w:val="00117212"/>
    <w:rsid w:val="001202C3"/>
    <w:rsid w:val="001321C1"/>
    <w:rsid w:val="00132351"/>
    <w:rsid w:val="00134885"/>
    <w:rsid w:val="0013550F"/>
    <w:rsid w:val="00137186"/>
    <w:rsid w:val="00140164"/>
    <w:rsid w:val="00142870"/>
    <w:rsid w:val="00143860"/>
    <w:rsid w:val="001438A2"/>
    <w:rsid w:val="00145E46"/>
    <w:rsid w:val="0014799C"/>
    <w:rsid w:val="00155011"/>
    <w:rsid w:val="0016149B"/>
    <w:rsid w:val="001619F9"/>
    <w:rsid w:val="00162677"/>
    <w:rsid w:val="001711C3"/>
    <w:rsid w:val="00171C9F"/>
    <w:rsid w:val="00171DFC"/>
    <w:rsid w:val="001749D0"/>
    <w:rsid w:val="00175292"/>
    <w:rsid w:val="00180553"/>
    <w:rsid w:val="00182F1A"/>
    <w:rsid w:val="0019390F"/>
    <w:rsid w:val="001975ED"/>
    <w:rsid w:val="001B13E9"/>
    <w:rsid w:val="001B347F"/>
    <w:rsid w:val="001D393B"/>
    <w:rsid w:val="001D758C"/>
    <w:rsid w:val="001F4A86"/>
    <w:rsid w:val="001F6D1F"/>
    <w:rsid w:val="00212137"/>
    <w:rsid w:val="00216662"/>
    <w:rsid w:val="002172E2"/>
    <w:rsid w:val="00217BB2"/>
    <w:rsid w:val="002264F9"/>
    <w:rsid w:val="0023047E"/>
    <w:rsid w:val="00232A6C"/>
    <w:rsid w:val="0023571C"/>
    <w:rsid w:val="00236877"/>
    <w:rsid w:val="00236F57"/>
    <w:rsid w:val="00252DA7"/>
    <w:rsid w:val="0025526C"/>
    <w:rsid w:val="00256C8B"/>
    <w:rsid w:val="00260A65"/>
    <w:rsid w:val="002625B1"/>
    <w:rsid w:val="00262ED4"/>
    <w:rsid w:val="00264FA3"/>
    <w:rsid w:val="002670E1"/>
    <w:rsid w:val="002734F5"/>
    <w:rsid w:val="002768B7"/>
    <w:rsid w:val="002776BA"/>
    <w:rsid w:val="002778BE"/>
    <w:rsid w:val="002815A2"/>
    <w:rsid w:val="00282C93"/>
    <w:rsid w:val="00283CA2"/>
    <w:rsid w:val="00286605"/>
    <w:rsid w:val="002926C8"/>
    <w:rsid w:val="00292950"/>
    <w:rsid w:val="002930CD"/>
    <w:rsid w:val="00294D2B"/>
    <w:rsid w:val="00296568"/>
    <w:rsid w:val="00297A6F"/>
    <w:rsid w:val="002A0E9A"/>
    <w:rsid w:val="002B17DA"/>
    <w:rsid w:val="002B38B6"/>
    <w:rsid w:val="002C1CB5"/>
    <w:rsid w:val="002C1CCB"/>
    <w:rsid w:val="002C2C2B"/>
    <w:rsid w:val="002D164A"/>
    <w:rsid w:val="002D2535"/>
    <w:rsid w:val="002E0CFB"/>
    <w:rsid w:val="002E4DA3"/>
    <w:rsid w:val="002E589B"/>
    <w:rsid w:val="002F7AA1"/>
    <w:rsid w:val="003003DF"/>
    <w:rsid w:val="003036FC"/>
    <w:rsid w:val="00303BFE"/>
    <w:rsid w:val="00303F49"/>
    <w:rsid w:val="003067C9"/>
    <w:rsid w:val="003073AF"/>
    <w:rsid w:val="003118E3"/>
    <w:rsid w:val="00317AB6"/>
    <w:rsid w:val="00332B91"/>
    <w:rsid w:val="003344A4"/>
    <w:rsid w:val="00341E1A"/>
    <w:rsid w:val="0035198A"/>
    <w:rsid w:val="00370063"/>
    <w:rsid w:val="0037636D"/>
    <w:rsid w:val="00381BA3"/>
    <w:rsid w:val="003977E7"/>
    <w:rsid w:val="003A1A09"/>
    <w:rsid w:val="003A4714"/>
    <w:rsid w:val="003B0988"/>
    <w:rsid w:val="003B1819"/>
    <w:rsid w:val="003B2A97"/>
    <w:rsid w:val="003C328B"/>
    <w:rsid w:val="003D1E85"/>
    <w:rsid w:val="003D4469"/>
    <w:rsid w:val="003D4809"/>
    <w:rsid w:val="003E0EF0"/>
    <w:rsid w:val="003E30D4"/>
    <w:rsid w:val="003F067F"/>
    <w:rsid w:val="003F162F"/>
    <w:rsid w:val="003F1A24"/>
    <w:rsid w:val="003F267C"/>
    <w:rsid w:val="003F5254"/>
    <w:rsid w:val="003F5436"/>
    <w:rsid w:val="003F6CDC"/>
    <w:rsid w:val="00400623"/>
    <w:rsid w:val="004010B5"/>
    <w:rsid w:val="0040320D"/>
    <w:rsid w:val="00404AF3"/>
    <w:rsid w:val="0041076F"/>
    <w:rsid w:val="00412AEF"/>
    <w:rsid w:val="0042561E"/>
    <w:rsid w:val="004339A2"/>
    <w:rsid w:val="00433CAA"/>
    <w:rsid w:val="00433D33"/>
    <w:rsid w:val="00442A75"/>
    <w:rsid w:val="00445724"/>
    <w:rsid w:val="00455488"/>
    <w:rsid w:val="00462CE1"/>
    <w:rsid w:val="0046632C"/>
    <w:rsid w:val="00466B87"/>
    <w:rsid w:val="00473E97"/>
    <w:rsid w:val="0047443A"/>
    <w:rsid w:val="0047795D"/>
    <w:rsid w:val="0048768B"/>
    <w:rsid w:val="00490F34"/>
    <w:rsid w:val="00490FE1"/>
    <w:rsid w:val="004917DB"/>
    <w:rsid w:val="00496315"/>
    <w:rsid w:val="004A4185"/>
    <w:rsid w:val="004A47E2"/>
    <w:rsid w:val="004B4269"/>
    <w:rsid w:val="004B5533"/>
    <w:rsid w:val="004C1B16"/>
    <w:rsid w:val="004D4371"/>
    <w:rsid w:val="004E31DD"/>
    <w:rsid w:val="004E362A"/>
    <w:rsid w:val="004E6BE5"/>
    <w:rsid w:val="00500001"/>
    <w:rsid w:val="0050406E"/>
    <w:rsid w:val="00504D57"/>
    <w:rsid w:val="00506933"/>
    <w:rsid w:val="0051174B"/>
    <w:rsid w:val="0051493A"/>
    <w:rsid w:val="00520B61"/>
    <w:rsid w:val="00523A51"/>
    <w:rsid w:val="0052677A"/>
    <w:rsid w:val="00530A87"/>
    <w:rsid w:val="00530F4B"/>
    <w:rsid w:val="00531413"/>
    <w:rsid w:val="00532135"/>
    <w:rsid w:val="005323A6"/>
    <w:rsid w:val="00532430"/>
    <w:rsid w:val="00540072"/>
    <w:rsid w:val="005426A3"/>
    <w:rsid w:val="00543A8F"/>
    <w:rsid w:val="00543D71"/>
    <w:rsid w:val="0056216F"/>
    <w:rsid w:val="00565562"/>
    <w:rsid w:val="00571AC8"/>
    <w:rsid w:val="00572521"/>
    <w:rsid w:val="00577B42"/>
    <w:rsid w:val="00577C0B"/>
    <w:rsid w:val="00581651"/>
    <w:rsid w:val="00583FCD"/>
    <w:rsid w:val="00587938"/>
    <w:rsid w:val="00593AE3"/>
    <w:rsid w:val="00594E59"/>
    <w:rsid w:val="005955CA"/>
    <w:rsid w:val="005A5578"/>
    <w:rsid w:val="005B0808"/>
    <w:rsid w:val="005B4A17"/>
    <w:rsid w:val="005B6E8A"/>
    <w:rsid w:val="005C34AE"/>
    <w:rsid w:val="005C5853"/>
    <w:rsid w:val="005D2230"/>
    <w:rsid w:val="005D7127"/>
    <w:rsid w:val="005E67F6"/>
    <w:rsid w:val="005F02C0"/>
    <w:rsid w:val="005F32E4"/>
    <w:rsid w:val="005F7182"/>
    <w:rsid w:val="005F751A"/>
    <w:rsid w:val="00603DB4"/>
    <w:rsid w:val="00605B98"/>
    <w:rsid w:val="00621EF7"/>
    <w:rsid w:val="00623BDE"/>
    <w:rsid w:val="00623CF2"/>
    <w:rsid w:val="00625779"/>
    <w:rsid w:val="00632792"/>
    <w:rsid w:val="00644FAA"/>
    <w:rsid w:val="006635A3"/>
    <w:rsid w:val="00671EB7"/>
    <w:rsid w:val="00675183"/>
    <w:rsid w:val="00685B5A"/>
    <w:rsid w:val="00694AA4"/>
    <w:rsid w:val="006A07B3"/>
    <w:rsid w:val="006A55E1"/>
    <w:rsid w:val="006B235F"/>
    <w:rsid w:val="006B62CE"/>
    <w:rsid w:val="006C00F6"/>
    <w:rsid w:val="006C4BB5"/>
    <w:rsid w:val="006D75E8"/>
    <w:rsid w:val="006E3D48"/>
    <w:rsid w:val="006E4EDE"/>
    <w:rsid w:val="006F3674"/>
    <w:rsid w:val="00700692"/>
    <w:rsid w:val="00702DA7"/>
    <w:rsid w:val="00706E0A"/>
    <w:rsid w:val="00707AF2"/>
    <w:rsid w:val="00725D86"/>
    <w:rsid w:val="00737FC2"/>
    <w:rsid w:val="00740190"/>
    <w:rsid w:val="007457A9"/>
    <w:rsid w:val="007519FE"/>
    <w:rsid w:val="0075441A"/>
    <w:rsid w:val="0076227F"/>
    <w:rsid w:val="00763548"/>
    <w:rsid w:val="00763C4A"/>
    <w:rsid w:val="007641B6"/>
    <w:rsid w:val="00770C31"/>
    <w:rsid w:val="00776C74"/>
    <w:rsid w:val="00793F29"/>
    <w:rsid w:val="00794737"/>
    <w:rsid w:val="0079673B"/>
    <w:rsid w:val="00796D42"/>
    <w:rsid w:val="007A1744"/>
    <w:rsid w:val="007A2EEE"/>
    <w:rsid w:val="007A4BB4"/>
    <w:rsid w:val="007B34FE"/>
    <w:rsid w:val="007B368C"/>
    <w:rsid w:val="007B475A"/>
    <w:rsid w:val="007C3C4A"/>
    <w:rsid w:val="007C5270"/>
    <w:rsid w:val="007C57D6"/>
    <w:rsid w:val="007C64FC"/>
    <w:rsid w:val="007D3160"/>
    <w:rsid w:val="007D40A8"/>
    <w:rsid w:val="007D53A0"/>
    <w:rsid w:val="007D758B"/>
    <w:rsid w:val="007E742C"/>
    <w:rsid w:val="007F16F4"/>
    <w:rsid w:val="007F39EF"/>
    <w:rsid w:val="007F6F78"/>
    <w:rsid w:val="00800928"/>
    <w:rsid w:val="0080169E"/>
    <w:rsid w:val="00802495"/>
    <w:rsid w:val="008132B4"/>
    <w:rsid w:val="008252E0"/>
    <w:rsid w:val="0083244C"/>
    <w:rsid w:val="00832746"/>
    <w:rsid w:val="00835973"/>
    <w:rsid w:val="00843C51"/>
    <w:rsid w:val="00843F78"/>
    <w:rsid w:val="00844A39"/>
    <w:rsid w:val="00855072"/>
    <w:rsid w:val="00856BB8"/>
    <w:rsid w:val="008579A5"/>
    <w:rsid w:val="0086641F"/>
    <w:rsid w:val="008732C6"/>
    <w:rsid w:val="0087486F"/>
    <w:rsid w:val="00877CC0"/>
    <w:rsid w:val="00882136"/>
    <w:rsid w:val="008856F3"/>
    <w:rsid w:val="00890218"/>
    <w:rsid w:val="0089223E"/>
    <w:rsid w:val="00894A7A"/>
    <w:rsid w:val="008A28FC"/>
    <w:rsid w:val="008A3CD4"/>
    <w:rsid w:val="008B0A22"/>
    <w:rsid w:val="008B2436"/>
    <w:rsid w:val="008D4991"/>
    <w:rsid w:val="008D768B"/>
    <w:rsid w:val="008E0230"/>
    <w:rsid w:val="008E112D"/>
    <w:rsid w:val="008E1577"/>
    <w:rsid w:val="008E2F20"/>
    <w:rsid w:val="008E3144"/>
    <w:rsid w:val="008E3280"/>
    <w:rsid w:val="008E45B5"/>
    <w:rsid w:val="008F2607"/>
    <w:rsid w:val="008F6904"/>
    <w:rsid w:val="00901F15"/>
    <w:rsid w:val="00902B4B"/>
    <w:rsid w:val="00903840"/>
    <w:rsid w:val="0090463D"/>
    <w:rsid w:val="00913403"/>
    <w:rsid w:val="00913EC9"/>
    <w:rsid w:val="0091498C"/>
    <w:rsid w:val="009218E8"/>
    <w:rsid w:val="009221FF"/>
    <w:rsid w:val="00925F1F"/>
    <w:rsid w:val="00927A06"/>
    <w:rsid w:val="0093241D"/>
    <w:rsid w:val="00933A94"/>
    <w:rsid w:val="00934E5D"/>
    <w:rsid w:val="00942FA0"/>
    <w:rsid w:val="00944E8A"/>
    <w:rsid w:val="00950621"/>
    <w:rsid w:val="009562BC"/>
    <w:rsid w:val="009631E6"/>
    <w:rsid w:val="00964E77"/>
    <w:rsid w:val="00977606"/>
    <w:rsid w:val="00982E3F"/>
    <w:rsid w:val="00984951"/>
    <w:rsid w:val="00984BC8"/>
    <w:rsid w:val="0098575E"/>
    <w:rsid w:val="00990C47"/>
    <w:rsid w:val="00994242"/>
    <w:rsid w:val="009950E9"/>
    <w:rsid w:val="00997B4D"/>
    <w:rsid w:val="009A3992"/>
    <w:rsid w:val="009B17E0"/>
    <w:rsid w:val="009B46D8"/>
    <w:rsid w:val="009B7095"/>
    <w:rsid w:val="009C1E64"/>
    <w:rsid w:val="009D4827"/>
    <w:rsid w:val="009D66C0"/>
    <w:rsid w:val="009E3E19"/>
    <w:rsid w:val="009F0A82"/>
    <w:rsid w:val="009F17E8"/>
    <w:rsid w:val="009F22B5"/>
    <w:rsid w:val="009F3D94"/>
    <w:rsid w:val="009F7852"/>
    <w:rsid w:val="00A0611A"/>
    <w:rsid w:val="00A22C7E"/>
    <w:rsid w:val="00A31FBE"/>
    <w:rsid w:val="00A346B7"/>
    <w:rsid w:val="00A35543"/>
    <w:rsid w:val="00A3645F"/>
    <w:rsid w:val="00A70807"/>
    <w:rsid w:val="00A70D12"/>
    <w:rsid w:val="00A75C8C"/>
    <w:rsid w:val="00A8435A"/>
    <w:rsid w:val="00A84FE7"/>
    <w:rsid w:val="00A87DB3"/>
    <w:rsid w:val="00A94B26"/>
    <w:rsid w:val="00A97EDE"/>
    <w:rsid w:val="00AA238B"/>
    <w:rsid w:val="00AA6E35"/>
    <w:rsid w:val="00AA7E88"/>
    <w:rsid w:val="00AB7BCB"/>
    <w:rsid w:val="00AC6A1E"/>
    <w:rsid w:val="00AD3CC0"/>
    <w:rsid w:val="00AE68C1"/>
    <w:rsid w:val="00B001DF"/>
    <w:rsid w:val="00B01BF3"/>
    <w:rsid w:val="00B06689"/>
    <w:rsid w:val="00B06CCA"/>
    <w:rsid w:val="00B13343"/>
    <w:rsid w:val="00B17848"/>
    <w:rsid w:val="00B232D3"/>
    <w:rsid w:val="00B237ED"/>
    <w:rsid w:val="00B35F8D"/>
    <w:rsid w:val="00B4165D"/>
    <w:rsid w:val="00B41757"/>
    <w:rsid w:val="00B45A91"/>
    <w:rsid w:val="00B52677"/>
    <w:rsid w:val="00B5613B"/>
    <w:rsid w:val="00B57832"/>
    <w:rsid w:val="00BA27BC"/>
    <w:rsid w:val="00BA2B7E"/>
    <w:rsid w:val="00BA5D4B"/>
    <w:rsid w:val="00BA607F"/>
    <w:rsid w:val="00BB14F9"/>
    <w:rsid w:val="00BB5212"/>
    <w:rsid w:val="00BB6A31"/>
    <w:rsid w:val="00BC0BE3"/>
    <w:rsid w:val="00BD2919"/>
    <w:rsid w:val="00BD3B79"/>
    <w:rsid w:val="00BD4529"/>
    <w:rsid w:val="00BD4C83"/>
    <w:rsid w:val="00BD4F36"/>
    <w:rsid w:val="00BD5313"/>
    <w:rsid w:val="00BE2E2F"/>
    <w:rsid w:val="00BE2E34"/>
    <w:rsid w:val="00BF44EC"/>
    <w:rsid w:val="00BF6F6D"/>
    <w:rsid w:val="00BF760F"/>
    <w:rsid w:val="00C00AEB"/>
    <w:rsid w:val="00C02821"/>
    <w:rsid w:val="00C07261"/>
    <w:rsid w:val="00C1081B"/>
    <w:rsid w:val="00C20433"/>
    <w:rsid w:val="00C214FD"/>
    <w:rsid w:val="00C22895"/>
    <w:rsid w:val="00C303E6"/>
    <w:rsid w:val="00C30B63"/>
    <w:rsid w:val="00C4038A"/>
    <w:rsid w:val="00C44FD0"/>
    <w:rsid w:val="00C508AA"/>
    <w:rsid w:val="00C53A55"/>
    <w:rsid w:val="00C63ED9"/>
    <w:rsid w:val="00C640C5"/>
    <w:rsid w:val="00C70D21"/>
    <w:rsid w:val="00C71DEE"/>
    <w:rsid w:val="00C76329"/>
    <w:rsid w:val="00C80100"/>
    <w:rsid w:val="00C8195B"/>
    <w:rsid w:val="00C84A7C"/>
    <w:rsid w:val="00C84BC1"/>
    <w:rsid w:val="00C97422"/>
    <w:rsid w:val="00CA3FCF"/>
    <w:rsid w:val="00CA4200"/>
    <w:rsid w:val="00CB62DF"/>
    <w:rsid w:val="00CC100A"/>
    <w:rsid w:val="00CC4250"/>
    <w:rsid w:val="00CC5E7F"/>
    <w:rsid w:val="00CD7493"/>
    <w:rsid w:val="00CE4F5F"/>
    <w:rsid w:val="00CF4A16"/>
    <w:rsid w:val="00CF7D08"/>
    <w:rsid w:val="00D03922"/>
    <w:rsid w:val="00D05F51"/>
    <w:rsid w:val="00D23F0D"/>
    <w:rsid w:val="00D24C36"/>
    <w:rsid w:val="00D32AD6"/>
    <w:rsid w:val="00D3315A"/>
    <w:rsid w:val="00D41710"/>
    <w:rsid w:val="00D463A0"/>
    <w:rsid w:val="00D4713B"/>
    <w:rsid w:val="00D52C58"/>
    <w:rsid w:val="00D5469E"/>
    <w:rsid w:val="00D54ADB"/>
    <w:rsid w:val="00D551E4"/>
    <w:rsid w:val="00D61B95"/>
    <w:rsid w:val="00D66DDF"/>
    <w:rsid w:val="00D73A4B"/>
    <w:rsid w:val="00D84537"/>
    <w:rsid w:val="00D86E5A"/>
    <w:rsid w:val="00D878E6"/>
    <w:rsid w:val="00D91F55"/>
    <w:rsid w:val="00D94B62"/>
    <w:rsid w:val="00DA62E5"/>
    <w:rsid w:val="00DA7108"/>
    <w:rsid w:val="00DB6D0A"/>
    <w:rsid w:val="00DC4B36"/>
    <w:rsid w:val="00DC5778"/>
    <w:rsid w:val="00DD0078"/>
    <w:rsid w:val="00DD1941"/>
    <w:rsid w:val="00DD1EA5"/>
    <w:rsid w:val="00DE298E"/>
    <w:rsid w:val="00DE46D4"/>
    <w:rsid w:val="00DF2404"/>
    <w:rsid w:val="00DF37AC"/>
    <w:rsid w:val="00DF3B3C"/>
    <w:rsid w:val="00DF4DDC"/>
    <w:rsid w:val="00DF6752"/>
    <w:rsid w:val="00E03DC9"/>
    <w:rsid w:val="00E13FAC"/>
    <w:rsid w:val="00E14614"/>
    <w:rsid w:val="00E1566C"/>
    <w:rsid w:val="00E261D7"/>
    <w:rsid w:val="00E35418"/>
    <w:rsid w:val="00E37033"/>
    <w:rsid w:val="00E41DAC"/>
    <w:rsid w:val="00E45AED"/>
    <w:rsid w:val="00E5371F"/>
    <w:rsid w:val="00E63C82"/>
    <w:rsid w:val="00E721A8"/>
    <w:rsid w:val="00E72D6F"/>
    <w:rsid w:val="00E762B8"/>
    <w:rsid w:val="00E81B90"/>
    <w:rsid w:val="00E92548"/>
    <w:rsid w:val="00EA0CFF"/>
    <w:rsid w:val="00EA49CE"/>
    <w:rsid w:val="00EB42A5"/>
    <w:rsid w:val="00EB7871"/>
    <w:rsid w:val="00ED50CA"/>
    <w:rsid w:val="00ED6706"/>
    <w:rsid w:val="00ED7F7A"/>
    <w:rsid w:val="00EE3354"/>
    <w:rsid w:val="00EF0642"/>
    <w:rsid w:val="00EF240D"/>
    <w:rsid w:val="00EF2C15"/>
    <w:rsid w:val="00EF32A7"/>
    <w:rsid w:val="00F02DF9"/>
    <w:rsid w:val="00F03198"/>
    <w:rsid w:val="00F07132"/>
    <w:rsid w:val="00F1034B"/>
    <w:rsid w:val="00F122DB"/>
    <w:rsid w:val="00F23A84"/>
    <w:rsid w:val="00F24574"/>
    <w:rsid w:val="00F3092F"/>
    <w:rsid w:val="00F34854"/>
    <w:rsid w:val="00F3598A"/>
    <w:rsid w:val="00F35F6B"/>
    <w:rsid w:val="00F60396"/>
    <w:rsid w:val="00F61037"/>
    <w:rsid w:val="00F62CB2"/>
    <w:rsid w:val="00F62F28"/>
    <w:rsid w:val="00F64DDC"/>
    <w:rsid w:val="00F6777B"/>
    <w:rsid w:val="00F732C6"/>
    <w:rsid w:val="00F76EED"/>
    <w:rsid w:val="00F823EF"/>
    <w:rsid w:val="00F837E6"/>
    <w:rsid w:val="00F86074"/>
    <w:rsid w:val="00F96279"/>
    <w:rsid w:val="00F97B59"/>
    <w:rsid w:val="00FA3F7D"/>
    <w:rsid w:val="00FB2ED6"/>
    <w:rsid w:val="00FC07B6"/>
    <w:rsid w:val="00FC1851"/>
    <w:rsid w:val="00FC782A"/>
    <w:rsid w:val="00FD22CA"/>
    <w:rsid w:val="00FD6776"/>
    <w:rsid w:val="00FE18F1"/>
    <w:rsid w:val="00FE234D"/>
    <w:rsid w:val="00FE3D2A"/>
    <w:rsid w:val="00FE5590"/>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AE"/>
    <w:rPr>
      <w:snapToGrid w:val="0"/>
      <w:kern w:val="28"/>
      <w:sz w:val="22"/>
    </w:rPr>
  </w:style>
  <w:style w:type="paragraph" w:styleId="Heading1">
    <w:name w:val="heading 1"/>
    <w:basedOn w:val="Normal"/>
    <w:next w:val="ParaNum"/>
    <w:qFormat/>
    <w:rsid w:val="005C34A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4AE"/>
    <w:pPr>
      <w:keepNext/>
      <w:numPr>
        <w:ilvl w:val="1"/>
        <w:numId w:val="2"/>
      </w:numPr>
      <w:spacing w:after="120"/>
      <w:outlineLvl w:val="1"/>
    </w:pPr>
    <w:rPr>
      <w:b/>
    </w:rPr>
  </w:style>
  <w:style w:type="paragraph" w:styleId="Heading3">
    <w:name w:val="heading 3"/>
    <w:basedOn w:val="Normal"/>
    <w:next w:val="ParaNum"/>
    <w:qFormat/>
    <w:rsid w:val="005C34AE"/>
    <w:pPr>
      <w:keepNext/>
      <w:numPr>
        <w:ilvl w:val="2"/>
        <w:numId w:val="2"/>
      </w:numPr>
      <w:tabs>
        <w:tab w:val="left" w:pos="2160"/>
      </w:tabs>
      <w:spacing w:after="120"/>
      <w:outlineLvl w:val="2"/>
    </w:pPr>
    <w:rPr>
      <w:b/>
    </w:rPr>
  </w:style>
  <w:style w:type="paragraph" w:styleId="Heading4">
    <w:name w:val="heading 4"/>
    <w:basedOn w:val="Normal"/>
    <w:next w:val="ParaNum"/>
    <w:qFormat/>
    <w:rsid w:val="005C34AE"/>
    <w:pPr>
      <w:keepNext/>
      <w:numPr>
        <w:ilvl w:val="3"/>
        <w:numId w:val="2"/>
      </w:numPr>
      <w:tabs>
        <w:tab w:val="left" w:pos="2880"/>
      </w:tabs>
      <w:spacing w:after="120"/>
      <w:outlineLvl w:val="3"/>
    </w:pPr>
    <w:rPr>
      <w:b/>
    </w:rPr>
  </w:style>
  <w:style w:type="paragraph" w:styleId="Heading5">
    <w:name w:val="heading 5"/>
    <w:basedOn w:val="Normal"/>
    <w:next w:val="ParaNum"/>
    <w:qFormat/>
    <w:rsid w:val="005C34A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C34AE"/>
    <w:pPr>
      <w:numPr>
        <w:ilvl w:val="5"/>
        <w:numId w:val="2"/>
      </w:numPr>
      <w:tabs>
        <w:tab w:val="left" w:pos="4320"/>
      </w:tabs>
      <w:spacing w:after="120"/>
      <w:outlineLvl w:val="5"/>
    </w:pPr>
    <w:rPr>
      <w:b/>
    </w:rPr>
  </w:style>
  <w:style w:type="paragraph" w:styleId="Heading7">
    <w:name w:val="heading 7"/>
    <w:basedOn w:val="Normal"/>
    <w:next w:val="ParaNum"/>
    <w:qFormat/>
    <w:rsid w:val="005C34A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C34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C34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autoRedefine/>
    <w:rsid w:val="005C34AE"/>
    <w:pPr>
      <w:numPr>
        <w:numId w:val="1"/>
      </w:numPr>
      <w:tabs>
        <w:tab w:val="clear" w:pos="1080"/>
        <w:tab w:val="num" w:pos="1440"/>
      </w:tabs>
      <w:spacing w:after="120"/>
    </w:pPr>
    <w:rPr>
      <w:color w:val="000000"/>
      <w:szCs w:val="22"/>
    </w:r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
    <w:link w:val="FootnoteTextChar1"/>
    <w:rsid w:val="005C34AE"/>
    <w:pPr>
      <w:spacing w:after="120"/>
      <w:ind w:firstLine="720"/>
    </w:p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5C34AE"/>
    <w:rPr>
      <w:lang w:val="en-US" w:eastAsia="en-US" w:bidi="ar-SA"/>
    </w:rPr>
  </w:style>
  <w:style w:type="character" w:styleId="FootnoteReference">
    <w:name w:val="footnote reference"/>
    <w:aliases w:val="o,fr,Appel note de bas de p,Style 12,(NECG) Footnote Reference,Style 124,Style 3,Style 13,Footnote Reference/,FR,Style 17,Style 6,Style 7"/>
    <w:rsid w:val="005C34AE"/>
    <w:rPr>
      <w:rFonts w:ascii="Times New Roman" w:hAnsi="Times New Roman"/>
      <w:dstrike w:val="0"/>
      <w:color w:val="auto"/>
      <w:sz w:val="22"/>
      <w:vertAlign w:val="superscript"/>
    </w:rPr>
  </w:style>
  <w:style w:type="paragraph" w:styleId="Header">
    <w:name w:val="header"/>
    <w:basedOn w:val="Normal"/>
    <w:rsid w:val="005C34AE"/>
    <w:pPr>
      <w:tabs>
        <w:tab w:val="center" w:pos="4320"/>
        <w:tab w:val="right" w:pos="8640"/>
      </w:tabs>
    </w:pPr>
  </w:style>
  <w:style w:type="paragraph" w:styleId="Footer">
    <w:name w:val="footer"/>
    <w:basedOn w:val="Normal"/>
    <w:rsid w:val="005C34AE"/>
    <w:pPr>
      <w:tabs>
        <w:tab w:val="center" w:pos="4320"/>
        <w:tab w:val="right" w:pos="8640"/>
      </w:tabs>
    </w:pPr>
  </w:style>
  <w:style w:type="character" w:customStyle="1" w:styleId="EquationCaption">
    <w:name w:val="_Equation Caption"/>
    <w:rsid w:val="005C34AE"/>
  </w:style>
  <w:style w:type="character" w:styleId="PageNumber">
    <w:name w:val="page number"/>
    <w:basedOn w:val="DefaultParagraphFont"/>
    <w:rsid w:val="005C34AE"/>
  </w:style>
  <w:style w:type="paragraph" w:styleId="BlockText">
    <w:name w:val="Block Text"/>
    <w:basedOn w:val="Normal"/>
    <w:rsid w:val="005C34AE"/>
    <w:pPr>
      <w:spacing w:after="240"/>
      <w:ind w:left="1440" w:right="1440"/>
    </w:pPr>
  </w:style>
  <w:style w:type="paragraph" w:customStyle="1" w:styleId="Paratitle">
    <w:name w:val="Para title"/>
    <w:basedOn w:val="Normal"/>
    <w:rsid w:val="005C34AE"/>
    <w:pPr>
      <w:tabs>
        <w:tab w:val="center" w:pos="9270"/>
      </w:tabs>
      <w:spacing w:after="240"/>
    </w:pPr>
    <w:rPr>
      <w:spacing w:val="-2"/>
    </w:rPr>
  </w:style>
  <w:style w:type="paragraph" w:customStyle="1" w:styleId="Bullet">
    <w:name w:val="Bullet"/>
    <w:basedOn w:val="Normal"/>
    <w:rsid w:val="005C34AE"/>
    <w:pPr>
      <w:tabs>
        <w:tab w:val="num" w:pos="1080"/>
        <w:tab w:val="left" w:pos="2160"/>
      </w:tabs>
      <w:spacing w:after="220"/>
      <w:ind w:left="2160" w:hanging="720"/>
    </w:pPr>
  </w:style>
  <w:style w:type="paragraph" w:customStyle="1" w:styleId="TableFormat">
    <w:name w:val="TableFormat"/>
    <w:basedOn w:val="Bullet"/>
    <w:rsid w:val="005C34AE"/>
    <w:pPr>
      <w:tabs>
        <w:tab w:val="clear" w:pos="1080"/>
        <w:tab w:val="clear" w:pos="2160"/>
        <w:tab w:val="left" w:pos="5040"/>
      </w:tabs>
      <w:ind w:left="5040" w:hanging="3600"/>
    </w:pPr>
  </w:style>
  <w:style w:type="paragraph" w:customStyle="1" w:styleId="TOCTitle">
    <w:name w:val="TOC Title"/>
    <w:basedOn w:val="Normal"/>
    <w:rsid w:val="005C34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4AE"/>
    <w:pPr>
      <w:jc w:val="center"/>
    </w:pPr>
    <w:rPr>
      <w:rFonts w:ascii="Times New Roman Bold" w:hAnsi="Times New Roman Bold"/>
      <w:b/>
      <w:bCs/>
      <w:caps/>
      <w:szCs w:val="22"/>
    </w:rPr>
  </w:style>
  <w:style w:type="character" w:styleId="Hyperlink">
    <w:name w:val="Hyperlink"/>
    <w:rsid w:val="005C34AE"/>
    <w:rPr>
      <w:color w:val="0000FF"/>
      <w:u w:val="single"/>
    </w:rPr>
  </w:style>
  <w:style w:type="character" w:customStyle="1" w:styleId="documentbody1">
    <w:name w:val="documentbody1"/>
    <w:rsid w:val="005C34AE"/>
    <w:rPr>
      <w:rFonts w:ascii="Verdana" w:hAnsi="Verdana" w:hint="default"/>
      <w:sz w:val="19"/>
      <w:szCs w:val="19"/>
    </w:rPr>
  </w:style>
  <w:style w:type="character" w:styleId="FollowedHyperlink">
    <w:name w:val="FollowedHyperlink"/>
    <w:rsid w:val="005C34AE"/>
    <w:rPr>
      <w:color w:val="800080"/>
      <w:u w:val="single"/>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n Char Char,fn Char1"/>
    <w:semiHidden/>
    <w:locked/>
    <w:rsid w:val="00CC4250"/>
    <w:rPr>
      <w:rFonts w:ascii="Courier" w:hAnsi="Courier"/>
      <w:snapToGrid w:val="0"/>
      <w:sz w:val="24"/>
      <w:lang w:val="en-US" w:eastAsia="en-US" w:bidi="ar-SA"/>
    </w:rPr>
  </w:style>
  <w:style w:type="paragraph" w:styleId="BalloonText">
    <w:name w:val="Balloon Text"/>
    <w:basedOn w:val="Normal"/>
    <w:link w:val="BalloonTextChar"/>
    <w:rsid w:val="00D3315A"/>
    <w:rPr>
      <w:rFonts w:ascii="Tahoma" w:hAnsi="Tahoma" w:cs="Tahoma"/>
      <w:sz w:val="16"/>
      <w:szCs w:val="16"/>
    </w:rPr>
  </w:style>
  <w:style w:type="character" w:customStyle="1" w:styleId="BalloonTextChar">
    <w:name w:val="Balloon Text Char"/>
    <w:link w:val="BalloonText"/>
    <w:rsid w:val="00D3315A"/>
    <w:rPr>
      <w:rFonts w:ascii="Tahoma" w:hAnsi="Tahoma" w:cs="Tahoma"/>
      <w:snapToGrid w:val="0"/>
      <w:kern w:val="28"/>
      <w:sz w:val="16"/>
      <w:szCs w:val="16"/>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semiHidden/>
    <w:locked/>
    <w:rsid w:val="00877CC0"/>
    <w:rPr>
      <w:sz w:val="22"/>
      <w:lang w:val="en-US" w:eastAsia="en-US" w:bidi="ar-SA"/>
    </w:rPr>
  </w:style>
  <w:style w:type="paragraph" w:styleId="ListParagraph">
    <w:name w:val="List Paragraph"/>
    <w:basedOn w:val="Normal"/>
    <w:uiPriority w:val="34"/>
    <w:qFormat/>
    <w:rsid w:val="00FA3F7D"/>
    <w:pPr>
      <w:ind w:left="720"/>
    </w:pPr>
  </w:style>
  <w:style w:type="character" w:styleId="CommentReference">
    <w:name w:val="annotation reference"/>
    <w:basedOn w:val="DefaultParagraphFont"/>
    <w:rsid w:val="008E112D"/>
    <w:rPr>
      <w:sz w:val="16"/>
      <w:szCs w:val="16"/>
    </w:rPr>
  </w:style>
  <w:style w:type="paragraph" w:styleId="CommentText">
    <w:name w:val="annotation text"/>
    <w:basedOn w:val="Normal"/>
    <w:link w:val="CommentTextChar"/>
    <w:rsid w:val="008E112D"/>
    <w:rPr>
      <w:sz w:val="20"/>
    </w:rPr>
  </w:style>
  <w:style w:type="character" w:customStyle="1" w:styleId="CommentTextChar">
    <w:name w:val="Comment Text Char"/>
    <w:basedOn w:val="DefaultParagraphFont"/>
    <w:link w:val="CommentText"/>
    <w:rsid w:val="008E112D"/>
    <w:rPr>
      <w:snapToGrid w:val="0"/>
      <w:kern w:val="28"/>
    </w:rPr>
  </w:style>
  <w:style w:type="paragraph" w:styleId="CommentSubject">
    <w:name w:val="annotation subject"/>
    <w:basedOn w:val="CommentText"/>
    <w:next w:val="CommentText"/>
    <w:link w:val="CommentSubjectChar"/>
    <w:rsid w:val="008E112D"/>
    <w:rPr>
      <w:b/>
      <w:bCs/>
    </w:rPr>
  </w:style>
  <w:style w:type="character" w:customStyle="1" w:styleId="CommentSubjectChar">
    <w:name w:val="Comment Subject Char"/>
    <w:basedOn w:val="CommentTextChar"/>
    <w:link w:val="CommentSubject"/>
    <w:rsid w:val="008E112D"/>
    <w:rPr>
      <w:b/>
      <w:bCs/>
      <w:snapToGrid w:val="0"/>
      <w:kern w:val="28"/>
    </w:rPr>
  </w:style>
  <w:style w:type="paragraph" w:styleId="Revision">
    <w:name w:val="Revision"/>
    <w:hidden/>
    <w:uiPriority w:val="99"/>
    <w:semiHidden/>
    <w:rsid w:val="008E112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AE"/>
    <w:rPr>
      <w:snapToGrid w:val="0"/>
      <w:kern w:val="28"/>
      <w:sz w:val="22"/>
    </w:rPr>
  </w:style>
  <w:style w:type="paragraph" w:styleId="Heading1">
    <w:name w:val="heading 1"/>
    <w:basedOn w:val="Normal"/>
    <w:next w:val="ParaNum"/>
    <w:qFormat/>
    <w:rsid w:val="005C34A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4AE"/>
    <w:pPr>
      <w:keepNext/>
      <w:numPr>
        <w:ilvl w:val="1"/>
        <w:numId w:val="2"/>
      </w:numPr>
      <w:spacing w:after="120"/>
      <w:outlineLvl w:val="1"/>
    </w:pPr>
    <w:rPr>
      <w:b/>
    </w:rPr>
  </w:style>
  <w:style w:type="paragraph" w:styleId="Heading3">
    <w:name w:val="heading 3"/>
    <w:basedOn w:val="Normal"/>
    <w:next w:val="ParaNum"/>
    <w:qFormat/>
    <w:rsid w:val="005C34AE"/>
    <w:pPr>
      <w:keepNext/>
      <w:numPr>
        <w:ilvl w:val="2"/>
        <w:numId w:val="2"/>
      </w:numPr>
      <w:tabs>
        <w:tab w:val="left" w:pos="2160"/>
      </w:tabs>
      <w:spacing w:after="120"/>
      <w:outlineLvl w:val="2"/>
    </w:pPr>
    <w:rPr>
      <w:b/>
    </w:rPr>
  </w:style>
  <w:style w:type="paragraph" w:styleId="Heading4">
    <w:name w:val="heading 4"/>
    <w:basedOn w:val="Normal"/>
    <w:next w:val="ParaNum"/>
    <w:qFormat/>
    <w:rsid w:val="005C34AE"/>
    <w:pPr>
      <w:keepNext/>
      <w:numPr>
        <w:ilvl w:val="3"/>
        <w:numId w:val="2"/>
      </w:numPr>
      <w:tabs>
        <w:tab w:val="left" w:pos="2880"/>
      </w:tabs>
      <w:spacing w:after="120"/>
      <w:outlineLvl w:val="3"/>
    </w:pPr>
    <w:rPr>
      <w:b/>
    </w:rPr>
  </w:style>
  <w:style w:type="paragraph" w:styleId="Heading5">
    <w:name w:val="heading 5"/>
    <w:basedOn w:val="Normal"/>
    <w:next w:val="ParaNum"/>
    <w:qFormat/>
    <w:rsid w:val="005C34A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C34AE"/>
    <w:pPr>
      <w:numPr>
        <w:ilvl w:val="5"/>
        <w:numId w:val="2"/>
      </w:numPr>
      <w:tabs>
        <w:tab w:val="left" w:pos="4320"/>
      </w:tabs>
      <w:spacing w:after="120"/>
      <w:outlineLvl w:val="5"/>
    </w:pPr>
    <w:rPr>
      <w:b/>
    </w:rPr>
  </w:style>
  <w:style w:type="paragraph" w:styleId="Heading7">
    <w:name w:val="heading 7"/>
    <w:basedOn w:val="Normal"/>
    <w:next w:val="ParaNum"/>
    <w:qFormat/>
    <w:rsid w:val="005C34A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C34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C34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autoRedefine/>
    <w:rsid w:val="005C34AE"/>
    <w:pPr>
      <w:numPr>
        <w:numId w:val="1"/>
      </w:numPr>
      <w:tabs>
        <w:tab w:val="clear" w:pos="1080"/>
        <w:tab w:val="num" w:pos="1440"/>
      </w:tabs>
      <w:spacing w:after="120"/>
    </w:pPr>
    <w:rPr>
      <w:color w:val="000000"/>
      <w:szCs w:val="22"/>
    </w:r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
    <w:link w:val="FootnoteTextChar1"/>
    <w:rsid w:val="005C34AE"/>
    <w:pPr>
      <w:spacing w:after="120"/>
      <w:ind w:firstLine="720"/>
    </w:p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5C34AE"/>
    <w:rPr>
      <w:lang w:val="en-US" w:eastAsia="en-US" w:bidi="ar-SA"/>
    </w:rPr>
  </w:style>
  <w:style w:type="character" w:styleId="FootnoteReference">
    <w:name w:val="footnote reference"/>
    <w:aliases w:val="o,fr,Appel note de bas de p,Style 12,(NECG) Footnote Reference,Style 124,Style 3,Style 13,Footnote Reference/,FR,Style 17,Style 6,Style 7"/>
    <w:rsid w:val="005C34AE"/>
    <w:rPr>
      <w:rFonts w:ascii="Times New Roman" w:hAnsi="Times New Roman"/>
      <w:dstrike w:val="0"/>
      <w:color w:val="auto"/>
      <w:sz w:val="22"/>
      <w:vertAlign w:val="superscript"/>
    </w:rPr>
  </w:style>
  <w:style w:type="paragraph" w:styleId="Header">
    <w:name w:val="header"/>
    <w:basedOn w:val="Normal"/>
    <w:rsid w:val="005C34AE"/>
    <w:pPr>
      <w:tabs>
        <w:tab w:val="center" w:pos="4320"/>
        <w:tab w:val="right" w:pos="8640"/>
      </w:tabs>
    </w:pPr>
  </w:style>
  <w:style w:type="paragraph" w:styleId="Footer">
    <w:name w:val="footer"/>
    <w:basedOn w:val="Normal"/>
    <w:rsid w:val="005C34AE"/>
    <w:pPr>
      <w:tabs>
        <w:tab w:val="center" w:pos="4320"/>
        <w:tab w:val="right" w:pos="8640"/>
      </w:tabs>
    </w:pPr>
  </w:style>
  <w:style w:type="character" w:customStyle="1" w:styleId="EquationCaption">
    <w:name w:val="_Equation Caption"/>
    <w:rsid w:val="005C34AE"/>
  </w:style>
  <w:style w:type="character" w:styleId="PageNumber">
    <w:name w:val="page number"/>
    <w:basedOn w:val="DefaultParagraphFont"/>
    <w:rsid w:val="005C34AE"/>
  </w:style>
  <w:style w:type="paragraph" w:styleId="BlockText">
    <w:name w:val="Block Text"/>
    <w:basedOn w:val="Normal"/>
    <w:rsid w:val="005C34AE"/>
    <w:pPr>
      <w:spacing w:after="240"/>
      <w:ind w:left="1440" w:right="1440"/>
    </w:pPr>
  </w:style>
  <w:style w:type="paragraph" w:customStyle="1" w:styleId="Paratitle">
    <w:name w:val="Para title"/>
    <w:basedOn w:val="Normal"/>
    <w:rsid w:val="005C34AE"/>
    <w:pPr>
      <w:tabs>
        <w:tab w:val="center" w:pos="9270"/>
      </w:tabs>
      <w:spacing w:after="240"/>
    </w:pPr>
    <w:rPr>
      <w:spacing w:val="-2"/>
    </w:rPr>
  </w:style>
  <w:style w:type="paragraph" w:customStyle="1" w:styleId="Bullet">
    <w:name w:val="Bullet"/>
    <w:basedOn w:val="Normal"/>
    <w:rsid w:val="005C34AE"/>
    <w:pPr>
      <w:tabs>
        <w:tab w:val="num" w:pos="1080"/>
        <w:tab w:val="left" w:pos="2160"/>
      </w:tabs>
      <w:spacing w:after="220"/>
      <w:ind w:left="2160" w:hanging="720"/>
    </w:pPr>
  </w:style>
  <w:style w:type="paragraph" w:customStyle="1" w:styleId="TableFormat">
    <w:name w:val="TableFormat"/>
    <w:basedOn w:val="Bullet"/>
    <w:rsid w:val="005C34AE"/>
    <w:pPr>
      <w:tabs>
        <w:tab w:val="clear" w:pos="1080"/>
        <w:tab w:val="clear" w:pos="2160"/>
        <w:tab w:val="left" w:pos="5040"/>
      </w:tabs>
      <w:ind w:left="5040" w:hanging="3600"/>
    </w:pPr>
  </w:style>
  <w:style w:type="paragraph" w:customStyle="1" w:styleId="TOCTitle">
    <w:name w:val="TOC Title"/>
    <w:basedOn w:val="Normal"/>
    <w:rsid w:val="005C34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4AE"/>
    <w:pPr>
      <w:jc w:val="center"/>
    </w:pPr>
    <w:rPr>
      <w:rFonts w:ascii="Times New Roman Bold" w:hAnsi="Times New Roman Bold"/>
      <w:b/>
      <w:bCs/>
      <w:caps/>
      <w:szCs w:val="22"/>
    </w:rPr>
  </w:style>
  <w:style w:type="character" w:styleId="Hyperlink">
    <w:name w:val="Hyperlink"/>
    <w:rsid w:val="005C34AE"/>
    <w:rPr>
      <w:color w:val="0000FF"/>
      <w:u w:val="single"/>
    </w:rPr>
  </w:style>
  <w:style w:type="character" w:customStyle="1" w:styleId="documentbody1">
    <w:name w:val="documentbody1"/>
    <w:rsid w:val="005C34AE"/>
    <w:rPr>
      <w:rFonts w:ascii="Verdana" w:hAnsi="Verdana" w:hint="default"/>
      <w:sz w:val="19"/>
      <w:szCs w:val="19"/>
    </w:rPr>
  </w:style>
  <w:style w:type="character" w:styleId="FollowedHyperlink">
    <w:name w:val="FollowedHyperlink"/>
    <w:rsid w:val="005C34AE"/>
    <w:rPr>
      <w:color w:val="800080"/>
      <w:u w:val="single"/>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n Char Char,fn Char1"/>
    <w:semiHidden/>
    <w:locked/>
    <w:rsid w:val="00CC4250"/>
    <w:rPr>
      <w:rFonts w:ascii="Courier" w:hAnsi="Courier"/>
      <w:snapToGrid w:val="0"/>
      <w:sz w:val="24"/>
      <w:lang w:val="en-US" w:eastAsia="en-US" w:bidi="ar-SA"/>
    </w:rPr>
  </w:style>
  <w:style w:type="paragraph" w:styleId="BalloonText">
    <w:name w:val="Balloon Text"/>
    <w:basedOn w:val="Normal"/>
    <w:link w:val="BalloonTextChar"/>
    <w:rsid w:val="00D3315A"/>
    <w:rPr>
      <w:rFonts w:ascii="Tahoma" w:hAnsi="Tahoma" w:cs="Tahoma"/>
      <w:sz w:val="16"/>
      <w:szCs w:val="16"/>
    </w:rPr>
  </w:style>
  <w:style w:type="character" w:customStyle="1" w:styleId="BalloonTextChar">
    <w:name w:val="Balloon Text Char"/>
    <w:link w:val="BalloonText"/>
    <w:rsid w:val="00D3315A"/>
    <w:rPr>
      <w:rFonts w:ascii="Tahoma" w:hAnsi="Tahoma" w:cs="Tahoma"/>
      <w:snapToGrid w:val="0"/>
      <w:kern w:val="28"/>
      <w:sz w:val="16"/>
      <w:szCs w:val="16"/>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semiHidden/>
    <w:locked/>
    <w:rsid w:val="00877CC0"/>
    <w:rPr>
      <w:sz w:val="22"/>
      <w:lang w:val="en-US" w:eastAsia="en-US" w:bidi="ar-SA"/>
    </w:rPr>
  </w:style>
  <w:style w:type="paragraph" w:styleId="ListParagraph">
    <w:name w:val="List Paragraph"/>
    <w:basedOn w:val="Normal"/>
    <w:uiPriority w:val="34"/>
    <w:qFormat/>
    <w:rsid w:val="00FA3F7D"/>
    <w:pPr>
      <w:ind w:left="720"/>
    </w:pPr>
  </w:style>
  <w:style w:type="character" w:styleId="CommentReference">
    <w:name w:val="annotation reference"/>
    <w:basedOn w:val="DefaultParagraphFont"/>
    <w:rsid w:val="008E112D"/>
    <w:rPr>
      <w:sz w:val="16"/>
      <w:szCs w:val="16"/>
    </w:rPr>
  </w:style>
  <w:style w:type="paragraph" w:styleId="CommentText">
    <w:name w:val="annotation text"/>
    <w:basedOn w:val="Normal"/>
    <w:link w:val="CommentTextChar"/>
    <w:rsid w:val="008E112D"/>
    <w:rPr>
      <w:sz w:val="20"/>
    </w:rPr>
  </w:style>
  <w:style w:type="character" w:customStyle="1" w:styleId="CommentTextChar">
    <w:name w:val="Comment Text Char"/>
    <w:basedOn w:val="DefaultParagraphFont"/>
    <w:link w:val="CommentText"/>
    <w:rsid w:val="008E112D"/>
    <w:rPr>
      <w:snapToGrid w:val="0"/>
      <w:kern w:val="28"/>
    </w:rPr>
  </w:style>
  <w:style w:type="paragraph" w:styleId="CommentSubject">
    <w:name w:val="annotation subject"/>
    <w:basedOn w:val="CommentText"/>
    <w:next w:val="CommentText"/>
    <w:link w:val="CommentSubjectChar"/>
    <w:rsid w:val="008E112D"/>
    <w:rPr>
      <w:b/>
      <w:bCs/>
    </w:rPr>
  </w:style>
  <w:style w:type="character" w:customStyle="1" w:styleId="CommentSubjectChar">
    <w:name w:val="Comment Subject Char"/>
    <w:basedOn w:val="CommentTextChar"/>
    <w:link w:val="CommentSubject"/>
    <w:rsid w:val="008E112D"/>
    <w:rPr>
      <w:b/>
      <w:bCs/>
      <w:snapToGrid w:val="0"/>
      <w:kern w:val="28"/>
    </w:rPr>
  </w:style>
  <w:style w:type="paragraph" w:styleId="Revision">
    <w:name w:val="Revision"/>
    <w:hidden/>
    <w:uiPriority w:val="99"/>
    <w:semiHidden/>
    <w:rsid w:val="008E112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5954">
      <w:bodyDiv w:val="1"/>
      <w:marLeft w:val="0"/>
      <w:marRight w:val="0"/>
      <w:marTop w:val="0"/>
      <w:marBottom w:val="0"/>
      <w:divBdr>
        <w:top w:val="none" w:sz="0" w:space="0" w:color="auto"/>
        <w:left w:val="none" w:sz="0" w:space="0" w:color="auto"/>
        <w:bottom w:val="none" w:sz="0" w:space="0" w:color="auto"/>
        <w:right w:val="none" w:sz="0" w:space="0" w:color="auto"/>
      </w:divBdr>
    </w:div>
    <w:div w:id="14819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14619</Characters>
  <Application>Microsoft Office Word</Application>
  <DocSecurity>0</DocSecurity>
  <Lines>228</Lines>
  <Paragraphs>45</Paragraphs>
  <ScaleCrop>false</ScaleCrop>
  <HeadingPairs>
    <vt:vector size="2" baseType="variant">
      <vt:variant>
        <vt:lpstr>Title</vt:lpstr>
      </vt:variant>
      <vt:variant>
        <vt:i4>1</vt:i4>
      </vt:variant>
    </vt:vector>
  </HeadingPairs>
  <TitlesOfParts>
    <vt:vector size="1" baseType="lpstr">
      <vt:lpstr>Dear Counsel:</vt:lpstr>
    </vt:vector>
  </TitlesOfParts>
  <Manager/>
  <Company/>
  <LinksUpToDate>false</LinksUpToDate>
  <CharactersWithSpaces>17484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2014-09-30T18:33:00Z</cp:lastPrinted>
  <dcterms:created xsi:type="dcterms:W3CDTF">2014-09-30T19:54:00Z</dcterms:created>
  <dcterms:modified xsi:type="dcterms:W3CDTF">2014-09-30T19:54:00Z</dcterms:modified>
  <cp:category> </cp:category>
  <cp:contentStatus> </cp:contentStatus>
</cp:coreProperties>
</file>