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F24F18" w:rsidP="00B3723C">
            <w:pPr>
              <w:tabs>
                <w:tab w:val="center" w:pos="4680"/>
              </w:tabs>
              <w:suppressAutoHyphens/>
              <w:rPr>
                <w:spacing w:val="-2"/>
              </w:rPr>
            </w:pPr>
            <w:r>
              <w:rPr>
                <w:spacing w:val="-2"/>
              </w:rPr>
              <w:t>Rates for Interstate Inmate Calling Services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24F18">
            <w:pPr>
              <w:tabs>
                <w:tab w:val="center" w:pos="4680"/>
              </w:tabs>
              <w:suppressAutoHyphens/>
              <w:rPr>
                <w:spacing w:val="-2"/>
              </w:rPr>
            </w:pPr>
            <w:r>
              <w:rPr>
                <w:spacing w:val="-2"/>
              </w:rPr>
              <w:t>WC Docket No. 12-375</w:t>
            </w:r>
          </w:p>
        </w:tc>
      </w:tr>
    </w:tbl>
    <w:p w:rsidR="00D5605A" w:rsidRDefault="00D5605A" w:rsidP="00F021FA">
      <w:pPr>
        <w:pStyle w:val="StyleBoldCentered"/>
      </w:pPr>
    </w:p>
    <w:p w:rsidR="00841AB1" w:rsidRDefault="00F24F18"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A00A07">
        <w:rPr>
          <w:b/>
          <w:spacing w:val="-2"/>
        </w:rPr>
        <w:t>October 1</w:t>
      </w:r>
      <w:r w:rsidR="009E38A3">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00A07">
        <w:rPr>
          <w:b/>
          <w:spacing w:val="-2"/>
        </w:rPr>
        <w:t>October 1</w:t>
      </w:r>
      <w:r w:rsidR="009E38A3">
        <w:rPr>
          <w:b/>
          <w:spacing w:val="-2"/>
        </w:rPr>
        <w:t>, 2014</w:t>
      </w:r>
    </w:p>
    <w:p w:rsidR="00822CE0" w:rsidRDefault="00822CE0"/>
    <w:p w:rsidR="004C2EE3" w:rsidRDefault="004C2EE3">
      <w:pPr>
        <w:rPr>
          <w:spacing w:val="-2"/>
        </w:rPr>
      </w:pPr>
      <w:r>
        <w:t xml:space="preserve">By </w:t>
      </w:r>
      <w:r w:rsidR="004E4A22">
        <w:t>the</w:t>
      </w:r>
      <w:r w:rsidR="002A2D2E">
        <w:t xml:space="preserve"> </w:t>
      </w:r>
      <w:r w:rsidR="00F24F18">
        <w:rPr>
          <w:spacing w:val="-2"/>
        </w:rPr>
        <w:t>Chief, Wireline Competition Bureau</w:t>
      </w:r>
      <w:r>
        <w:rPr>
          <w:spacing w:val="-2"/>
        </w:rPr>
        <w:t>:</w:t>
      </w:r>
    </w:p>
    <w:p w:rsidR="00822CE0" w:rsidRDefault="00822CE0">
      <w:pPr>
        <w:rPr>
          <w:spacing w:val="-2"/>
        </w:rPr>
      </w:pPr>
    </w:p>
    <w:p w:rsidR="002C00E8" w:rsidRDefault="00E415C7" w:rsidP="002C00E8">
      <w:pPr>
        <w:pStyle w:val="Heading1"/>
      </w:pPr>
      <w:r>
        <w:t>Introduction</w:t>
      </w:r>
    </w:p>
    <w:p w:rsidR="00E415C7" w:rsidRDefault="0019718E" w:rsidP="00E415C7">
      <w:pPr>
        <w:pStyle w:val="ParaNum"/>
      </w:pPr>
      <w:r>
        <w:t xml:space="preserve">On September 26, 2013, the Federal Communications Commission (Commission) released the </w:t>
      </w:r>
      <w:r>
        <w:rPr>
          <w:i/>
        </w:rPr>
        <w:t>Inmate Calling Report and Order and FNPRM</w:t>
      </w:r>
      <w:r>
        <w:t>.</w:t>
      </w:r>
      <w:r>
        <w:rPr>
          <w:rStyle w:val="FootnoteReference"/>
        </w:rPr>
        <w:footnoteReference w:id="2"/>
      </w:r>
      <w:r>
        <w:t xml:space="preserve">  </w:t>
      </w:r>
      <w:r w:rsidR="00D5605A">
        <w:t>There</w:t>
      </w:r>
      <w:r w:rsidR="00592928">
        <w:t>,</w:t>
      </w:r>
      <w:r>
        <w:t xml:space="preserve"> the </w:t>
      </w:r>
      <w:r w:rsidR="00592928">
        <w:t>Commission adopted a one-time mandatory data collection (Mandatory Data Collection)</w:t>
      </w:r>
      <w:r>
        <w:t xml:space="preserve"> “</w:t>
      </w:r>
      <w:r w:rsidR="00592928">
        <w:t>[</w:t>
      </w:r>
      <w:r>
        <w:t>t</w:t>
      </w:r>
      <w:r w:rsidR="00592928">
        <w:t>]</w:t>
      </w:r>
      <w:r>
        <w:t xml:space="preserve">o </w:t>
      </w:r>
      <w:r w:rsidR="00592928">
        <w:t xml:space="preserve">enable the Commission to </w:t>
      </w:r>
      <w:r>
        <w:t>take furt</w:t>
      </w:r>
      <w:r w:rsidR="00592928">
        <w:t>her action to reform rates, including developing a permanent cap or safe harbor for interstate rates as well a</w:t>
      </w:r>
      <w:r>
        <w:t>s to inform [its] evaluation of other rate refo</w:t>
      </w:r>
      <w:r w:rsidR="00592928">
        <w:t>rm options.</w:t>
      </w:r>
      <w:r>
        <w:t>”</w:t>
      </w:r>
      <w:r w:rsidR="00592928">
        <w:rPr>
          <w:rStyle w:val="FootnoteReference"/>
        </w:rPr>
        <w:footnoteReference w:id="3"/>
      </w:r>
      <w:r>
        <w:t xml:space="preserve"> </w:t>
      </w:r>
      <w:r w:rsidR="00592928">
        <w:t xml:space="preserve"> The Commission delegated to the Wireline Competition Bureau (Bureau) “the authority to adopt a template for submitting the data and provide instructions to implement the data collection.”</w:t>
      </w:r>
      <w:r w:rsidR="00592928">
        <w:rPr>
          <w:rStyle w:val="FootnoteReference"/>
        </w:rPr>
        <w:footnoteReference w:id="4"/>
      </w:r>
      <w:r w:rsidR="00592928">
        <w:t xml:space="preserve">  In anti</w:t>
      </w:r>
      <w:r w:rsidR="00875532">
        <w:t>cipation of the data submissions</w:t>
      </w:r>
      <w:r w:rsidR="00592928">
        <w:t xml:space="preserve">, the Bureau released a </w:t>
      </w:r>
      <w:r w:rsidR="00592928">
        <w:rPr>
          <w:i/>
        </w:rPr>
        <w:t>Protective Order</w:t>
      </w:r>
      <w:r w:rsidR="00592928">
        <w:t xml:space="preserve"> in this proceeding.</w:t>
      </w:r>
      <w:r w:rsidR="00592928">
        <w:rPr>
          <w:rStyle w:val="FootnoteReference"/>
        </w:rPr>
        <w:footnoteReference w:id="5"/>
      </w:r>
      <w:r w:rsidR="00592928">
        <w:t xml:space="preserve"> </w:t>
      </w:r>
    </w:p>
    <w:p w:rsidR="00E415C7" w:rsidRDefault="00C646A8" w:rsidP="00E415C7">
      <w:pPr>
        <w:pStyle w:val="ParaNum"/>
      </w:pPr>
      <w:r>
        <w:t xml:space="preserve">In the </w:t>
      </w:r>
      <w:r>
        <w:rPr>
          <w:i/>
        </w:rPr>
        <w:t>Protective Order</w:t>
      </w:r>
      <w:r w:rsidR="00D5605A">
        <w:t>,</w:t>
      </w:r>
      <w:r>
        <w:rPr>
          <w:i/>
        </w:rPr>
        <w:t xml:space="preserve"> </w:t>
      </w:r>
      <w:r>
        <w:t xml:space="preserve">the Bureau </w:t>
      </w:r>
      <w:r w:rsidR="002E10DB">
        <w:t xml:space="preserve">stated </w:t>
      </w:r>
      <w:r>
        <w:t>that it “is mindful of the sensit</w:t>
      </w:r>
      <w:r w:rsidR="00875532">
        <w:t>ive nature of [confidential fil</w:t>
      </w:r>
      <w:r>
        <w:t>ings but is] also mindful of the right of the public to participate in this proceeding in a meanin</w:t>
      </w:r>
      <w:r w:rsidR="00875532">
        <w:t>g</w:t>
      </w:r>
      <w:r>
        <w:t>ful way.”</w:t>
      </w:r>
      <w:r>
        <w:rPr>
          <w:rStyle w:val="FootnoteReference"/>
        </w:rPr>
        <w:footnoteReference w:id="6"/>
      </w:r>
      <w:r>
        <w:t xml:space="preserve">  As such, the </w:t>
      </w:r>
      <w:r>
        <w:rPr>
          <w:i/>
        </w:rPr>
        <w:t xml:space="preserve">Protective Order </w:t>
      </w:r>
      <w:r w:rsidR="00E415C7">
        <w:t xml:space="preserve">allows </w:t>
      </w:r>
      <w:r>
        <w:t>In-House Counsel, Outside Counsel and Outside Consultants</w:t>
      </w:r>
      <w:r w:rsidR="00990304">
        <w:t xml:space="preserve">, as such terms are defined in the </w:t>
      </w:r>
      <w:r w:rsidR="00990304" w:rsidRPr="00990304">
        <w:rPr>
          <w:i/>
        </w:rPr>
        <w:t>Protective Order</w:t>
      </w:r>
      <w:r w:rsidR="00990304">
        <w:t xml:space="preserve">, </w:t>
      </w:r>
      <w:r>
        <w:t>to access confidential data filed in this proceeding</w:t>
      </w:r>
      <w:r w:rsidR="004C39BA">
        <w:t xml:space="preserve"> </w:t>
      </w:r>
      <w:r w:rsidR="00FC781D">
        <w:t>if</w:t>
      </w:r>
      <w:r w:rsidR="004C39BA">
        <w:t xml:space="preserve"> they submit an Acknowledgment of Confidentiality</w:t>
      </w:r>
      <w:r w:rsidR="00EF0DD6">
        <w:rPr>
          <w:rStyle w:val="FootnoteReference"/>
        </w:rPr>
        <w:footnoteReference w:id="7"/>
      </w:r>
      <w:r w:rsidR="004C39BA">
        <w:t xml:space="preserve"> in which they </w:t>
      </w:r>
      <w:r w:rsidR="00EF0DD6">
        <w:t xml:space="preserve">acknowledge </w:t>
      </w:r>
      <w:r w:rsidR="00875532">
        <w:t xml:space="preserve">and agree to be bound by </w:t>
      </w:r>
      <w:r w:rsidR="00EF0DD6">
        <w:t xml:space="preserve">the terms of the </w:t>
      </w:r>
      <w:r w:rsidR="00EF0DD6">
        <w:rPr>
          <w:i/>
        </w:rPr>
        <w:t>Protective Order</w:t>
      </w:r>
      <w:r w:rsidR="00D5605A">
        <w:t>,</w:t>
      </w:r>
      <w:r w:rsidR="00EF0DD6">
        <w:rPr>
          <w:i/>
        </w:rPr>
        <w:t xml:space="preserve"> </w:t>
      </w:r>
      <w:r w:rsidR="00EF0DD6">
        <w:t xml:space="preserve">and </w:t>
      </w:r>
      <w:r w:rsidR="004C39BA">
        <w:t xml:space="preserve">certify that they are not involved in </w:t>
      </w:r>
      <w:r w:rsidR="00EF0DD6">
        <w:t>“</w:t>
      </w:r>
      <w:r w:rsidR="004C39BA">
        <w:t xml:space="preserve">Competitive </w:t>
      </w:r>
      <w:r w:rsidR="004C39BA">
        <w:lastRenderedPageBreak/>
        <w:t>Decision-Making</w:t>
      </w:r>
      <w:r w:rsidR="00EF0DD6">
        <w:t>”</w:t>
      </w:r>
      <w:r w:rsidR="004C39BA">
        <w:t xml:space="preserve"> as defined </w:t>
      </w:r>
      <w:r w:rsidR="00FC781D">
        <w:t>in</w:t>
      </w:r>
      <w:r w:rsidR="004C39BA">
        <w:t xml:space="preserve"> the </w:t>
      </w:r>
      <w:r w:rsidR="004C39BA">
        <w:rPr>
          <w:i/>
        </w:rPr>
        <w:t>Protective Order</w:t>
      </w:r>
      <w:r w:rsidR="004C39BA">
        <w:t>.</w:t>
      </w:r>
      <w:r>
        <w:rPr>
          <w:rStyle w:val="FootnoteReference"/>
        </w:rPr>
        <w:footnoteReference w:id="8"/>
      </w:r>
      <w:r>
        <w:t xml:space="preserve">  </w:t>
      </w:r>
      <w:r w:rsidR="00F84E4C">
        <w:t xml:space="preserve">Outside Counsel and </w:t>
      </w:r>
      <w:r w:rsidR="00E62E15">
        <w:t>an</w:t>
      </w:r>
      <w:r w:rsidR="00F84E4C">
        <w:t xml:space="preserve"> Outside Consultant to Pay Tel Communications, Inc. (Pay Tel) previously filed Acknowledgements of Confidentiality pursuant to the </w:t>
      </w:r>
      <w:r w:rsidR="00F84E4C">
        <w:rPr>
          <w:i/>
        </w:rPr>
        <w:t>Protective Order</w:t>
      </w:r>
      <w:r w:rsidR="00F84E4C">
        <w:t>.</w:t>
      </w:r>
      <w:r w:rsidR="00F84E4C">
        <w:rPr>
          <w:rStyle w:val="FootnoteReference"/>
        </w:rPr>
        <w:footnoteReference w:id="9"/>
      </w:r>
      <w:r w:rsidR="00F84E4C">
        <w:t xml:space="preserve">  </w:t>
      </w:r>
      <w:r w:rsidR="00FC781D">
        <w:t xml:space="preserve">On July 17, 2014 </w:t>
      </w:r>
      <w:r w:rsidR="004C39BA">
        <w:t xml:space="preserve">Securus Technologies, Inc. (Securus) </w:t>
      </w:r>
      <w:r w:rsidR="00EF0DD6">
        <w:t xml:space="preserve">submitted confidential data (Cost Study Documents) in this proceeding pursuant to the </w:t>
      </w:r>
      <w:r w:rsidR="00EF0DD6">
        <w:rPr>
          <w:i/>
        </w:rPr>
        <w:t>Protective Order</w:t>
      </w:r>
      <w:r w:rsidR="00EF0DD6">
        <w:t>.</w:t>
      </w:r>
      <w:r w:rsidR="00EF0DD6">
        <w:rPr>
          <w:rStyle w:val="FootnoteReference"/>
        </w:rPr>
        <w:footnoteReference w:id="10"/>
      </w:r>
      <w:r w:rsidR="00EF0DD6">
        <w:t xml:space="preserve">  Securus simultaneously filed a Request for Confidential Treatment.</w:t>
      </w:r>
      <w:r w:rsidR="00EF0DD6">
        <w:rPr>
          <w:rStyle w:val="FootnoteReference"/>
        </w:rPr>
        <w:footnoteReference w:id="11"/>
      </w:r>
      <w:r w:rsidR="00EF0DD6">
        <w:t xml:space="preserve">  </w:t>
      </w:r>
      <w:r w:rsidR="007D42C9">
        <w:t xml:space="preserve"> </w:t>
      </w:r>
    </w:p>
    <w:p w:rsidR="00E415C7" w:rsidRDefault="00EF0DD6" w:rsidP="00F84E4C">
      <w:pPr>
        <w:pStyle w:val="ParaNum"/>
      </w:pPr>
      <w:r w:rsidRPr="00902943">
        <w:t>Securus</w:t>
      </w:r>
      <w:r w:rsidR="00BE5A1F">
        <w:t xml:space="preserve"> objects</w:t>
      </w:r>
      <w:r>
        <w:t xml:space="preserve"> to a request by </w:t>
      </w:r>
      <w:r w:rsidR="007D42C9">
        <w:t>Pay Tel</w:t>
      </w:r>
      <w:r w:rsidR="00480853">
        <w:t xml:space="preserve"> Outside Counsel</w:t>
      </w:r>
      <w:r w:rsidR="007D42C9">
        <w:t xml:space="preserve"> </w:t>
      </w:r>
      <w:r>
        <w:t xml:space="preserve">to receive its unredacted Cost Study Documents </w:t>
      </w:r>
      <w:r w:rsidR="007D42C9">
        <w:t>because the “confidential information in those documents is competitively sensitive and must not be provided to Pay Tel, a direct competitor of Securus</w:t>
      </w:r>
      <w:r w:rsidR="002F0239">
        <w:t>.</w:t>
      </w:r>
      <w:r w:rsidR="007D42C9">
        <w:t>”</w:t>
      </w:r>
      <w:r w:rsidR="007D42C9">
        <w:rPr>
          <w:rStyle w:val="FootnoteReference"/>
        </w:rPr>
        <w:footnoteReference w:id="12"/>
      </w:r>
      <w:r w:rsidR="007D42C9">
        <w:t xml:space="preserve"> </w:t>
      </w:r>
      <w:r w:rsidR="002F0239">
        <w:t xml:space="preserve"> </w:t>
      </w:r>
      <w:r w:rsidR="007D42C9">
        <w:t xml:space="preserve">Securus </w:t>
      </w:r>
      <w:r w:rsidR="002F0239">
        <w:t>asserts that if Pay Tel’s Outside Counsel receives these documents</w:t>
      </w:r>
      <w:r w:rsidR="00BE5A1F">
        <w:t>,</w:t>
      </w:r>
      <w:r w:rsidR="002F0239">
        <w:t xml:space="preserve"> Securus </w:t>
      </w:r>
      <w:r w:rsidR="007D42C9">
        <w:t>will suffer “substantial and irreparable harm.”</w:t>
      </w:r>
      <w:r w:rsidR="007D42C9">
        <w:rPr>
          <w:rStyle w:val="FootnoteReference"/>
        </w:rPr>
        <w:footnoteReference w:id="13"/>
      </w:r>
      <w:r w:rsidR="007D42C9">
        <w:t xml:space="preserve"> </w:t>
      </w:r>
    </w:p>
    <w:p w:rsidR="00990304" w:rsidRDefault="00B80DE5" w:rsidP="00990304">
      <w:pPr>
        <w:pStyle w:val="ParaNum"/>
      </w:pPr>
      <w:r>
        <w:t>In response</w:t>
      </w:r>
      <w:r w:rsidR="00BE5A1F">
        <w:t>,</w:t>
      </w:r>
      <w:r>
        <w:t xml:space="preserve"> Pay Tel notes that “Securus has presented no explanation of why the Protective Order does not apply in this circumstance or why it should not be subject to its terms.”</w:t>
      </w:r>
      <w:r>
        <w:rPr>
          <w:rStyle w:val="FootnoteReference"/>
        </w:rPr>
        <w:footnoteReference w:id="14"/>
      </w:r>
      <w:r>
        <w:t xml:space="preserve">  Pay Tel further provides a </w:t>
      </w:r>
      <w:r w:rsidR="00C50904">
        <w:t xml:space="preserve">sworn </w:t>
      </w:r>
      <w:r>
        <w:t>declaration from its President that Outside Counsel do not “represent Pay Tel or provide counsel to Pay Tel with respect to competitive decision-making within the meaning of the Protective Order issued in this proceeding.”</w:t>
      </w:r>
      <w:r>
        <w:rPr>
          <w:rStyle w:val="FootnoteReference"/>
        </w:rPr>
        <w:footnoteReference w:id="15"/>
      </w:r>
      <w:r w:rsidR="00875532">
        <w:t xml:space="preserve">  Pay Tel also argues that “Securus cannot be permitted, on the one hand, to use its cost data to advance its advocacy in this proceeding and then, on the other hand, deny other parties the opportunity to review and evaluate the basis upon which these arguments are advanced.”</w:t>
      </w:r>
      <w:r w:rsidR="00A020A1">
        <w:rPr>
          <w:rStyle w:val="FootnoteReference"/>
        </w:rPr>
        <w:footnoteReference w:id="16"/>
      </w:r>
    </w:p>
    <w:p w:rsidR="00E415C7" w:rsidRDefault="00E415C7" w:rsidP="00E415C7">
      <w:pPr>
        <w:pStyle w:val="Heading1"/>
      </w:pPr>
      <w:r>
        <w:t>Discussion</w:t>
      </w:r>
    </w:p>
    <w:p w:rsidR="005B3345" w:rsidRDefault="00C50904" w:rsidP="00E415C7">
      <w:pPr>
        <w:pStyle w:val="ParaNum"/>
      </w:pPr>
      <w:r>
        <w:t xml:space="preserve">The record does not provide any reason to deny Pay Tel’s Outside Counsel access to the Cost Study Documents consistent with the terms of the </w:t>
      </w:r>
      <w:r w:rsidRPr="00C16547">
        <w:rPr>
          <w:i/>
        </w:rPr>
        <w:t>Protective Order</w:t>
      </w:r>
      <w:r w:rsidR="00505B2B">
        <w:t>.</w:t>
      </w:r>
      <w:r w:rsidR="00A36405">
        <w:rPr>
          <w:rStyle w:val="FootnoteReference"/>
        </w:rPr>
        <w:footnoteReference w:id="17"/>
      </w:r>
      <w:r w:rsidR="00A36405">
        <w:t xml:space="preserve"> </w:t>
      </w:r>
      <w:r w:rsidR="000A5FA2">
        <w:t xml:space="preserve"> </w:t>
      </w:r>
      <w:r w:rsidR="00505B2B">
        <w:t xml:space="preserve">Securus argues that Pay Tel’s Outside Counsel is involved in Competitive Decision-Making pursuant to the </w:t>
      </w:r>
      <w:r w:rsidR="00505B2B" w:rsidRPr="005B3345">
        <w:rPr>
          <w:i/>
        </w:rPr>
        <w:t>Protective Order</w:t>
      </w:r>
      <w:r w:rsidR="00505B2B">
        <w:t xml:space="preserve">.  Securus </w:t>
      </w:r>
      <w:r w:rsidR="00505B2B">
        <w:lastRenderedPageBreak/>
        <w:t xml:space="preserve">attempts to support this argument with </w:t>
      </w:r>
      <w:r w:rsidR="003E5DD9">
        <w:t>assertions</w:t>
      </w:r>
      <w:r w:rsidR="00695843">
        <w:t xml:space="preserve"> that “Pay Tel is a small company with </w:t>
      </w:r>
      <w:r w:rsidR="002C5F74">
        <w:t xml:space="preserve">no in-house attorneys” </w:t>
      </w:r>
      <w:r w:rsidR="00695843">
        <w:t>and “Pay Tel has only 20-49 employees</w:t>
      </w:r>
      <w:r w:rsidR="00505B2B">
        <w:t>.”</w:t>
      </w:r>
      <w:r w:rsidR="00E26659">
        <w:rPr>
          <w:rStyle w:val="FootnoteReference"/>
        </w:rPr>
        <w:footnoteReference w:id="18"/>
      </w:r>
      <w:r w:rsidR="00505B2B">
        <w:t xml:space="preserve">  Securus further claims that Pay Tel’s “chief Outside Counsel, Marcus Trathen, acts as Pay Tel’s General Counsel and has introduced himself publicly as such,”</w:t>
      </w:r>
      <w:r w:rsidR="00505B2B">
        <w:rPr>
          <w:rStyle w:val="FootnoteReference"/>
        </w:rPr>
        <w:footnoteReference w:id="19"/>
      </w:r>
      <w:r w:rsidR="00505B2B">
        <w:t xml:space="preserve"> and that Pay Tel’s “Outside Counsel is not so distanced from Pay Tel as the outside counsel to other companies may be.”</w:t>
      </w:r>
      <w:r w:rsidR="00505B2B">
        <w:rPr>
          <w:rStyle w:val="FootnoteReference"/>
        </w:rPr>
        <w:footnoteReference w:id="20"/>
      </w:r>
      <w:r w:rsidR="00505B2B">
        <w:t xml:space="preserve">  </w:t>
      </w:r>
    </w:p>
    <w:p w:rsidR="00B609BF" w:rsidRDefault="00EB5FD3" w:rsidP="00E415C7">
      <w:pPr>
        <w:pStyle w:val="ParaNum"/>
      </w:pPr>
      <w:r>
        <w:t xml:space="preserve">Pay Tel </w:t>
      </w:r>
      <w:r w:rsidR="00F859EE">
        <w:t>responds</w:t>
      </w:r>
      <w:r>
        <w:t xml:space="preserve"> that its request “is fully compliant with the terms of the Protective Order and Securus has presented no explanation of why the Protective Order does not apply in this circumstance or why it should not be subject to its terms.”</w:t>
      </w:r>
      <w:r>
        <w:rPr>
          <w:rStyle w:val="FootnoteReference"/>
        </w:rPr>
        <w:footnoteReference w:id="21"/>
      </w:r>
      <w:r w:rsidR="008907FB">
        <w:t xml:space="preserve"> </w:t>
      </w:r>
      <w:r>
        <w:t xml:space="preserve"> Pay Tel </w:t>
      </w:r>
      <w:r w:rsidR="00F859EE">
        <w:t>asserts</w:t>
      </w:r>
      <w:r>
        <w:t xml:space="preserve"> that its “counsel are not ‘</w:t>
      </w:r>
      <w:r w:rsidR="0013613A">
        <w:t>competitors</w:t>
      </w:r>
      <w:r>
        <w:t xml:space="preserve">’ of </w:t>
      </w:r>
      <w:r w:rsidR="0013613A">
        <w:t>Securus</w:t>
      </w:r>
      <w:r>
        <w:t xml:space="preserve"> nor are they involved in ‘competitive decision making’ on its behalf.</w:t>
      </w:r>
      <w:r w:rsidR="002C5F74">
        <w:t>”</w:t>
      </w:r>
      <w:r>
        <w:rPr>
          <w:rStyle w:val="FootnoteReference"/>
        </w:rPr>
        <w:footnoteReference w:id="22"/>
      </w:r>
      <w:r>
        <w:t xml:space="preserve">  Pay Tel’s President declares that Marcus Trathen, the </w:t>
      </w:r>
      <w:r w:rsidR="0013613A">
        <w:t>attorney</w:t>
      </w:r>
      <w:r>
        <w:t xml:space="preserve"> in question, does not “represent Pay Tel or provide counsel to Pay Tel with respect to competitive decision-making within the meaning of the Protective Order issued in this </w:t>
      </w:r>
      <w:r w:rsidR="001D2FBE">
        <w:t>proceeding</w:t>
      </w:r>
      <w:r>
        <w:t>,” and “has never been engaged by Pay Tel as Pay Tel’s General Counsel.”</w:t>
      </w:r>
      <w:r>
        <w:rPr>
          <w:rStyle w:val="FootnoteReference"/>
        </w:rPr>
        <w:footnoteReference w:id="23"/>
      </w:r>
      <w:r w:rsidR="00B609BF">
        <w:t xml:space="preserve">  </w:t>
      </w:r>
      <w:r w:rsidR="00976E43">
        <w:t xml:space="preserve">In fact, </w:t>
      </w:r>
      <w:r w:rsidR="003420EA">
        <w:t>Pay Tel’s</w:t>
      </w:r>
      <w:r w:rsidR="00976E43">
        <w:t xml:space="preserve"> declaration indicates tha</w:t>
      </w:r>
      <w:r w:rsidR="003420EA">
        <w:t>t it</w:t>
      </w:r>
      <w:r w:rsidR="00976E43">
        <w:t xml:space="preserve"> employs </w:t>
      </w:r>
      <w:r w:rsidR="003420EA">
        <w:t>additional</w:t>
      </w:r>
      <w:r w:rsidR="00976E43">
        <w:t xml:space="preserve"> counsel for corporate, litigation </w:t>
      </w:r>
      <w:r w:rsidR="003420EA">
        <w:t>and</w:t>
      </w:r>
      <w:r w:rsidR="00976E43">
        <w:t xml:space="preserve"> patent matters.</w:t>
      </w:r>
      <w:r w:rsidR="00976E43">
        <w:rPr>
          <w:rStyle w:val="FootnoteReference"/>
        </w:rPr>
        <w:footnoteReference w:id="24"/>
      </w:r>
      <w:r w:rsidR="00976E43">
        <w:t xml:space="preserve">  </w:t>
      </w:r>
      <w:r w:rsidR="00B609BF">
        <w:t>P</w:t>
      </w:r>
      <w:r w:rsidR="002C5F74">
        <w:t>ay Tel’s Outside C</w:t>
      </w:r>
      <w:r w:rsidR="008907FB">
        <w:t>ounse</w:t>
      </w:r>
      <w:r w:rsidR="002C5F74">
        <w:t>l submitted Acknowledgements</w:t>
      </w:r>
      <w:r w:rsidR="008907FB">
        <w:t xml:space="preserve"> of </w:t>
      </w:r>
      <w:r w:rsidR="0013613A">
        <w:t>Confidentiality</w:t>
      </w:r>
      <w:r w:rsidR="008907FB">
        <w:t xml:space="preserve"> pursuant </w:t>
      </w:r>
      <w:r w:rsidR="0013613A">
        <w:t>to</w:t>
      </w:r>
      <w:r w:rsidR="008907FB">
        <w:t xml:space="preserve"> the requirements of the </w:t>
      </w:r>
      <w:r w:rsidR="008907FB" w:rsidRPr="0042600E">
        <w:rPr>
          <w:i/>
        </w:rPr>
        <w:t>Protective Order</w:t>
      </w:r>
      <w:r w:rsidR="00505B2B">
        <w:t>,</w:t>
      </w:r>
      <w:r w:rsidR="002C5F74">
        <w:t xml:space="preserve"> which includes a certification</w:t>
      </w:r>
      <w:r w:rsidR="00BE5A1F">
        <w:t xml:space="preserve"> of a lack of involvement in</w:t>
      </w:r>
      <w:r w:rsidR="002C5F74">
        <w:t xml:space="preserve"> Competitive Decision-Making</w:t>
      </w:r>
      <w:r w:rsidR="008907FB">
        <w:t>.</w:t>
      </w:r>
      <w:r w:rsidR="008907FB">
        <w:rPr>
          <w:rStyle w:val="FootnoteReference"/>
        </w:rPr>
        <w:footnoteReference w:id="25"/>
      </w:r>
      <w:r w:rsidR="008907FB">
        <w:t xml:space="preserve"> </w:t>
      </w:r>
    </w:p>
    <w:p w:rsidR="00E415C7" w:rsidRDefault="005B3345" w:rsidP="005B3345">
      <w:pPr>
        <w:pStyle w:val="ParaNum"/>
      </w:pPr>
      <w:r>
        <w:t>Securus’ statements do not persuade us that Pay Tel’s Outside Counsel</w:t>
      </w:r>
      <w:r w:rsidR="00E26659">
        <w:t xml:space="preserve"> are</w:t>
      </w:r>
      <w:r>
        <w:t xml:space="preserve"> involved in Competitive Decision-Making as defined by the </w:t>
      </w:r>
      <w:r w:rsidRPr="00820E30">
        <w:rPr>
          <w:i/>
        </w:rPr>
        <w:t>Protective Order</w:t>
      </w:r>
      <w:r>
        <w:t>.  They are unsupported assertions, which Pay Tel has rebutted with a sworn declaration from its President that its Outside Counsel are not involved in Competitive Decision-Making.</w:t>
      </w:r>
      <w:r>
        <w:rPr>
          <w:rStyle w:val="FootnoteReference"/>
        </w:rPr>
        <w:footnoteReference w:id="26"/>
      </w:r>
      <w:r>
        <w:t xml:space="preserve">  In addition to being unsupported assertions, Securus’ statements</w:t>
      </w:r>
      <w:r w:rsidR="000965EB">
        <w:t>,</w:t>
      </w:r>
      <w:r>
        <w:t xml:space="preserve"> even if true</w:t>
      </w:r>
      <w:r w:rsidR="000965EB">
        <w:t>,</w:t>
      </w:r>
      <w:r>
        <w:t xml:space="preserve"> would not necessarily lead us to conclude that the counsel in question should not have access to the documents:  under the terms of the </w:t>
      </w:r>
      <w:r w:rsidRPr="00505B2B">
        <w:rPr>
          <w:i/>
        </w:rPr>
        <w:t>Protective Order</w:t>
      </w:r>
      <w:r>
        <w:t>, In-House Counsel are also permitted access to the documents so long as, like Outside Counsel and Outside Consultants, they are not involved in Competitive Decision-Making.</w:t>
      </w:r>
      <w:r>
        <w:rPr>
          <w:rStyle w:val="FootnoteReference"/>
        </w:rPr>
        <w:footnoteReference w:id="27"/>
      </w:r>
      <w:r>
        <w:t xml:space="preserve">  We conclude that </w:t>
      </w:r>
      <w:r w:rsidR="008723FF">
        <w:t xml:space="preserve">Pay Tel’s request falls squarely within the confines of the </w:t>
      </w:r>
      <w:r w:rsidR="008723FF" w:rsidRPr="005B3345">
        <w:rPr>
          <w:i/>
        </w:rPr>
        <w:t>Protective Order</w:t>
      </w:r>
      <w:r w:rsidR="008723FF">
        <w:t xml:space="preserve"> and is governed by the terms </w:t>
      </w:r>
      <w:r w:rsidR="00527F8E">
        <w:t xml:space="preserve">of that </w:t>
      </w:r>
      <w:r w:rsidR="00F84E4C">
        <w:t xml:space="preserve">document.  </w:t>
      </w:r>
      <w:r w:rsidR="002F0239">
        <w:t>T</w:t>
      </w:r>
      <w:r w:rsidR="008723FF">
        <w:t>he</w:t>
      </w:r>
      <w:r w:rsidR="00527F8E">
        <w:t xml:space="preserve"> terms of the</w:t>
      </w:r>
      <w:r w:rsidR="008723FF">
        <w:t xml:space="preserve"> </w:t>
      </w:r>
      <w:r w:rsidR="008723FF" w:rsidRPr="005B3345">
        <w:rPr>
          <w:i/>
        </w:rPr>
        <w:t>Protective Order</w:t>
      </w:r>
      <w:r w:rsidR="00F84E4C">
        <w:t xml:space="preserve"> </w:t>
      </w:r>
      <w:r w:rsidR="00527F8E">
        <w:t>provide</w:t>
      </w:r>
      <w:r w:rsidR="008723FF">
        <w:t xml:space="preserve"> ample protection </w:t>
      </w:r>
      <w:r>
        <w:t xml:space="preserve">for </w:t>
      </w:r>
      <w:r w:rsidR="008723FF">
        <w:t xml:space="preserve">Securus’ data.  </w:t>
      </w:r>
    </w:p>
    <w:p w:rsidR="00902943" w:rsidRDefault="005B3345" w:rsidP="00902943">
      <w:pPr>
        <w:pStyle w:val="ParaNum"/>
      </w:pPr>
      <w:r>
        <w:t xml:space="preserve">We also address Securus’ separate Request for Confidential Treatment.  As explained in the </w:t>
      </w:r>
      <w:r w:rsidRPr="00C16547">
        <w:rPr>
          <w:i/>
        </w:rPr>
        <w:t>Protective Order</w:t>
      </w:r>
      <w:r>
        <w:t>, w</w:t>
      </w:r>
      <w:r w:rsidR="00D06F7C">
        <w:t>hen a Submitting Party</w:t>
      </w:r>
      <w:r w:rsidR="00D06F7C">
        <w:rPr>
          <w:rStyle w:val="FootnoteReference"/>
        </w:rPr>
        <w:footnoteReference w:id="28"/>
      </w:r>
      <w:r w:rsidR="006A4AC2">
        <w:t xml:space="preserve"> </w:t>
      </w:r>
      <w:r w:rsidR="00D06F7C">
        <w:t xml:space="preserve">“designat[es] documents and information as Confidential under </w:t>
      </w:r>
      <w:r w:rsidR="00FC781D">
        <w:t>[the]</w:t>
      </w:r>
      <w:r w:rsidR="00385F16">
        <w:t xml:space="preserve"> </w:t>
      </w:r>
      <w:r w:rsidR="00D06F7C">
        <w:t>Protective Order, a Submitting Party will be deemed to have submitted a request that the material not be made routinely available for public inspection under the Commission’s rules.</w:t>
      </w:r>
      <w:r w:rsidR="00E85C07">
        <w:t>”</w:t>
      </w:r>
      <w:r w:rsidR="00D06F7C">
        <w:rPr>
          <w:rStyle w:val="FootnoteReference"/>
        </w:rPr>
        <w:footnoteReference w:id="29"/>
      </w:r>
      <w:r w:rsidR="00D06F7C">
        <w:t xml:space="preserve"> </w:t>
      </w:r>
      <w:r w:rsidR="006A4AC2">
        <w:t xml:space="preserve"> </w:t>
      </w:r>
      <w:r w:rsidR="00F27880">
        <w:t xml:space="preserve">As such, we </w:t>
      </w:r>
      <w:r w:rsidR="004F1224">
        <w:t xml:space="preserve">grant in part </w:t>
      </w:r>
      <w:r w:rsidR="00FC781D">
        <w:t>Securus’</w:t>
      </w:r>
      <w:r w:rsidR="00F27880">
        <w:t xml:space="preserve"> Request for Confidential Treatment filed</w:t>
      </w:r>
      <w:r w:rsidR="00FC781D">
        <w:t xml:space="preserve"> concurrently with its Cost Study Documents </w:t>
      </w:r>
      <w:r w:rsidR="004F1224">
        <w:t xml:space="preserve">to the extent it asks that the materials not be made routinely available for public inspection, and deny it in part to the extent that it seeks to make them unavailable under the </w:t>
      </w:r>
      <w:r w:rsidR="004F1224" w:rsidRPr="00976E43">
        <w:rPr>
          <w:i/>
        </w:rPr>
        <w:t>Protective Order</w:t>
      </w:r>
      <w:r w:rsidR="004F1224">
        <w:t xml:space="preserve">.  We reiterate the conclusion of the </w:t>
      </w:r>
      <w:r w:rsidR="004F1224" w:rsidRPr="00976E43">
        <w:rPr>
          <w:i/>
        </w:rPr>
        <w:t>Protective Order</w:t>
      </w:r>
      <w:r w:rsidR="004F1224">
        <w:t xml:space="preserve"> that it properly balances the need to protect sensitive information with the right of the public to meaningfully participate in this proceeding, and that it thereby serves the public interest.</w:t>
      </w:r>
      <w:r w:rsidR="004F1224">
        <w:rPr>
          <w:rStyle w:val="FootnoteReference"/>
        </w:rPr>
        <w:footnoteReference w:id="30"/>
      </w:r>
      <w:r w:rsidR="00F27880">
        <w:t xml:space="preserve"> </w:t>
      </w:r>
      <w:r w:rsidR="00505B2B">
        <w:t xml:space="preserve"> </w:t>
      </w:r>
      <w:r w:rsidR="003F1B15">
        <w:t>Additionally, Securus request</w:t>
      </w:r>
      <w:r w:rsidR="000965EB">
        <w:t>s</w:t>
      </w:r>
      <w:r w:rsidR="003F1B15">
        <w:t xml:space="preserve"> that the Commission not disclose its Cost Study Documents to Pay Tel’s Outside Counsel.</w:t>
      </w:r>
      <w:r w:rsidR="003F1B15">
        <w:rPr>
          <w:rStyle w:val="FootnoteReference"/>
        </w:rPr>
        <w:footnoteReference w:id="31"/>
      </w:r>
      <w:r w:rsidR="003F1B15">
        <w:t xml:space="preserve">  We make clear that, p</w:t>
      </w:r>
      <w:r w:rsidR="00902943">
        <w:t xml:space="preserve">ursuant to the </w:t>
      </w:r>
      <w:r w:rsidR="00902943" w:rsidRPr="006A4AC2">
        <w:rPr>
          <w:i/>
        </w:rPr>
        <w:t>Protective Order</w:t>
      </w:r>
      <w:r w:rsidR="00902943">
        <w:t xml:space="preserve">, </w:t>
      </w:r>
      <w:r w:rsidR="009C72A6">
        <w:t xml:space="preserve">it is the Submitting Party that </w:t>
      </w:r>
      <w:r w:rsidR="003F1B15">
        <w:t>provide</w:t>
      </w:r>
      <w:r w:rsidR="009C72A6">
        <w:t>s</w:t>
      </w:r>
      <w:r w:rsidR="00F84E4C">
        <w:t xml:space="preserve"> </w:t>
      </w:r>
      <w:r w:rsidR="003F1B15">
        <w:t>the confidential information to the requesting party</w:t>
      </w:r>
      <w:r w:rsidR="00F84E4C">
        <w:t>, not</w:t>
      </w:r>
      <w:r w:rsidR="00F84E4C" w:rsidRPr="00F84E4C">
        <w:t xml:space="preserve"> </w:t>
      </w:r>
      <w:r w:rsidR="00F84E4C">
        <w:t>the Commission</w:t>
      </w:r>
      <w:r>
        <w:t xml:space="preserve"> staff</w:t>
      </w:r>
      <w:r w:rsidR="00902943">
        <w:t>.</w:t>
      </w:r>
      <w:r w:rsidR="003F1B15">
        <w:rPr>
          <w:rStyle w:val="FootnoteReference"/>
        </w:rPr>
        <w:footnoteReference w:id="32"/>
      </w:r>
      <w:r w:rsidR="00902943">
        <w:t xml:space="preserve"> </w:t>
      </w:r>
      <w:r w:rsidR="009C72A6">
        <w:t xml:space="preserve"> </w:t>
      </w:r>
      <w:r w:rsidR="002F0239">
        <w:t>For the foregoing reasons</w:t>
      </w:r>
      <w:r w:rsidR="00902943">
        <w:t xml:space="preserve">, </w:t>
      </w:r>
      <w:r w:rsidR="003F1B15">
        <w:t xml:space="preserve">we </w:t>
      </w:r>
      <w:r w:rsidR="00956B8A">
        <w:t xml:space="preserve">deny Securus’ objection and </w:t>
      </w:r>
      <w:r w:rsidR="003F1B15">
        <w:t>direct Securus to</w:t>
      </w:r>
      <w:r w:rsidR="00902943">
        <w:t xml:space="preserve"> provide the requested data to Pay Tel</w:t>
      </w:r>
      <w:r w:rsidR="00505B2B">
        <w:t>’s</w:t>
      </w:r>
      <w:r w:rsidR="006A4AC2">
        <w:t xml:space="preserve"> </w:t>
      </w:r>
      <w:r w:rsidR="00505B2B">
        <w:t xml:space="preserve">Outside Counsel </w:t>
      </w:r>
      <w:r w:rsidR="006A4AC2">
        <w:t xml:space="preserve">within </w:t>
      </w:r>
      <w:r w:rsidR="00976E43">
        <w:t>three</w:t>
      </w:r>
      <w:r w:rsidR="006A4AC2">
        <w:t xml:space="preserve"> </w:t>
      </w:r>
      <w:r w:rsidR="00601387">
        <w:t xml:space="preserve">business </w:t>
      </w:r>
      <w:r w:rsidR="006A4AC2">
        <w:t>days of the release date above</w:t>
      </w:r>
      <w:r w:rsidR="00902943">
        <w:t>.</w:t>
      </w:r>
      <w:r w:rsidR="00B378A3">
        <w:rPr>
          <w:rStyle w:val="FootnoteReference"/>
        </w:rPr>
        <w:footnoteReference w:id="33"/>
      </w:r>
      <w:r w:rsidR="00505B2B">
        <w:t xml:space="preserve">  Copies of this Order will be transmitted to Securus and its outside counsel by electronic mail.</w:t>
      </w:r>
    </w:p>
    <w:p w:rsidR="00E415C7" w:rsidRDefault="00E415C7" w:rsidP="00E415C7">
      <w:pPr>
        <w:pStyle w:val="Heading1"/>
      </w:pPr>
      <w:r>
        <w:t>Ordering clauses</w:t>
      </w:r>
    </w:p>
    <w:p w:rsidR="0047507F" w:rsidRDefault="00B80DE5" w:rsidP="00E415C7">
      <w:pPr>
        <w:pStyle w:val="ParaNum"/>
      </w:pPr>
      <w:r>
        <w:t>Accordingly, IT IS ORDERED that, pursuant to sections 1, 2, 4(i), 4(j), 5, and 303(r) of the Communications Act of 1934, as amended, 47 U.S.C.</w:t>
      </w:r>
      <w:r w:rsidR="00221467">
        <w:t xml:space="preserve"> §§ 151, 152, 154(i), 154(j), 155, and 303(r), and section</w:t>
      </w:r>
      <w:r w:rsidR="00307682">
        <w:t>s 0.91, 0.201(d), and 0.291</w:t>
      </w:r>
      <w:r w:rsidR="00221467">
        <w:t xml:space="preserve"> of the Commission’s rules, 47 C.F.R. §§ 0.91, 0.201(d), </w:t>
      </w:r>
      <w:r w:rsidR="00307682">
        <w:t>and 0.291</w:t>
      </w:r>
      <w:r w:rsidR="00221467">
        <w:t>,</w:t>
      </w:r>
      <w:r>
        <w:t xml:space="preserve"> </w:t>
      </w:r>
      <w:r w:rsidR="00221467">
        <w:t xml:space="preserve">the Securus Technologies, Inc. Objection to Disclosure of Confidential Information, filed on August </w:t>
      </w:r>
      <w:r w:rsidR="00E85C07">
        <w:t>6</w:t>
      </w:r>
      <w:r w:rsidR="00221467">
        <w:t xml:space="preserve">, 2014, </w:t>
      </w:r>
      <w:r>
        <w:t>IS DENIED</w:t>
      </w:r>
      <w:r w:rsidR="00480853">
        <w:t xml:space="preserve">. </w:t>
      </w:r>
    </w:p>
    <w:p w:rsidR="00E415C7" w:rsidRDefault="0047507F" w:rsidP="00E415C7">
      <w:pPr>
        <w:pStyle w:val="ParaNum"/>
      </w:pPr>
      <w:r>
        <w:t xml:space="preserve">IT IS FURTHER ORDERED that Securus’ Request for Confidential Treatment is </w:t>
      </w:r>
      <w:r w:rsidR="00976E43">
        <w:t xml:space="preserve">GRANTED IN PART and </w:t>
      </w:r>
      <w:r>
        <w:t xml:space="preserve">DENIED </w:t>
      </w:r>
      <w:r w:rsidR="00976E43">
        <w:t>IN PART as</w:t>
      </w:r>
      <w:r>
        <w:t xml:space="preserve"> discussed above.</w:t>
      </w:r>
      <w:r w:rsidR="00480853">
        <w:t xml:space="preserve"> </w:t>
      </w:r>
    </w:p>
    <w:p w:rsidR="00E415C7" w:rsidRDefault="00221467" w:rsidP="00AB2DC5">
      <w:pPr>
        <w:pStyle w:val="ParaNum"/>
      </w:pPr>
      <w:r>
        <w:t xml:space="preserve">IT IS </w:t>
      </w:r>
      <w:r w:rsidR="0047507F">
        <w:t xml:space="preserve">FURTHER </w:t>
      </w:r>
      <w:r>
        <w:t xml:space="preserve">ORDERED that Securus </w:t>
      </w:r>
      <w:r w:rsidR="00E85C07">
        <w:t>MUST COMPLY</w:t>
      </w:r>
      <w:r>
        <w:t xml:space="preserve"> with the terms of the </w:t>
      </w:r>
      <w:r>
        <w:rPr>
          <w:i/>
        </w:rPr>
        <w:t xml:space="preserve">Protective Order </w:t>
      </w:r>
      <w:r w:rsidR="006A4AC2">
        <w:t xml:space="preserve">in this docket </w:t>
      </w:r>
      <w:r>
        <w:t>and provide</w:t>
      </w:r>
      <w:r w:rsidR="006A4AC2">
        <w:t xml:space="preserve"> Outside Counsel to</w:t>
      </w:r>
      <w:r>
        <w:t xml:space="preserve"> Pay Tel Communications, Inc. the requested confidential data </w:t>
      </w:r>
      <w:r w:rsidR="00601387">
        <w:t xml:space="preserve">no </w:t>
      </w:r>
      <w:r w:rsidR="00601387" w:rsidRPr="00E85C07">
        <w:t>later than</w:t>
      </w:r>
      <w:r w:rsidRPr="00E85C07">
        <w:t xml:space="preserve"> </w:t>
      </w:r>
      <w:r w:rsidR="00A00A07" w:rsidRPr="00E85C07">
        <w:t>October 6, 2014.</w:t>
      </w:r>
      <w:r w:rsidR="00A00A07">
        <w:t xml:space="preserve">  </w:t>
      </w:r>
    </w:p>
    <w:p w:rsidR="00AB2DC5" w:rsidRDefault="00AB2DC5" w:rsidP="00E415C7">
      <w:pPr>
        <w:pStyle w:val="ParaNum"/>
        <w:numPr>
          <w:ilvl w:val="0"/>
          <w:numId w:val="0"/>
        </w:numPr>
        <w:spacing w:after="0"/>
        <w:ind w:left="3600" w:firstLine="720"/>
      </w:pPr>
    </w:p>
    <w:p w:rsidR="00E415C7" w:rsidRDefault="00E415C7" w:rsidP="00E415C7">
      <w:pPr>
        <w:pStyle w:val="ParaNum"/>
        <w:numPr>
          <w:ilvl w:val="0"/>
          <w:numId w:val="0"/>
        </w:numPr>
        <w:spacing w:after="0"/>
        <w:ind w:left="3600" w:firstLine="720"/>
      </w:pPr>
      <w:r>
        <w:t>FEDERAL COMMUNICATIONS COMMISSION</w:t>
      </w:r>
    </w:p>
    <w:p w:rsidR="00E415C7" w:rsidRDefault="00E415C7" w:rsidP="00E415C7">
      <w:pPr>
        <w:pStyle w:val="ParaNum"/>
        <w:numPr>
          <w:ilvl w:val="0"/>
          <w:numId w:val="0"/>
        </w:numPr>
        <w:spacing w:after="0"/>
        <w:ind w:left="3600" w:firstLine="720"/>
      </w:pPr>
    </w:p>
    <w:p w:rsidR="00E415C7" w:rsidRDefault="00E415C7" w:rsidP="00E415C7">
      <w:pPr>
        <w:pStyle w:val="ParaNum"/>
        <w:numPr>
          <w:ilvl w:val="0"/>
          <w:numId w:val="0"/>
        </w:numPr>
        <w:spacing w:after="0"/>
        <w:ind w:left="3600" w:firstLine="720"/>
      </w:pPr>
    </w:p>
    <w:p w:rsidR="00E415C7" w:rsidRDefault="00E415C7" w:rsidP="00E415C7">
      <w:pPr>
        <w:pStyle w:val="ParaNum"/>
        <w:numPr>
          <w:ilvl w:val="0"/>
          <w:numId w:val="0"/>
        </w:numPr>
        <w:spacing w:after="0"/>
        <w:ind w:left="3600" w:firstLine="720"/>
      </w:pPr>
    </w:p>
    <w:p w:rsidR="00E415C7" w:rsidRDefault="00E415C7" w:rsidP="00E415C7">
      <w:pPr>
        <w:pStyle w:val="ParaNum"/>
        <w:numPr>
          <w:ilvl w:val="0"/>
          <w:numId w:val="0"/>
        </w:numPr>
        <w:spacing w:after="0"/>
        <w:ind w:left="3600" w:firstLine="720"/>
      </w:pPr>
    </w:p>
    <w:p w:rsidR="00E415C7" w:rsidRDefault="00E415C7" w:rsidP="00E415C7">
      <w:pPr>
        <w:pStyle w:val="ParaNum"/>
        <w:numPr>
          <w:ilvl w:val="0"/>
          <w:numId w:val="0"/>
        </w:numPr>
        <w:spacing w:after="0"/>
        <w:ind w:left="3600" w:firstLine="720"/>
      </w:pPr>
      <w:r>
        <w:t>Julie A. Veach</w:t>
      </w:r>
    </w:p>
    <w:p w:rsidR="00E85C07" w:rsidRDefault="00E415C7" w:rsidP="00E415C7">
      <w:pPr>
        <w:pStyle w:val="ParaNum"/>
        <w:numPr>
          <w:ilvl w:val="0"/>
          <w:numId w:val="0"/>
        </w:numPr>
        <w:spacing w:after="0"/>
        <w:ind w:left="3600" w:firstLine="720"/>
      </w:pPr>
      <w:r>
        <w:t>Chief</w:t>
      </w:r>
    </w:p>
    <w:p w:rsidR="00E415C7" w:rsidRPr="00E415C7" w:rsidRDefault="00E415C7" w:rsidP="00E415C7">
      <w:pPr>
        <w:pStyle w:val="ParaNum"/>
        <w:numPr>
          <w:ilvl w:val="0"/>
          <w:numId w:val="0"/>
        </w:numPr>
        <w:spacing w:after="0"/>
        <w:ind w:left="3600" w:firstLine="720"/>
      </w:pPr>
      <w:r>
        <w:t>Wireline Competition Bureau</w:t>
      </w:r>
    </w:p>
    <w:sectPr w:rsidR="00E415C7" w:rsidRPr="00E415C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24" w:rsidRDefault="00FF1724">
      <w:pPr>
        <w:spacing w:line="20" w:lineRule="exact"/>
      </w:pPr>
    </w:p>
  </w:endnote>
  <w:endnote w:type="continuationSeparator" w:id="0">
    <w:p w:rsidR="00FF1724" w:rsidRDefault="00FF1724">
      <w:r>
        <w:t xml:space="preserve"> </w:t>
      </w:r>
    </w:p>
  </w:endnote>
  <w:endnote w:type="continuationNotice" w:id="1">
    <w:p w:rsidR="00FF1724" w:rsidRDefault="00FF17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3430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24" w:rsidRDefault="00FF1724">
      <w:r>
        <w:separator/>
      </w:r>
    </w:p>
  </w:footnote>
  <w:footnote w:type="continuationSeparator" w:id="0">
    <w:p w:rsidR="00FF1724" w:rsidRDefault="00FF1724" w:rsidP="00C721AC">
      <w:pPr>
        <w:spacing w:before="120"/>
        <w:rPr>
          <w:sz w:val="20"/>
        </w:rPr>
      </w:pPr>
      <w:r>
        <w:rPr>
          <w:sz w:val="20"/>
        </w:rPr>
        <w:t xml:space="preserve">(Continued from previous page)  </w:t>
      </w:r>
      <w:r>
        <w:rPr>
          <w:sz w:val="20"/>
        </w:rPr>
        <w:separator/>
      </w:r>
    </w:p>
  </w:footnote>
  <w:footnote w:type="continuationNotice" w:id="1">
    <w:p w:rsidR="00FF1724" w:rsidRDefault="00FF1724" w:rsidP="00C721AC">
      <w:pPr>
        <w:jc w:val="right"/>
        <w:rPr>
          <w:sz w:val="20"/>
        </w:rPr>
      </w:pPr>
      <w:r>
        <w:rPr>
          <w:sz w:val="20"/>
        </w:rPr>
        <w:t>(continued….)</w:t>
      </w:r>
    </w:p>
  </w:footnote>
  <w:footnote w:id="2">
    <w:p w:rsidR="0019718E" w:rsidRPr="00592928" w:rsidRDefault="0019718E" w:rsidP="00601387">
      <w:pPr>
        <w:pStyle w:val="FootnoteText"/>
        <w:spacing w:before="120"/>
      </w:pPr>
      <w:r>
        <w:rPr>
          <w:rStyle w:val="FootnoteReference"/>
        </w:rPr>
        <w:footnoteRef/>
      </w:r>
      <w:r>
        <w:t xml:space="preserve"> </w:t>
      </w:r>
      <w:r>
        <w:rPr>
          <w:i/>
        </w:rPr>
        <w:t>See Rates for Interstate Inmate Calling Services</w:t>
      </w:r>
      <w:r>
        <w:t>, WC Docket No. 12-375, Report and Order and Further Notice of Proposed Rulemaking, 28 FCC Rcd 14107 (2013) (</w:t>
      </w:r>
      <w:r>
        <w:rPr>
          <w:i/>
        </w:rPr>
        <w:t>Inmate Calling Report and Order and FNPRM</w:t>
      </w:r>
      <w:r w:rsidR="00592928">
        <w:rPr>
          <w:i/>
        </w:rPr>
        <w:t xml:space="preserve"> </w:t>
      </w:r>
      <w:r w:rsidR="00592928">
        <w:t xml:space="preserve">or </w:t>
      </w:r>
      <w:r w:rsidR="00592928">
        <w:rPr>
          <w:i/>
        </w:rPr>
        <w:t>Order</w:t>
      </w:r>
      <w:r>
        <w:t xml:space="preserve">), </w:t>
      </w:r>
      <w:r>
        <w:rPr>
          <w:i/>
        </w:rPr>
        <w:t>pets. for stay granted in part sub nom. Securus Techs. v. FCC</w:t>
      </w:r>
      <w:r>
        <w:t xml:space="preserve">, No. 13-1280 (D.C. Cir. Jan. 13, 2014); </w:t>
      </w:r>
      <w:r>
        <w:rPr>
          <w:i/>
        </w:rPr>
        <w:t>pets. for review pending sub nom. Securus Techs. v. FCC</w:t>
      </w:r>
      <w:r>
        <w:t xml:space="preserve">, No. 13-1280 (D.C. Cir. </w:t>
      </w:r>
      <w:r w:rsidR="00D5605A">
        <w:t xml:space="preserve">filed </w:t>
      </w:r>
      <w:r>
        <w:t>Nov. 14, 2013) (and consolidated cases).</w:t>
      </w:r>
      <w:r w:rsidR="00592928">
        <w:t xml:space="preserve">  The following rules are stayed pending resolution of the appeal:  47 C.F.R. §§ 64.6010 (Cost-Based Rates for Inmate Calling Services); 64.6020 (Interim Safe Harbo</w:t>
      </w:r>
      <w:r w:rsidR="007621BC">
        <w:t>r</w:t>
      </w:r>
      <w:r w:rsidR="00592928">
        <w:t>); and 64.6060 (Annual Reporting and Certification Requirement).  The cour</w:t>
      </w:r>
      <w:r w:rsidR="007621BC">
        <w:t>t</w:t>
      </w:r>
      <w:r w:rsidR="00592928">
        <w:t xml:space="preserve"> did not stay the remaining rules and did not issue a general stay of the </w:t>
      </w:r>
      <w:r w:rsidR="00592928">
        <w:rPr>
          <w:i/>
        </w:rPr>
        <w:t>Order</w:t>
      </w:r>
      <w:r w:rsidR="00592928">
        <w:t>.</w:t>
      </w:r>
    </w:p>
  </w:footnote>
  <w:footnote w:id="3">
    <w:p w:rsidR="00592928" w:rsidRPr="00592928" w:rsidRDefault="00592928">
      <w:pPr>
        <w:pStyle w:val="FootnoteText"/>
      </w:pPr>
      <w:r>
        <w:rPr>
          <w:rStyle w:val="FootnoteReference"/>
        </w:rPr>
        <w:footnoteRef/>
      </w:r>
      <w:r>
        <w:t xml:space="preserve"> </w:t>
      </w:r>
      <w:r w:rsidR="00D5605A">
        <w:rPr>
          <w:i/>
        </w:rPr>
        <w:t>Inmate Calling Report and Order and FNPRM</w:t>
      </w:r>
      <w:r w:rsidR="00D5605A">
        <w:t>, 28 FCC Rcd</w:t>
      </w:r>
      <w:r>
        <w:t xml:space="preserve"> at 14172, para. 124.</w:t>
      </w:r>
    </w:p>
  </w:footnote>
  <w:footnote w:id="4">
    <w:p w:rsidR="00592928" w:rsidRPr="00592928" w:rsidRDefault="00592928">
      <w:pPr>
        <w:pStyle w:val="FootnoteText"/>
      </w:pPr>
      <w:r>
        <w:rPr>
          <w:rStyle w:val="FootnoteReference"/>
        </w:rPr>
        <w:footnoteRef/>
      </w:r>
      <w:r>
        <w:t xml:space="preserve"> </w:t>
      </w:r>
      <w:r>
        <w:rPr>
          <w:i/>
        </w:rPr>
        <w:t>Id</w:t>
      </w:r>
      <w:r>
        <w:t>. at 14173, para. 126.</w:t>
      </w:r>
    </w:p>
  </w:footnote>
  <w:footnote w:id="5">
    <w:p w:rsidR="00592928" w:rsidRPr="00592928" w:rsidRDefault="00592928">
      <w:pPr>
        <w:pStyle w:val="FootnoteText"/>
      </w:pPr>
      <w:r>
        <w:rPr>
          <w:rStyle w:val="FootnoteReference"/>
        </w:rPr>
        <w:footnoteRef/>
      </w:r>
      <w:r>
        <w:t xml:space="preserve"> </w:t>
      </w:r>
      <w:r>
        <w:rPr>
          <w:i/>
        </w:rPr>
        <w:t>See Rates for Interstate Inmate Calling Services</w:t>
      </w:r>
      <w:r>
        <w:t>, WC Docket No. 12-375, Protective Order</w:t>
      </w:r>
      <w:r>
        <w:rPr>
          <w:i/>
        </w:rPr>
        <w:t xml:space="preserve">, </w:t>
      </w:r>
      <w:r>
        <w:t>28 FCC Rcd 16954 (</w:t>
      </w:r>
      <w:r w:rsidR="00D5605A">
        <w:t xml:space="preserve">Wireline Comp. Bur. </w:t>
      </w:r>
      <w:r>
        <w:t>2013) (</w:t>
      </w:r>
      <w:r>
        <w:rPr>
          <w:i/>
        </w:rPr>
        <w:t>Protective Order</w:t>
      </w:r>
      <w:r>
        <w:t>).</w:t>
      </w:r>
      <w:r w:rsidR="006A4AC2" w:rsidRPr="006A4AC2">
        <w:t xml:space="preserve"> </w:t>
      </w:r>
      <w:r w:rsidR="006A4AC2">
        <w:t xml:space="preserve"> Pursuant to the Paperwork Reduction Act, the Commission sought and received Office of Management and Budget approval for the Mandatory Data Collection.  </w:t>
      </w:r>
      <w:r w:rsidR="006A4AC2">
        <w:rPr>
          <w:i/>
        </w:rPr>
        <w:t>See Commission Announces Inmate Calling Services Data Due Date</w:t>
      </w:r>
      <w:r w:rsidR="006A4AC2">
        <w:t xml:space="preserve">, WC Docket No. 12-375, Public Notice, </w:t>
      </w:r>
      <w:r w:rsidR="00D5605A">
        <w:t>28 FCC Rcd 7326</w:t>
      </w:r>
      <w:r w:rsidR="006A4AC2">
        <w:t xml:space="preserve"> (Wireline Comp. Bur. 2014).</w:t>
      </w:r>
    </w:p>
  </w:footnote>
  <w:footnote w:id="6">
    <w:p w:rsidR="00C646A8" w:rsidRPr="00C646A8" w:rsidRDefault="00C646A8">
      <w:pPr>
        <w:pStyle w:val="FootnoteText"/>
      </w:pPr>
      <w:r>
        <w:rPr>
          <w:rStyle w:val="FootnoteReference"/>
        </w:rPr>
        <w:footnoteRef/>
      </w:r>
      <w:r>
        <w:t xml:space="preserve"> </w:t>
      </w:r>
      <w:r>
        <w:rPr>
          <w:i/>
        </w:rPr>
        <w:t>See Protective Order</w:t>
      </w:r>
      <w:r>
        <w:t>, 28 FCC Rcd at 16954, para. 1.</w:t>
      </w:r>
    </w:p>
  </w:footnote>
  <w:footnote w:id="7">
    <w:p w:rsidR="00EF0DD6" w:rsidRPr="00EF0DD6" w:rsidRDefault="00EF0DD6">
      <w:pPr>
        <w:pStyle w:val="FootnoteText"/>
      </w:pPr>
      <w:r>
        <w:rPr>
          <w:rStyle w:val="FootnoteReference"/>
        </w:rPr>
        <w:footnoteRef/>
      </w:r>
      <w:r>
        <w:t xml:space="preserve"> </w:t>
      </w:r>
      <w:r>
        <w:rPr>
          <w:i/>
        </w:rPr>
        <w:t>See id</w:t>
      </w:r>
      <w:r>
        <w:t>. at App. A.</w:t>
      </w:r>
    </w:p>
  </w:footnote>
  <w:footnote w:id="8">
    <w:p w:rsidR="00C646A8" w:rsidRPr="00EF0DD6" w:rsidRDefault="00C646A8">
      <w:pPr>
        <w:pStyle w:val="FootnoteText"/>
      </w:pPr>
      <w:r>
        <w:rPr>
          <w:rStyle w:val="FootnoteReference"/>
        </w:rPr>
        <w:footnoteRef/>
      </w:r>
      <w:r>
        <w:t xml:space="preserve"> </w:t>
      </w:r>
      <w:r w:rsidR="00EF0DD6">
        <w:rPr>
          <w:i/>
        </w:rPr>
        <w:t>I</w:t>
      </w:r>
      <w:r>
        <w:rPr>
          <w:i/>
        </w:rPr>
        <w:t>d</w:t>
      </w:r>
      <w:r w:rsidR="00EF0DD6">
        <w:t>. at 16954-55, para. 2 (“‘Competitive Decision-Making’ means a person’s activities, association, or relationship w</w:t>
      </w:r>
      <w:r w:rsidR="00EC2341">
        <w:t>ith any of its clients involving</w:t>
      </w:r>
      <w:r w:rsidR="00EF0DD6">
        <w:t xml:space="preserve"> advice about or participation in the relevant business decisions or the analysis underlying the relevant business decisions of the client in competition with or in a business relationship with the Submitting Party.”).</w:t>
      </w:r>
    </w:p>
  </w:footnote>
  <w:footnote w:id="9">
    <w:p w:rsidR="00F84E4C" w:rsidRPr="002112A0" w:rsidRDefault="00F84E4C" w:rsidP="00F84E4C">
      <w:pPr>
        <w:pStyle w:val="FootnoteText"/>
      </w:pPr>
      <w:r>
        <w:rPr>
          <w:rStyle w:val="FootnoteReference"/>
        </w:rPr>
        <w:footnoteRef/>
      </w:r>
      <w:r>
        <w:t xml:space="preserve"> </w:t>
      </w:r>
      <w:r w:rsidR="002112A0">
        <w:rPr>
          <w:i/>
        </w:rPr>
        <w:t xml:space="preserve">See </w:t>
      </w:r>
      <w:r w:rsidR="002112A0">
        <w:t>Letter from Timothy G. Nelson, Counsel to Pay Tel</w:t>
      </w:r>
      <w:r w:rsidR="008D1857">
        <w:t>,</w:t>
      </w:r>
      <w:r w:rsidR="002112A0">
        <w:t xml:space="preserve"> to Marlene H. Dortch, Secretary, FCC, WC Docket No. 12-375</w:t>
      </w:r>
      <w:r w:rsidR="008D1857">
        <w:t>,</w:t>
      </w:r>
      <w:r w:rsidR="002112A0">
        <w:t xml:space="preserve"> at Attach. (filed Jan. 17, 2014) (Pay Tel Outside Counsel Acknowledgements of Confidentiality); </w:t>
      </w:r>
      <w:r w:rsidR="002112A0">
        <w:rPr>
          <w:i/>
        </w:rPr>
        <w:t xml:space="preserve">see also </w:t>
      </w:r>
      <w:r w:rsidR="002112A0">
        <w:t>Letter from Timothy G. Nelson, Counsel to Pay Tel</w:t>
      </w:r>
      <w:r w:rsidR="008D1857">
        <w:t>,</w:t>
      </w:r>
      <w:r w:rsidR="002112A0">
        <w:t xml:space="preserve"> to Marlene H. Dortch, Secretary, FCC, WC Docket No. 12-375</w:t>
      </w:r>
      <w:r w:rsidR="008D1857">
        <w:t>,</w:t>
      </w:r>
      <w:r w:rsidR="002112A0">
        <w:t xml:space="preserve"> at Attach. (filed July 31, 2014) (Pay Tel Outside Consultant Acknowledgment of Confidentiality).</w:t>
      </w:r>
    </w:p>
  </w:footnote>
  <w:footnote w:id="10">
    <w:p w:rsidR="00EF0DD6" w:rsidRDefault="00EF0DD6">
      <w:pPr>
        <w:pStyle w:val="FootnoteText"/>
      </w:pPr>
      <w:r>
        <w:rPr>
          <w:rStyle w:val="FootnoteReference"/>
        </w:rPr>
        <w:footnoteRef/>
      </w:r>
      <w:r>
        <w:t xml:space="preserve"> </w:t>
      </w:r>
      <w:r w:rsidR="002112A0">
        <w:t>Letter from Stephanie A. Joyce, Counsel to Securus</w:t>
      </w:r>
      <w:r w:rsidR="008D1857">
        <w:t>,</w:t>
      </w:r>
      <w:r w:rsidR="002112A0">
        <w:t xml:space="preserve"> to Marlene H. Dortch, Secretary, FCC, WC Docket No. 12-375</w:t>
      </w:r>
      <w:r w:rsidR="00AB2DC5">
        <w:t xml:space="preserve"> (filed July 17, 2014) (attaching redacted Cost Study Documents) (Cost Study Documents).</w:t>
      </w:r>
    </w:p>
  </w:footnote>
  <w:footnote w:id="11">
    <w:p w:rsidR="00EF0DD6" w:rsidRDefault="00EF0DD6">
      <w:pPr>
        <w:pStyle w:val="FootnoteText"/>
      </w:pPr>
      <w:r>
        <w:rPr>
          <w:rStyle w:val="FootnoteReference"/>
        </w:rPr>
        <w:footnoteRef/>
      </w:r>
      <w:r>
        <w:t xml:space="preserve"> </w:t>
      </w:r>
      <w:r w:rsidR="00D06F7C">
        <w:t>Securus Technologies, Inc. Objection to Disclosure of Confidential Information</w:t>
      </w:r>
      <w:r w:rsidR="008D1857">
        <w:t>,</w:t>
      </w:r>
      <w:r w:rsidR="00D06F7C">
        <w:t xml:space="preserve"> </w:t>
      </w:r>
      <w:r w:rsidR="008D1857">
        <w:t xml:space="preserve">WC Docket No. 12-375, </w:t>
      </w:r>
      <w:r w:rsidR="00D06F7C">
        <w:t>at Attach. A (filed Aug. 6, 2014) (Securus Objection)</w:t>
      </w:r>
      <w:r w:rsidR="008D1857">
        <w:t xml:space="preserve"> (attaching copy of previously filed Request for Confidential Treatment)</w:t>
      </w:r>
      <w:r w:rsidR="00D06F7C">
        <w:t>.</w:t>
      </w:r>
    </w:p>
  </w:footnote>
  <w:footnote w:id="12">
    <w:p w:rsidR="007D42C9" w:rsidRDefault="007D42C9">
      <w:pPr>
        <w:pStyle w:val="FootnoteText"/>
      </w:pPr>
      <w:r>
        <w:rPr>
          <w:rStyle w:val="FootnoteReference"/>
        </w:rPr>
        <w:footnoteRef/>
      </w:r>
      <w:r w:rsidR="00D06F7C">
        <w:t xml:space="preserve"> </w:t>
      </w:r>
      <w:r w:rsidR="00D06F7C">
        <w:rPr>
          <w:i/>
        </w:rPr>
        <w:t xml:space="preserve">See </w:t>
      </w:r>
      <w:r w:rsidR="008D1857">
        <w:rPr>
          <w:i/>
        </w:rPr>
        <w:t>id</w:t>
      </w:r>
      <w:r w:rsidR="008D1857">
        <w:t>.</w:t>
      </w:r>
      <w:r w:rsidR="00D06F7C">
        <w:t xml:space="preserve"> at 1</w:t>
      </w:r>
      <w:r w:rsidR="00480853">
        <w:t xml:space="preserve">; </w:t>
      </w:r>
      <w:r w:rsidR="00601387">
        <w:rPr>
          <w:i/>
        </w:rPr>
        <w:t xml:space="preserve">see </w:t>
      </w:r>
      <w:r w:rsidR="008D1857">
        <w:rPr>
          <w:i/>
        </w:rPr>
        <w:t xml:space="preserve">also </w:t>
      </w:r>
      <w:r w:rsidR="00601387">
        <w:rPr>
          <w:i/>
        </w:rPr>
        <w:t>generally</w:t>
      </w:r>
      <w:r w:rsidR="00480853">
        <w:rPr>
          <w:i/>
        </w:rPr>
        <w:t xml:space="preserve"> </w:t>
      </w:r>
      <w:r w:rsidR="00480853">
        <w:t>Securus Technologies, Inc. Reply in Support of Objection to Disclosure of Confidential Information</w:t>
      </w:r>
      <w:r w:rsidR="008D1857">
        <w:t>,</w:t>
      </w:r>
      <w:r w:rsidR="00480853">
        <w:t xml:space="preserve"> </w:t>
      </w:r>
      <w:r w:rsidR="008D1857">
        <w:t xml:space="preserve">WC Docket No. 12-375 </w:t>
      </w:r>
      <w:r w:rsidR="00480853">
        <w:t>(filed Aug. 15, 2014) (Securus Objection Reply).</w:t>
      </w:r>
      <w:r w:rsidR="00601387">
        <w:t xml:space="preserve">  </w:t>
      </w:r>
    </w:p>
  </w:footnote>
  <w:footnote w:id="13">
    <w:p w:rsidR="007D42C9" w:rsidRPr="007D42C9" w:rsidRDefault="007D42C9">
      <w:pPr>
        <w:pStyle w:val="FootnoteText"/>
      </w:pPr>
      <w:r>
        <w:rPr>
          <w:rStyle w:val="FootnoteReference"/>
        </w:rPr>
        <w:footnoteRef/>
      </w:r>
      <w:r>
        <w:t xml:space="preserve"> </w:t>
      </w:r>
      <w:r w:rsidR="00480853">
        <w:t>Securus Objection</w:t>
      </w:r>
      <w:r>
        <w:t xml:space="preserve"> at 3.</w:t>
      </w:r>
    </w:p>
  </w:footnote>
  <w:footnote w:id="14">
    <w:p w:rsidR="00B80DE5" w:rsidRPr="00B80DE5" w:rsidRDefault="00B80DE5">
      <w:pPr>
        <w:pStyle w:val="FootnoteText"/>
      </w:pPr>
      <w:r>
        <w:rPr>
          <w:rStyle w:val="FootnoteReference"/>
        </w:rPr>
        <w:footnoteRef/>
      </w:r>
      <w:r>
        <w:t xml:space="preserve"> </w:t>
      </w:r>
      <w:r>
        <w:rPr>
          <w:i/>
        </w:rPr>
        <w:t xml:space="preserve">See </w:t>
      </w:r>
      <w:r>
        <w:t>Pay Tel Communications, Inc. Response to Securus Technologies, Inc.’s Objection to Disclosure of Confidential Information</w:t>
      </w:r>
      <w:r w:rsidR="008D1857">
        <w:t>,</w:t>
      </w:r>
      <w:r>
        <w:t xml:space="preserve"> </w:t>
      </w:r>
      <w:r w:rsidR="008D1857">
        <w:t xml:space="preserve">WC Docket No. 12-375, </w:t>
      </w:r>
      <w:r>
        <w:t xml:space="preserve">at 7 (filed Aug. 8, 2014) (Pay Tel Response); </w:t>
      </w:r>
      <w:r>
        <w:rPr>
          <w:i/>
        </w:rPr>
        <w:t xml:space="preserve">see </w:t>
      </w:r>
      <w:r w:rsidR="008D1857">
        <w:rPr>
          <w:i/>
        </w:rPr>
        <w:t xml:space="preserve">also </w:t>
      </w:r>
      <w:r w:rsidR="00601387">
        <w:rPr>
          <w:i/>
        </w:rPr>
        <w:t>generally</w:t>
      </w:r>
      <w:r>
        <w:rPr>
          <w:i/>
        </w:rPr>
        <w:t xml:space="preserve"> </w:t>
      </w:r>
      <w:r>
        <w:t xml:space="preserve">Pay Tel Communications, Inc. Supplemental </w:t>
      </w:r>
      <w:r w:rsidR="00E62E15">
        <w:t>Response</w:t>
      </w:r>
      <w:r>
        <w:t xml:space="preserve"> to Securus </w:t>
      </w:r>
      <w:r w:rsidR="00E62E15">
        <w:t>Technologies</w:t>
      </w:r>
      <w:r>
        <w:t>, Inc.’s Objection to Disclosure of Confidential Information</w:t>
      </w:r>
      <w:r w:rsidR="008D1857">
        <w:t>,</w:t>
      </w:r>
      <w:r>
        <w:t xml:space="preserve"> </w:t>
      </w:r>
      <w:r w:rsidR="008D1857">
        <w:t xml:space="preserve">WC Docket No. 12-375 </w:t>
      </w:r>
      <w:r>
        <w:t>(filed Aug. 19, 2014) (Pay Tel Supplemental Response).</w:t>
      </w:r>
    </w:p>
  </w:footnote>
  <w:footnote w:id="15">
    <w:p w:rsidR="00B80DE5" w:rsidRDefault="00B80DE5">
      <w:pPr>
        <w:pStyle w:val="FootnoteText"/>
      </w:pPr>
      <w:r>
        <w:rPr>
          <w:rStyle w:val="FootnoteReference"/>
        </w:rPr>
        <w:footnoteRef/>
      </w:r>
      <w:r>
        <w:t xml:space="preserve"> Pa</w:t>
      </w:r>
      <w:r w:rsidR="002F0239">
        <w:t>y Tel Supplemental Response at Attach.</w:t>
      </w:r>
    </w:p>
  </w:footnote>
  <w:footnote w:id="16">
    <w:p w:rsidR="00A020A1" w:rsidRDefault="00A020A1">
      <w:pPr>
        <w:pStyle w:val="FootnoteText"/>
      </w:pPr>
      <w:r>
        <w:rPr>
          <w:rStyle w:val="FootnoteReference"/>
        </w:rPr>
        <w:footnoteRef/>
      </w:r>
      <w:r>
        <w:t xml:space="preserve"> Pay Tel Response at 5.</w:t>
      </w:r>
    </w:p>
  </w:footnote>
  <w:footnote w:id="17">
    <w:p w:rsidR="00A36405" w:rsidRDefault="00A36405" w:rsidP="00A36405">
      <w:pPr>
        <w:pStyle w:val="FootnoteText"/>
      </w:pPr>
      <w:r>
        <w:rPr>
          <w:rStyle w:val="FootnoteReference"/>
        </w:rPr>
        <w:footnoteRef/>
      </w:r>
      <w:r>
        <w:t xml:space="preserve"> We note that unlike with Outside Counsel, Securus has offered to provide the Cost Study Documents to Pay Tel’s Outside Consultant.  </w:t>
      </w:r>
      <w:r>
        <w:rPr>
          <w:i/>
        </w:rPr>
        <w:t xml:space="preserve">See </w:t>
      </w:r>
      <w:r>
        <w:t>Securus Objection at 1.  However, 18 days after the data were requested</w:t>
      </w:r>
      <w:r w:rsidR="00A81A84">
        <w:t>,</w:t>
      </w:r>
      <w:r>
        <w:t xml:space="preserve"> Securus had not yet done so.  </w:t>
      </w:r>
      <w:r>
        <w:rPr>
          <w:i/>
        </w:rPr>
        <w:t xml:space="preserve">See </w:t>
      </w:r>
      <w:r>
        <w:t xml:space="preserve">Pay Tel Supplemental Response at 3.  </w:t>
      </w:r>
    </w:p>
  </w:footnote>
  <w:footnote w:id="18">
    <w:p w:rsidR="00E26659" w:rsidRDefault="00E26659">
      <w:pPr>
        <w:pStyle w:val="FootnoteText"/>
      </w:pPr>
      <w:r>
        <w:rPr>
          <w:rStyle w:val="FootnoteReference"/>
        </w:rPr>
        <w:footnoteRef/>
      </w:r>
      <w:r>
        <w:t xml:space="preserve"> Securus Objection Reply at 2.</w:t>
      </w:r>
    </w:p>
  </w:footnote>
  <w:footnote w:id="19">
    <w:p w:rsidR="00505B2B" w:rsidRDefault="00505B2B" w:rsidP="00505B2B">
      <w:pPr>
        <w:pStyle w:val="FootnoteText"/>
      </w:pPr>
      <w:r>
        <w:rPr>
          <w:rStyle w:val="FootnoteReference"/>
        </w:rPr>
        <w:footnoteRef/>
      </w:r>
      <w:r>
        <w:t xml:space="preserve"> </w:t>
      </w:r>
      <w:r w:rsidRPr="00BE5A1F">
        <w:rPr>
          <w:i/>
        </w:rPr>
        <w:t>Id</w:t>
      </w:r>
      <w:r>
        <w:t>.</w:t>
      </w:r>
    </w:p>
  </w:footnote>
  <w:footnote w:id="20">
    <w:p w:rsidR="00505B2B" w:rsidRDefault="00505B2B" w:rsidP="00505B2B">
      <w:pPr>
        <w:pStyle w:val="FootnoteText"/>
      </w:pPr>
      <w:r>
        <w:rPr>
          <w:rStyle w:val="FootnoteReference"/>
        </w:rPr>
        <w:footnoteRef/>
      </w:r>
      <w:r>
        <w:t xml:space="preserve"> </w:t>
      </w:r>
      <w:r w:rsidRPr="00BE5A1F">
        <w:rPr>
          <w:i/>
        </w:rPr>
        <w:t>Id</w:t>
      </w:r>
      <w:r>
        <w:t>.</w:t>
      </w:r>
    </w:p>
  </w:footnote>
  <w:footnote w:id="21">
    <w:p w:rsidR="00EB5FD3" w:rsidRDefault="00EB5FD3">
      <w:pPr>
        <w:pStyle w:val="FootnoteText"/>
      </w:pPr>
      <w:r>
        <w:rPr>
          <w:rStyle w:val="FootnoteReference"/>
        </w:rPr>
        <w:footnoteRef/>
      </w:r>
      <w:r>
        <w:t xml:space="preserve"> Pay Tel Response at 7.</w:t>
      </w:r>
    </w:p>
  </w:footnote>
  <w:footnote w:id="22">
    <w:p w:rsidR="00EB5FD3" w:rsidRDefault="00EB5FD3">
      <w:pPr>
        <w:pStyle w:val="FootnoteText"/>
      </w:pPr>
      <w:r>
        <w:rPr>
          <w:rStyle w:val="FootnoteReference"/>
        </w:rPr>
        <w:footnoteRef/>
      </w:r>
      <w:r>
        <w:t xml:space="preserve"> </w:t>
      </w:r>
      <w:r w:rsidR="00BE5A1F" w:rsidRPr="00BE5A1F">
        <w:rPr>
          <w:i/>
        </w:rPr>
        <w:t>Id</w:t>
      </w:r>
      <w:r w:rsidR="00BE5A1F">
        <w:t>.</w:t>
      </w:r>
      <w:r>
        <w:t xml:space="preserve"> at 3.</w:t>
      </w:r>
    </w:p>
  </w:footnote>
  <w:footnote w:id="23">
    <w:p w:rsidR="00EB5FD3" w:rsidRDefault="00EB5FD3">
      <w:pPr>
        <w:pStyle w:val="FootnoteText"/>
      </w:pPr>
      <w:r>
        <w:rPr>
          <w:rStyle w:val="FootnoteReference"/>
        </w:rPr>
        <w:footnoteRef/>
      </w:r>
      <w:r>
        <w:t xml:space="preserve"> Pay Tel Supplemental Response at Attach.</w:t>
      </w:r>
    </w:p>
  </w:footnote>
  <w:footnote w:id="24">
    <w:p w:rsidR="00976E43" w:rsidRPr="00976E43" w:rsidRDefault="00976E43">
      <w:pPr>
        <w:pStyle w:val="FootnoteText"/>
      </w:pPr>
      <w:r>
        <w:rPr>
          <w:rStyle w:val="FootnoteReference"/>
        </w:rPr>
        <w:footnoteRef/>
      </w:r>
      <w:r>
        <w:t xml:space="preserve"> </w:t>
      </w:r>
      <w:r>
        <w:rPr>
          <w:i/>
        </w:rPr>
        <w:t>See id</w:t>
      </w:r>
      <w:r>
        <w:t>.</w:t>
      </w:r>
    </w:p>
  </w:footnote>
  <w:footnote w:id="25">
    <w:p w:rsidR="008907FB" w:rsidRDefault="008907FB">
      <w:pPr>
        <w:pStyle w:val="FootnoteText"/>
      </w:pPr>
      <w:r>
        <w:rPr>
          <w:rStyle w:val="FootnoteReference"/>
        </w:rPr>
        <w:footnoteRef/>
      </w:r>
      <w:r>
        <w:t xml:space="preserve"> </w:t>
      </w:r>
      <w:r>
        <w:rPr>
          <w:i/>
        </w:rPr>
        <w:t xml:space="preserve">See </w:t>
      </w:r>
      <w:r>
        <w:t>Pay Tel Outside Counsel Acknowledgements of Confidentiality.</w:t>
      </w:r>
    </w:p>
  </w:footnote>
  <w:footnote w:id="26">
    <w:p w:rsidR="005B3345" w:rsidRDefault="005B3345" w:rsidP="005B3345">
      <w:pPr>
        <w:pStyle w:val="FootnoteText"/>
      </w:pPr>
      <w:r>
        <w:rPr>
          <w:rStyle w:val="FootnoteReference"/>
        </w:rPr>
        <w:footnoteRef/>
      </w:r>
      <w:r>
        <w:t xml:space="preserve"> Securus Objection Reply at 2; </w:t>
      </w:r>
      <w:r w:rsidR="000965EB">
        <w:t xml:space="preserve">Pay Tel Supplemental Response at Attach. </w:t>
      </w:r>
    </w:p>
  </w:footnote>
  <w:footnote w:id="27">
    <w:p w:rsidR="005B3345" w:rsidRDefault="005B3345" w:rsidP="005B3345">
      <w:pPr>
        <w:pStyle w:val="FootnoteText"/>
      </w:pPr>
      <w:r>
        <w:rPr>
          <w:rStyle w:val="FootnoteReference"/>
        </w:rPr>
        <w:footnoteRef/>
      </w:r>
      <w:r>
        <w:t xml:space="preserve"> </w:t>
      </w:r>
      <w:r w:rsidR="000965EB">
        <w:rPr>
          <w:i/>
        </w:rPr>
        <w:t>See Protective Order</w:t>
      </w:r>
      <w:r w:rsidR="000965EB">
        <w:t>, 28 FCC Rcd at 16954-55, para. 2.</w:t>
      </w:r>
    </w:p>
  </w:footnote>
  <w:footnote w:id="28">
    <w:p w:rsidR="00D06F7C" w:rsidRDefault="00D06F7C">
      <w:pPr>
        <w:pStyle w:val="FootnoteText"/>
      </w:pPr>
      <w:r>
        <w:rPr>
          <w:rStyle w:val="FootnoteReference"/>
        </w:rPr>
        <w:footnoteRef/>
      </w:r>
      <w:r>
        <w:t xml:space="preserve"> “‘Submitting Party’ means a person or entity who submits a Stamped Confidential Document.”  </w:t>
      </w:r>
      <w:r w:rsidRPr="00D06F7C">
        <w:rPr>
          <w:i/>
        </w:rPr>
        <w:t>Protective Order</w:t>
      </w:r>
      <w:r>
        <w:t>, 28 FCC Rcd at 169</w:t>
      </w:r>
      <w:r w:rsidR="00AB2DC5">
        <w:t>54-</w:t>
      </w:r>
      <w:r>
        <w:t xml:space="preserve">55, para. 2.  </w:t>
      </w:r>
    </w:p>
  </w:footnote>
  <w:footnote w:id="29">
    <w:p w:rsidR="00D06F7C" w:rsidRPr="00D06F7C" w:rsidRDefault="00D06F7C">
      <w:pPr>
        <w:pStyle w:val="FootnoteText"/>
      </w:pPr>
      <w:r>
        <w:rPr>
          <w:rStyle w:val="FootnoteReference"/>
        </w:rPr>
        <w:footnoteRef/>
      </w:r>
      <w:r>
        <w:t xml:space="preserve"> </w:t>
      </w:r>
      <w:r>
        <w:rPr>
          <w:i/>
        </w:rPr>
        <w:t>Id</w:t>
      </w:r>
      <w:r>
        <w:t>. at</w:t>
      </w:r>
      <w:r w:rsidR="00A81A84">
        <w:t xml:space="preserve"> </w:t>
      </w:r>
      <w:r w:rsidR="00AB2DC5">
        <w:t xml:space="preserve">16955, </w:t>
      </w:r>
      <w:r>
        <w:t xml:space="preserve"> para. 3</w:t>
      </w:r>
      <w:r w:rsidR="00385F16">
        <w:t xml:space="preserve"> (citing 47 C.F.R. § 0.459(a), 0.459(a)(3))</w:t>
      </w:r>
      <w:r>
        <w:t>.</w:t>
      </w:r>
    </w:p>
  </w:footnote>
  <w:footnote w:id="30">
    <w:p w:rsidR="004F1224" w:rsidRPr="004F1224" w:rsidRDefault="004F1224">
      <w:pPr>
        <w:pStyle w:val="FootnoteText"/>
      </w:pPr>
      <w:r>
        <w:rPr>
          <w:rStyle w:val="FootnoteReference"/>
        </w:rPr>
        <w:footnoteRef/>
      </w:r>
      <w:r>
        <w:t xml:space="preserve"> </w:t>
      </w:r>
      <w:r w:rsidRPr="00976E43">
        <w:rPr>
          <w:i/>
        </w:rPr>
        <w:t>Cf.</w:t>
      </w:r>
      <w:r>
        <w:t xml:space="preserve"> 47 C.F.R. 0.461(f)(4) (Commission will weigh considerations favoring disclosure and non-disclosure and may conditionally grant or deny request for release of records under </w:t>
      </w:r>
      <w:r w:rsidR="00E85C07">
        <w:t xml:space="preserve">the </w:t>
      </w:r>
      <w:r>
        <w:t>F</w:t>
      </w:r>
      <w:r w:rsidR="00E85C07">
        <w:t xml:space="preserve">reedom of </w:t>
      </w:r>
      <w:r>
        <w:t>I</w:t>
      </w:r>
      <w:r w:rsidR="00E85C07">
        <w:t xml:space="preserve">nformation </w:t>
      </w:r>
      <w:r>
        <w:t>A</w:t>
      </w:r>
      <w:r w:rsidR="00E85C07">
        <w:t>ct</w:t>
      </w:r>
      <w:r>
        <w:t>).</w:t>
      </w:r>
    </w:p>
  </w:footnote>
  <w:footnote w:id="31">
    <w:p w:rsidR="003F1B15" w:rsidRDefault="003F1B15">
      <w:pPr>
        <w:pStyle w:val="FootnoteText"/>
      </w:pPr>
      <w:r>
        <w:rPr>
          <w:rStyle w:val="FootnoteReference"/>
        </w:rPr>
        <w:footnoteRef/>
      </w:r>
      <w:r>
        <w:t xml:space="preserve"> </w:t>
      </w:r>
      <w:r>
        <w:rPr>
          <w:i/>
        </w:rPr>
        <w:t xml:space="preserve">See </w:t>
      </w:r>
      <w:r>
        <w:t>Securus Objection at 5; Securus Objection Reply at 5 (both requesting that the Commission not disclose to Pay Tel or its Outside Counsel Securus’ Cost Study Documents).</w:t>
      </w:r>
    </w:p>
  </w:footnote>
  <w:footnote w:id="32">
    <w:p w:rsidR="003F1B15" w:rsidRPr="00902943" w:rsidRDefault="003F1B15" w:rsidP="003F1B15">
      <w:pPr>
        <w:pStyle w:val="FootnoteText"/>
      </w:pPr>
      <w:r>
        <w:rPr>
          <w:rStyle w:val="FootnoteReference"/>
        </w:rPr>
        <w:footnoteRef/>
      </w:r>
      <w:r>
        <w:t xml:space="preserve"> </w:t>
      </w:r>
      <w:r>
        <w:rPr>
          <w:i/>
        </w:rPr>
        <w:t xml:space="preserve">See </w:t>
      </w:r>
      <w:r w:rsidR="009C72A6">
        <w:rPr>
          <w:i/>
        </w:rPr>
        <w:t>Protective Order</w:t>
      </w:r>
      <w:r w:rsidR="00B378A3">
        <w:t>, 28 FCC Rcd</w:t>
      </w:r>
      <w:r>
        <w:t xml:space="preserve"> at 16956, para. 6.</w:t>
      </w:r>
    </w:p>
  </w:footnote>
  <w:footnote w:id="33">
    <w:p w:rsidR="00B378A3" w:rsidRPr="00902943" w:rsidRDefault="00B378A3" w:rsidP="00B378A3">
      <w:pPr>
        <w:pStyle w:val="FootnoteText"/>
      </w:pPr>
      <w:r>
        <w:rPr>
          <w:rStyle w:val="FootnoteReference"/>
        </w:rPr>
        <w:footnoteRef/>
      </w:r>
      <w:r>
        <w:t xml:space="preserve"> “Until any objection is resolved by the Commission and, if appropriate, by any court of competent jurisdiction, and unless such objection is resolved in favor of the person seeking access, a person subject to an objection from a Submitting Party shall not have access to the relevant Stamped Confidential Documents.”  </w:t>
      </w:r>
      <w:r>
        <w:rPr>
          <w:i/>
        </w:rPr>
        <w:t>Id.</w:t>
      </w:r>
      <w:r>
        <w:t xml:space="preserve"> at 16956, para.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19" w:rsidRDefault="00A25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22CEB">
      <w:t>DA 14-1432</w:t>
    </w:r>
  </w:p>
  <w:p w:rsidR="00D25FB5" w:rsidRDefault="00E16BB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4074CAB" wp14:editId="7714F59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16BBD"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7F6D772B" wp14:editId="2581B16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24F18">
      <w:rPr>
        <w:spacing w:val="-2"/>
      </w:rPr>
      <w:t>DA 14-</w:t>
    </w:r>
    <w:r w:rsidR="00122CEB">
      <w:rPr>
        <w:spacing w:val="-2"/>
      </w:rPr>
      <w:t>1432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BD"/>
    <w:rsid w:val="00036039"/>
    <w:rsid w:val="00037F90"/>
    <w:rsid w:val="00062A82"/>
    <w:rsid w:val="00067BF2"/>
    <w:rsid w:val="00076401"/>
    <w:rsid w:val="00077CE7"/>
    <w:rsid w:val="000875BF"/>
    <w:rsid w:val="000965EB"/>
    <w:rsid w:val="00096D8C"/>
    <w:rsid w:val="000A5FA2"/>
    <w:rsid w:val="000C0B65"/>
    <w:rsid w:val="000E05FE"/>
    <w:rsid w:val="000E3D42"/>
    <w:rsid w:val="00122BD5"/>
    <w:rsid w:val="00122CEB"/>
    <w:rsid w:val="00133F79"/>
    <w:rsid w:val="0013613A"/>
    <w:rsid w:val="00153778"/>
    <w:rsid w:val="0016291D"/>
    <w:rsid w:val="001757B8"/>
    <w:rsid w:val="00194A66"/>
    <w:rsid w:val="0019718E"/>
    <w:rsid w:val="001D2FBE"/>
    <w:rsid w:val="001D6BCF"/>
    <w:rsid w:val="001E01CA"/>
    <w:rsid w:val="001E1A74"/>
    <w:rsid w:val="001E75D9"/>
    <w:rsid w:val="00206C73"/>
    <w:rsid w:val="002112A0"/>
    <w:rsid w:val="00220846"/>
    <w:rsid w:val="00221467"/>
    <w:rsid w:val="00251168"/>
    <w:rsid w:val="00274364"/>
    <w:rsid w:val="00275CF5"/>
    <w:rsid w:val="0028301F"/>
    <w:rsid w:val="00285017"/>
    <w:rsid w:val="002A2D2E"/>
    <w:rsid w:val="002C00E8"/>
    <w:rsid w:val="002C5F74"/>
    <w:rsid w:val="002E10DB"/>
    <w:rsid w:val="002F0239"/>
    <w:rsid w:val="00307682"/>
    <w:rsid w:val="003420EA"/>
    <w:rsid w:val="00343749"/>
    <w:rsid w:val="00362AFF"/>
    <w:rsid w:val="003660ED"/>
    <w:rsid w:val="00385F16"/>
    <w:rsid w:val="003B0550"/>
    <w:rsid w:val="003B694F"/>
    <w:rsid w:val="003E5DD9"/>
    <w:rsid w:val="003F171C"/>
    <w:rsid w:val="003F1B15"/>
    <w:rsid w:val="00412FC5"/>
    <w:rsid w:val="00422276"/>
    <w:rsid w:val="004242F1"/>
    <w:rsid w:val="0042600E"/>
    <w:rsid w:val="00444829"/>
    <w:rsid w:val="00445A00"/>
    <w:rsid w:val="00451B0F"/>
    <w:rsid w:val="00470B8E"/>
    <w:rsid w:val="0047507F"/>
    <w:rsid w:val="00480853"/>
    <w:rsid w:val="004C2EE3"/>
    <w:rsid w:val="004C39BA"/>
    <w:rsid w:val="004E4A22"/>
    <w:rsid w:val="004F1224"/>
    <w:rsid w:val="004F21D5"/>
    <w:rsid w:val="00505B2B"/>
    <w:rsid w:val="00511968"/>
    <w:rsid w:val="00527F8E"/>
    <w:rsid w:val="00546F51"/>
    <w:rsid w:val="0055614C"/>
    <w:rsid w:val="00592928"/>
    <w:rsid w:val="005B3345"/>
    <w:rsid w:val="005E14C2"/>
    <w:rsid w:val="00601387"/>
    <w:rsid w:val="0060537B"/>
    <w:rsid w:val="00607BA5"/>
    <w:rsid w:val="0061180A"/>
    <w:rsid w:val="00626EB6"/>
    <w:rsid w:val="00655D03"/>
    <w:rsid w:val="00656C65"/>
    <w:rsid w:val="00683183"/>
    <w:rsid w:val="00683388"/>
    <w:rsid w:val="00683F84"/>
    <w:rsid w:val="00695843"/>
    <w:rsid w:val="006A4AC2"/>
    <w:rsid w:val="006A6A81"/>
    <w:rsid w:val="006B58C7"/>
    <w:rsid w:val="006F7393"/>
    <w:rsid w:val="0070224F"/>
    <w:rsid w:val="007115F7"/>
    <w:rsid w:val="00736915"/>
    <w:rsid w:val="007621BC"/>
    <w:rsid w:val="00785689"/>
    <w:rsid w:val="0079754B"/>
    <w:rsid w:val="007A1E6D"/>
    <w:rsid w:val="007B0EB2"/>
    <w:rsid w:val="007B53E2"/>
    <w:rsid w:val="007B5B63"/>
    <w:rsid w:val="007D42C9"/>
    <w:rsid w:val="008102F9"/>
    <w:rsid w:val="00810B6F"/>
    <w:rsid w:val="00820E30"/>
    <w:rsid w:val="00822CE0"/>
    <w:rsid w:val="00841AB1"/>
    <w:rsid w:val="0085351B"/>
    <w:rsid w:val="008578C0"/>
    <w:rsid w:val="00861D9E"/>
    <w:rsid w:val="008723FF"/>
    <w:rsid w:val="008737AB"/>
    <w:rsid w:val="00875532"/>
    <w:rsid w:val="008907FB"/>
    <w:rsid w:val="00895415"/>
    <w:rsid w:val="008C68F1"/>
    <w:rsid w:val="008D1857"/>
    <w:rsid w:val="00902943"/>
    <w:rsid w:val="00913268"/>
    <w:rsid w:val="00921803"/>
    <w:rsid w:val="00926503"/>
    <w:rsid w:val="00956B8A"/>
    <w:rsid w:val="009726D8"/>
    <w:rsid w:val="00976E43"/>
    <w:rsid w:val="00990304"/>
    <w:rsid w:val="009A0344"/>
    <w:rsid w:val="009B2617"/>
    <w:rsid w:val="009C72A6"/>
    <w:rsid w:val="009E38A3"/>
    <w:rsid w:val="009F76DB"/>
    <w:rsid w:val="00A00A07"/>
    <w:rsid w:val="00A020A1"/>
    <w:rsid w:val="00A063AC"/>
    <w:rsid w:val="00A25A19"/>
    <w:rsid w:val="00A32C3B"/>
    <w:rsid w:val="00A36405"/>
    <w:rsid w:val="00A45F4F"/>
    <w:rsid w:val="00A600A9"/>
    <w:rsid w:val="00A81A84"/>
    <w:rsid w:val="00AA55B7"/>
    <w:rsid w:val="00AA5B9E"/>
    <w:rsid w:val="00AB2407"/>
    <w:rsid w:val="00AB2DC5"/>
    <w:rsid w:val="00AB53DF"/>
    <w:rsid w:val="00AE755F"/>
    <w:rsid w:val="00B07E5C"/>
    <w:rsid w:val="00B1362A"/>
    <w:rsid w:val="00B3723C"/>
    <w:rsid w:val="00B378A3"/>
    <w:rsid w:val="00B605D6"/>
    <w:rsid w:val="00B609BF"/>
    <w:rsid w:val="00B80DE5"/>
    <w:rsid w:val="00B811F7"/>
    <w:rsid w:val="00BA1EDB"/>
    <w:rsid w:val="00BA5DC6"/>
    <w:rsid w:val="00BA6196"/>
    <w:rsid w:val="00BC6D8C"/>
    <w:rsid w:val="00BE5A1F"/>
    <w:rsid w:val="00BF49FB"/>
    <w:rsid w:val="00C16547"/>
    <w:rsid w:val="00C24D2D"/>
    <w:rsid w:val="00C34006"/>
    <w:rsid w:val="00C426B1"/>
    <w:rsid w:val="00C50904"/>
    <w:rsid w:val="00C646A8"/>
    <w:rsid w:val="00C66160"/>
    <w:rsid w:val="00C721AC"/>
    <w:rsid w:val="00C90D6A"/>
    <w:rsid w:val="00C93F5A"/>
    <w:rsid w:val="00CA247E"/>
    <w:rsid w:val="00CC72B6"/>
    <w:rsid w:val="00CD698F"/>
    <w:rsid w:val="00CF18BB"/>
    <w:rsid w:val="00D0218D"/>
    <w:rsid w:val="00D06F7C"/>
    <w:rsid w:val="00D25FB5"/>
    <w:rsid w:val="00D4100E"/>
    <w:rsid w:val="00D44223"/>
    <w:rsid w:val="00D5605A"/>
    <w:rsid w:val="00DA2529"/>
    <w:rsid w:val="00DB130A"/>
    <w:rsid w:val="00DB2EBB"/>
    <w:rsid w:val="00DC10A1"/>
    <w:rsid w:val="00DC655F"/>
    <w:rsid w:val="00DD0B59"/>
    <w:rsid w:val="00DD3622"/>
    <w:rsid w:val="00DD7EBD"/>
    <w:rsid w:val="00DF62B6"/>
    <w:rsid w:val="00E07225"/>
    <w:rsid w:val="00E16BBD"/>
    <w:rsid w:val="00E26659"/>
    <w:rsid w:val="00E415C7"/>
    <w:rsid w:val="00E5409F"/>
    <w:rsid w:val="00E62E15"/>
    <w:rsid w:val="00E85C07"/>
    <w:rsid w:val="00E90988"/>
    <w:rsid w:val="00E95CEA"/>
    <w:rsid w:val="00EA22CF"/>
    <w:rsid w:val="00EB5FD3"/>
    <w:rsid w:val="00EB5FDE"/>
    <w:rsid w:val="00EC2341"/>
    <w:rsid w:val="00EE5715"/>
    <w:rsid w:val="00EE6488"/>
    <w:rsid w:val="00EF0DD6"/>
    <w:rsid w:val="00F021FA"/>
    <w:rsid w:val="00F24F18"/>
    <w:rsid w:val="00F27880"/>
    <w:rsid w:val="00F332F1"/>
    <w:rsid w:val="00F34307"/>
    <w:rsid w:val="00F6070C"/>
    <w:rsid w:val="00F62E97"/>
    <w:rsid w:val="00F64209"/>
    <w:rsid w:val="00F84E4C"/>
    <w:rsid w:val="00F859EE"/>
    <w:rsid w:val="00F93BF5"/>
    <w:rsid w:val="00FC5300"/>
    <w:rsid w:val="00FC781D"/>
    <w:rsid w:val="00FF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6A4AC2"/>
    <w:rPr>
      <w:sz w:val="16"/>
      <w:szCs w:val="16"/>
    </w:rPr>
  </w:style>
  <w:style w:type="paragraph" w:styleId="CommentText">
    <w:name w:val="annotation text"/>
    <w:basedOn w:val="Normal"/>
    <w:link w:val="CommentTextChar"/>
    <w:rsid w:val="006A4AC2"/>
    <w:rPr>
      <w:sz w:val="20"/>
    </w:rPr>
  </w:style>
  <w:style w:type="character" w:customStyle="1" w:styleId="CommentTextChar">
    <w:name w:val="Comment Text Char"/>
    <w:basedOn w:val="DefaultParagraphFont"/>
    <w:link w:val="CommentText"/>
    <w:rsid w:val="006A4AC2"/>
    <w:rPr>
      <w:snapToGrid w:val="0"/>
      <w:kern w:val="28"/>
    </w:rPr>
  </w:style>
  <w:style w:type="paragraph" w:styleId="CommentSubject">
    <w:name w:val="annotation subject"/>
    <w:basedOn w:val="CommentText"/>
    <w:next w:val="CommentText"/>
    <w:link w:val="CommentSubjectChar"/>
    <w:rsid w:val="006A4AC2"/>
    <w:rPr>
      <w:b/>
      <w:bCs/>
    </w:rPr>
  </w:style>
  <w:style w:type="character" w:customStyle="1" w:styleId="CommentSubjectChar">
    <w:name w:val="Comment Subject Char"/>
    <w:basedOn w:val="CommentTextChar"/>
    <w:link w:val="CommentSubject"/>
    <w:rsid w:val="006A4AC2"/>
    <w:rPr>
      <w:b/>
      <w:bCs/>
      <w:snapToGrid w:val="0"/>
      <w:kern w:val="28"/>
    </w:rPr>
  </w:style>
  <w:style w:type="paragraph" w:styleId="BalloonText">
    <w:name w:val="Balloon Text"/>
    <w:basedOn w:val="Normal"/>
    <w:link w:val="BalloonTextChar"/>
    <w:rsid w:val="006A4AC2"/>
    <w:rPr>
      <w:rFonts w:ascii="Tahoma" w:hAnsi="Tahoma" w:cs="Tahoma"/>
      <w:sz w:val="16"/>
      <w:szCs w:val="16"/>
    </w:rPr>
  </w:style>
  <w:style w:type="character" w:customStyle="1" w:styleId="BalloonTextChar">
    <w:name w:val="Balloon Text Char"/>
    <w:basedOn w:val="DefaultParagraphFont"/>
    <w:link w:val="BalloonText"/>
    <w:rsid w:val="006A4AC2"/>
    <w:rPr>
      <w:rFonts w:ascii="Tahoma" w:hAnsi="Tahoma" w:cs="Tahoma"/>
      <w:snapToGrid w:val="0"/>
      <w:kern w:val="28"/>
      <w:sz w:val="16"/>
      <w:szCs w:val="16"/>
    </w:rPr>
  </w:style>
  <w:style w:type="paragraph" w:styleId="Revision">
    <w:name w:val="Revision"/>
    <w:hidden/>
    <w:uiPriority w:val="99"/>
    <w:semiHidden/>
    <w:rsid w:val="0099030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6A4AC2"/>
    <w:rPr>
      <w:sz w:val="16"/>
      <w:szCs w:val="16"/>
    </w:rPr>
  </w:style>
  <w:style w:type="paragraph" w:styleId="CommentText">
    <w:name w:val="annotation text"/>
    <w:basedOn w:val="Normal"/>
    <w:link w:val="CommentTextChar"/>
    <w:rsid w:val="006A4AC2"/>
    <w:rPr>
      <w:sz w:val="20"/>
    </w:rPr>
  </w:style>
  <w:style w:type="character" w:customStyle="1" w:styleId="CommentTextChar">
    <w:name w:val="Comment Text Char"/>
    <w:basedOn w:val="DefaultParagraphFont"/>
    <w:link w:val="CommentText"/>
    <w:rsid w:val="006A4AC2"/>
    <w:rPr>
      <w:snapToGrid w:val="0"/>
      <w:kern w:val="28"/>
    </w:rPr>
  </w:style>
  <w:style w:type="paragraph" w:styleId="CommentSubject">
    <w:name w:val="annotation subject"/>
    <w:basedOn w:val="CommentText"/>
    <w:next w:val="CommentText"/>
    <w:link w:val="CommentSubjectChar"/>
    <w:rsid w:val="006A4AC2"/>
    <w:rPr>
      <w:b/>
      <w:bCs/>
    </w:rPr>
  </w:style>
  <w:style w:type="character" w:customStyle="1" w:styleId="CommentSubjectChar">
    <w:name w:val="Comment Subject Char"/>
    <w:basedOn w:val="CommentTextChar"/>
    <w:link w:val="CommentSubject"/>
    <w:rsid w:val="006A4AC2"/>
    <w:rPr>
      <w:b/>
      <w:bCs/>
      <w:snapToGrid w:val="0"/>
      <w:kern w:val="28"/>
    </w:rPr>
  </w:style>
  <w:style w:type="paragraph" w:styleId="BalloonText">
    <w:name w:val="Balloon Text"/>
    <w:basedOn w:val="Normal"/>
    <w:link w:val="BalloonTextChar"/>
    <w:rsid w:val="006A4AC2"/>
    <w:rPr>
      <w:rFonts w:ascii="Tahoma" w:hAnsi="Tahoma" w:cs="Tahoma"/>
      <w:sz w:val="16"/>
      <w:szCs w:val="16"/>
    </w:rPr>
  </w:style>
  <w:style w:type="character" w:customStyle="1" w:styleId="BalloonTextChar">
    <w:name w:val="Balloon Text Char"/>
    <w:basedOn w:val="DefaultParagraphFont"/>
    <w:link w:val="BalloonText"/>
    <w:rsid w:val="006A4AC2"/>
    <w:rPr>
      <w:rFonts w:ascii="Tahoma" w:hAnsi="Tahoma" w:cs="Tahoma"/>
      <w:snapToGrid w:val="0"/>
      <w:kern w:val="28"/>
      <w:sz w:val="16"/>
      <w:szCs w:val="16"/>
    </w:rPr>
  </w:style>
  <w:style w:type="paragraph" w:styleId="Revision">
    <w:name w:val="Revision"/>
    <w:hidden/>
    <w:uiPriority w:val="99"/>
    <w:semiHidden/>
    <w:rsid w:val="0099030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1296</Words>
  <Characters>7045</Characters>
  <Application>Microsoft Office Word</Application>
  <DocSecurity>0</DocSecurity>
  <Lines>120</Lines>
  <Paragraphs>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8355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2014-10-01T18:39:00Z</cp:lastPrinted>
  <dcterms:created xsi:type="dcterms:W3CDTF">2014-10-01T20:27:00Z</dcterms:created>
  <dcterms:modified xsi:type="dcterms:W3CDTF">2014-10-01T20:27:00Z</dcterms:modified>
  <cp:category> </cp:category>
  <cp:contentStatus> </cp:contentStatus>
</cp:coreProperties>
</file>