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40" w:rsidRDefault="009C6C40" w:rsidP="002E5472">
      <w:pPr>
        <w:spacing w:before="6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14-144</w:t>
      </w:r>
    </w:p>
    <w:p w:rsidR="009C6C40" w:rsidRDefault="009C6C40" w:rsidP="002E5472">
      <w:pPr>
        <w:spacing w:before="60"/>
        <w:ind w:left="5760" w:firstLine="720"/>
        <w:jc w:val="right"/>
        <w:rPr>
          <w:b/>
          <w:szCs w:val="22"/>
        </w:rPr>
      </w:pPr>
      <w:r>
        <w:rPr>
          <w:b/>
          <w:szCs w:val="22"/>
        </w:rPr>
        <w:t>Released: February 5, 2014</w:t>
      </w:r>
    </w:p>
    <w:p w:rsidR="009C6C40" w:rsidRDefault="009C6C40">
      <w:pPr>
        <w:jc w:val="right"/>
        <w:rPr>
          <w:sz w:val="24"/>
        </w:rPr>
      </w:pPr>
    </w:p>
    <w:p w:rsidR="009C6C40" w:rsidRDefault="009C6C40">
      <w:pPr>
        <w:spacing w:after="240"/>
        <w:jc w:val="center"/>
        <w:rPr>
          <w:b/>
          <w:sz w:val="24"/>
        </w:rPr>
      </w:pPr>
      <w:r>
        <w:rPr>
          <w:b/>
          <w:szCs w:val="22"/>
        </w:rPr>
        <w:t>MEDIA BUREAU ACTION</w:t>
      </w:r>
    </w:p>
    <w:p w:rsidR="009C6C40" w:rsidRDefault="009C6C40">
      <w:pPr>
        <w:jc w:val="center"/>
        <w:rPr>
          <w:b/>
          <w:szCs w:val="22"/>
        </w:rPr>
      </w:pPr>
      <w:r>
        <w:rPr>
          <w:b/>
          <w:szCs w:val="22"/>
        </w:rPr>
        <w:t xml:space="preserve">MEDIA BUREAU SEEKS COMMENT ON PETITION REQUESTING DECLARATORY RULING THAT THE RULES OF THE DUTCH RIDGE HOMEOWNERS ASSOCIATION, INC., LITTLETON, COLORADO ARE PREEMPTED BY THE COMMISSION’S OVER-THE-AIR RECEPTION DEVICES RULE </w:t>
      </w:r>
    </w:p>
    <w:p w:rsidR="009C6C40" w:rsidRDefault="009C6C40">
      <w:pPr>
        <w:jc w:val="center"/>
        <w:rPr>
          <w:b/>
          <w:szCs w:val="22"/>
        </w:rPr>
      </w:pPr>
    </w:p>
    <w:p w:rsidR="009C6C40" w:rsidRDefault="009C6C40">
      <w:pPr>
        <w:jc w:val="center"/>
        <w:rPr>
          <w:b/>
          <w:szCs w:val="22"/>
        </w:rPr>
      </w:pPr>
      <w:r>
        <w:rPr>
          <w:b/>
          <w:szCs w:val="22"/>
        </w:rPr>
        <w:t>CSR 8869-O</w:t>
      </w:r>
    </w:p>
    <w:p w:rsidR="00DE6220" w:rsidRDefault="00DE6220" w:rsidP="00DE6220">
      <w:pPr>
        <w:jc w:val="center"/>
        <w:rPr>
          <w:b/>
          <w:szCs w:val="22"/>
        </w:rPr>
      </w:pPr>
    </w:p>
    <w:p w:rsidR="00DE6220" w:rsidRDefault="004D2FCE" w:rsidP="00DE6220">
      <w:pPr>
        <w:jc w:val="center"/>
        <w:rPr>
          <w:b/>
          <w:szCs w:val="22"/>
        </w:rPr>
      </w:pPr>
      <w:r>
        <w:rPr>
          <w:b/>
          <w:szCs w:val="22"/>
        </w:rPr>
        <w:t>MB Docket No. 14-40</w:t>
      </w:r>
    </w:p>
    <w:p w:rsidR="009C6C40" w:rsidRDefault="009C6C40">
      <w:pPr>
        <w:jc w:val="center"/>
        <w:rPr>
          <w:sz w:val="24"/>
        </w:rPr>
      </w:pPr>
    </w:p>
    <w:p w:rsidR="009C6C40" w:rsidRDefault="00BB6A32">
      <w:pPr>
        <w:rPr>
          <w:b/>
          <w:szCs w:val="22"/>
        </w:rPr>
      </w:pPr>
      <w:r>
        <w:rPr>
          <w:b/>
          <w:szCs w:val="22"/>
        </w:rPr>
        <w:t>Comment</w:t>
      </w:r>
      <w:r w:rsidR="009C6C40">
        <w:rPr>
          <w:b/>
          <w:szCs w:val="22"/>
        </w:rPr>
        <w:t xml:space="preserve"> d</w:t>
      </w:r>
      <w:r>
        <w:rPr>
          <w:b/>
          <w:szCs w:val="22"/>
        </w:rPr>
        <w:t>at</w:t>
      </w:r>
      <w:r w:rsidR="009C6C40">
        <w:rPr>
          <w:b/>
          <w:szCs w:val="22"/>
        </w:rPr>
        <w:t>e:  March 7, 2014</w:t>
      </w:r>
    </w:p>
    <w:p w:rsidR="009C6C40" w:rsidRDefault="009C6C40">
      <w:pPr>
        <w:rPr>
          <w:b/>
          <w:szCs w:val="22"/>
        </w:rPr>
      </w:pPr>
      <w:r>
        <w:rPr>
          <w:b/>
          <w:szCs w:val="22"/>
        </w:rPr>
        <w:t>Reply Comment d</w:t>
      </w:r>
      <w:r w:rsidR="00BB6A32">
        <w:rPr>
          <w:b/>
          <w:szCs w:val="22"/>
        </w:rPr>
        <w:t>at</w:t>
      </w:r>
      <w:r>
        <w:rPr>
          <w:b/>
          <w:szCs w:val="22"/>
        </w:rPr>
        <w:t>e:  March 24, 2014</w:t>
      </w:r>
    </w:p>
    <w:p w:rsidR="009C6C40" w:rsidRDefault="009C6C40">
      <w:pPr>
        <w:jc w:val="both"/>
        <w:rPr>
          <w:szCs w:val="22"/>
        </w:rPr>
      </w:pPr>
    </w:p>
    <w:p w:rsidR="009C6C40" w:rsidRDefault="009C6C40">
      <w:pPr>
        <w:autoSpaceDE w:val="0"/>
        <w:autoSpaceDN w:val="0"/>
        <w:adjustRightInd w:val="0"/>
        <w:rPr>
          <w:szCs w:val="22"/>
        </w:rPr>
      </w:pPr>
      <w:r>
        <w:rPr>
          <w:szCs w:val="22"/>
        </w:rPr>
        <w:t xml:space="preserve">Rhonda Rivenburg (“Petitioner”) has filed a Petition for Declaratory Ruling asking the Commission to determine whether antenna installation rules of the Dutch Ridge Homeowners Association (“Association”) are preempted by Section 1.4000 of the Commission’s rules (“Over-The-Air-Reception-Devices Rule”).  The Association opposes Petitioner’s placement of her satellite dish on the roof of her storage unit.    </w:t>
      </w:r>
    </w:p>
    <w:p w:rsidR="009C6C40" w:rsidRDefault="009C6C40">
      <w:pPr>
        <w:autoSpaceDE w:val="0"/>
        <w:autoSpaceDN w:val="0"/>
        <w:adjustRightInd w:val="0"/>
        <w:rPr>
          <w:szCs w:val="22"/>
        </w:rPr>
      </w:pPr>
    </w:p>
    <w:p w:rsidR="009C6C40" w:rsidRDefault="009C6C40">
      <w:pPr>
        <w:pStyle w:val="ParaNum0"/>
        <w:widowControl/>
        <w:tabs>
          <w:tab w:val="clear" w:pos="1080"/>
          <w:tab w:val="clear" w:pos="1440"/>
          <w:tab w:val="left" w:pos="720"/>
        </w:tabs>
        <w:spacing w:after="120"/>
        <w:ind w:firstLine="0"/>
        <w:jc w:val="left"/>
      </w:pPr>
      <w:r>
        <w:rPr>
          <w:szCs w:val="22"/>
        </w:rPr>
        <w:t xml:space="preserve">This proceeding will be treated as “permit but disclose” for purposes of the Commission’s </w:t>
      </w:r>
      <w:r>
        <w:rPr>
          <w:i/>
          <w:szCs w:val="22"/>
        </w:rPr>
        <w:t>ex parte</w:t>
      </w:r>
      <w:r>
        <w:rPr>
          <w:szCs w:val="22"/>
        </w:rPr>
        <w:t xml:space="preserve"> rules.  </w:t>
      </w:r>
      <w:r>
        <w:rPr>
          <w:i/>
          <w:szCs w:val="22"/>
        </w:rPr>
        <w:t xml:space="preserve">See </w:t>
      </w:r>
      <w:r>
        <w:rPr>
          <w:szCs w:val="22"/>
        </w:rPr>
        <w:t xml:space="preserve">generally 47 C.F.R. §§ 1.1200-1.1216.  As a result of the permit-but-disclose status of this proceeding, </w:t>
      </w:r>
      <w:r>
        <w:rPr>
          <w:i/>
          <w:szCs w:val="22"/>
        </w:rPr>
        <w:t>ex parte</w:t>
      </w:r>
      <w:r>
        <w:rPr>
          <w:szCs w:val="22"/>
        </w:rPr>
        <w:t xml:space="preserve"> presentations will be governed by the procedures set forth in Section 1.1206 of the Commission’s rules applicable to non-restricted proceedings.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 xml:space="preserve"> </w:t>
      </w:r>
    </w:p>
    <w:p w:rsidR="009C6C40" w:rsidRDefault="009C6C40" w:rsidP="0011095D">
      <w:pPr>
        <w:spacing w:after="240"/>
        <w:rPr>
          <w:szCs w:val="22"/>
        </w:rPr>
      </w:pPr>
      <w:r>
        <w:rPr>
          <w:szCs w:val="22"/>
        </w:rPr>
        <w:lastRenderedPageBreak/>
        <w:t xml:space="preserve">Parties may file responses to the Petition on or before </w:t>
      </w:r>
      <w:r>
        <w:rPr>
          <w:b/>
          <w:szCs w:val="22"/>
        </w:rPr>
        <w:t>March 7, 2014</w:t>
      </w:r>
      <w:r>
        <w:rPr>
          <w:szCs w:val="22"/>
        </w:rPr>
        <w:t xml:space="preserve"> and replies on or before </w:t>
      </w:r>
      <w:r>
        <w:rPr>
          <w:b/>
          <w:szCs w:val="22"/>
        </w:rPr>
        <w:t>March</w:t>
      </w:r>
      <w:r>
        <w:rPr>
          <w:szCs w:val="22"/>
        </w:rPr>
        <w:t xml:space="preserve"> </w:t>
      </w:r>
      <w:r>
        <w:rPr>
          <w:b/>
          <w:szCs w:val="22"/>
        </w:rPr>
        <w:t>24, 2014</w:t>
      </w:r>
      <w:r>
        <w:rPr>
          <w:szCs w:val="22"/>
        </w:rPr>
        <w:t xml:space="preserve">.  Please place the case identifier, </w:t>
      </w:r>
      <w:r>
        <w:rPr>
          <w:b/>
          <w:szCs w:val="22"/>
        </w:rPr>
        <w:t>CSR 8869-O</w:t>
      </w:r>
      <w:r>
        <w:rPr>
          <w:szCs w:val="22"/>
        </w:rPr>
        <w:t xml:space="preserve">, on all filings.  </w:t>
      </w:r>
      <w:r>
        <w:t xml:space="preserve">Comments may be filed using the Commission’s Electronic Comment Filing System (ECFS).  </w:t>
      </w:r>
      <w:r>
        <w:rPr>
          <w:i/>
        </w:rPr>
        <w:t>See Electronic Filing of Documents in Rulemaking Proceedings</w:t>
      </w:r>
      <w:r>
        <w:t>, 63 FR 24121 (1998).</w:t>
      </w:r>
      <w:r w:rsidR="0011095D">
        <w:t xml:space="preserve">  Filings must be submitted in MB Docket No. </w:t>
      </w:r>
      <w:r w:rsidR="0011095D" w:rsidRPr="0011095D">
        <w:rPr>
          <w:b/>
        </w:rPr>
        <w:t>14-</w:t>
      </w:r>
      <w:r w:rsidR="002C1FFA">
        <w:rPr>
          <w:b/>
        </w:rPr>
        <w:t>40</w:t>
      </w:r>
      <w:r w:rsidR="0011095D">
        <w:t>.</w:t>
      </w:r>
    </w:p>
    <w:p w:rsidR="009C6C40" w:rsidRDefault="009C6C40">
      <w:pPr>
        <w:numPr>
          <w:ilvl w:val="0"/>
          <w:numId w:val="17"/>
        </w:numPr>
      </w:pPr>
      <w:r>
        <w:t xml:space="preserve">Electronic Filers:  Comments may be filed electronically using the Internet by accessing the ECFS:  http://fjallfoss.fcc.gov/ecfs2/.  </w:t>
      </w:r>
    </w:p>
    <w:p w:rsidR="009C6C40" w:rsidRDefault="009C6C40"/>
    <w:p w:rsidR="009C6C40" w:rsidRDefault="009C6C40">
      <w:pPr>
        <w:numPr>
          <w:ilvl w:val="0"/>
          <w:numId w:val="1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C6C40" w:rsidRDefault="009C6C40"/>
    <w:p w:rsidR="009C6C40" w:rsidRDefault="009C6C40">
      <w:pPr>
        <w:numPr>
          <w:ilvl w:val="0"/>
          <w:numId w:val="18"/>
        </w:num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C6C40" w:rsidRDefault="009C6C40"/>
    <w:p w:rsidR="009C6C40" w:rsidRDefault="009C6C40">
      <w:pPr>
        <w:numPr>
          <w:ilvl w:val="0"/>
          <w:numId w:val="19"/>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C6C40" w:rsidRDefault="009C6C40">
      <w:pPr>
        <w:ind w:left="1080"/>
      </w:pPr>
    </w:p>
    <w:p w:rsidR="009C6C40" w:rsidRDefault="009C6C40">
      <w:pPr>
        <w:numPr>
          <w:ilvl w:val="0"/>
          <w:numId w:val="19"/>
        </w:numPr>
      </w:pPr>
      <w:r>
        <w:t>Commercial overnight mail (other than U.S. Postal Service Express Mail and Priority Mail) must be sent to 9300 East Hampton Drive, Capitol Heights, MD  20743.</w:t>
      </w:r>
    </w:p>
    <w:p w:rsidR="009C6C40" w:rsidRDefault="009C6C40"/>
    <w:p w:rsidR="009C6C40" w:rsidRDefault="009C6C40">
      <w:pPr>
        <w:numPr>
          <w:ilvl w:val="0"/>
          <w:numId w:val="19"/>
        </w:numPr>
      </w:pPr>
      <w:r>
        <w:t>U.S. Postal Service first-class, Express, and Priority mail must be addressed to 445 12</w:t>
      </w:r>
      <w:r>
        <w:rPr>
          <w:vertAlign w:val="superscript"/>
        </w:rPr>
        <w:t>th</w:t>
      </w:r>
      <w:r>
        <w:t xml:space="preserve"> Street, SW, Washington DC  20554.</w:t>
      </w:r>
    </w:p>
    <w:p w:rsidR="009C6C40" w:rsidRDefault="009C6C40"/>
    <w:p w:rsidR="009C6C40" w:rsidRDefault="009C6C40">
      <w:pPr>
        <w:numPr>
          <w:ilvl w:val="0"/>
          <w:numId w:val="18"/>
        </w:numPr>
      </w:pPr>
      <w: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C6C40" w:rsidRDefault="009C6C40">
      <w:pPr>
        <w:ind w:left="360"/>
      </w:pPr>
    </w:p>
    <w:p w:rsidR="009C6C40" w:rsidRDefault="009C6C40">
      <w:pPr>
        <w:keepNext/>
        <w:spacing w:after="240"/>
        <w:rPr>
          <w:szCs w:val="22"/>
        </w:rPr>
      </w:pPr>
      <w:r>
        <w:rPr>
          <w:szCs w:val="22"/>
        </w:rPr>
        <w:t>Copies of the Petition and any subsequently filed documents in this matter are also available for inspection in the Commission’s Reference Information Center:</w:t>
      </w:r>
    </w:p>
    <w:p w:rsidR="009C6C40" w:rsidRDefault="009C6C40">
      <w:pPr>
        <w:ind w:left="720"/>
        <w:rPr>
          <w:szCs w:val="22"/>
        </w:rPr>
      </w:pPr>
      <w:r>
        <w:rPr>
          <w:szCs w:val="22"/>
        </w:rPr>
        <w:t>445 12</w:t>
      </w:r>
      <w:r>
        <w:rPr>
          <w:szCs w:val="22"/>
          <w:vertAlign w:val="superscript"/>
        </w:rPr>
        <w:t>th</w:t>
      </w:r>
      <w:r>
        <w:rPr>
          <w:szCs w:val="22"/>
        </w:rPr>
        <w:t xml:space="preserve"> Street, S.W., CY-Level</w:t>
      </w:r>
    </w:p>
    <w:p w:rsidR="009C6C40" w:rsidRDefault="009C6C40">
      <w:pPr>
        <w:ind w:left="720"/>
        <w:rPr>
          <w:szCs w:val="22"/>
        </w:rPr>
      </w:pPr>
      <w:r>
        <w:rPr>
          <w:szCs w:val="22"/>
        </w:rPr>
        <w:t>Washington, D.C. 20554</w:t>
      </w:r>
    </w:p>
    <w:p w:rsidR="009C6C40" w:rsidRDefault="009C6C40">
      <w:pPr>
        <w:ind w:left="720"/>
        <w:rPr>
          <w:szCs w:val="22"/>
        </w:rPr>
      </w:pPr>
      <w:r>
        <w:rPr>
          <w:szCs w:val="22"/>
        </w:rPr>
        <w:t>(202) 418-0270</w:t>
      </w:r>
    </w:p>
    <w:p w:rsidR="009C6C40" w:rsidRDefault="009C6C40">
      <w:pPr>
        <w:rPr>
          <w:szCs w:val="22"/>
        </w:rPr>
      </w:pPr>
    </w:p>
    <w:p w:rsidR="009C6C40" w:rsidRDefault="009C6C40">
      <w:pPr>
        <w:keepNext/>
        <w:keepLines/>
        <w:spacing w:after="240"/>
        <w:rPr>
          <w:szCs w:val="22"/>
        </w:rPr>
      </w:pPr>
      <w:r>
        <w:rPr>
          <w:szCs w:val="22"/>
        </w:rPr>
        <w:t>For further information, contact Sonia Greenaway-Mickle of the Media Bureau, (202) 418-1419.  Press inquiries should be directed to Janice Wise (202) 418-8165.</w:t>
      </w:r>
    </w:p>
    <w:p w:rsidR="009C6C40" w:rsidRDefault="009C6C40">
      <w:pPr>
        <w:spacing w:before="120" w:after="240"/>
        <w:jc w:val="center"/>
      </w:pPr>
      <w:r>
        <w:rPr>
          <w:szCs w:val="22"/>
        </w:rPr>
        <w:t>-</w:t>
      </w:r>
      <w:r w:rsidRPr="00BB6A32">
        <w:rPr>
          <w:b/>
          <w:szCs w:val="22"/>
        </w:rPr>
        <w:t>FCC</w:t>
      </w:r>
      <w:r>
        <w:rPr>
          <w:szCs w:val="22"/>
        </w:rPr>
        <w:t>-</w:t>
      </w:r>
    </w:p>
    <w:p w:rsidR="009C6C40" w:rsidRDefault="009C6C40">
      <w:pPr>
        <w:autoSpaceDE w:val="0"/>
        <w:autoSpaceDN w:val="0"/>
        <w:adjustRightInd w:val="0"/>
        <w:rPr>
          <w:szCs w:val="22"/>
        </w:rPr>
      </w:pPr>
    </w:p>
    <w:p w:rsidR="009C6C40" w:rsidRDefault="009C6C40">
      <w:pPr>
        <w:autoSpaceDE w:val="0"/>
        <w:autoSpaceDN w:val="0"/>
        <w:adjustRightInd w:val="0"/>
        <w:rPr>
          <w:color w:val="010101"/>
          <w:szCs w:val="22"/>
        </w:rPr>
      </w:pPr>
    </w:p>
    <w:p w:rsidR="009C6C40" w:rsidRDefault="009C6C40">
      <w:pPr>
        <w:rPr>
          <w:szCs w:val="22"/>
        </w:rPr>
      </w:pPr>
      <w:r>
        <w:rPr>
          <w:szCs w:val="22"/>
        </w:rPr>
        <w:tab/>
      </w:r>
    </w:p>
    <w:p w:rsidR="009C6C40" w:rsidRDefault="009C6C40"/>
    <w:sectPr w:rsidR="009C6C40" w:rsidSect="00BB6A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03" w:rsidRDefault="00E43C03">
      <w:r>
        <w:separator/>
      </w:r>
    </w:p>
  </w:endnote>
  <w:endnote w:type="continuationSeparator" w:id="0">
    <w:p w:rsidR="00E43C03" w:rsidRDefault="00E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40" w:rsidRDefault="009C6C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C40" w:rsidRDefault="009C6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40" w:rsidRDefault="009C6C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A32">
      <w:rPr>
        <w:rStyle w:val="PageNumber"/>
        <w:noProof/>
      </w:rPr>
      <w:t>2</w:t>
    </w:r>
    <w:r>
      <w:rPr>
        <w:rStyle w:val="PageNumber"/>
      </w:rPr>
      <w:fldChar w:fldCharType="end"/>
    </w:r>
  </w:p>
  <w:p w:rsidR="009C6C40" w:rsidRDefault="009C6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77" w:rsidRDefault="0065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03" w:rsidRDefault="00E43C03">
      <w:r>
        <w:separator/>
      </w:r>
    </w:p>
  </w:footnote>
  <w:footnote w:type="continuationSeparator" w:id="0">
    <w:p w:rsidR="00E43C03" w:rsidRDefault="00E43C03">
      <w:r>
        <w:continuationSeparator/>
      </w:r>
    </w:p>
  </w:footnote>
  <w:footnote w:id="1">
    <w:p w:rsidR="009C6C40" w:rsidRDefault="009C6C40">
      <w:pPr>
        <w:pStyle w:val="FootnoteText"/>
        <w:rPr>
          <w:sz w:val="20"/>
        </w:rPr>
      </w:pPr>
      <w:r>
        <w:rPr>
          <w:rStyle w:val="FootnoteReference"/>
          <w:sz w:val="20"/>
        </w:rPr>
        <w:footnoteRef/>
      </w:r>
      <w:r>
        <w:rPr>
          <w:sz w:val="20"/>
        </w:rPr>
        <w:t xml:space="preserve"> 47 C.F.R. § 1.1206.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77" w:rsidRDefault="00655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77" w:rsidRDefault="00655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40" w:rsidRDefault="00BB6A3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40">
      <w:rPr>
        <w:rFonts w:ascii="News Gothic MT" w:hAnsi="News Gothic MT"/>
        <w:b/>
        <w:kern w:val="28"/>
        <w:sz w:val="96"/>
      </w:rPr>
      <w:t>PUBLIC NOTICE</w:t>
    </w:r>
  </w:p>
  <w:p w:rsidR="009C6C40" w:rsidRDefault="00BB6A3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-78105</wp:posOffset>
              </wp:positionH>
              <wp:positionV relativeFrom="paragraph">
                <wp:posOffset>5080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40" w:rsidRDefault="009C6C40">
                          <w:pPr>
                            <w:rPr>
                              <w:rFonts w:ascii="Arial" w:hAnsi="Arial"/>
                              <w:b/>
                            </w:rPr>
                          </w:pPr>
                          <w:r>
                            <w:rPr>
                              <w:rFonts w:ascii="Arial" w:hAnsi="Arial"/>
                              <w:b/>
                            </w:rPr>
                            <w:t>Federal Communications Commission</w:t>
                          </w:r>
                        </w:p>
                        <w:p w:rsidR="009C6C40" w:rsidRDefault="009C6C4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C6C40" w:rsidRDefault="009C6C4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" o:allowincell="f" stroked="f">
              <v:textbox>
                <w:txbxContent>
                  <w:p w:rsidR="009C6C40" w:rsidRDefault="009C6C40">
                    <w:pPr>
                      <w:rPr>
                        <w:rFonts w:ascii="Arial" w:hAnsi="Arial"/>
                        <w:b/>
                      </w:rPr>
                    </w:pPr>
                    <w:r>
                      <w:rPr>
                        <w:rFonts w:ascii="Arial" w:hAnsi="Arial"/>
                        <w:b/>
                      </w:rPr>
                      <w:t>Federal Communications Commission</w:t>
                    </w:r>
                  </w:p>
                  <w:p w:rsidR="009C6C40" w:rsidRDefault="009C6C4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C6C40" w:rsidRDefault="009C6C4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3796030</wp:posOffset>
              </wp:positionH>
              <wp:positionV relativeFrom="paragraph">
                <wp:posOffset>130175</wp:posOffset>
              </wp:positionV>
              <wp:extent cx="2199640" cy="5149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40" w:rsidRDefault="009C6C40" w:rsidP="00BB6A32">
                          <w:pPr>
                            <w:spacing w:before="40"/>
                            <w:jc w:val="right"/>
                            <w:rPr>
                              <w:rFonts w:ascii="Arial" w:hAnsi="Arial"/>
                              <w:b/>
                              <w:sz w:val="16"/>
                            </w:rPr>
                          </w:pPr>
                          <w:r>
                            <w:rPr>
                              <w:rFonts w:ascii="Arial" w:hAnsi="Arial"/>
                              <w:b/>
                              <w:sz w:val="16"/>
                            </w:rPr>
                            <w:t>News Media Information 202 / 418-0500</w:t>
                          </w:r>
                        </w:p>
                        <w:p w:rsidR="009C6C40" w:rsidRDefault="009C6C40" w:rsidP="00BB6A3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6C40" w:rsidRDefault="009C6C40" w:rsidP="00BB6A32">
                          <w:pPr>
                            <w:jc w:val="right"/>
                            <w:rPr>
                              <w:rFonts w:ascii="Arial" w:hAnsi="Arial"/>
                              <w:b/>
                              <w:sz w:val="16"/>
                            </w:rPr>
                          </w:pPr>
                          <w:r>
                            <w:rPr>
                              <w:rFonts w:ascii="Arial" w:hAnsi="Arial"/>
                              <w:b/>
                              <w:sz w:val="16"/>
                            </w:rPr>
                            <w:t xml:space="preserve">                            TTY: 1-888-835-5322</w:t>
                          </w:r>
                        </w:p>
                        <w:p w:rsidR="009C6C40" w:rsidRDefault="009C6C4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8.9pt;margin-top:10.25pt;width:173.2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" o:allowincell="f" stroked="f">
              <v:textbox inset=",0,,0">
                <w:txbxContent>
                  <w:p w:rsidR="009C6C40" w:rsidRDefault="009C6C40" w:rsidP="00BB6A32">
                    <w:pPr>
                      <w:spacing w:before="40"/>
                      <w:jc w:val="right"/>
                      <w:rPr>
                        <w:rFonts w:ascii="Arial" w:hAnsi="Arial"/>
                        <w:b/>
                        <w:sz w:val="16"/>
                      </w:rPr>
                    </w:pPr>
                    <w:r>
                      <w:rPr>
                        <w:rFonts w:ascii="Arial" w:hAnsi="Arial"/>
                        <w:b/>
                        <w:sz w:val="16"/>
                      </w:rPr>
                      <w:t>News Media Information 202 / 418-0500</w:t>
                    </w:r>
                  </w:p>
                  <w:p w:rsidR="009C6C40" w:rsidRDefault="009C6C40" w:rsidP="00BB6A3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6C40" w:rsidRDefault="009C6C40" w:rsidP="00BB6A32">
                    <w:pPr>
                      <w:jc w:val="right"/>
                      <w:rPr>
                        <w:rFonts w:ascii="Arial" w:hAnsi="Arial"/>
                        <w:b/>
                        <w:sz w:val="16"/>
                      </w:rPr>
                    </w:pPr>
                    <w:r>
                      <w:rPr>
                        <w:rFonts w:ascii="Arial" w:hAnsi="Arial"/>
                        <w:b/>
                        <w:sz w:val="16"/>
                      </w:rPr>
                      <w:t xml:space="preserve">                            TTY: 1-888-835-5322</w:t>
                    </w:r>
                  </w:p>
                  <w:p w:rsidR="009C6C40" w:rsidRDefault="009C6C4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" o:allowincell="f"/>
          </w:pict>
        </mc:Fallback>
      </mc:AlternateContent>
    </w:r>
  </w:p>
  <w:p w:rsidR="009C6C40" w:rsidRDefault="009C6C4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74A2FD1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9"/>
  </w:num>
  <w:num w:numId="15">
    <w:abstractNumId w:val="2"/>
  </w:num>
  <w:num w:numId="16">
    <w:abstractNumId w:val="8"/>
  </w:num>
  <w:num w:numId="17">
    <w:abstractNumId w:val="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20"/>
    <w:rsid w:val="0011095D"/>
    <w:rsid w:val="002609B9"/>
    <w:rsid w:val="002C1FFA"/>
    <w:rsid w:val="002E5472"/>
    <w:rsid w:val="004D2FCE"/>
    <w:rsid w:val="00655177"/>
    <w:rsid w:val="009C6C40"/>
    <w:rsid w:val="00BB6A32"/>
    <w:rsid w:val="00DE6220"/>
    <w:rsid w:val="00E4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n,f,FOOTNOTE"/>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character" w:styleId="PageNumber">
    <w:name w:val="page number"/>
    <w:basedOn w:val="DefaultParagraphFont"/>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f Char Char"/>
    <w:rPr>
      <w:sz w:val="22"/>
      <w:lang w:val="en-US" w:eastAsia="en-US" w:bidi="ar-SA"/>
    </w:rPr>
  </w:style>
  <w:style w:type="character" w:customStyle="1" w:styleId="ParaNumChar1">
    <w:name w:val="ParaNum Char1"/>
    <w:link w:val="ParaNum0"/>
    <w:locked/>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n,f,FOOTNOTE"/>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Pr>
      <w:sz w:val="22"/>
      <w:lang w:val="en-US" w:eastAsia="en-US" w:bidi="ar-SA"/>
    </w:rPr>
  </w:style>
  <w:style w:type="character" w:styleId="PageNumber">
    <w:name w:val="page number"/>
    <w:basedOn w:val="DefaultParagraphFont"/>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f Char Char"/>
    <w:rPr>
      <w:sz w:val="22"/>
      <w:lang w:val="en-US" w:eastAsia="en-US" w:bidi="ar-SA"/>
    </w:rPr>
  </w:style>
  <w:style w:type="character" w:customStyle="1" w:styleId="ParaNumChar1">
    <w:name w:val="ParaNum Char1"/>
    <w:link w:val="ParaNum0"/>
    <w:locked/>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769</Words>
  <Characters>4360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2012-04-30T14:22:00Z</cp:lastPrinted>
  <dcterms:created xsi:type="dcterms:W3CDTF">2014-03-07T19:50:00Z</dcterms:created>
  <dcterms:modified xsi:type="dcterms:W3CDTF">2014-03-07T19:50:00Z</dcterms:modified>
  <cp:category> </cp:category>
  <cp:contentStatus> </cp:contentStatus>
</cp:coreProperties>
</file>