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62" w:rsidRDefault="00532462" w:rsidP="009D71A0">
      <w:pPr>
        <w:pStyle w:val="Heading1"/>
        <w:numPr>
          <w:ilvl w:val="0"/>
          <w:numId w:val="0"/>
        </w:numPr>
        <w:ind w:left="720"/>
        <w:jc w:val="right"/>
        <w:rPr>
          <w:szCs w:val="22"/>
        </w:rPr>
      </w:pPr>
      <w:bookmarkStart w:id="0" w:name="_GoBack"/>
      <w:bookmarkEnd w:id="0"/>
      <w:r>
        <w:rPr>
          <w:szCs w:val="22"/>
        </w:rPr>
        <w:t>DA 14-</w:t>
      </w:r>
      <w:r w:rsidR="006B1CE4">
        <w:rPr>
          <w:szCs w:val="22"/>
        </w:rPr>
        <w:t>1451</w:t>
      </w:r>
    </w:p>
    <w:p w:rsidR="00532462" w:rsidRPr="009D71A0" w:rsidRDefault="00ED55C8" w:rsidP="00371787">
      <w:pPr>
        <w:pStyle w:val="Heading2"/>
        <w:numPr>
          <w:ilvl w:val="0"/>
          <w:numId w:val="0"/>
        </w:numPr>
        <w:jc w:val="right"/>
        <w:rPr>
          <w:szCs w:val="22"/>
        </w:rPr>
      </w:pPr>
      <w:r>
        <w:rPr>
          <w:szCs w:val="22"/>
        </w:rPr>
        <w:t>October 6</w:t>
      </w:r>
      <w:r w:rsidR="00532462">
        <w:rPr>
          <w:szCs w:val="22"/>
        </w:rPr>
        <w:t>, 2014</w:t>
      </w:r>
    </w:p>
    <w:p w:rsidR="00532462" w:rsidRPr="009D71A0" w:rsidRDefault="00FA1BAD" w:rsidP="005627CA">
      <w:pPr>
        <w:pStyle w:val="Heading3"/>
        <w:numPr>
          <w:ilvl w:val="0"/>
          <w:numId w:val="0"/>
        </w:numPr>
        <w:ind w:left="90"/>
        <w:jc w:val="center"/>
        <w:rPr>
          <w:szCs w:val="22"/>
        </w:rPr>
      </w:pPr>
      <w:r>
        <w:rPr>
          <w:szCs w:val="22"/>
        </w:rPr>
        <w:t xml:space="preserve">THE </w:t>
      </w:r>
      <w:r w:rsidR="00371787">
        <w:rPr>
          <w:szCs w:val="22"/>
        </w:rPr>
        <w:t xml:space="preserve">PUBLIC SAFETY AND HOMELAND SECURITY BUREAU ANNOUNCES </w:t>
      </w:r>
      <w:r w:rsidR="00532462">
        <w:rPr>
          <w:szCs w:val="22"/>
        </w:rPr>
        <w:t>REGION 1</w:t>
      </w:r>
      <w:r>
        <w:rPr>
          <w:szCs w:val="22"/>
        </w:rPr>
        <w:t>1 (HAWAII</w:t>
      </w:r>
      <w:r w:rsidR="00532462">
        <w:rPr>
          <w:szCs w:val="22"/>
        </w:rPr>
        <w:t xml:space="preserve">) 700 </w:t>
      </w:r>
      <w:r>
        <w:rPr>
          <w:szCs w:val="22"/>
        </w:rPr>
        <w:t xml:space="preserve">MHz </w:t>
      </w:r>
      <w:r w:rsidR="00532462">
        <w:rPr>
          <w:szCs w:val="22"/>
        </w:rPr>
        <w:t>PUBLIC SAFETY REGIONAL PLANNING COMMITTEE TO HOLD MEETING</w:t>
      </w:r>
    </w:p>
    <w:p w:rsidR="00532462" w:rsidRPr="00E22D2C" w:rsidRDefault="00FA1BAD" w:rsidP="00371787">
      <w:pPr>
        <w:jc w:val="center"/>
        <w:rPr>
          <w:b/>
        </w:rPr>
      </w:pPr>
      <w:r>
        <w:rPr>
          <w:b/>
        </w:rPr>
        <w:t>WT Docket 02-378</w:t>
      </w:r>
    </w:p>
    <w:p w:rsidR="00532462" w:rsidRDefault="00532462" w:rsidP="00532462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center"/>
        <w:rPr>
          <w:szCs w:val="22"/>
        </w:rPr>
      </w:pPr>
    </w:p>
    <w:p w:rsidR="00FA1BAD" w:rsidRPr="00EC44BF" w:rsidRDefault="00371787" w:rsidP="00FA1BAD">
      <w:pPr>
        <w:rPr>
          <w:sz w:val="24"/>
          <w:szCs w:val="24"/>
        </w:rPr>
      </w:pPr>
      <w:r>
        <w:rPr>
          <w:szCs w:val="22"/>
        </w:rPr>
        <w:tab/>
      </w:r>
      <w:r w:rsidR="00FA1BAD" w:rsidRPr="00EC44BF">
        <w:rPr>
          <w:sz w:val="24"/>
          <w:szCs w:val="24"/>
        </w:rPr>
        <w:t xml:space="preserve">A meeting to reestablish the Region 11 (Hawaii) 700 MHz Public Safety Regional Planning Committee will be held on Tuesday, November 18, 2014 from 9:00 a.m. to noon at the video conference center in the Birkhimer Emergency Operating Center (EOC) located </w:t>
      </w:r>
      <w:r w:rsidR="00FA1BAD" w:rsidRPr="001B6F47">
        <w:rPr>
          <w:sz w:val="24"/>
          <w:szCs w:val="24"/>
        </w:rPr>
        <w:t xml:space="preserve">inside of Diamond Head Crater </w:t>
      </w:r>
      <w:r w:rsidR="00FA1BAD" w:rsidRPr="00EC44BF">
        <w:rPr>
          <w:sz w:val="24"/>
          <w:szCs w:val="24"/>
        </w:rPr>
        <w:t>at 39</w:t>
      </w:r>
      <w:r w:rsidR="00FA1BAD">
        <w:rPr>
          <w:sz w:val="24"/>
          <w:szCs w:val="24"/>
        </w:rPr>
        <w:t>49 Diamond Head Rd, Honolulu, Hawaii</w:t>
      </w:r>
      <w:r w:rsidR="00FA1BAD" w:rsidRPr="00EC44BF">
        <w:rPr>
          <w:sz w:val="24"/>
          <w:szCs w:val="24"/>
        </w:rPr>
        <w:t xml:space="preserve"> 96816.</w:t>
      </w:r>
    </w:p>
    <w:p w:rsidR="00FA1BAD" w:rsidRPr="00EC44BF" w:rsidRDefault="00FA1BAD" w:rsidP="00FA1BAD">
      <w:pPr>
        <w:rPr>
          <w:sz w:val="24"/>
          <w:szCs w:val="24"/>
        </w:rPr>
      </w:pPr>
    </w:p>
    <w:p w:rsidR="00FA1BAD" w:rsidRDefault="00FA1BAD" w:rsidP="00FA1BAD">
      <w:pPr>
        <w:rPr>
          <w:sz w:val="24"/>
          <w:szCs w:val="24"/>
        </w:rPr>
      </w:pPr>
      <w:r w:rsidRPr="00EC44BF">
        <w:rPr>
          <w:sz w:val="24"/>
          <w:szCs w:val="24"/>
        </w:rPr>
        <w:t>The meeting will convene at 9:00 a.m.  The agenda for the November 18, 2014 meeting includes:</w:t>
      </w:r>
    </w:p>
    <w:p w:rsidR="00FA1BAD" w:rsidRPr="00EC44BF" w:rsidRDefault="00FA1BAD" w:rsidP="00FA1BAD">
      <w:pPr>
        <w:rPr>
          <w:sz w:val="24"/>
          <w:szCs w:val="24"/>
        </w:rPr>
      </w:pPr>
    </w:p>
    <w:p w:rsidR="00FA1BAD" w:rsidRPr="00EC44BF" w:rsidRDefault="00FA1BAD" w:rsidP="00FA1BA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C44BF">
        <w:rPr>
          <w:rFonts w:ascii="Times New Roman" w:hAnsi="Times New Roman" w:cs="Times New Roman"/>
          <w:sz w:val="24"/>
          <w:szCs w:val="24"/>
        </w:rPr>
        <w:t>Introduction of voting members from the State and Counties</w:t>
      </w:r>
    </w:p>
    <w:p w:rsidR="00FA1BAD" w:rsidRPr="00EC44BF" w:rsidRDefault="00FA1BAD" w:rsidP="00FA1BA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C44BF">
        <w:rPr>
          <w:rFonts w:ascii="Times New Roman" w:hAnsi="Times New Roman" w:cs="Times New Roman"/>
          <w:sz w:val="24"/>
          <w:szCs w:val="24"/>
        </w:rPr>
        <w:t>Election of officers</w:t>
      </w:r>
    </w:p>
    <w:p w:rsidR="00FA1BAD" w:rsidRPr="00EC44BF" w:rsidRDefault="00FA1BAD" w:rsidP="00FA1BA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C44BF">
        <w:rPr>
          <w:rFonts w:ascii="Times New Roman" w:hAnsi="Times New Roman" w:cs="Times New Roman"/>
          <w:sz w:val="24"/>
          <w:szCs w:val="24"/>
        </w:rPr>
        <w:t>Review and ratification of by-laws</w:t>
      </w:r>
    </w:p>
    <w:p w:rsidR="00FA1BAD" w:rsidRPr="00EC44BF" w:rsidRDefault="00FA1BAD" w:rsidP="00FA1BA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C44BF">
        <w:rPr>
          <w:rFonts w:ascii="Times New Roman" w:hAnsi="Times New Roman" w:cs="Times New Roman"/>
          <w:sz w:val="24"/>
          <w:szCs w:val="24"/>
        </w:rPr>
        <w:t>Discussion of proposals for the allocation of the General Use Channels</w:t>
      </w:r>
    </w:p>
    <w:p w:rsidR="00FA1BAD" w:rsidRPr="00EC44BF" w:rsidRDefault="00FA1BAD" w:rsidP="00FA1BA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C44BF">
        <w:rPr>
          <w:rFonts w:ascii="Times New Roman" w:hAnsi="Times New Roman" w:cs="Times New Roman"/>
          <w:sz w:val="24"/>
          <w:szCs w:val="24"/>
        </w:rPr>
        <w:t>New business</w:t>
      </w:r>
    </w:p>
    <w:p w:rsidR="00FA1BAD" w:rsidRPr="00EC44BF" w:rsidRDefault="00FA1BAD" w:rsidP="00FA1BAD">
      <w:pPr>
        <w:rPr>
          <w:sz w:val="24"/>
          <w:szCs w:val="24"/>
        </w:rPr>
      </w:pPr>
    </w:p>
    <w:p w:rsidR="00FA1BAD" w:rsidRDefault="00FA1BAD" w:rsidP="00FA1BAD">
      <w:pPr>
        <w:rPr>
          <w:sz w:val="24"/>
          <w:szCs w:val="24"/>
        </w:rPr>
      </w:pPr>
      <w:r w:rsidRPr="00EC44BF">
        <w:rPr>
          <w:sz w:val="24"/>
          <w:szCs w:val="24"/>
        </w:rPr>
        <w:t>Interested parties who are unable to travel to Oahu may participate via video conferen</w:t>
      </w:r>
      <w:r>
        <w:rPr>
          <w:sz w:val="24"/>
          <w:szCs w:val="24"/>
        </w:rPr>
        <w:t>c</w:t>
      </w:r>
      <w:r w:rsidRPr="00EC44BF">
        <w:rPr>
          <w:sz w:val="24"/>
          <w:szCs w:val="24"/>
        </w:rPr>
        <w:t xml:space="preserve">e facilities available at County Emergency Operating Centers (EOCs) and State Information and Communication Services Division Video Conference Centers (VCCs) located on the neighbor islands.  </w:t>
      </w:r>
      <w:r>
        <w:rPr>
          <w:sz w:val="24"/>
          <w:szCs w:val="24"/>
        </w:rPr>
        <w:t>Participating</w:t>
      </w:r>
      <w:r w:rsidRPr="00EC44BF">
        <w:rPr>
          <w:sz w:val="24"/>
          <w:szCs w:val="24"/>
        </w:rPr>
        <w:t xml:space="preserve"> EOCs are located at</w:t>
      </w:r>
    </w:p>
    <w:p w:rsidR="00FA1BAD" w:rsidRPr="00EC44BF" w:rsidRDefault="00FA1BAD" w:rsidP="00FA1BAD">
      <w:pPr>
        <w:rPr>
          <w:sz w:val="24"/>
          <w:szCs w:val="24"/>
        </w:rPr>
      </w:pPr>
    </w:p>
    <w:p w:rsidR="00FA1BAD" w:rsidRDefault="00FA1BAD" w:rsidP="00FA1BA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City and County of Honolulu </w:t>
      </w:r>
      <w:r w:rsidRPr="001B6F47">
        <w:rPr>
          <w:sz w:val="24"/>
          <w:szCs w:val="24"/>
        </w:rPr>
        <w:t>Department of Emergency Management</w:t>
      </w:r>
      <w:r>
        <w:rPr>
          <w:sz w:val="24"/>
          <w:szCs w:val="24"/>
        </w:rPr>
        <w:t xml:space="preserve">, Frank F. Fasi Building, </w:t>
      </w:r>
      <w:r w:rsidRPr="001B6F47">
        <w:rPr>
          <w:sz w:val="24"/>
          <w:szCs w:val="24"/>
        </w:rPr>
        <w:t>650 South King S</w:t>
      </w:r>
      <w:r>
        <w:rPr>
          <w:sz w:val="24"/>
          <w:szCs w:val="24"/>
        </w:rPr>
        <w:t xml:space="preserve">treet, </w:t>
      </w:r>
      <w:r w:rsidRPr="001B6F47">
        <w:rPr>
          <w:sz w:val="24"/>
          <w:szCs w:val="24"/>
        </w:rPr>
        <w:t>Honolulu</w:t>
      </w:r>
      <w:r>
        <w:rPr>
          <w:sz w:val="24"/>
          <w:szCs w:val="24"/>
        </w:rPr>
        <w:t>;</w:t>
      </w:r>
    </w:p>
    <w:p w:rsidR="00FA1BAD" w:rsidRDefault="00FA1BAD" w:rsidP="00FA1BAD">
      <w:pPr>
        <w:ind w:left="720"/>
        <w:rPr>
          <w:sz w:val="24"/>
          <w:szCs w:val="24"/>
        </w:rPr>
      </w:pPr>
      <w:r w:rsidRPr="001B6F47">
        <w:rPr>
          <w:sz w:val="24"/>
          <w:szCs w:val="24"/>
        </w:rPr>
        <w:t>Hawaii County Civil Defense</w:t>
      </w:r>
      <w:r>
        <w:rPr>
          <w:sz w:val="24"/>
          <w:szCs w:val="24"/>
        </w:rPr>
        <w:t xml:space="preserve">, </w:t>
      </w:r>
      <w:r w:rsidRPr="001B6F47">
        <w:rPr>
          <w:sz w:val="24"/>
          <w:szCs w:val="24"/>
        </w:rPr>
        <w:t>920 Ululani S</w:t>
      </w:r>
      <w:r>
        <w:rPr>
          <w:sz w:val="24"/>
          <w:szCs w:val="24"/>
        </w:rPr>
        <w:t xml:space="preserve">treet, </w:t>
      </w:r>
      <w:r w:rsidRPr="001B6F47">
        <w:rPr>
          <w:sz w:val="24"/>
          <w:szCs w:val="24"/>
        </w:rPr>
        <w:t>Hilo</w:t>
      </w:r>
      <w:r>
        <w:rPr>
          <w:sz w:val="24"/>
          <w:szCs w:val="24"/>
        </w:rPr>
        <w:t>;</w:t>
      </w:r>
    </w:p>
    <w:p w:rsidR="00FA1BAD" w:rsidRDefault="00FA1BAD" w:rsidP="00FA1BAD">
      <w:pPr>
        <w:ind w:left="720"/>
        <w:rPr>
          <w:sz w:val="24"/>
          <w:szCs w:val="24"/>
        </w:rPr>
      </w:pPr>
      <w:r w:rsidRPr="001B6F47">
        <w:rPr>
          <w:sz w:val="24"/>
          <w:szCs w:val="24"/>
        </w:rPr>
        <w:t>Kauai County Civil Defense</w:t>
      </w:r>
      <w:r>
        <w:rPr>
          <w:sz w:val="24"/>
          <w:szCs w:val="24"/>
        </w:rPr>
        <w:t xml:space="preserve">, </w:t>
      </w:r>
      <w:r w:rsidRPr="001B6F47">
        <w:rPr>
          <w:sz w:val="24"/>
          <w:szCs w:val="24"/>
        </w:rPr>
        <w:t>3990 Kaana St</w:t>
      </w:r>
      <w:r>
        <w:rPr>
          <w:sz w:val="24"/>
          <w:szCs w:val="24"/>
        </w:rPr>
        <w:t xml:space="preserve">reet, </w:t>
      </w:r>
      <w:r w:rsidRPr="001B6F47">
        <w:rPr>
          <w:sz w:val="24"/>
          <w:szCs w:val="24"/>
        </w:rPr>
        <w:t>Lihue</w:t>
      </w:r>
      <w:r w:rsidR="00A60ABA">
        <w:rPr>
          <w:sz w:val="24"/>
          <w:szCs w:val="24"/>
        </w:rPr>
        <w:t>;</w:t>
      </w:r>
      <w:r>
        <w:rPr>
          <w:sz w:val="24"/>
          <w:szCs w:val="24"/>
        </w:rPr>
        <w:t xml:space="preserve"> and</w:t>
      </w:r>
    </w:p>
    <w:p w:rsidR="00FA1BAD" w:rsidRDefault="00FA1BAD" w:rsidP="00FA1BAD">
      <w:pPr>
        <w:ind w:left="720"/>
        <w:rPr>
          <w:sz w:val="24"/>
          <w:szCs w:val="24"/>
        </w:rPr>
      </w:pPr>
      <w:r w:rsidRPr="001B6F47">
        <w:rPr>
          <w:sz w:val="24"/>
          <w:szCs w:val="24"/>
        </w:rPr>
        <w:t>Maui County Civil Defense</w:t>
      </w:r>
      <w:r>
        <w:rPr>
          <w:sz w:val="24"/>
          <w:szCs w:val="24"/>
        </w:rPr>
        <w:t xml:space="preserve">, </w:t>
      </w:r>
      <w:r w:rsidRPr="001B6F47">
        <w:rPr>
          <w:sz w:val="24"/>
          <w:szCs w:val="24"/>
        </w:rPr>
        <w:t>200 South High S</w:t>
      </w:r>
      <w:r>
        <w:rPr>
          <w:sz w:val="24"/>
          <w:szCs w:val="24"/>
        </w:rPr>
        <w:t xml:space="preserve">treet, </w:t>
      </w:r>
      <w:r w:rsidRPr="001B6F47">
        <w:rPr>
          <w:sz w:val="24"/>
          <w:szCs w:val="24"/>
        </w:rPr>
        <w:t>Wailuku</w:t>
      </w:r>
      <w:r>
        <w:rPr>
          <w:sz w:val="24"/>
          <w:szCs w:val="24"/>
        </w:rPr>
        <w:t>.</w:t>
      </w:r>
    </w:p>
    <w:p w:rsidR="00FA1BAD" w:rsidRPr="00EC44BF" w:rsidRDefault="00FA1BAD" w:rsidP="00FA1BAD">
      <w:pPr>
        <w:ind w:left="720"/>
        <w:rPr>
          <w:sz w:val="24"/>
          <w:szCs w:val="24"/>
        </w:rPr>
      </w:pPr>
    </w:p>
    <w:p w:rsidR="00FA1BAD" w:rsidRDefault="00FA1BAD" w:rsidP="00FA1BAD">
      <w:pPr>
        <w:rPr>
          <w:sz w:val="24"/>
          <w:szCs w:val="24"/>
        </w:rPr>
      </w:pPr>
      <w:r>
        <w:rPr>
          <w:sz w:val="24"/>
          <w:szCs w:val="24"/>
        </w:rPr>
        <w:t xml:space="preserve">Individuals requiring access to an EOC should contact that EOC prior to the meeting as access is determined by the controlling agency.  </w:t>
      </w:r>
      <w:r w:rsidRPr="00EC44BF">
        <w:rPr>
          <w:sz w:val="24"/>
          <w:szCs w:val="24"/>
        </w:rPr>
        <w:t>The VCCs are</w:t>
      </w:r>
      <w:r>
        <w:rPr>
          <w:sz w:val="24"/>
          <w:szCs w:val="24"/>
        </w:rPr>
        <w:t xml:space="preserve"> open to the public without restriction and are</w:t>
      </w:r>
      <w:r w:rsidRPr="00EC44BF">
        <w:rPr>
          <w:sz w:val="24"/>
          <w:szCs w:val="24"/>
        </w:rPr>
        <w:t xml:space="preserve"> located at:</w:t>
      </w:r>
    </w:p>
    <w:p w:rsidR="00FA1BAD" w:rsidRPr="00EC44BF" w:rsidRDefault="00FA1BAD" w:rsidP="00FA1BAD">
      <w:pPr>
        <w:rPr>
          <w:sz w:val="24"/>
          <w:szCs w:val="24"/>
        </w:rPr>
      </w:pPr>
    </w:p>
    <w:p w:rsidR="00FA1BAD" w:rsidRDefault="00FA1BAD" w:rsidP="00FA1BAD">
      <w:pPr>
        <w:ind w:left="720"/>
        <w:rPr>
          <w:sz w:val="24"/>
          <w:szCs w:val="24"/>
        </w:rPr>
      </w:pPr>
      <w:r w:rsidRPr="001B6F47">
        <w:rPr>
          <w:sz w:val="24"/>
          <w:szCs w:val="24"/>
        </w:rPr>
        <w:t>Kalanimoku State Office Building</w:t>
      </w:r>
      <w:r>
        <w:rPr>
          <w:sz w:val="24"/>
          <w:szCs w:val="24"/>
        </w:rPr>
        <w:t xml:space="preserve">, </w:t>
      </w:r>
      <w:r w:rsidRPr="001B6F47">
        <w:rPr>
          <w:sz w:val="24"/>
          <w:szCs w:val="24"/>
        </w:rPr>
        <w:t>1151 Punchbowl Street, Room B10</w:t>
      </w:r>
      <w:r>
        <w:rPr>
          <w:sz w:val="24"/>
          <w:szCs w:val="24"/>
        </w:rPr>
        <w:t xml:space="preserve">, </w:t>
      </w:r>
      <w:r w:rsidRPr="001B6F47">
        <w:rPr>
          <w:sz w:val="24"/>
          <w:szCs w:val="24"/>
        </w:rPr>
        <w:t>Honolulu</w:t>
      </w:r>
      <w:r>
        <w:rPr>
          <w:sz w:val="24"/>
          <w:szCs w:val="24"/>
        </w:rPr>
        <w:t>;</w:t>
      </w:r>
    </w:p>
    <w:p w:rsidR="00FA1BAD" w:rsidRPr="00EC44BF" w:rsidRDefault="00FA1BAD" w:rsidP="00FA1BAD">
      <w:pPr>
        <w:ind w:left="720"/>
        <w:rPr>
          <w:sz w:val="24"/>
          <w:szCs w:val="24"/>
        </w:rPr>
      </w:pPr>
      <w:r w:rsidRPr="00EC44BF">
        <w:rPr>
          <w:sz w:val="24"/>
          <w:szCs w:val="24"/>
        </w:rPr>
        <w:lastRenderedPageBreak/>
        <w:t xml:space="preserve">Hilo State Office </w:t>
      </w:r>
      <w:r w:rsidRPr="001B6F47">
        <w:rPr>
          <w:sz w:val="24"/>
          <w:szCs w:val="24"/>
        </w:rPr>
        <w:t>Building</w:t>
      </w:r>
      <w:r>
        <w:rPr>
          <w:sz w:val="24"/>
          <w:szCs w:val="24"/>
        </w:rPr>
        <w:t>,</w:t>
      </w:r>
      <w:r w:rsidRPr="00EC44BF">
        <w:rPr>
          <w:sz w:val="24"/>
          <w:szCs w:val="24"/>
        </w:rPr>
        <w:t xml:space="preserve"> </w:t>
      </w:r>
      <w:r w:rsidRPr="00FE1DD8">
        <w:rPr>
          <w:sz w:val="24"/>
          <w:szCs w:val="24"/>
        </w:rPr>
        <w:t>75 Aupuni Street, Basement</w:t>
      </w:r>
      <w:r w:rsidRPr="00EC44BF">
        <w:rPr>
          <w:sz w:val="24"/>
          <w:szCs w:val="24"/>
        </w:rPr>
        <w:t>;</w:t>
      </w:r>
      <w:r w:rsidRPr="00EC44BF">
        <w:rPr>
          <w:sz w:val="24"/>
          <w:szCs w:val="24"/>
        </w:rPr>
        <w:cr/>
        <w:t xml:space="preserve">Lihue State Office </w:t>
      </w:r>
      <w:r w:rsidRPr="001B6F47">
        <w:rPr>
          <w:sz w:val="24"/>
          <w:szCs w:val="24"/>
        </w:rPr>
        <w:t>Building</w:t>
      </w:r>
      <w:r>
        <w:rPr>
          <w:sz w:val="24"/>
          <w:szCs w:val="24"/>
        </w:rPr>
        <w:t>,</w:t>
      </w:r>
      <w:r w:rsidRPr="00EC44BF">
        <w:rPr>
          <w:sz w:val="24"/>
          <w:szCs w:val="24"/>
        </w:rPr>
        <w:t xml:space="preserve"> </w:t>
      </w:r>
      <w:r w:rsidRPr="00FE1DD8">
        <w:rPr>
          <w:sz w:val="24"/>
          <w:szCs w:val="24"/>
        </w:rPr>
        <w:t>3060 Eiwa Street, Basement</w:t>
      </w:r>
      <w:r w:rsidRPr="00EC44BF">
        <w:rPr>
          <w:sz w:val="24"/>
          <w:szCs w:val="24"/>
        </w:rPr>
        <w:t>;</w:t>
      </w:r>
      <w:r>
        <w:rPr>
          <w:sz w:val="24"/>
          <w:szCs w:val="24"/>
        </w:rPr>
        <w:t xml:space="preserve"> and</w:t>
      </w:r>
      <w:r w:rsidRPr="00EC44BF">
        <w:rPr>
          <w:sz w:val="24"/>
          <w:szCs w:val="24"/>
        </w:rPr>
        <w:cr/>
        <w:t xml:space="preserve">Wailuku State Office </w:t>
      </w:r>
      <w:r w:rsidRPr="001B6F47">
        <w:rPr>
          <w:sz w:val="24"/>
          <w:szCs w:val="24"/>
        </w:rPr>
        <w:t>Building</w:t>
      </w:r>
      <w:r>
        <w:rPr>
          <w:sz w:val="24"/>
          <w:szCs w:val="24"/>
        </w:rPr>
        <w:t>,</w:t>
      </w:r>
      <w:r w:rsidRPr="00EC44BF">
        <w:rPr>
          <w:sz w:val="24"/>
          <w:szCs w:val="24"/>
        </w:rPr>
        <w:t xml:space="preserve"> </w:t>
      </w:r>
      <w:r w:rsidRPr="00FE1DD8">
        <w:rPr>
          <w:sz w:val="24"/>
          <w:szCs w:val="24"/>
        </w:rPr>
        <w:t>54 South High Street, 3rd. Floor</w:t>
      </w:r>
      <w:r w:rsidRPr="00EC44BF">
        <w:rPr>
          <w:sz w:val="24"/>
          <w:szCs w:val="24"/>
        </w:rPr>
        <w:t>.</w:t>
      </w:r>
    </w:p>
    <w:p w:rsidR="00FA1BAD" w:rsidRPr="00EC44BF" w:rsidRDefault="00FA1BAD" w:rsidP="00FA1BAD">
      <w:pPr>
        <w:rPr>
          <w:sz w:val="24"/>
          <w:szCs w:val="24"/>
        </w:rPr>
      </w:pPr>
    </w:p>
    <w:p w:rsidR="00FA1BAD" w:rsidRPr="00EC44BF" w:rsidRDefault="00FA1BAD" w:rsidP="00FA1BAD">
      <w:pPr>
        <w:rPr>
          <w:sz w:val="24"/>
          <w:szCs w:val="24"/>
        </w:rPr>
      </w:pPr>
      <w:r w:rsidRPr="00EC44BF">
        <w:rPr>
          <w:sz w:val="24"/>
          <w:szCs w:val="24"/>
        </w:rPr>
        <w:t>A follow on meeting has been scheduled to occur January 13, 2015 from 9:00 AM – noon.</w:t>
      </w:r>
    </w:p>
    <w:p w:rsidR="00FA1BAD" w:rsidRPr="00EC44BF" w:rsidRDefault="00FA1BAD" w:rsidP="00FA1BAD">
      <w:pPr>
        <w:rPr>
          <w:sz w:val="24"/>
          <w:szCs w:val="24"/>
        </w:rPr>
      </w:pPr>
    </w:p>
    <w:p w:rsidR="00FA1BAD" w:rsidRDefault="00FA1BAD" w:rsidP="00FA1BAD">
      <w:pPr>
        <w:rPr>
          <w:sz w:val="24"/>
          <w:szCs w:val="24"/>
        </w:rPr>
      </w:pPr>
      <w:r w:rsidRPr="00EC44BF">
        <w:rPr>
          <w:sz w:val="24"/>
          <w:szCs w:val="24"/>
        </w:rPr>
        <w:t>The Region 11 (Hawaii) 700 MHz Public Safety Planning Committee meeting is open to</w:t>
      </w:r>
      <w:r>
        <w:rPr>
          <w:sz w:val="24"/>
          <w:szCs w:val="24"/>
        </w:rPr>
        <w:t xml:space="preserve"> </w:t>
      </w:r>
      <w:r w:rsidRPr="00EC44BF">
        <w:rPr>
          <w:sz w:val="24"/>
          <w:szCs w:val="24"/>
        </w:rPr>
        <w:t>the public.</w:t>
      </w:r>
      <w:r w:rsidR="00C46BD4">
        <w:rPr>
          <w:sz w:val="24"/>
          <w:szCs w:val="24"/>
        </w:rPr>
        <w:t xml:space="preserve"> </w:t>
      </w:r>
      <w:r w:rsidRPr="00EC44BF">
        <w:rPr>
          <w:sz w:val="24"/>
          <w:szCs w:val="24"/>
        </w:rPr>
        <w:t xml:space="preserve"> All eligible public safety providers whose sole purpose or principal purpose is to</w:t>
      </w:r>
      <w:r>
        <w:rPr>
          <w:sz w:val="24"/>
          <w:szCs w:val="24"/>
        </w:rPr>
        <w:t xml:space="preserve"> </w:t>
      </w:r>
      <w:r w:rsidRPr="00EC44BF">
        <w:rPr>
          <w:sz w:val="24"/>
          <w:szCs w:val="24"/>
        </w:rPr>
        <w:t>protect the safety of life, health, or property in Region 11 would utilize these frequencies</w:t>
      </w:r>
      <w:r w:rsidRPr="000C4F05">
        <w:rPr>
          <w:sz w:val="24"/>
          <w:szCs w:val="24"/>
        </w:rPr>
        <w:t>.</w:t>
      </w:r>
      <w:r w:rsidR="00C46BD4">
        <w:rPr>
          <w:sz w:val="24"/>
          <w:szCs w:val="24"/>
        </w:rPr>
        <w:t xml:space="preserve"> </w:t>
      </w:r>
      <w:r w:rsidRPr="000C4F05">
        <w:rPr>
          <w:sz w:val="24"/>
          <w:szCs w:val="24"/>
        </w:rPr>
        <w:t xml:space="preserve"> </w:t>
      </w:r>
      <w:r w:rsidR="000C4F05" w:rsidRPr="000C4F05">
        <w:rPr>
          <w:sz w:val="24"/>
          <w:szCs w:val="24"/>
        </w:rPr>
        <w:t>It is essential that public safety agencies in all areas of government, including state, municipality, county, and Native American Tribal, and non-governmental organizations eligible under Section 90.523 of the Commission’s rules, 47 C.F.R. § 90.523, be represented in order to ensure that each agency’s future spectrum needs are considered in the allocation process.</w:t>
      </w:r>
      <w:r w:rsidRPr="000C4F05">
        <w:rPr>
          <w:sz w:val="24"/>
          <w:szCs w:val="24"/>
        </w:rPr>
        <w:t xml:space="preserve">  </w:t>
      </w:r>
      <w:r w:rsidRPr="00EC44BF">
        <w:rPr>
          <w:sz w:val="24"/>
          <w:szCs w:val="24"/>
        </w:rPr>
        <w:t>Administrators who are not oriented in the communications field should</w:t>
      </w:r>
      <w:r>
        <w:rPr>
          <w:sz w:val="24"/>
          <w:szCs w:val="24"/>
        </w:rPr>
        <w:t xml:space="preserve"> </w:t>
      </w:r>
      <w:r w:rsidRPr="00EC44BF">
        <w:rPr>
          <w:sz w:val="24"/>
          <w:szCs w:val="24"/>
        </w:rPr>
        <w:t>delegate someone with this knowledge to attend, participate and represent your agency’s needs.</w:t>
      </w:r>
    </w:p>
    <w:p w:rsidR="00FA1BAD" w:rsidRPr="00EC44BF" w:rsidRDefault="00FA1BAD" w:rsidP="00FA1BAD">
      <w:pPr>
        <w:rPr>
          <w:sz w:val="24"/>
          <w:szCs w:val="24"/>
        </w:rPr>
      </w:pPr>
    </w:p>
    <w:p w:rsidR="00FA1BAD" w:rsidRDefault="00FA1BAD" w:rsidP="00FA1BAD">
      <w:pPr>
        <w:rPr>
          <w:sz w:val="24"/>
          <w:szCs w:val="24"/>
        </w:rPr>
      </w:pPr>
      <w:r w:rsidRPr="00EC44BF">
        <w:rPr>
          <w:sz w:val="24"/>
          <w:szCs w:val="24"/>
        </w:rPr>
        <w:t>All interested parties wishing to participate in the planning for the use of public</w:t>
      </w:r>
      <w:r>
        <w:rPr>
          <w:sz w:val="24"/>
          <w:szCs w:val="24"/>
        </w:rPr>
        <w:t xml:space="preserve"> </w:t>
      </w:r>
      <w:r w:rsidRPr="00EC44BF">
        <w:rPr>
          <w:sz w:val="24"/>
          <w:szCs w:val="24"/>
        </w:rPr>
        <w:t>safety spectrum in the 700 MHz band within Region 11 are encouraged to</w:t>
      </w:r>
      <w:r>
        <w:rPr>
          <w:sz w:val="24"/>
          <w:szCs w:val="24"/>
        </w:rPr>
        <w:t xml:space="preserve"> </w:t>
      </w:r>
      <w:r w:rsidRPr="00EC44BF">
        <w:rPr>
          <w:sz w:val="24"/>
          <w:szCs w:val="24"/>
        </w:rPr>
        <w:t xml:space="preserve">attend. </w:t>
      </w:r>
      <w:r w:rsidR="00C46BD4">
        <w:rPr>
          <w:sz w:val="24"/>
          <w:szCs w:val="24"/>
        </w:rPr>
        <w:t xml:space="preserve"> </w:t>
      </w:r>
      <w:r w:rsidRPr="00EC44BF">
        <w:rPr>
          <w:sz w:val="24"/>
          <w:szCs w:val="24"/>
        </w:rPr>
        <w:t>For further information on any of the Region 11 planning meetings, please contact:</w:t>
      </w:r>
    </w:p>
    <w:p w:rsidR="00FA1BAD" w:rsidRPr="00EC44BF" w:rsidRDefault="00FA1BAD" w:rsidP="00FA1BAD">
      <w:pPr>
        <w:rPr>
          <w:sz w:val="24"/>
          <w:szCs w:val="24"/>
        </w:rPr>
      </w:pPr>
    </w:p>
    <w:p w:rsidR="00FA1BAD" w:rsidRPr="00EC44BF" w:rsidRDefault="00FA1BAD" w:rsidP="00FA1BAD">
      <w:pPr>
        <w:rPr>
          <w:sz w:val="24"/>
          <w:szCs w:val="24"/>
        </w:rPr>
      </w:pPr>
      <w:r w:rsidRPr="00EC44BF">
        <w:rPr>
          <w:sz w:val="24"/>
          <w:szCs w:val="24"/>
        </w:rPr>
        <w:t>Robert J. Hlivak, Chair</w:t>
      </w:r>
    </w:p>
    <w:p w:rsidR="00FA1BAD" w:rsidRPr="00EC44BF" w:rsidRDefault="00FA1BAD" w:rsidP="00FA1BAD">
      <w:pPr>
        <w:rPr>
          <w:sz w:val="24"/>
          <w:szCs w:val="24"/>
        </w:rPr>
      </w:pPr>
      <w:r w:rsidRPr="00EC44BF">
        <w:rPr>
          <w:sz w:val="24"/>
          <w:szCs w:val="24"/>
        </w:rPr>
        <w:t>Region 11, 700 MHz Regional Planning Committee</w:t>
      </w:r>
    </w:p>
    <w:p w:rsidR="00FA1BAD" w:rsidRPr="00EC44BF" w:rsidRDefault="00FA1BAD" w:rsidP="00FA1BAD">
      <w:pPr>
        <w:rPr>
          <w:sz w:val="24"/>
          <w:szCs w:val="24"/>
        </w:rPr>
      </w:pPr>
      <w:r w:rsidRPr="00EC44BF">
        <w:rPr>
          <w:sz w:val="24"/>
          <w:szCs w:val="24"/>
        </w:rPr>
        <w:t>State of Hawaii, ICS Division</w:t>
      </w:r>
    </w:p>
    <w:p w:rsidR="00FA1BAD" w:rsidRPr="00EC44BF" w:rsidRDefault="00FA1BAD" w:rsidP="00FA1BAD">
      <w:pPr>
        <w:rPr>
          <w:sz w:val="24"/>
          <w:szCs w:val="24"/>
        </w:rPr>
      </w:pPr>
      <w:r w:rsidRPr="00EC44BF">
        <w:rPr>
          <w:sz w:val="24"/>
          <w:szCs w:val="24"/>
        </w:rPr>
        <w:t>1177 Alakea St., Room 201</w:t>
      </w:r>
    </w:p>
    <w:p w:rsidR="00FA1BAD" w:rsidRPr="00EC44BF" w:rsidRDefault="00C86D01" w:rsidP="00FA1BAD">
      <w:pPr>
        <w:rPr>
          <w:sz w:val="24"/>
          <w:szCs w:val="24"/>
        </w:rPr>
      </w:pPr>
      <w:r>
        <w:rPr>
          <w:sz w:val="24"/>
          <w:szCs w:val="24"/>
        </w:rPr>
        <w:t>Honolulu, Hawaii</w:t>
      </w:r>
      <w:r w:rsidR="00FA1BAD" w:rsidRPr="00EC44BF">
        <w:rPr>
          <w:sz w:val="24"/>
          <w:szCs w:val="24"/>
        </w:rPr>
        <w:t xml:space="preserve"> 96813</w:t>
      </w:r>
    </w:p>
    <w:p w:rsidR="00FA1BAD" w:rsidRPr="00EC44BF" w:rsidRDefault="00FA1BAD" w:rsidP="00FA1BAD">
      <w:pPr>
        <w:rPr>
          <w:sz w:val="24"/>
          <w:szCs w:val="24"/>
        </w:rPr>
      </w:pPr>
      <w:r w:rsidRPr="00EC44BF">
        <w:rPr>
          <w:sz w:val="24"/>
          <w:szCs w:val="24"/>
        </w:rPr>
        <w:t>PH: 808-</w:t>
      </w:r>
      <w:r>
        <w:rPr>
          <w:sz w:val="24"/>
          <w:szCs w:val="24"/>
        </w:rPr>
        <w:t>282-5474</w:t>
      </w:r>
    </w:p>
    <w:p w:rsidR="00FA1BAD" w:rsidRPr="00EC44BF" w:rsidRDefault="00FA1BAD" w:rsidP="00FA1BAD">
      <w:pPr>
        <w:rPr>
          <w:sz w:val="24"/>
          <w:szCs w:val="24"/>
        </w:rPr>
      </w:pPr>
      <w:r w:rsidRPr="00EC44BF">
        <w:rPr>
          <w:sz w:val="24"/>
          <w:szCs w:val="24"/>
        </w:rPr>
        <w:t>FX: 808-586-1962</w:t>
      </w:r>
    </w:p>
    <w:p w:rsidR="00FA1BAD" w:rsidRDefault="00FA1BAD" w:rsidP="00FA1BAD">
      <w:pPr>
        <w:rPr>
          <w:sz w:val="24"/>
          <w:szCs w:val="24"/>
        </w:rPr>
      </w:pPr>
      <w:r w:rsidRPr="00EC44BF">
        <w:rPr>
          <w:sz w:val="24"/>
          <w:szCs w:val="24"/>
        </w:rPr>
        <w:t xml:space="preserve">Email: </w:t>
      </w:r>
      <w:hyperlink r:id="rId8" w:history="1">
        <w:r w:rsidRPr="00B807B0">
          <w:rPr>
            <w:rStyle w:val="Hyperlink"/>
            <w:sz w:val="24"/>
            <w:szCs w:val="24"/>
          </w:rPr>
          <w:t>robert.j.hlivak@hawaii.gov</w:t>
        </w:r>
      </w:hyperlink>
    </w:p>
    <w:p w:rsidR="00532462" w:rsidRDefault="00532462" w:rsidP="00FA1BAD">
      <w:pPr>
        <w:tabs>
          <w:tab w:val="left" w:pos="0"/>
        </w:tabs>
        <w:rPr>
          <w:szCs w:val="22"/>
        </w:rPr>
      </w:pPr>
      <w:r>
        <w:rPr>
          <w:szCs w:val="22"/>
        </w:rPr>
        <w:tab/>
      </w:r>
    </w:p>
    <w:p w:rsidR="00532462" w:rsidRDefault="00532462" w:rsidP="00532462">
      <w:pPr>
        <w:rPr>
          <w:szCs w:val="22"/>
        </w:rPr>
      </w:pPr>
    </w:p>
    <w:p w:rsidR="00532462" w:rsidRDefault="00532462" w:rsidP="00532462">
      <w:pPr>
        <w:jc w:val="center"/>
        <w:rPr>
          <w:szCs w:val="22"/>
        </w:rPr>
      </w:pPr>
      <w:r>
        <w:rPr>
          <w:szCs w:val="22"/>
        </w:rPr>
        <w:t>-FCC-</w:t>
      </w:r>
    </w:p>
    <w:p w:rsidR="00602577" w:rsidRDefault="00602577" w:rsidP="00532462">
      <w:pPr>
        <w:spacing w:before="120" w:after="240"/>
        <w:rPr>
          <w:sz w:val="24"/>
        </w:rPr>
      </w:pPr>
    </w:p>
    <w:sectPr w:rsidR="00602577" w:rsidSect="00927A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5A" w:rsidRDefault="00FB305A">
      <w:r>
        <w:separator/>
      </w:r>
    </w:p>
  </w:endnote>
  <w:endnote w:type="continuationSeparator" w:id="0">
    <w:p w:rsidR="00FB305A" w:rsidRDefault="00FB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D2" w:rsidRDefault="003226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D2" w:rsidRDefault="003226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D2" w:rsidRDefault="00322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5A" w:rsidRDefault="00FB305A">
      <w:r>
        <w:separator/>
      </w:r>
    </w:p>
  </w:footnote>
  <w:footnote w:type="continuationSeparator" w:id="0">
    <w:p w:rsidR="00FB305A" w:rsidRDefault="00FB3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D2" w:rsidRDefault="003226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D2" w:rsidRDefault="003226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532462" w:rsidP="00371787">
    <w:pPr>
      <w:pStyle w:val="Header"/>
      <w:tabs>
        <w:tab w:val="clear" w:pos="4320"/>
        <w:tab w:val="clear" w:pos="8640"/>
      </w:tabs>
      <w:spacing w:before="4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640F324D" wp14:editId="360991C9">
          <wp:simplePos x="0" y="0"/>
          <wp:positionH relativeFrom="column">
            <wp:posOffset>-309245</wp:posOffset>
          </wp:positionH>
          <wp:positionV relativeFrom="paragraph">
            <wp:posOffset>104775</wp:posOffset>
          </wp:positionV>
          <wp:extent cx="592455" cy="525145"/>
          <wp:effectExtent l="0" t="0" r="0" b="825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5627CA" w:rsidP="005627CA">
    <w:pPr>
      <w:pStyle w:val="Header"/>
      <w:tabs>
        <w:tab w:val="clear" w:pos="4320"/>
        <w:tab w:val="clear" w:pos="8640"/>
        <w:tab w:val="left" w:pos="-9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82A8F62" wp14:editId="03CB6165">
              <wp:simplePos x="0" y="0"/>
              <wp:positionH relativeFrom="column">
                <wp:posOffset>-92676</wp:posOffset>
              </wp:positionH>
              <wp:positionV relativeFrom="paragraph">
                <wp:posOffset>700765</wp:posOffset>
              </wp:positionV>
              <wp:extent cx="6078941" cy="0"/>
              <wp:effectExtent l="0" t="0" r="17145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8941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55.2pt" to="471.3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XJ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Y/zRZ5hRA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C641B69" wp14:editId="177C5C12">
              <wp:simplePos x="0" y="0"/>
              <wp:positionH relativeFrom="column">
                <wp:posOffset>2866768</wp:posOffset>
              </wp:positionH>
              <wp:positionV relativeFrom="paragraph">
                <wp:posOffset>119998</wp:posOffset>
              </wp:positionV>
              <wp:extent cx="3206578" cy="560602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578" cy="56060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25.75pt;margin-top:9.45pt;width:252.5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2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8E4D89C" wp14:editId="1E56A9BF">
              <wp:simplePos x="0" y="0"/>
              <wp:positionH relativeFrom="column">
                <wp:posOffset>-179705</wp:posOffset>
              </wp:positionH>
              <wp:positionV relativeFrom="paragraph">
                <wp:posOffset>2540</wp:posOffset>
              </wp:positionV>
              <wp:extent cx="3670935" cy="640080"/>
              <wp:effectExtent l="0" t="0" r="571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093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14.15pt;margin-top:.2pt;width:289.05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8N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5F95"/>
    <w:multiLevelType w:val="hybridMultilevel"/>
    <w:tmpl w:val="36887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10DA9"/>
    <w:multiLevelType w:val="hybridMultilevel"/>
    <w:tmpl w:val="3C3074B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3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62"/>
    <w:rsid w:val="000265AE"/>
    <w:rsid w:val="000C4F05"/>
    <w:rsid w:val="001846AB"/>
    <w:rsid w:val="003226D2"/>
    <w:rsid w:val="00371787"/>
    <w:rsid w:val="00397DA3"/>
    <w:rsid w:val="00532462"/>
    <w:rsid w:val="005627CA"/>
    <w:rsid w:val="00602577"/>
    <w:rsid w:val="006B1CE4"/>
    <w:rsid w:val="00927A9F"/>
    <w:rsid w:val="009D71A0"/>
    <w:rsid w:val="00A60ABA"/>
    <w:rsid w:val="00B20100"/>
    <w:rsid w:val="00C46BD4"/>
    <w:rsid w:val="00C86D01"/>
    <w:rsid w:val="00D17DC0"/>
    <w:rsid w:val="00D60EFF"/>
    <w:rsid w:val="00DC5046"/>
    <w:rsid w:val="00DD26A0"/>
    <w:rsid w:val="00ED55C8"/>
    <w:rsid w:val="00FA1BAD"/>
    <w:rsid w:val="00FB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1Char">
    <w:name w:val="Heading 1 Char"/>
    <w:link w:val="Heading1"/>
    <w:rsid w:val="00532462"/>
    <w:rPr>
      <w:b/>
      <w:caps/>
      <w:sz w:val="22"/>
    </w:rPr>
  </w:style>
  <w:style w:type="character" w:customStyle="1" w:styleId="Heading2Char">
    <w:name w:val="Heading 2 Char"/>
    <w:link w:val="Heading2"/>
    <w:rsid w:val="00532462"/>
    <w:rPr>
      <w:b/>
      <w:sz w:val="22"/>
    </w:rPr>
  </w:style>
  <w:style w:type="character" w:customStyle="1" w:styleId="Heading3Char">
    <w:name w:val="Heading 3 Char"/>
    <w:link w:val="Heading3"/>
    <w:rsid w:val="00532462"/>
    <w:rPr>
      <w:b/>
      <w:sz w:val="22"/>
    </w:rPr>
  </w:style>
  <w:style w:type="paragraph" w:styleId="EndnoteText">
    <w:name w:val="endnote text"/>
    <w:basedOn w:val="Normal"/>
    <w:link w:val="EndnoteTextChar"/>
    <w:semiHidden/>
    <w:rsid w:val="00532462"/>
    <w:pPr>
      <w:widowControl w:val="0"/>
    </w:pPr>
    <w:rPr>
      <w:rFonts w:ascii="Courier New" w:hAnsi="Courier New"/>
      <w:snapToGrid w:val="0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532462"/>
    <w:rPr>
      <w:rFonts w:ascii="Courier New" w:hAnsi="Courier New"/>
      <w:snapToGrid w:val="0"/>
      <w:sz w:val="24"/>
    </w:rPr>
  </w:style>
  <w:style w:type="character" w:customStyle="1" w:styleId="FootnoteTextChar">
    <w:name w:val="Footnote Text Char"/>
    <w:link w:val="FootnoteText"/>
    <w:semiHidden/>
    <w:rsid w:val="00532462"/>
    <w:rPr>
      <w:sz w:val="22"/>
    </w:rPr>
  </w:style>
  <w:style w:type="paragraph" w:styleId="BodyText">
    <w:name w:val="Body Text"/>
    <w:basedOn w:val="Normal"/>
    <w:link w:val="BodyTextChar"/>
    <w:rsid w:val="00532462"/>
    <w:pPr>
      <w:widowControl w:val="0"/>
      <w:jc w:val="both"/>
    </w:pPr>
    <w:rPr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53246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FA1BAD"/>
    <w:pPr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1Char">
    <w:name w:val="Heading 1 Char"/>
    <w:link w:val="Heading1"/>
    <w:rsid w:val="00532462"/>
    <w:rPr>
      <w:b/>
      <w:caps/>
      <w:sz w:val="22"/>
    </w:rPr>
  </w:style>
  <w:style w:type="character" w:customStyle="1" w:styleId="Heading2Char">
    <w:name w:val="Heading 2 Char"/>
    <w:link w:val="Heading2"/>
    <w:rsid w:val="00532462"/>
    <w:rPr>
      <w:b/>
      <w:sz w:val="22"/>
    </w:rPr>
  </w:style>
  <w:style w:type="character" w:customStyle="1" w:styleId="Heading3Char">
    <w:name w:val="Heading 3 Char"/>
    <w:link w:val="Heading3"/>
    <w:rsid w:val="00532462"/>
    <w:rPr>
      <w:b/>
      <w:sz w:val="22"/>
    </w:rPr>
  </w:style>
  <w:style w:type="paragraph" w:styleId="EndnoteText">
    <w:name w:val="endnote text"/>
    <w:basedOn w:val="Normal"/>
    <w:link w:val="EndnoteTextChar"/>
    <w:semiHidden/>
    <w:rsid w:val="00532462"/>
    <w:pPr>
      <w:widowControl w:val="0"/>
    </w:pPr>
    <w:rPr>
      <w:rFonts w:ascii="Courier New" w:hAnsi="Courier New"/>
      <w:snapToGrid w:val="0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532462"/>
    <w:rPr>
      <w:rFonts w:ascii="Courier New" w:hAnsi="Courier New"/>
      <w:snapToGrid w:val="0"/>
      <w:sz w:val="24"/>
    </w:rPr>
  </w:style>
  <w:style w:type="character" w:customStyle="1" w:styleId="FootnoteTextChar">
    <w:name w:val="Footnote Text Char"/>
    <w:link w:val="FootnoteText"/>
    <w:semiHidden/>
    <w:rsid w:val="00532462"/>
    <w:rPr>
      <w:sz w:val="22"/>
    </w:rPr>
  </w:style>
  <w:style w:type="paragraph" w:styleId="BodyText">
    <w:name w:val="Body Text"/>
    <w:basedOn w:val="Normal"/>
    <w:link w:val="BodyTextChar"/>
    <w:rsid w:val="00532462"/>
    <w:pPr>
      <w:widowControl w:val="0"/>
      <w:jc w:val="both"/>
    </w:pPr>
    <w:rPr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53246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FA1BAD"/>
    <w:pPr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j.hlivak@hawaii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2</Pages>
  <Words>496</Words>
  <Characters>2751</Characters>
  <Application>Microsoft Office Word</Application>
  <DocSecurity>0</DocSecurity>
  <Lines>67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3231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2014-09-19T16:33:00Z</cp:lastPrinted>
  <dcterms:created xsi:type="dcterms:W3CDTF">2014-10-03T20:31:00Z</dcterms:created>
  <dcterms:modified xsi:type="dcterms:W3CDTF">2014-10-03T20:31:00Z</dcterms:modified>
  <cp:category> </cp:category>
  <cp:contentStatus> </cp:contentStatus>
</cp:coreProperties>
</file>