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D8" w:rsidRDefault="00DF3CD8" w:rsidP="00A7388D">
      <w:pPr>
        <w:jc w:val="center"/>
        <w:rPr>
          <w:b/>
        </w:rPr>
      </w:pPr>
      <w:bookmarkStart w:id="0" w:name="_GoBack"/>
      <w:bookmarkEnd w:id="0"/>
    </w:p>
    <w:p w:rsidR="001B4F6C" w:rsidRDefault="00B91503" w:rsidP="00A7388D">
      <w:pPr>
        <w:jc w:val="center"/>
        <w:rPr>
          <w:b/>
        </w:rPr>
      </w:pPr>
      <w:r>
        <w:rPr>
          <w:b/>
        </w:rPr>
        <w:t>Before the</w:t>
      </w:r>
    </w:p>
    <w:p w:rsidR="001B4F6C" w:rsidRDefault="00B91503" w:rsidP="00A7388D">
      <w:pPr>
        <w:jc w:val="center"/>
        <w:rPr>
          <w:b/>
        </w:rPr>
      </w:pPr>
      <w:r>
        <w:rPr>
          <w:b/>
        </w:rPr>
        <w:t>Federal Communications Commission</w:t>
      </w:r>
    </w:p>
    <w:p w:rsidR="001B4F6C" w:rsidRDefault="00B91503" w:rsidP="00A7388D">
      <w:pPr>
        <w:jc w:val="center"/>
        <w:rPr>
          <w:b/>
        </w:rPr>
      </w:pPr>
      <w:r>
        <w:rPr>
          <w:b/>
        </w:rPr>
        <w:t>Washington, D.C. 20554</w:t>
      </w:r>
    </w:p>
    <w:p w:rsidR="001B4F6C" w:rsidRDefault="001B4F6C"/>
    <w:p w:rsidR="001B4F6C" w:rsidRDefault="001B4F6C"/>
    <w:tbl>
      <w:tblPr>
        <w:tblW w:w="9639" w:type="dxa"/>
        <w:tblLayout w:type="fixed"/>
        <w:tblLook w:val="0000" w:firstRow="0" w:lastRow="0" w:firstColumn="0" w:lastColumn="0" w:noHBand="0" w:noVBand="0"/>
      </w:tblPr>
      <w:tblGrid>
        <w:gridCol w:w="4694"/>
        <w:gridCol w:w="719"/>
        <w:gridCol w:w="4226"/>
      </w:tblGrid>
      <w:tr w:rsidR="001B4F6C" w:rsidTr="00F97A9F">
        <w:trPr>
          <w:trHeight w:val="1686"/>
        </w:trPr>
        <w:tc>
          <w:tcPr>
            <w:tcW w:w="4694" w:type="dxa"/>
          </w:tcPr>
          <w:p w:rsidR="001B4F6C" w:rsidRDefault="00B91503">
            <w:pPr>
              <w:ind w:right="-18"/>
            </w:pPr>
            <w:r>
              <w:t>In the matter of</w:t>
            </w:r>
          </w:p>
          <w:p w:rsidR="001B4F6C" w:rsidRDefault="001B4F6C">
            <w:pPr>
              <w:ind w:right="-18"/>
            </w:pPr>
          </w:p>
          <w:p w:rsidR="001B4F6C" w:rsidRDefault="00E67255">
            <w:pPr>
              <w:ind w:right="-18"/>
            </w:pPr>
            <w:r>
              <w:t>Copper Valley</w:t>
            </w:r>
            <w:r w:rsidR="006F3DD0">
              <w:t xml:space="preserve"> Wireless, LLC</w:t>
            </w:r>
          </w:p>
          <w:p w:rsidR="00036215" w:rsidRDefault="00036215">
            <w:pPr>
              <w:ind w:right="-18"/>
            </w:pPr>
          </w:p>
          <w:p w:rsidR="00036215" w:rsidRDefault="00AC3295">
            <w:pPr>
              <w:ind w:right="-18"/>
            </w:pPr>
            <w:r>
              <w:t xml:space="preserve">Waiver </w:t>
            </w:r>
            <w:r w:rsidR="00036215">
              <w:t>of Section 54.1007</w:t>
            </w:r>
            <w:r w:rsidR="005F7491">
              <w:t xml:space="preserve">(a) </w:t>
            </w:r>
            <w:r w:rsidR="00036215">
              <w:t>of the</w:t>
            </w:r>
            <w:r w:rsidR="0050790B">
              <w:t xml:space="preserve"> </w:t>
            </w:r>
            <w:r w:rsidR="00036215">
              <w:t>Commission’s Rules</w:t>
            </w:r>
          </w:p>
          <w:p w:rsidR="00882A65" w:rsidRDefault="00882A65">
            <w:pPr>
              <w:ind w:right="-18"/>
            </w:pPr>
          </w:p>
          <w:p w:rsidR="00882A65" w:rsidRDefault="00882A65">
            <w:pPr>
              <w:ind w:right="-18"/>
            </w:pPr>
          </w:p>
        </w:tc>
        <w:tc>
          <w:tcPr>
            <w:tcW w:w="719" w:type="dxa"/>
          </w:tcPr>
          <w:p w:rsidR="001B4F6C" w:rsidRDefault="00B91503">
            <w:pPr>
              <w:rPr>
                <w:b/>
              </w:rPr>
            </w:pPr>
            <w:r>
              <w:rPr>
                <w:b/>
              </w:rPr>
              <w:t>)</w:t>
            </w:r>
          </w:p>
          <w:p w:rsidR="001B4F6C" w:rsidRDefault="00B91503">
            <w:pPr>
              <w:rPr>
                <w:b/>
              </w:rPr>
            </w:pPr>
            <w:r>
              <w:rPr>
                <w:b/>
              </w:rPr>
              <w:t>)</w:t>
            </w:r>
          </w:p>
          <w:p w:rsidR="001B4F6C" w:rsidRDefault="00B91503">
            <w:pPr>
              <w:rPr>
                <w:b/>
              </w:rPr>
            </w:pPr>
            <w:r>
              <w:rPr>
                <w:b/>
              </w:rPr>
              <w:t>)</w:t>
            </w:r>
          </w:p>
          <w:p w:rsidR="001B4F6C" w:rsidRDefault="00B91503">
            <w:pPr>
              <w:rPr>
                <w:b/>
              </w:rPr>
            </w:pPr>
            <w:r>
              <w:rPr>
                <w:b/>
              </w:rPr>
              <w:t>)</w:t>
            </w:r>
          </w:p>
          <w:p w:rsidR="001B4F6C" w:rsidRDefault="00B91503">
            <w:pPr>
              <w:rPr>
                <w:b/>
              </w:rPr>
            </w:pPr>
            <w:r>
              <w:rPr>
                <w:b/>
              </w:rPr>
              <w:t>)</w:t>
            </w:r>
          </w:p>
          <w:p w:rsidR="001B4F6C" w:rsidRDefault="00B91503">
            <w:pPr>
              <w:rPr>
                <w:b/>
              </w:rPr>
            </w:pPr>
            <w:r>
              <w:rPr>
                <w:b/>
              </w:rPr>
              <w:t>)</w:t>
            </w:r>
          </w:p>
          <w:p w:rsidR="001B4F6C" w:rsidRDefault="001B4F6C" w:rsidP="00AC7443">
            <w:pPr>
              <w:rPr>
                <w:b/>
              </w:rPr>
            </w:pPr>
          </w:p>
        </w:tc>
        <w:tc>
          <w:tcPr>
            <w:tcW w:w="4226" w:type="dxa"/>
          </w:tcPr>
          <w:p w:rsidR="001B4F6C" w:rsidRDefault="001B4F6C"/>
          <w:p w:rsidR="00036215" w:rsidRDefault="00036215">
            <w:pPr>
              <w:rPr>
                <w:spacing w:val="-2"/>
              </w:rPr>
            </w:pPr>
          </w:p>
          <w:p w:rsidR="00036215" w:rsidRDefault="00036215"/>
        </w:tc>
      </w:tr>
    </w:tbl>
    <w:p w:rsidR="001B4F6C" w:rsidRPr="00E35500" w:rsidRDefault="00E35500">
      <w:pPr>
        <w:spacing w:before="120"/>
        <w:jc w:val="center"/>
        <w:rPr>
          <w:b/>
        </w:rPr>
      </w:pPr>
      <w:r w:rsidRPr="00E35500">
        <w:rPr>
          <w:b/>
          <w:spacing w:val="-2"/>
        </w:rPr>
        <w:t>ORDER</w:t>
      </w:r>
    </w:p>
    <w:p w:rsidR="001B4F6C" w:rsidRDefault="001B4F6C"/>
    <w:p w:rsidR="001B4F6C" w:rsidRDefault="00B91503">
      <w:pPr>
        <w:tabs>
          <w:tab w:val="left" w:pos="5760"/>
        </w:tabs>
        <w:rPr>
          <w:b/>
        </w:rPr>
      </w:pPr>
      <w:r>
        <w:rPr>
          <w:b/>
        </w:rPr>
        <w:t xml:space="preserve">Adopted:  </w:t>
      </w:r>
      <w:r w:rsidR="00456DAC">
        <w:rPr>
          <w:b/>
        </w:rPr>
        <w:t>October</w:t>
      </w:r>
      <w:r w:rsidR="006F3DD0">
        <w:rPr>
          <w:b/>
        </w:rPr>
        <w:t xml:space="preserve"> </w:t>
      </w:r>
      <w:r w:rsidR="007A302C">
        <w:rPr>
          <w:b/>
        </w:rPr>
        <w:t>9</w:t>
      </w:r>
      <w:r w:rsidR="006F3DD0">
        <w:rPr>
          <w:b/>
        </w:rPr>
        <w:t>, 2014</w:t>
      </w:r>
      <w:r>
        <w:rPr>
          <w:b/>
        </w:rPr>
        <w:tab/>
        <w:t xml:space="preserve">Released:  </w:t>
      </w:r>
      <w:r w:rsidR="00456DAC">
        <w:rPr>
          <w:b/>
          <w:spacing w:val="-2"/>
        </w:rPr>
        <w:t>October</w:t>
      </w:r>
      <w:r w:rsidR="006F3DD0">
        <w:rPr>
          <w:b/>
          <w:spacing w:val="-2"/>
        </w:rPr>
        <w:t xml:space="preserve"> </w:t>
      </w:r>
      <w:r w:rsidR="007A302C">
        <w:rPr>
          <w:b/>
          <w:spacing w:val="-2"/>
        </w:rPr>
        <w:t>9</w:t>
      </w:r>
      <w:r w:rsidR="006F3DD0">
        <w:rPr>
          <w:b/>
          <w:spacing w:val="-2"/>
        </w:rPr>
        <w:t>, 2014</w:t>
      </w:r>
    </w:p>
    <w:p w:rsidR="001B4F6C" w:rsidRDefault="001B4F6C">
      <w:pPr>
        <w:tabs>
          <w:tab w:val="left" w:pos="5760"/>
        </w:tabs>
        <w:rPr>
          <w:b/>
        </w:rPr>
      </w:pPr>
    </w:p>
    <w:p w:rsidR="001B4F6C" w:rsidRDefault="00B91503">
      <w:pPr>
        <w:tabs>
          <w:tab w:val="left" w:pos="5760"/>
        </w:tabs>
      </w:pPr>
      <w:r>
        <w:t>By the</w:t>
      </w:r>
      <w:r w:rsidR="00E35500">
        <w:t xml:space="preserve"> </w:t>
      </w:r>
      <w:r w:rsidR="00631BE5">
        <w:t xml:space="preserve">Deputy </w:t>
      </w:r>
      <w:r w:rsidR="00E35500">
        <w:t xml:space="preserve">Chief, </w:t>
      </w:r>
      <w:r w:rsidR="008F4A3A">
        <w:t xml:space="preserve">Auctions and Spectrum Access Division, </w:t>
      </w:r>
      <w:r w:rsidR="00E35500">
        <w:t>Wireless Telecommunications Bureau</w:t>
      </w:r>
      <w:r>
        <w:rPr>
          <w:spacing w:val="-2"/>
        </w:rPr>
        <w:t>:</w:t>
      </w:r>
    </w:p>
    <w:p w:rsidR="001B4F6C" w:rsidRDefault="001B4F6C">
      <w:pPr>
        <w:tabs>
          <w:tab w:val="left" w:pos="5760"/>
        </w:tabs>
        <w:rPr>
          <w:b/>
        </w:rPr>
      </w:pPr>
    </w:p>
    <w:p w:rsidR="00376985" w:rsidRDefault="00EA3AF6">
      <w:pPr>
        <w:pStyle w:val="Heading1"/>
      </w:pPr>
      <w:r>
        <w:t>INTRODUCTION</w:t>
      </w:r>
    </w:p>
    <w:p w:rsidR="00A030BB" w:rsidRDefault="00EA3AF6" w:rsidP="0046189B">
      <w:pPr>
        <w:pStyle w:val="ParaNum"/>
        <w:tabs>
          <w:tab w:val="clear" w:pos="1080"/>
        </w:tabs>
        <w:jc w:val="left"/>
      </w:pPr>
      <w:r>
        <w:t xml:space="preserve">In this order, </w:t>
      </w:r>
      <w:r w:rsidR="00362572">
        <w:t xml:space="preserve">we </w:t>
      </w:r>
      <w:r w:rsidR="00903B50">
        <w:t>grant</w:t>
      </w:r>
      <w:r w:rsidR="00C24A10">
        <w:t xml:space="preserve"> </w:t>
      </w:r>
      <w:r w:rsidR="00877E48">
        <w:t xml:space="preserve">a request from </w:t>
      </w:r>
      <w:r w:rsidR="00E67255">
        <w:t>Copper Valley</w:t>
      </w:r>
      <w:r w:rsidR="006F3DD0">
        <w:t xml:space="preserve"> Wireless, LLC (“</w:t>
      </w:r>
      <w:r w:rsidR="00E67255">
        <w:t>Copper Valley</w:t>
      </w:r>
      <w:r w:rsidR="00903B50">
        <w:t xml:space="preserve">”) </w:t>
      </w:r>
      <w:r w:rsidR="00877E48">
        <w:t xml:space="preserve">for relief from </w:t>
      </w:r>
      <w:r w:rsidR="00305D95">
        <w:t xml:space="preserve">the </w:t>
      </w:r>
      <w:r w:rsidR="006B3073">
        <w:t xml:space="preserve">requirement </w:t>
      </w:r>
      <w:r w:rsidR="00390C8F">
        <w:t xml:space="preserve">to </w:t>
      </w:r>
      <w:r>
        <w:t>submit</w:t>
      </w:r>
      <w:r w:rsidR="00305D95">
        <w:t xml:space="preserve"> a</w:t>
      </w:r>
      <w:r w:rsidR="007E45DE">
        <w:t xml:space="preserve"> separate</w:t>
      </w:r>
      <w:r>
        <w:t xml:space="preserve"> </w:t>
      </w:r>
      <w:r w:rsidR="00A73E60">
        <w:t xml:space="preserve">acceptable </w:t>
      </w:r>
      <w:r>
        <w:t xml:space="preserve">irrevocable </w:t>
      </w:r>
      <w:r w:rsidR="00A22067">
        <w:t>stand-by letter of credit (“LOC</w:t>
      </w:r>
      <w:r>
        <w:t>”)</w:t>
      </w:r>
      <w:r w:rsidR="00A030BB">
        <w:t xml:space="preserve"> </w:t>
      </w:r>
      <w:r w:rsidR="00ED168F">
        <w:t xml:space="preserve">for </w:t>
      </w:r>
      <w:r w:rsidR="00C65CB6">
        <w:t xml:space="preserve">each of its </w:t>
      </w:r>
      <w:r w:rsidR="00ED168F">
        <w:t xml:space="preserve">winning bids for </w:t>
      </w:r>
      <w:r w:rsidR="008D3E79">
        <w:t>Tribal Mobility</w:t>
      </w:r>
      <w:r w:rsidR="00ED168F">
        <w:t xml:space="preserve"> Fund Phase I support </w:t>
      </w:r>
      <w:r w:rsidR="00BD04F7">
        <w:t xml:space="preserve">as a guarantee of </w:t>
      </w:r>
      <w:r w:rsidR="00477024">
        <w:t xml:space="preserve">its </w:t>
      </w:r>
      <w:r w:rsidR="00BD04F7">
        <w:t xml:space="preserve">performance in meeting its public interest obligations associated </w:t>
      </w:r>
      <w:r w:rsidR="00477024">
        <w:t xml:space="preserve">with </w:t>
      </w:r>
      <w:r w:rsidR="00ED168F">
        <w:t>those</w:t>
      </w:r>
      <w:r w:rsidR="00477024">
        <w:t xml:space="preserve"> winning </w:t>
      </w:r>
      <w:r w:rsidR="006F3DD0">
        <w:t xml:space="preserve">bids for </w:t>
      </w:r>
      <w:r w:rsidR="006F3DD0" w:rsidRPr="003077FD">
        <w:t>certain areas</w:t>
      </w:r>
      <w:r w:rsidR="006F3DD0">
        <w:t xml:space="preserve"> in </w:t>
      </w:r>
      <w:r w:rsidR="00720030">
        <w:t>Alaska</w:t>
      </w:r>
      <w:r w:rsidR="00477024">
        <w:t xml:space="preserve">.  </w:t>
      </w:r>
      <w:r w:rsidR="00643C9E">
        <w:t>Speci</w:t>
      </w:r>
      <w:r w:rsidR="00720030">
        <w:t xml:space="preserve">fically, we allow </w:t>
      </w:r>
      <w:r w:rsidR="00E67255">
        <w:t>Copper Valley</w:t>
      </w:r>
      <w:r w:rsidR="00720030">
        <w:t xml:space="preserve"> to submit one</w:t>
      </w:r>
      <w:r w:rsidR="00643C9E">
        <w:t xml:space="preserve"> irrevocable stand-by LOC wit</w:t>
      </w:r>
      <w:r w:rsidR="00BD4AA7">
        <w:t>h its long-form application for</w:t>
      </w:r>
      <w:r w:rsidR="00720030">
        <w:t xml:space="preserve"> </w:t>
      </w:r>
      <w:r w:rsidR="008D3E79">
        <w:t>Tribal Mobility</w:t>
      </w:r>
      <w:r w:rsidR="00643C9E">
        <w:t xml:space="preserve"> Fund Phase I support</w:t>
      </w:r>
      <w:r w:rsidR="00720030">
        <w:t xml:space="preserve"> covering all 11</w:t>
      </w:r>
      <w:r w:rsidR="00C65CB6">
        <w:t xml:space="preserve"> </w:t>
      </w:r>
      <w:r w:rsidR="00720030">
        <w:t xml:space="preserve">of </w:t>
      </w:r>
      <w:r w:rsidR="00E67255">
        <w:t>Copper Valley</w:t>
      </w:r>
      <w:r w:rsidR="00720030">
        <w:t>’s</w:t>
      </w:r>
      <w:r w:rsidR="0078248D">
        <w:t xml:space="preserve"> </w:t>
      </w:r>
      <w:r w:rsidR="00C65CB6">
        <w:t>winning bid areas</w:t>
      </w:r>
      <w:r w:rsidR="00720030">
        <w:t>, with the</w:t>
      </w:r>
      <w:r w:rsidR="00643C9E">
        <w:t xml:space="preserve"> LOC corresponding to a group of census blocks associated with </w:t>
      </w:r>
      <w:r w:rsidR="0046189B">
        <w:t xml:space="preserve">a project-specific </w:t>
      </w:r>
      <w:r w:rsidR="00477024">
        <w:t xml:space="preserve">network </w:t>
      </w:r>
      <w:r w:rsidR="0046189B">
        <w:t xml:space="preserve">upgrade to provide broadband service to </w:t>
      </w:r>
      <w:r w:rsidR="00477024" w:rsidRPr="003077FD">
        <w:t xml:space="preserve">particular </w:t>
      </w:r>
      <w:r w:rsidR="0046189B" w:rsidRPr="003077FD">
        <w:t>communities</w:t>
      </w:r>
      <w:r w:rsidR="0046189B">
        <w:t xml:space="preserve"> in Alaska.  </w:t>
      </w:r>
      <w:r w:rsidR="00477024">
        <w:t xml:space="preserve">Because we find that a waiver of the one LOC per winning bid requirement in this case would </w:t>
      </w:r>
      <w:r w:rsidR="00477024" w:rsidRPr="00E83D3B">
        <w:rPr>
          <w:szCs w:val="22"/>
        </w:rPr>
        <w:t>not conflict with the policy underlying the rule</w:t>
      </w:r>
      <w:r w:rsidR="00477024">
        <w:rPr>
          <w:szCs w:val="22"/>
        </w:rPr>
        <w:t xml:space="preserve"> and would serve the public interest</w:t>
      </w:r>
      <w:r w:rsidR="00720030">
        <w:t xml:space="preserve">, we grant </w:t>
      </w:r>
      <w:r w:rsidR="00E67255">
        <w:t>Copper Valley</w:t>
      </w:r>
      <w:r w:rsidR="0015317E">
        <w:t>’s request</w:t>
      </w:r>
      <w:r w:rsidR="000B3BF0">
        <w:t xml:space="preserve">. </w:t>
      </w:r>
    </w:p>
    <w:p w:rsidR="00A030BB" w:rsidRDefault="00A030BB" w:rsidP="004F37DD">
      <w:pPr>
        <w:pStyle w:val="Heading1"/>
        <w:jc w:val="left"/>
      </w:pPr>
      <w:r>
        <w:t xml:space="preserve"> BACKGROUND</w:t>
      </w:r>
    </w:p>
    <w:p w:rsidR="006B59B8" w:rsidRDefault="008D3E79" w:rsidP="004F37DD">
      <w:pPr>
        <w:pStyle w:val="ParaNum"/>
        <w:tabs>
          <w:tab w:val="clear" w:pos="1080"/>
        </w:tabs>
        <w:jc w:val="left"/>
      </w:pPr>
      <w:r>
        <w:rPr>
          <w:i/>
        </w:rPr>
        <w:t>Tribal Mobility</w:t>
      </w:r>
      <w:r w:rsidR="006B59B8" w:rsidRPr="00E04139">
        <w:rPr>
          <w:i/>
        </w:rPr>
        <w:t xml:space="preserve"> Fund Phase I</w:t>
      </w:r>
      <w:r w:rsidR="006B59B8" w:rsidRPr="00E04139">
        <w:t xml:space="preserve">.  </w:t>
      </w:r>
      <w:r w:rsidR="00E67255">
        <w:t>Copper Valley</w:t>
      </w:r>
      <w:r w:rsidR="006B59B8">
        <w:t xml:space="preserve">’s </w:t>
      </w:r>
      <w:r w:rsidR="006B59B8" w:rsidRPr="00E04139">
        <w:t xml:space="preserve">request </w:t>
      </w:r>
      <w:r w:rsidR="00A73E60">
        <w:t xml:space="preserve">for relief </w:t>
      </w:r>
      <w:r w:rsidR="006B59B8" w:rsidRPr="00E04139">
        <w:t>arises out of its status as a winning bidder in the</w:t>
      </w:r>
      <w:r w:rsidR="00FB6CDD">
        <w:t xml:space="preserve"> Commission’s </w:t>
      </w:r>
      <w:r w:rsidR="006B59B8" w:rsidRPr="00E04139">
        <w:t xml:space="preserve">auction of </w:t>
      </w:r>
      <w:r>
        <w:t>Tribal Mobility</w:t>
      </w:r>
      <w:r w:rsidR="006B59B8" w:rsidRPr="00E04139">
        <w:t xml:space="preserve"> Fund Phase I support, </w:t>
      </w:r>
      <w:r w:rsidR="006B59B8" w:rsidRPr="00EB240C">
        <w:t xml:space="preserve">which </w:t>
      </w:r>
      <w:r w:rsidR="00FB6CDD">
        <w:t>was designated Auction 902</w:t>
      </w:r>
      <w:r w:rsidR="006B59B8" w:rsidRPr="00EB240C">
        <w:t xml:space="preserve">. </w:t>
      </w:r>
    </w:p>
    <w:p w:rsidR="00BF4ABC" w:rsidRDefault="00B621DC" w:rsidP="008A3152">
      <w:pPr>
        <w:pStyle w:val="ParaNum"/>
        <w:tabs>
          <w:tab w:val="clear" w:pos="1080"/>
        </w:tabs>
        <w:jc w:val="left"/>
      </w:pPr>
      <w:r>
        <w:t xml:space="preserve">In </w:t>
      </w:r>
      <w:r w:rsidR="0089759C">
        <w:t xml:space="preserve">the </w:t>
      </w:r>
      <w:r w:rsidR="0089759C" w:rsidRPr="008A3152">
        <w:rPr>
          <w:i/>
        </w:rPr>
        <w:t>USF/ICC Transformation Order</w:t>
      </w:r>
      <w:r w:rsidR="0089759C">
        <w:t xml:space="preserve">, the Commission </w:t>
      </w:r>
      <w:r>
        <w:t>comprehensively reformed and modernized the universal service system to help ensure the universal availability of fixed and mobile communication networks capable of providing voice and broadband services where people live, work, and travel.</w:t>
      </w:r>
      <w:r w:rsidR="0089759C" w:rsidRPr="00941EF6">
        <w:rPr>
          <w:rStyle w:val="FootnoteReference"/>
        </w:rPr>
        <w:footnoteReference w:id="2"/>
      </w:r>
      <w:r w:rsidR="0089759C" w:rsidRPr="00941EF6">
        <w:rPr>
          <w:rStyle w:val="FootnoteReference"/>
        </w:rPr>
        <w:t xml:space="preserve"> </w:t>
      </w:r>
      <w:r w:rsidR="0089759C">
        <w:t xml:space="preserve"> </w:t>
      </w:r>
      <w:r w:rsidRPr="008A3152">
        <w:rPr>
          <w:color w:val="000000"/>
          <w:szCs w:val="22"/>
        </w:rPr>
        <w:t xml:space="preserve">The Commission’s universal service reforms include a commitment to fiscal responsibility, </w:t>
      </w:r>
      <w:r w:rsidRPr="008A3152">
        <w:rPr>
          <w:color w:val="000000"/>
          <w:szCs w:val="22"/>
        </w:rPr>
        <w:lastRenderedPageBreak/>
        <w:t>accountability, and the use of market-based mechanisms, such as competitive bidding, to provide more targeted and efficient support than in the past.</w:t>
      </w:r>
      <w:r>
        <w:rPr>
          <w:rStyle w:val="FootnoteReference"/>
          <w:color w:val="000000"/>
          <w:szCs w:val="22"/>
        </w:rPr>
        <w:footnoteReference w:id="3"/>
      </w:r>
      <w:r>
        <w:t xml:space="preserve">  </w:t>
      </w:r>
      <w:r w:rsidRPr="003077FD">
        <w:t>For the first time</w:t>
      </w:r>
      <w:r>
        <w:t xml:space="preserve">, the Commission established a universal service support mechanism dedicated exclusively to mobile services—the </w:t>
      </w:r>
      <w:r w:rsidR="008D3E79">
        <w:t>Mobility</w:t>
      </w:r>
      <w:r>
        <w:t xml:space="preserve"> Fund.</w:t>
      </w:r>
      <w:r>
        <w:rPr>
          <w:rStyle w:val="FootnoteReference"/>
        </w:rPr>
        <w:footnoteReference w:id="4"/>
      </w:r>
      <w:r>
        <w:t xml:space="preserve"> </w:t>
      </w:r>
      <w:r w:rsidR="008A3152">
        <w:t xml:space="preserve"> The Commission decided that Mobility Fund Phase I funding would be awarded through a reverse auction mechanism and delegated to the Wireless Telecommunications Bureau and the Wireline Competition Bureau (together, the “Bureaus”) authority to implement this program.</w:t>
      </w:r>
      <w:r w:rsidR="008A3152" w:rsidRPr="00D22450">
        <w:rPr>
          <w:rStyle w:val="FootnoteReference"/>
        </w:rPr>
        <w:footnoteReference w:id="5"/>
      </w:r>
      <w:r w:rsidR="008A3152">
        <w:t xml:space="preserve">  </w:t>
      </w:r>
      <w:r w:rsidR="00E950B6">
        <w:t>O</w:t>
      </w:r>
      <w:r w:rsidR="00E950B6" w:rsidRPr="00EF5FE0">
        <w:t>n September 27, 2012</w:t>
      </w:r>
      <w:r w:rsidR="00E950B6">
        <w:t xml:space="preserve">, </w:t>
      </w:r>
      <w:r w:rsidR="008A3152" w:rsidRPr="00EF5FE0">
        <w:t xml:space="preserve">the Commission conducted the first Mobility Fund Phase I auction, Auction 901, </w:t>
      </w:r>
      <w:r w:rsidR="008A3152">
        <w:t>which offered $300 million in one-time high-cost universal service support</w:t>
      </w:r>
      <w:r w:rsidR="008A3152" w:rsidRPr="00EF5FE0">
        <w:t xml:space="preserve">.  </w:t>
      </w:r>
      <w:r w:rsidR="008A3152">
        <w:t>T</w:t>
      </w:r>
      <w:r w:rsidR="00340B4F">
        <w:t xml:space="preserve">he Commission </w:t>
      </w:r>
      <w:r w:rsidR="008A3152">
        <w:t xml:space="preserve">also </w:t>
      </w:r>
      <w:r w:rsidR="000779D0">
        <w:t>set aside up to $5</w:t>
      </w:r>
      <w:r>
        <w:t>0 million in one-time high-c</w:t>
      </w:r>
      <w:r w:rsidR="00A73E60">
        <w:t>ost universal service support</w:t>
      </w:r>
      <w:r w:rsidR="008A3152">
        <w:t>, Tribal Mobility Fund Phase I,</w:t>
      </w:r>
      <w:r w:rsidR="00A73E60">
        <w:t xml:space="preserve"> for carriers that commit</w:t>
      </w:r>
      <w:r w:rsidR="000C61D0">
        <w:t>ted</w:t>
      </w:r>
      <w:r>
        <w:t xml:space="preserve"> to provide</w:t>
      </w:r>
      <w:r w:rsidR="0078541B">
        <w:t xml:space="preserve"> current- and next</w:t>
      </w:r>
      <w:r w:rsidR="001C3CB6">
        <w:t>-generation</w:t>
      </w:r>
      <w:r>
        <w:t xml:space="preserve"> mobile voice and broadband services</w:t>
      </w:r>
      <w:r w:rsidR="000C0E3E">
        <w:t xml:space="preserve"> on Tribal lands</w:t>
      </w:r>
      <w:r w:rsidR="00340B4F">
        <w:t>.</w:t>
      </w:r>
      <w:r w:rsidR="00340B4F" w:rsidRPr="000C0E3E">
        <w:rPr>
          <w:rStyle w:val="FootnoteReference"/>
        </w:rPr>
        <w:footnoteReference w:id="6"/>
      </w:r>
      <w:r w:rsidR="006B59B8" w:rsidRPr="006B59B8">
        <w:t xml:space="preserve"> </w:t>
      </w:r>
      <w:r w:rsidR="006B59B8">
        <w:t xml:space="preserve"> </w:t>
      </w:r>
    </w:p>
    <w:p w:rsidR="00101D7C" w:rsidRPr="000779D0" w:rsidRDefault="008B5651" w:rsidP="00BC0353">
      <w:pPr>
        <w:pStyle w:val="ParaNum"/>
        <w:widowControl/>
        <w:tabs>
          <w:tab w:val="clear" w:pos="1080"/>
          <w:tab w:val="num" w:pos="1440"/>
        </w:tabs>
        <w:spacing w:after="120"/>
        <w:jc w:val="left"/>
        <w:rPr>
          <w:szCs w:val="22"/>
        </w:rPr>
      </w:pPr>
      <w:r>
        <w:t xml:space="preserve">Bidding in </w:t>
      </w:r>
      <w:r w:rsidR="008A3152">
        <w:t xml:space="preserve">Tribal Mobility Fund Phase I, </w:t>
      </w:r>
      <w:r>
        <w:t>Auction 902</w:t>
      </w:r>
      <w:r w:rsidR="008A3152">
        <w:t>,</w:t>
      </w:r>
      <w:r w:rsidR="007862C5">
        <w:t xml:space="preserve"> </w:t>
      </w:r>
      <w:r>
        <w:t xml:space="preserve">took place on </w:t>
      </w:r>
      <w:r w:rsidR="000779D0">
        <w:t>February 25, 2014</w:t>
      </w:r>
      <w:r w:rsidR="007862C5" w:rsidRPr="00206D3E">
        <w:t>.</w:t>
      </w:r>
      <w:r w:rsidR="007862C5">
        <w:rPr>
          <w:rStyle w:val="FootnoteReference"/>
        </w:rPr>
        <w:footnoteReference w:id="7"/>
      </w:r>
      <w:r w:rsidR="007862C5" w:rsidRPr="00206D3E">
        <w:t xml:space="preserve"> </w:t>
      </w:r>
      <w:r w:rsidR="007862C5">
        <w:t xml:space="preserve"> </w:t>
      </w:r>
      <w:r w:rsidR="00E54261" w:rsidRPr="000779D0">
        <w:rPr>
          <w:color w:val="252525"/>
          <w:szCs w:val="22"/>
        </w:rPr>
        <w:t xml:space="preserve">There were a total of five </w:t>
      </w:r>
      <w:r w:rsidR="00E54261" w:rsidRPr="000779D0">
        <w:rPr>
          <w:rStyle w:val="cosearchterm7"/>
          <w:b w:val="0"/>
          <w:szCs w:val="22"/>
        </w:rPr>
        <w:t>winning</w:t>
      </w:r>
      <w:r w:rsidR="00E54261" w:rsidRPr="000779D0">
        <w:rPr>
          <w:b/>
          <w:color w:val="252525"/>
          <w:szCs w:val="22"/>
        </w:rPr>
        <w:t xml:space="preserve"> </w:t>
      </w:r>
      <w:r w:rsidR="00E54261" w:rsidRPr="000779D0">
        <w:rPr>
          <w:rStyle w:val="cosearchterm7"/>
          <w:b w:val="0"/>
          <w:szCs w:val="22"/>
        </w:rPr>
        <w:t>bidders</w:t>
      </w:r>
      <w:r w:rsidR="00E54261" w:rsidRPr="000779D0">
        <w:rPr>
          <w:color w:val="252525"/>
          <w:szCs w:val="22"/>
        </w:rPr>
        <w:t xml:space="preserve">. The </w:t>
      </w:r>
      <w:r w:rsidR="00E54261" w:rsidRPr="000779D0">
        <w:rPr>
          <w:rStyle w:val="cosearchterm7"/>
          <w:b w:val="0"/>
          <w:szCs w:val="22"/>
        </w:rPr>
        <w:t>winning</w:t>
      </w:r>
      <w:r w:rsidR="00E54261" w:rsidRPr="000779D0">
        <w:rPr>
          <w:b/>
          <w:color w:val="252525"/>
          <w:szCs w:val="22"/>
        </w:rPr>
        <w:t xml:space="preserve"> </w:t>
      </w:r>
      <w:r w:rsidR="00E54261" w:rsidRPr="000779D0">
        <w:rPr>
          <w:rStyle w:val="cosearchterm7"/>
          <w:b w:val="0"/>
          <w:szCs w:val="22"/>
        </w:rPr>
        <w:t>bidders</w:t>
      </w:r>
      <w:r w:rsidR="00E54261" w:rsidRPr="000779D0">
        <w:rPr>
          <w:color w:val="252525"/>
          <w:szCs w:val="22"/>
        </w:rPr>
        <w:t xml:space="preserve"> are eligible to receive a total of up to $49,806,874 in one-time Tribal Mobility Fund Phase I universal service support to provide 3G or better mobile voice and broadband services covering a population of 56,932 in 80 biddable areas. </w:t>
      </w:r>
      <w:r w:rsidR="00E54261" w:rsidRPr="003077FD">
        <w:rPr>
          <w:color w:val="252525"/>
          <w:szCs w:val="22"/>
        </w:rPr>
        <w:t>These areas include 18 biddable areas on five Reservations or Tribal lands in Arizona, Montana, New Mexico, and Utah; and 62 biddable areas in 49 Alaska Native Village Statistical Areas and 13 bidding areas oth</w:t>
      </w:r>
      <w:r w:rsidR="000779D0" w:rsidRPr="003077FD">
        <w:rPr>
          <w:color w:val="252525"/>
          <w:szCs w:val="22"/>
        </w:rPr>
        <w:t>erwise in Alaska Native Regions</w:t>
      </w:r>
      <w:r w:rsidR="007862C5" w:rsidRPr="003077FD">
        <w:rPr>
          <w:szCs w:val="22"/>
        </w:rPr>
        <w:t>.</w:t>
      </w:r>
      <w:r w:rsidR="007862C5" w:rsidRPr="003077FD">
        <w:rPr>
          <w:rStyle w:val="FootnoteReference"/>
          <w:szCs w:val="22"/>
        </w:rPr>
        <w:footnoteReference w:id="8"/>
      </w:r>
      <w:r w:rsidR="007862C5" w:rsidRPr="003077FD">
        <w:rPr>
          <w:szCs w:val="22"/>
        </w:rPr>
        <w:t xml:space="preserve">  Winning bidders, such as</w:t>
      </w:r>
      <w:r w:rsidR="007862C5" w:rsidRPr="000779D0">
        <w:rPr>
          <w:szCs w:val="22"/>
        </w:rPr>
        <w:t xml:space="preserve"> </w:t>
      </w:r>
      <w:r w:rsidR="00E67255">
        <w:rPr>
          <w:szCs w:val="22"/>
        </w:rPr>
        <w:t>Copper Valley</w:t>
      </w:r>
      <w:r w:rsidR="007862C5" w:rsidRPr="000779D0">
        <w:rPr>
          <w:szCs w:val="22"/>
        </w:rPr>
        <w:t xml:space="preserve">, were required to submit FCC Form 680, the post-auction long-form </w:t>
      </w:r>
      <w:r w:rsidR="00E54261" w:rsidRPr="000779D0">
        <w:rPr>
          <w:szCs w:val="22"/>
        </w:rPr>
        <w:t>application, by April 4, 2014</w:t>
      </w:r>
      <w:r w:rsidR="007862C5" w:rsidRPr="000779D0">
        <w:rPr>
          <w:szCs w:val="22"/>
        </w:rPr>
        <w:t>.</w:t>
      </w:r>
      <w:r w:rsidR="007862C5" w:rsidRPr="000779D0">
        <w:rPr>
          <w:rStyle w:val="FootnoteReference"/>
          <w:szCs w:val="22"/>
        </w:rPr>
        <w:footnoteReference w:id="9"/>
      </w:r>
    </w:p>
    <w:p w:rsidR="007862C5" w:rsidRDefault="00F82ADE" w:rsidP="0048188E">
      <w:pPr>
        <w:pStyle w:val="ParaNum"/>
        <w:tabs>
          <w:tab w:val="clear" w:pos="1080"/>
          <w:tab w:val="num" w:pos="1440"/>
        </w:tabs>
        <w:jc w:val="left"/>
      </w:pPr>
      <w:r>
        <w:rPr>
          <w:i/>
          <w:szCs w:val="22"/>
        </w:rPr>
        <w:t>Auction 902</w:t>
      </w:r>
      <w:r w:rsidR="00101D7C" w:rsidRPr="000779D0">
        <w:rPr>
          <w:i/>
          <w:szCs w:val="22"/>
        </w:rPr>
        <w:t xml:space="preserve"> Bidding</w:t>
      </w:r>
      <w:r w:rsidR="00101D7C" w:rsidRPr="000779D0">
        <w:rPr>
          <w:szCs w:val="22"/>
        </w:rPr>
        <w:t xml:space="preserve">.  In the </w:t>
      </w:r>
      <w:r w:rsidR="00101D7C" w:rsidRPr="000779D0">
        <w:rPr>
          <w:i/>
          <w:szCs w:val="22"/>
        </w:rPr>
        <w:t>USF/ICC Transformation Order</w:t>
      </w:r>
      <w:r w:rsidR="00101D7C" w:rsidRPr="009E5150">
        <w:rPr>
          <w:rFonts w:ascii="Times" w:hAnsi="Times"/>
        </w:rPr>
        <w:t xml:space="preserve">, </w:t>
      </w:r>
      <w:r w:rsidR="00101D7C">
        <w:rPr>
          <w:rFonts w:ascii="Times" w:hAnsi="Times"/>
        </w:rPr>
        <w:t>t</w:t>
      </w:r>
      <w:r w:rsidR="00101D7C" w:rsidRPr="009A7069">
        <w:t xml:space="preserve">he Commission determined that the census block should be the minimum geographic building block for which </w:t>
      </w:r>
      <w:r w:rsidR="008D3E79">
        <w:t>Tribal Mobility</w:t>
      </w:r>
      <w:r w:rsidR="00101D7C">
        <w:t xml:space="preserve"> Fund Phase I </w:t>
      </w:r>
      <w:r w:rsidR="00101D7C" w:rsidRPr="009A7069">
        <w:t xml:space="preserve">support is provided, </w:t>
      </w:r>
      <w:r w:rsidR="00101D7C">
        <w:t xml:space="preserve">and </w:t>
      </w:r>
      <w:r w:rsidR="00101D7C" w:rsidRPr="003077FD">
        <w:t xml:space="preserve">delegated to the Bureaus authority to provide </w:t>
      </w:r>
      <w:r w:rsidR="000C61D0" w:rsidRPr="003077FD">
        <w:t xml:space="preserve">in the auction procedures </w:t>
      </w:r>
      <w:r w:rsidR="00984EF1">
        <w:t xml:space="preserve">a </w:t>
      </w:r>
      <w:r w:rsidR="000C61D0" w:rsidRPr="003077FD">
        <w:t xml:space="preserve">process </w:t>
      </w:r>
      <w:r w:rsidR="00101D7C" w:rsidRPr="003077FD">
        <w:t>for aggregation</w:t>
      </w:r>
      <w:r w:rsidR="00101D7C">
        <w:t xml:space="preserve"> of those minimum building blocks into larger units for </w:t>
      </w:r>
      <w:r w:rsidR="00101D7C" w:rsidRPr="009A7069">
        <w:t>bidding.</w:t>
      </w:r>
      <w:r w:rsidR="00101D7C">
        <w:rPr>
          <w:rStyle w:val="FootnoteReference"/>
        </w:rPr>
        <w:footnoteReference w:id="10"/>
      </w:r>
      <w:r w:rsidR="00101D7C">
        <w:t xml:space="preserve">  In so doing, the Commission observed that Alaska presented a unique situation because the average size of census blocks in Alaska is more than 50 times the average size of census blocks in the other 49 States</w:t>
      </w:r>
      <w:r w:rsidR="0078248D">
        <w:t>; as a result,</w:t>
      </w:r>
      <w:r w:rsidR="00101D7C">
        <w:t xml:space="preserve"> </w:t>
      </w:r>
      <w:r w:rsidR="00101D7C" w:rsidRPr="003077FD">
        <w:t xml:space="preserve">bidding areas in Alaska might </w:t>
      </w:r>
      <w:r w:rsidR="0078248D">
        <w:t xml:space="preserve">need to </w:t>
      </w:r>
      <w:r w:rsidR="00101D7C" w:rsidRPr="003077FD">
        <w:t xml:space="preserve">be </w:t>
      </w:r>
      <w:r w:rsidR="0078248D">
        <w:t xml:space="preserve">based on </w:t>
      </w:r>
      <w:r w:rsidR="00101D7C" w:rsidRPr="003077FD">
        <w:t>census blocks</w:t>
      </w:r>
      <w:r w:rsidR="00101D7C">
        <w:t>.</w:t>
      </w:r>
      <w:r w:rsidR="00101D7C">
        <w:rPr>
          <w:rStyle w:val="FootnoteReference"/>
        </w:rPr>
        <w:footnoteReference w:id="11"/>
      </w:r>
      <w:r w:rsidR="00101D7C">
        <w:t xml:space="preserve">  Consistent with the Commission’s guidance</w:t>
      </w:r>
      <w:r w:rsidR="00701786">
        <w:t>, with the Bureau's experience in Auction 901,</w:t>
      </w:r>
      <w:r w:rsidR="00101D7C">
        <w:t xml:space="preserve"> </w:t>
      </w:r>
      <w:r w:rsidR="00701786">
        <w:t xml:space="preserve">and with the record, </w:t>
      </w:r>
      <w:r w:rsidR="00101D7C">
        <w:t xml:space="preserve">in the </w:t>
      </w:r>
      <w:r>
        <w:rPr>
          <w:i/>
        </w:rPr>
        <w:t>Auction 902</w:t>
      </w:r>
      <w:r w:rsidR="00701786">
        <w:rPr>
          <w:i/>
        </w:rPr>
        <w:t xml:space="preserve"> Procedures</w:t>
      </w:r>
      <w:r w:rsidR="00101D7C" w:rsidRPr="0076214F">
        <w:rPr>
          <w:i/>
        </w:rPr>
        <w:t xml:space="preserve"> Public Notice</w:t>
      </w:r>
      <w:r w:rsidR="00701786">
        <w:t xml:space="preserve"> </w:t>
      </w:r>
      <w:r w:rsidR="00101D7C">
        <w:t xml:space="preserve">the Bureaus established auction procedures providing that, with the exception of </w:t>
      </w:r>
      <w:r w:rsidR="003D6477">
        <w:t xml:space="preserve">certain blocks in </w:t>
      </w:r>
      <w:r w:rsidR="00101D7C">
        <w:t xml:space="preserve">Alaska, </w:t>
      </w:r>
      <w:r w:rsidR="00101D7C" w:rsidRPr="00EA4A09">
        <w:t xml:space="preserve">bidders </w:t>
      </w:r>
      <w:r w:rsidR="00101D7C">
        <w:t>would</w:t>
      </w:r>
      <w:r w:rsidR="00101D7C" w:rsidRPr="00EA4A09">
        <w:t xml:space="preserve"> be able to bid for support </w:t>
      </w:r>
      <w:r w:rsidR="003D6477">
        <w:t xml:space="preserve">in areas consisting of predefined aggregations of eligible census blocks.  Under this approach, eligible census blocks were </w:t>
      </w:r>
      <w:r w:rsidR="00E86AE2">
        <w:t>aggregated</w:t>
      </w:r>
      <w:r w:rsidR="003D6477">
        <w:t xml:space="preserve"> by the Tribal land in which they were located</w:t>
      </w:r>
      <w:r w:rsidR="0004064F">
        <w:t>,</w:t>
      </w:r>
      <w:r w:rsidR="003D6477">
        <w:t xml:space="preserve"> with one bidding area for each tract </w:t>
      </w:r>
      <w:r w:rsidR="0004064F">
        <w:t>with</w:t>
      </w:r>
      <w:r w:rsidR="003D6477">
        <w:t xml:space="preserve">in the Tribal land.  </w:t>
      </w:r>
      <w:r w:rsidR="00906A01">
        <w:t>For Alaska, e</w:t>
      </w:r>
      <w:r w:rsidR="0056503C">
        <w:t xml:space="preserve">ligible Tribal lands were identified using the </w:t>
      </w:r>
      <w:r w:rsidR="00D063B8">
        <w:t xml:space="preserve">Census data boundaries for the </w:t>
      </w:r>
      <w:r w:rsidR="0056503C">
        <w:t xml:space="preserve">Alaska Native Village statistical areas (ANVSAs) as well as the boundaries of the twelve geographic Alaska Native regional corporations and the Annette </w:t>
      </w:r>
      <w:r w:rsidR="00341D77">
        <w:t xml:space="preserve">Island </w:t>
      </w:r>
      <w:r w:rsidR="0056503C">
        <w:t>Reserve</w:t>
      </w:r>
      <w:r w:rsidR="0004064F">
        <w:t>,</w:t>
      </w:r>
      <w:r w:rsidR="0056503C">
        <w:t xml:space="preserve"> which together cover the entire state of Alaska.</w:t>
      </w:r>
      <w:r w:rsidR="00101D7C">
        <w:rPr>
          <w:rStyle w:val="FootnoteReference"/>
        </w:rPr>
        <w:footnoteReference w:id="12"/>
      </w:r>
      <w:r w:rsidR="00101D7C">
        <w:t xml:space="preserve">  </w:t>
      </w:r>
      <w:r w:rsidR="00906A01">
        <w:t>E</w:t>
      </w:r>
      <w:r w:rsidR="003D6477" w:rsidDel="00E86AE2">
        <w:t xml:space="preserve">ligible census blocks </w:t>
      </w:r>
      <w:r w:rsidR="00D063B8">
        <w:t xml:space="preserve">within an ANVSA </w:t>
      </w:r>
      <w:r w:rsidR="003D6477" w:rsidDel="00E86AE2">
        <w:t xml:space="preserve">were aggregated by </w:t>
      </w:r>
      <w:r w:rsidR="00D063B8">
        <w:t xml:space="preserve">the </w:t>
      </w:r>
      <w:r w:rsidR="003D6477" w:rsidDel="00E86AE2">
        <w:t>ANVSA with a bidding area for each tract in the ANVSA.  For areas ou</w:t>
      </w:r>
      <w:r w:rsidR="002809F1" w:rsidDel="00E86AE2">
        <w:t>t</w:t>
      </w:r>
      <w:r w:rsidR="003D6477" w:rsidDel="00E86AE2">
        <w:t xml:space="preserve">side of ANVSAs, </w:t>
      </w:r>
      <w:r w:rsidR="00A1729C">
        <w:t>the Bureaus did not aggregate census blocks</w:t>
      </w:r>
      <w:r w:rsidR="00906A01">
        <w:t>, but instead</w:t>
      </w:r>
      <w:r w:rsidR="002809F1">
        <w:t xml:space="preserve"> </w:t>
      </w:r>
      <w:r w:rsidR="00332408">
        <w:t xml:space="preserve">established bidding </w:t>
      </w:r>
      <w:r w:rsidR="00341D77">
        <w:t xml:space="preserve">by individual census block, </w:t>
      </w:r>
      <w:r w:rsidR="00332408">
        <w:t xml:space="preserve">because they </w:t>
      </w:r>
      <w:r w:rsidR="001838F2">
        <w:t>concluded that the</w:t>
      </w:r>
      <w:r w:rsidR="002809F1">
        <w:t xml:space="preserve"> aggregation of all eligible blocks within an Alaska Native regional corporation could result in bidding areas so vast that it could </w:t>
      </w:r>
      <w:r w:rsidR="001838F2">
        <w:t xml:space="preserve">dampen participation and </w:t>
      </w:r>
      <w:r w:rsidR="002809F1">
        <w:t>thwart services to currently unserved populations.</w:t>
      </w:r>
      <w:r w:rsidR="00101D7C">
        <w:rPr>
          <w:rStyle w:val="FootnoteReference"/>
        </w:rPr>
        <w:footnoteReference w:id="13"/>
      </w:r>
      <w:r w:rsidR="00B3626A">
        <w:t xml:space="preserve">  </w:t>
      </w:r>
      <w:r w:rsidR="001838F2">
        <w:t xml:space="preserve">Copper Valley’s winning bids </w:t>
      </w:r>
      <w:r w:rsidR="00D063B8">
        <w:t xml:space="preserve">covered census blocks outside of any ANVSA </w:t>
      </w:r>
      <w:r w:rsidR="0022203B">
        <w:t>and th</w:t>
      </w:r>
      <w:r w:rsidR="003F7224">
        <w:t>e</w:t>
      </w:r>
      <w:r w:rsidR="0022203B">
        <w:t xml:space="preserve"> </w:t>
      </w:r>
      <w:r w:rsidR="003F7224">
        <w:t xml:space="preserve">aggregation </w:t>
      </w:r>
      <w:r w:rsidR="0022203B">
        <w:t>exception required Copper Valley to bid by census</w:t>
      </w:r>
      <w:r w:rsidR="00906A01">
        <w:t xml:space="preserve"> block</w:t>
      </w:r>
      <w:r w:rsidR="0022203B">
        <w:t xml:space="preserve"> </w:t>
      </w:r>
      <w:r w:rsidR="00C91E17">
        <w:t xml:space="preserve">in those </w:t>
      </w:r>
      <w:r w:rsidR="0022203B">
        <w:t>areas</w:t>
      </w:r>
      <w:r w:rsidR="001838F2">
        <w:t xml:space="preserve">.  </w:t>
      </w:r>
      <w:r w:rsidR="0022203B">
        <w:t>Further, b</w:t>
      </w:r>
      <w:r w:rsidR="00B3626A" w:rsidRPr="003077FD">
        <w:t>ecause</w:t>
      </w:r>
      <w:r w:rsidR="00B3626A" w:rsidRPr="00B3626A">
        <w:t xml:space="preserve"> a Tribal Mobility Fund Phase I recipient must provide 3G or 4G service to at le</w:t>
      </w:r>
      <w:r w:rsidR="00B3626A">
        <w:t>ast 75 percent of the population</w:t>
      </w:r>
      <w:r w:rsidR="00B3626A" w:rsidRPr="00B3626A">
        <w:t xml:space="preserve"> associated with the eligible blocks in each biddable area for which it won support, the </w:t>
      </w:r>
      <w:r w:rsidR="0048188E">
        <w:t>requirement to bid by census block</w:t>
      </w:r>
      <w:r w:rsidR="00B3626A" w:rsidRPr="00B3626A">
        <w:t xml:space="preserve"> </w:t>
      </w:r>
      <w:r w:rsidR="0048188E">
        <w:t xml:space="preserve">means </w:t>
      </w:r>
      <w:r w:rsidR="00B3626A" w:rsidRPr="00B3626A">
        <w:t xml:space="preserve">that </w:t>
      </w:r>
      <w:r w:rsidR="00B3626A">
        <w:t>Copper Valley</w:t>
      </w:r>
      <w:r w:rsidR="00B3626A" w:rsidRPr="00B3626A">
        <w:t>’s coverage requirement will be measured on a block-by-block basis.</w:t>
      </w:r>
      <w:r w:rsidR="00B3626A">
        <w:rPr>
          <w:rStyle w:val="FootnoteReference"/>
        </w:rPr>
        <w:footnoteReference w:id="14"/>
      </w:r>
      <w:r w:rsidR="00B3626A" w:rsidRPr="00B3626A">
        <w:t xml:space="preserve">  </w:t>
      </w:r>
    </w:p>
    <w:p w:rsidR="004A17CA" w:rsidRDefault="007862C5" w:rsidP="009E486A">
      <w:pPr>
        <w:pStyle w:val="ParaNum"/>
        <w:tabs>
          <w:tab w:val="clear" w:pos="1080"/>
        </w:tabs>
        <w:jc w:val="left"/>
      </w:pPr>
      <w:r w:rsidRPr="009E5150">
        <w:rPr>
          <w:rFonts w:ascii="Times" w:hAnsi="Times"/>
          <w:i/>
        </w:rPr>
        <w:t>Letters of Credit for Long-form Application</w:t>
      </w:r>
      <w:r w:rsidRPr="009E486A">
        <w:rPr>
          <w:rFonts w:ascii="Times" w:hAnsi="Times"/>
          <w:i/>
        </w:rPr>
        <w:t>.</w:t>
      </w:r>
      <w:r>
        <w:t xml:space="preserve">  </w:t>
      </w:r>
      <w:r w:rsidR="00B656B6" w:rsidRPr="009E486A">
        <w:rPr>
          <w:rFonts w:ascii="Times" w:hAnsi="Times"/>
        </w:rPr>
        <w:t xml:space="preserve">In the </w:t>
      </w:r>
      <w:r w:rsidR="00B656B6" w:rsidRPr="009E486A">
        <w:rPr>
          <w:rFonts w:ascii="Times" w:hAnsi="Times"/>
          <w:i/>
        </w:rPr>
        <w:t>USF/ICC Transformation Order</w:t>
      </w:r>
      <w:r w:rsidR="00B656B6" w:rsidRPr="00E244D2">
        <w:rPr>
          <w:rFonts w:ascii="Times" w:hAnsi="Times"/>
        </w:rPr>
        <w:t xml:space="preserve">, the Commission decided that winning bidders in </w:t>
      </w:r>
      <w:r w:rsidR="00A73E60">
        <w:rPr>
          <w:rFonts w:ascii="Times" w:hAnsi="Times"/>
        </w:rPr>
        <w:t xml:space="preserve">a </w:t>
      </w:r>
      <w:r w:rsidR="00D063B8">
        <w:rPr>
          <w:rFonts w:ascii="Times" w:hAnsi="Times"/>
        </w:rPr>
        <w:t xml:space="preserve">Mobility Fund </w:t>
      </w:r>
      <w:r w:rsidR="00A73E60">
        <w:rPr>
          <w:rFonts w:ascii="Times" w:hAnsi="Times"/>
        </w:rPr>
        <w:t>Phase I reverse auction w</w:t>
      </w:r>
      <w:r w:rsidR="00B656B6" w:rsidRPr="00E0582F">
        <w:rPr>
          <w:rFonts w:ascii="Times" w:hAnsi="Times"/>
        </w:rPr>
        <w:t xml:space="preserve">ould be required to post LOCs </w:t>
      </w:r>
      <w:r w:rsidR="00B656B6" w:rsidRPr="003077FD">
        <w:rPr>
          <w:rFonts w:ascii="Times" w:hAnsi="Times"/>
        </w:rPr>
        <w:t>as financial security</w:t>
      </w:r>
      <w:r w:rsidR="00B656B6" w:rsidRPr="00E0582F">
        <w:rPr>
          <w:rFonts w:ascii="Times" w:hAnsi="Times"/>
        </w:rPr>
        <w:t xml:space="preserve"> prior to being authorized to receive support.</w:t>
      </w:r>
      <w:r w:rsidR="00B656B6">
        <w:rPr>
          <w:rStyle w:val="FootnoteReference"/>
          <w:rFonts w:ascii="Times" w:hAnsi="Times"/>
        </w:rPr>
        <w:footnoteReference w:id="15"/>
      </w:r>
      <w:r w:rsidR="00B656B6" w:rsidRPr="009E486A">
        <w:rPr>
          <w:rFonts w:ascii="Times" w:hAnsi="Times"/>
        </w:rPr>
        <w:t xml:space="preserve">  </w:t>
      </w:r>
      <w:r w:rsidR="00DE63D6" w:rsidRPr="009E486A">
        <w:rPr>
          <w:rFonts w:ascii="Times" w:hAnsi="Times"/>
        </w:rPr>
        <w:t xml:space="preserve">The Commission decided that </w:t>
      </w:r>
      <w:r w:rsidR="00DE63D6">
        <w:t xml:space="preserve">an </w:t>
      </w:r>
      <w:r w:rsidR="00DE63D6" w:rsidRPr="009E486A">
        <w:rPr>
          <w:rFonts w:ascii="TimesNewRomanPSMT" w:hAnsi="TimesNewRomanPSMT" w:cs="TimesNewRomanPSMT"/>
          <w:szCs w:val="22"/>
        </w:rPr>
        <w:t>irrevocable stand-by LOC</w:t>
      </w:r>
      <w:r w:rsidR="00DE63D6" w:rsidRPr="009E486A">
        <w:rPr>
          <w:rFonts w:ascii="TimesNewRomanPSMT" w:hAnsi="TimesNewRomanPSMT" w:cs="TimesNewRomanPSMT"/>
          <w:sz w:val="14"/>
          <w:szCs w:val="14"/>
        </w:rPr>
        <w:t xml:space="preserve"> </w:t>
      </w:r>
      <w:r w:rsidR="00DE63D6" w:rsidRPr="00E244D2">
        <w:rPr>
          <w:rFonts w:ascii="TimesNewRomanPSMT" w:hAnsi="TimesNewRomanPSMT" w:cs="TimesNewRomanPSMT"/>
          <w:szCs w:val="22"/>
        </w:rPr>
        <w:t xml:space="preserve">would be the best financial instrument to minimize the possibility that </w:t>
      </w:r>
      <w:r w:rsidR="008D3E79">
        <w:rPr>
          <w:rFonts w:ascii="TimesNewRomanPSMT" w:hAnsi="TimesNewRomanPSMT" w:cs="TimesNewRomanPSMT"/>
          <w:szCs w:val="22"/>
        </w:rPr>
        <w:t>Tribal Mobility</w:t>
      </w:r>
      <w:r w:rsidR="00DE63D6" w:rsidRPr="00E244D2">
        <w:rPr>
          <w:rFonts w:ascii="TimesNewRomanPSMT" w:hAnsi="TimesNewRomanPSMT" w:cs="TimesNewRomanPSMT"/>
          <w:szCs w:val="22"/>
        </w:rPr>
        <w:t xml:space="preserve"> Fund support would become property of a recipient’s estate</w:t>
      </w:r>
      <w:r w:rsidR="006E5E7F">
        <w:rPr>
          <w:rFonts w:ascii="TimesNewRomanPSMT" w:hAnsi="TimesNewRomanPSMT" w:cs="TimesNewRomanPSMT"/>
          <w:szCs w:val="22"/>
        </w:rPr>
        <w:t xml:space="preserve"> should it subsequently file for bankruptcy protection</w:t>
      </w:r>
      <w:r w:rsidR="00DE63D6" w:rsidRPr="00E244D2">
        <w:rPr>
          <w:rFonts w:ascii="TimesNewRomanPSMT" w:hAnsi="TimesNewRomanPSMT" w:cs="TimesNewRomanPSMT"/>
          <w:szCs w:val="22"/>
        </w:rPr>
        <w:t xml:space="preserve">, </w:t>
      </w:r>
      <w:r w:rsidR="00DE63D6" w:rsidRPr="00E0582F">
        <w:rPr>
          <w:rFonts w:ascii="TimesNewRomanPSMT" w:hAnsi="TimesNewRomanPSMT" w:cs="TimesNewRomanPSMT"/>
          <w:szCs w:val="22"/>
        </w:rPr>
        <w:t xml:space="preserve">thereby </w:t>
      </w:r>
      <w:r w:rsidR="006E5E7F">
        <w:rPr>
          <w:rFonts w:ascii="TimesNewRomanPSMT" w:hAnsi="TimesNewRomanPSMT" w:cs="TimesNewRomanPSMT"/>
          <w:szCs w:val="22"/>
        </w:rPr>
        <w:t xml:space="preserve">tying up the funds in the bankruptcy proceeding and </w:t>
      </w:r>
      <w:r w:rsidR="00DE63D6" w:rsidRPr="00E0582F">
        <w:rPr>
          <w:rFonts w:ascii="TimesNewRomanPSMT" w:hAnsi="TimesNewRomanPSMT" w:cs="TimesNewRomanPSMT"/>
          <w:szCs w:val="22"/>
        </w:rPr>
        <w:t xml:space="preserve">preventing </w:t>
      </w:r>
      <w:r w:rsidR="006E5E7F">
        <w:rPr>
          <w:rFonts w:ascii="TimesNewRomanPSMT" w:hAnsi="TimesNewRomanPSMT" w:cs="TimesNewRomanPSMT"/>
          <w:szCs w:val="22"/>
        </w:rPr>
        <w:t>them</w:t>
      </w:r>
      <w:r w:rsidR="000C61D0">
        <w:rPr>
          <w:rFonts w:ascii="TimesNewRomanPSMT" w:hAnsi="TimesNewRomanPSMT" w:cs="TimesNewRomanPSMT"/>
          <w:szCs w:val="22"/>
        </w:rPr>
        <w:t xml:space="preserve"> </w:t>
      </w:r>
      <w:r w:rsidR="00DE63D6" w:rsidRPr="00E0582F">
        <w:rPr>
          <w:rFonts w:ascii="TimesNewRomanPSMT" w:hAnsi="TimesNewRomanPSMT" w:cs="TimesNewRomanPSMT"/>
          <w:szCs w:val="22"/>
        </w:rPr>
        <w:t xml:space="preserve">from being used promptly to accomplish the </w:t>
      </w:r>
      <w:r w:rsidR="008D3E79">
        <w:rPr>
          <w:rFonts w:ascii="TimesNewRomanPSMT" w:hAnsi="TimesNewRomanPSMT" w:cs="TimesNewRomanPSMT"/>
          <w:szCs w:val="22"/>
        </w:rPr>
        <w:t>Tribal Mobility</w:t>
      </w:r>
      <w:r w:rsidR="00DE63D6" w:rsidRPr="00E0582F">
        <w:rPr>
          <w:rFonts w:ascii="TimesNewRomanPSMT" w:hAnsi="TimesNewRomanPSMT" w:cs="TimesNewRomanPSMT"/>
          <w:szCs w:val="22"/>
        </w:rPr>
        <w:t xml:space="preserve"> Fund’s goals.</w:t>
      </w:r>
      <w:r w:rsidR="00DE63D6">
        <w:rPr>
          <w:rStyle w:val="FootnoteReference"/>
          <w:rFonts w:ascii="TimesNewRomanPSMT" w:hAnsi="TimesNewRomanPSMT" w:cs="TimesNewRomanPSMT"/>
          <w:szCs w:val="22"/>
        </w:rPr>
        <w:footnoteReference w:id="16"/>
      </w:r>
      <w:r w:rsidR="00DE63D6" w:rsidRPr="009E486A">
        <w:rPr>
          <w:rFonts w:ascii="TimesNewRomanPSMT" w:hAnsi="TimesNewRomanPSMT" w:cs="TimesNewRomanPSMT"/>
          <w:szCs w:val="22"/>
        </w:rPr>
        <w:t xml:space="preserve">  </w:t>
      </w:r>
      <w:r w:rsidR="00DE63D6" w:rsidRPr="009E486A">
        <w:rPr>
          <w:rFonts w:ascii="Times" w:hAnsi="Times"/>
        </w:rPr>
        <w:t xml:space="preserve">The Commission </w:t>
      </w:r>
      <w:r w:rsidR="00DE63D6" w:rsidRPr="00E0582F">
        <w:rPr>
          <w:rFonts w:ascii="Times" w:hAnsi="Times"/>
        </w:rPr>
        <w:t xml:space="preserve">concluded that such an instrument would protect the government’s interest in the funds it disburses in </w:t>
      </w:r>
      <w:r w:rsidR="008D3E79">
        <w:rPr>
          <w:rFonts w:ascii="Times" w:hAnsi="Times"/>
        </w:rPr>
        <w:t>Tribal Mobility</w:t>
      </w:r>
      <w:r w:rsidR="00DE63D6" w:rsidRPr="00E0582F">
        <w:rPr>
          <w:rFonts w:ascii="Times" w:hAnsi="Times"/>
        </w:rPr>
        <w:t xml:space="preserve"> Fund Phase I.</w:t>
      </w:r>
      <w:r w:rsidR="00DE63D6">
        <w:rPr>
          <w:rStyle w:val="FootnoteReference"/>
          <w:rFonts w:ascii="Times" w:hAnsi="Times"/>
        </w:rPr>
        <w:footnoteReference w:id="17"/>
      </w:r>
      <w:r w:rsidR="00DE63D6" w:rsidRPr="009E486A">
        <w:rPr>
          <w:rFonts w:ascii="Times" w:hAnsi="Times"/>
        </w:rPr>
        <w:t xml:space="preserve">  </w:t>
      </w:r>
      <w:r w:rsidR="00A73E60">
        <w:rPr>
          <w:rFonts w:ascii="Times" w:hAnsi="Times"/>
        </w:rPr>
        <w:t xml:space="preserve">The Commission stated that LOCs </w:t>
      </w:r>
      <w:r w:rsidR="00A73E60">
        <w:t xml:space="preserve">must </w:t>
      </w:r>
      <w:r w:rsidR="00A73E60" w:rsidRPr="009E486A">
        <w:rPr>
          <w:szCs w:val="22"/>
        </w:rPr>
        <w:t xml:space="preserve">be issued in substantially the same form as set forth in the model LOC provided in the </w:t>
      </w:r>
      <w:r w:rsidR="00A73E60" w:rsidRPr="00E244D2">
        <w:rPr>
          <w:i/>
        </w:rPr>
        <w:t>USF/ICC Transformation Order</w:t>
      </w:r>
      <w:r w:rsidR="00A73E60">
        <w:t>.</w:t>
      </w:r>
      <w:r w:rsidR="00A73E60">
        <w:rPr>
          <w:rStyle w:val="FootnoteReference"/>
          <w:szCs w:val="22"/>
        </w:rPr>
        <w:footnoteReference w:id="18"/>
      </w:r>
      <w:r w:rsidR="00A73E60" w:rsidRPr="009E486A">
        <w:rPr>
          <w:szCs w:val="22"/>
        </w:rPr>
        <w:t xml:space="preserve"> </w:t>
      </w:r>
      <w:r w:rsidR="00A73E60">
        <w:t xml:space="preserve"> </w:t>
      </w:r>
      <w:r w:rsidR="00C2783A">
        <w:t>Among other things, the model LOC provides that the Commission may draw upon the entire amount of the LOC in the event that the winning bidder defaults on its auction obligations or fails to perform.</w:t>
      </w:r>
      <w:r w:rsidR="00C2783A">
        <w:rPr>
          <w:rStyle w:val="FootnoteReference"/>
        </w:rPr>
        <w:footnoteReference w:id="19"/>
      </w:r>
      <w:r w:rsidR="00C2783A">
        <w:t xml:space="preserve">  </w:t>
      </w:r>
      <w:r w:rsidR="00C430C3">
        <w:t xml:space="preserve">Accordingly, </w:t>
      </w:r>
      <w:r w:rsidR="00A73E60">
        <w:t xml:space="preserve">the Commission’s </w:t>
      </w:r>
      <w:r w:rsidR="008D3E79">
        <w:t>Tribal Mobility</w:t>
      </w:r>
      <w:r w:rsidR="00A73E60">
        <w:t xml:space="preserve"> Fund Phase I rules and procedures require that </w:t>
      </w:r>
      <w:r w:rsidR="008E2F30">
        <w:t xml:space="preserve">before </w:t>
      </w:r>
      <w:r w:rsidR="008E2F30" w:rsidRPr="003077FD">
        <w:t>it</w:t>
      </w:r>
      <w:r w:rsidR="008E2F30">
        <w:t xml:space="preserve"> can be authorized to receive </w:t>
      </w:r>
      <w:r w:rsidR="008D3E79">
        <w:rPr>
          <w:rFonts w:ascii="Times" w:hAnsi="Times"/>
        </w:rPr>
        <w:t>Tribal Mobility</w:t>
      </w:r>
      <w:r w:rsidR="008E2F30" w:rsidRPr="009E486A">
        <w:rPr>
          <w:rFonts w:ascii="Times" w:hAnsi="Times"/>
        </w:rPr>
        <w:t xml:space="preserve"> Fund Phase I support</w:t>
      </w:r>
      <w:r w:rsidR="00C430C3">
        <w:t xml:space="preserve">, a </w:t>
      </w:r>
      <w:r w:rsidR="00C430C3" w:rsidRPr="003077FD">
        <w:t>winning bidder</w:t>
      </w:r>
      <w:r w:rsidR="00C430C3">
        <w:t xml:space="preserve"> must submit </w:t>
      </w:r>
      <w:r w:rsidR="00C2783A">
        <w:t>an acceptable</w:t>
      </w:r>
      <w:r w:rsidR="00C430C3">
        <w:t xml:space="preserve"> LOC for each winning bid</w:t>
      </w:r>
      <w:r w:rsidR="00C2783A">
        <w:t xml:space="preserve"> to secure its performance</w:t>
      </w:r>
      <w:r w:rsidR="00C430C3">
        <w:t>.</w:t>
      </w:r>
      <w:r w:rsidR="00C430C3">
        <w:rPr>
          <w:rStyle w:val="FootnoteReference"/>
        </w:rPr>
        <w:footnoteReference w:id="20"/>
      </w:r>
      <w:r w:rsidR="00C430C3">
        <w:t xml:space="preserve">  </w:t>
      </w:r>
    </w:p>
    <w:p w:rsidR="00C3508A" w:rsidRDefault="002C4C9F" w:rsidP="00742183">
      <w:pPr>
        <w:pStyle w:val="ParaNum"/>
        <w:widowControl/>
        <w:tabs>
          <w:tab w:val="clear" w:pos="1080"/>
          <w:tab w:val="num" w:pos="1440"/>
        </w:tabs>
      </w:pPr>
      <w:r>
        <w:rPr>
          <w:i/>
        </w:rPr>
        <w:t>Copper Valley</w:t>
      </w:r>
      <w:r w:rsidR="00C10E5B" w:rsidRPr="00C10E5B">
        <w:rPr>
          <w:i/>
        </w:rPr>
        <w:t>’s Request for Waiver.</w:t>
      </w:r>
      <w:r w:rsidR="00C10E5B">
        <w:t xml:space="preserve">  </w:t>
      </w:r>
      <w:r>
        <w:t>Copper Valley</w:t>
      </w:r>
      <w:r w:rsidR="004F37DD">
        <w:t xml:space="preserve"> </w:t>
      </w:r>
      <w:r w:rsidR="00EE1889">
        <w:t xml:space="preserve">submitted 11 </w:t>
      </w:r>
      <w:r w:rsidR="001146F2">
        <w:t xml:space="preserve">winning bids for </w:t>
      </w:r>
      <w:r w:rsidR="008D3E79">
        <w:t>Tribal Mobility</w:t>
      </w:r>
      <w:r w:rsidR="00013D00">
        <w:t xml:space="preserve"> Fund support</w:t>
      </w:r>
      <w:r w:rsidR="001146F2">
        <w:t xml:space="preserve"> in Alaska</w:t>
      </w:r>
      <w:r w:rsidR="00710BE7">
        <w:t>.</w:t>
      </w:r>
      <w:r w:rsidR="001146F2">
        <w:rPr>
          <w:rStyle w:val="FootnoteReference"/>
        </w:rPr>
        <w:footnoteReference w:id="21"/>
      </w:r>
      <w:r w:rsidR="00710BE7">
        <w:t xml:space="preserve">  </w:t>
      </w:r>
      <w:r w:rsidR="00EE1889">
        <w:t>Copper Valley</w:t>
      </w:r>
      <w:r w:rsidR="00D82A01">
        <w:t>’s winning bids</w:t>
      </w:r>
      <w:r w:rsidR="00D56712">
        <w:t xml:space="preserve"> cover 11 </w:t>
      </w:r>
      <w:r w:rsidR="00906A01">
        <w:t>c</w:t>
      </w:r>
      <w:r w:rsidR="00D56712">
        <w:t xml:space="preserve">ensus blocks in the Ahtna, Inc. region, </w:t>
      </w:r>
      <w:r w:rsidR="00AA6E88">
        <w:t>including</w:t>
      </w:r>
      <w:r w:rsidR="00D56712">
        <w:t xml:space="preserve"> the villages of Tazlina and Kluti-Kaah</w:t>
      </w:r>
      <w:r w:rsidR="00D82A01">
        <w:t>.</w:t>
      </w:r>
      <w:r w:rsidR="00D82A01">
        <w:rPr>
          <w:rStyle w:val="FootnoteReference"/>
        </w:rPr>
        <w:footnoteReference w:id="22"/>
      </w:r>
    </w:p>
    <w:p w:rsidR="00A030BB" w:rsidRDefault="00D56712" w:rsidP="0015603B">
      <w:pPr>
        <w:pStyle w:val="ParaNum"/>
        <w:tabs>
          <w:tab w:val="clear" w:pos="1080"/>
        </w:tabs>
        <w:jc w:val="left"/>
      </w:pPr>
      <w:r>
        <w:t>Copper Valley</w:t>
      </w:r>
      <w:r w:rsidR="00D82A01">
        <w:t xml:space="preserve"> </w:t>
      </w:r>
      <w:r w:rsidR="00D67717">
        <w:t xml:space="preserve">submitted with its long-form application a request </w:t>
      </w:r>
      <w:r w:rsidR="0067063A">
        <w:t>that it be permitted</w:t>
      </w:r>
      <w:r w:rsidR="00D67717">
        <w:t xml:space="preserve"> to submit </w:t>
      </w:r>
      <w:r w:rsidR="0067063A">
        <w:t xml:space="preserve">a single LOC for </w:t>
      </w:r>
      <w:r w:rsidR="008B5E36">
        <w:t>the</w:t>
      </w:r>
      <w:r w:rsidR="00C2783A">
        <w:t xml:space="preserve"> </w:t>
      </w:r>
      <w:r w:rsidR="0016448D">
        <w:t>11</w:t>
      </w:r>
      <w:r w:rsidR="0067063A">
        <w:t xml:space="preserve"> winning bids</w:t>
      </w:r>
      <w:r w:rsidR="008B5E36">
        <w:t xml:space="preserve"> for which it seeks support</w:t>
      </w:r>
      <w:r w:rsidR="00D67717">
        <w:t>.</w:t>
      </w:r>
      <w:r>
        <w:rPr>
          <w:rStyle w:val="FootnoteReference"/>
        </w:rPr>
        <w:footnoteReference w:id="23"/>
      </w:r>
      <w:r w:rsidR="00D67717">
        <w:t xml:space="preserve">  </w:t>
      </w:r>
      <w:r w:rsidR="00D306ED">
        <w:t>Copper Valley will provide 4G LTE service to the 11 census blocks in its 11 winning bid areas by making</w:t>
      </w:r>
      <w:r w:rsidR="0016448D">
        <w:t xml:space="preserve"> </w:t>
      </w:r>
      <w:r w:rsidR="005B3B9E">
        <w:t>upgrade</w:t>
      </w:r>
      <w:r w:rsidR="0016448D">
        <w:t>s</w:t>
      </w:r>
      <w:r w:rsidR="00F65187">
        <w:t xml:space="preserve"> to</w:t>
      </w:r>
      <w:r w:rsidR="00D306ED">
        <w:t xml:space="preserve"> a</w:t>
      </w:r>
      <w:r w:rsidR="0016448D">
        <w:t xml:space="preserve"> single tower</w:t>
      </w:r>
      <w:r w:rsidR="00D306ED">
        <w:t xml:space="preserve"> at one site in its existing network, Willow Mountain,</w:t>
      </w:r>
      <w:r>
        <w:t xml:space="preserve"> </w:t>
      </w:r>
      <w:r w:rsidR="00D306ED">
        <w:t xml:space="preserve">which provides coverage to </w:t>
      </w:r>
      <w:r>
        <w:t>the entire population of 127 persons</w:t>
      </w:r>
      <w:r w:rsidR="00D306ED">
        <w:t xml:space="preserve"> in th</w:t>
      </w:r>
      <w:r w:rsidR="00AA6E88">
        <w:t>ose blocks</w:t>
      </w:r>
      <w:r w:rsidR="0068144D">
        <w:t>.</w:t>
      </w:r>
      <w:r w:rsidR="00F65187">
        <w:rPr>
          <w:rStyle w:val="FootnoteReference"/>
        </w:rPr>
        <w:footnoteReference w:id="24"/>
      </w:r>
      <w:r w:rsidR="00F65187">
        <w:t xml:space="preserve">  </w:t>
      </w:r>
    </w:p>
    <w:p w:rsidR="00A030BB" w:rsidRDefault="008167FF" w:rsidP="004F37DD">
      <w:pPr>
        <w:pStyle w:val="Heading1"/>
        <w:jc w:val="left"/>
      </w:pPr>
      <w:r>
        <w:t>DISCUSSION</w:t>
      </w:r>
    </w:p>
    <w:p w:rsidR="00241F5A" w:rsidRDefault="000D61F9" w:rsidP="00C2783A">
      <w:pPr>
        <w:pStyle w:val="ParaNum"/>
        <w:tabs>
          <w:tab w:val="clear" w:pos="1080"/>
        </w:tabs>
        <w:jc w:val="left"/>
      </w:pPr>
      <w:r>
        <w:t xml:space="preserve">The Commission </w:t>
      </w:r>
      <w:r w:rsidR="0070674E">
        <w:t xml:space="preserve">may </w:t>
      </w:r>
      <w:r w:rsidR="000A542A">
        <w:t xml:space="preserve">waive </w:t>
      </w:r>
      <w:r>
        <w:t xml:space="preserve">its </w:t>
      </w:r>
      <w:r w:rsidR="000A542A">
        <w:t>rules</w:t>
      </w:r>
      <w:r w:rsidR="008D6CE3">
        <w:t xml:space="preserve"> and </w:t>
      </w:r>
      <w:r w:rsidR="00164D7C">
        <w:t>requirements</w:t>
      </w:r>
      <w:r w:rsidR="000A542A">
        <w:t xml:space="preserve"> “for good cause shown.”</w:t>
      </w:r>
      <w:r w:rsidR="000A542A">
        <w:rPr>
          <w:rStyle w:val="FootnoteReference"/>
        </w:rPr>
        <w:footnoteReference w:id="25"/>
      </w:r>
      <w:r w:rsidR="0006634E">
        <w:t xml:space="preserve">  A waiver is appropriate only if “special circumstances warrant a deviation from the general rule and such deviation will serve the public interest.”</w:t>
      </w:r>
      <w:r w:rsidR="0006634E">
        <w:rPr>
          <w:rStyle w:val="FootnoteReference"/>
        </w:rPr>
        <w:footnoteReference w:id="26"/>
      </w:r>
      <w:r w:rsidR="0006634E">
        <w:t xml:space="preserve">  </w:t>
      </w:r>
      <w:r w:rsidR="00B612A7">
        <w:t xml:space="preserve">We may find that </w:t>
      </w:r>
      <w:r w:rsidR="0006634E">
        <w:t>a rule waiver may serve the public interest where the waiver would not conflict with the policy underlying the rule.</w:t>
      </w:r>
      <w:r w:rsidR="0006634E">
        <w:rPr>
          <w:rStyle w:val="FootnoteReference"/>
        </w:rPr>
        <w:footnoteReference w:id="27"/>
      </w:r>
      <w:r w:rsidR="00EB246F">
        <w:t xml:space="preserve"> </w:t>
      </w:r>
    </w:p>
    <w:p w:rsidR="004E5D8D" w:rsidRDefault="004E5D8D" w:rsidP="00742183">
      <w:pPr>
        <w:pStyle w:val="ParaNum"/>
        <w:tabs>
          <w:tab w:val="clear" w:pos="1080"/>
          <w:tab w:val="num" w:pos="1440"/>
        </w:tabs>
        <w:jc w:val="left"/>
      </w:pPr>
      <w:r>
        <w:t>For the reasons set forth below, w</w:t>
      </w:r>
      <w:r w:rsidR="00241F5A" w:rsidRPr="0015603B">
        <w:t xml:space="preserve">e </w:t>
      </w:r>
      <w:r w:rsidR="00241F5A" w:rsidRPr="00DD066A">
        <w:t>conclude</w:t>
      </w:r>
      <w:r w:rsidR="00241F5A" w:rsidRPr="0015603B">
        <w:t xml:space="preserve"> that there is good cause for a grant of Copper Valley’s request for relief from the LOC requirement here because of the special circumstances presented by</w:t>
      </w:r>
      <w:r w:rsidR="00F033D5">
        <w:t xml:space="preserve"> </w:t>
      </w:r>
      <w:r>
        <w:t xml:space="preserve">Copper Valley and because the modification </w:t>
      </w:r>
      <w:r w:rsidR="00643DCC">
        <w:t xml:space="preserve">of </w:t>
      </w:r>
      <w:r>
        <w:t>the LOC requirement will serve the public interest</w:t>
      </w:r>
      <w:r w:rsidR="00643DCC">
        <w:t xml:space="preserve"> in this case</w:t>
      </w:r>
      <w:r w:rsidR="00241F5A" w:rsidRPr="0015603B">
        <w:t xml:space="preserve">. </w:t>
      </w:r>
      <w:r>
        <w:t xml:space="preserve"> </w:t>
      </w:r>
    </w:p>
    <w:p w:rsidR="00F028AA" w:rsidRDefault="00D056D1" w:rsidP="00742183">
      <w:pPr>
        <w:pStyle w:val="ParaNum"/>
        <w:tabs>
          <w:tab w:val="clear" w:pos="1080"/>
          <w:tab w:val="num" w:pos="1440"/>
        </w:tabs>
        <w:jc w:val="left"/>
      </w:pPr>
      <w:r>
        <w:t>W</w:t>
      </w:r>
      <w:r w:rsidRPr="001E3148">
        <w:t xml:space="preserve">e find that </w:t>
      </w:r>
      <w:r>
        <w:t>grouping</w:t>
      </w:r>
      <w:r w:rsidRPr="001E3148">
        <w:t xml:space="preserve"> </w:t>
      </w:r>
      <w:r>
        <w:t xml:space="preserve">Copper Valley’s separate block-based winning bids into one group that is secured by a single LOC </w:t>
      </w:r>
      <w:r w:rsidRPr="001E3148">
        <w:t>is a reasonable way for Copper Valley to provide a LOC to secure its Tribal Mobility Fund support.</w:t>
      </w:r>
      <w:r>
        <w:t xml:space="preserve">  </w:t>
      </w:r>
      <w:r w:rsidR="00010E21">
        <w:rPr>
          <w:color w:val="010101"/>
        </w:rPr>
        <w:t xml:space="preserve">Although Copper Valley’s winning bids covered individual census blocks outside of any ANVSA and were therefore not aggregated by tract, its </w:t>
      </w:r>
      <w:r w:rsidR="00241F5A" w:rsidRPr="0015603B">
        <w:t>winning bid</w:t>
      </w:r>
      <w:r w:rsidR="004E5D8D">
        <w:t>s</w:t>
      </w:r>
      <w:r w:rsidR="00241F5A" w:rsidRPr="0015603B">
        <w:t xml:space="preserve"> </w:t>
      </w:r>
      <w:r w:rsidR="004E5D8D">
        <w:t>are mostly contiguous, with one exception</w:t>
      </w:r>
      <w:r w:rsidR="00505B63">
        <w:rPr>
          <w:rStyle w:val="FootnoteReference"/>
        </w:rPr>
        <w:footnoteReference w:id="28"/>
      </w:r>
      <w:r w:rsidR="004E5D8D">
        <w:t xml:space="preserve">, and </w:t>
      </w:r>
      <w:r w:rsidR="00010E21">
        <w:t xml:space="preserve">the </w:t>
      </w:r>
      <w:r w:rsidR="004E5D8D">
        <w:t xml:space="preserve">11 </w:t>
      </w:r>
      <w:r w:rsidR="00241F5A" w:rsidRPr="0015603B">
        <w:t>census blocks</w:t>
      </w:r>
      <w:r w:rsidR="004E5D8D">
        <w:t xml:space="preserve"> are all </w:t>
      </w:r>
      <w:r w:rsidR="00612F2B" w:rsidRPr="00742183">
        <w:t>with</w:t>
      </w:r>
      <w:r w:rsidR="004E5D8D" w:rsidRPr="00742183">
        <w:t>i</w:t>
      </w:r>
      <w:r w:rsidR="004E5D8D">
        <w:t>n the same census tract and Alaskan regional corporation area, Ahtna, Inc.</w:t>
      </w:r>
      <w:r w:rsidR="00505B63">
        <w:rPr>
          <w:rStyle w:val="FootnoteReference"/>
        </w:rPr>
        <w:footnoteReference w:id="29"/>
      </w:r>
      <w:r w:rsidR="00241F5A" w:rsidRPr="0015603B">
        <w:t xml:space="preserve"> </w:t>
      </w:r>
      <w:r w:rsidR="004E5D8D">
        <w:t xml:space="preserve"> Together, the 11 census blocks cover a total</w:t>
      </w:r>
      <w:r w:rsidR="00241F5A" w:rsidRPr="0015603B">
        <w:t xml:space="preserve"> population of </w:t>
      </w:r>
      <w:r w:rsidR="004E5D8D">
        <w:t xml:space="preserve">127 and </w:t>
      </w:r>
      <w:r w:rsidR="00010E21">
        <w:t xml:space="preserve">Copper Valley plans to meet its performance requirements </w:t>
      </w:r>
      <w:r w:rsidR="004E5D8D">
        <w:t xml:space="preserve">through </w:t>
      </w:r>
      <w:r w:rsidR="00010E21">
        <w:t xml:space="preserve">upgrades to </w:t>
      </w:r>
      <w:r w:rsidR="004E5D8D">
        <w:t>a single tower.</w:t>
      </w:r>
      <w:r w:rsidR="00241F5A" w:rsidRPr="0078248D">
        <w:t xml:space="preserve">  </w:t>
      </w:r>
      <w:r w:rsidR="00505B63">
        <w:t xml:space="preserve">Grouping Copper Valley’s winning bids by tract for the purpose of submitting the LOC is </w:t>
      </w:r>
      <w:r w:rsidR="00366C7E">
        <w:t xml:space="preserve">similar to the way its </w:t>
      </w:r>
      <w:r w:rsidR="00505B63">
        <w:t xml:space="preserve">LOC requirement </w:t>
      </w:r>
      <w:r w:rsidR="00366C7E">
        <w:t xml:space="preserve">would have been applied had its winning bids covered census blocks </w:t>
      </w:r>
      <w:r w:rsidR="008771E7">
        <w:t xml:space="preserve">aggregated by </w:t>
      </w:r>
      <w:r w:rsidR="00366C7E">
        <w:t>tract within an ANVSA</w:t>
      </w:r>
      <w:r w:rsidR="00505B63">
        <w:t xml:space="preserve">.  </w:t>
      </w:r>
      <w:r w:rsidR="008771E7">
        <w:t>In addition, b</w:t>
      </w:r>
      <w:r w:rsidR="00241F5A" w:rsidRPr="0078248D">
        <w:t xml:space="preserve">ecause a single </w:t>
      </w:r>
      <w:r w:rsidR="00505B63">
        <w:t xml:space="preserve">project at one </w:t>
      </w:r>
      <w:r w:rsidR="00241F5A" w:rsidRPr="0078248D">
        <w:t xml:space="preserve">tower </w:t>
      </w:r>
      <w:r w:rsidR="00505B63">
        <w:t xml:space="preserve">site </w:t>
      </w:r>
      <w:r w:rsidR="00241F5A" w:rsidRPr="0078248D">
        <w:t xml:space="preserve">will serve </w:t>
      </w:r>
      <w:r w:rsidR="008F64BA" w:rsidRPr="005F3357">
        <w:t xml:space="preserve">the entire </w:t>
      </w:r>
      <w:r w:rsidR="00241F5A" w:rsidRPr="005F3357">
        <w:t>population</w:t>
      </w:r>
      <w:r w:rsidR="00505B63" w:rsidRPr="005F3357">
        <w:t xml:space="preserve"> </w:t>
      </w:r>
      <w:r w:rsidR="008F64BA" w:rsidRPr="005F3357">
        <w:t xml:space="preserve">within </w:t>
      </w:r>
      <w:r w:rsidR="00505B63" w:rsidRPr="008F64BA">
        <w:t>all 11 census</w:t>
      </w:r>
      <w:r w:rsidR="00505B63">
        <w:t xml:space="preserve"> blocks,</w:t>
      </w:r>
      <w:r w:rsidR="00241F5A" w:rsidRPr="0078248D">
        <w:t xml:space="preserve"> any performance default </w:t>
      </w:r>
      <w:r w:rsidR="0015603B" w:rsidRPr="0078248D">
        <w:t xml:space="preserve">by Copper Valley </w:t>
      </w:r>
      <w:r w:rsidR="00241F5A" w:rsidRPr="0078248D">
        <w:t xml:space="preserve">with respect to one census block is very likely to be the cause of a performance default </w:t>
      </w:r>
      <w:r w:rsidR="0015603B" w:rsidRPr="0078248D">
        <w:t xml:space="preserve">for all of </w:t>
      </w:r>
      <w:r w:rsidR="00505B63">
        <w:t xml:space="preserve">the </w:t>
      </w:r>
      <w:r w:rsidR="00241F5A" w:rsidRPr="0078248D">
        <w:t>census blocks</w:t>
      </w:r>
      <w:r w:rsidR="00505B63">
        <w:t xml:space="preserve"> for which it is authorized to receive Tribal Mobility Fund support</w:t>
      </w:r>
      <w:r w:rsidR="00241F5A" w:rsidRPr="0078248D">
        <w:t xml:space="preserve">.  </w:t>
      </w:r>
      <w:r w:rsidR="00505B63">
        <w:t>Copper Valley will continue to be required to meet its obligation to serve 75% or more of the population in each census block</w:t>
      </w:r>
      <w:r w:rsidR="00505B63" w:rsidRPr="005F3357">
        <w:t>.</w:t>
      </w:r>
      <w:r w:rsidR="00395298" w:rsidRPr="005F3357">
        <w:rPr>
          <w:rStyle w:val="FootnoteReference"/>
        </w:rPr>
        <w:footnoteReference w:id="30"/>
      </w:r>
      <w:r w:rsidR="00241F5A" w:rsidRPr="005F3357">
        <w:t xml:space="preserve">  </w:t>
      </w:r>
    </w:p>
    <w:p w:rsidR="00987A0A" w:rsidRPr="001D0D98" w:rsidRDefault="00BA4D64" w:rsidP="00A63765">
      <w:pPr>
        <w:pStyle w:val="ParaNum"/>
        <w:tabs>
          <w:tab w:val="clear" w:pos="1080"/>
        </w:tabs>
        <w:jc w:val="left"/>
      </w:pPr>
      <w:r w:rsidRPr="00753EC4">
        <w:t>Further, we find that grant of the</w:t>
      </w:r>
      <w:r w:rsidR="00DF57A6" w:rsidRPr="00753EC4">
        <w:t xml:space="preserve"> waiver request</w:t>
      </w:r>
      <w:r w:rsidRPr="00753EC4">
        <w:t xml:space="preserve"> wo</w:t>
      </w:r>
      <w:r w:rsidR="00A63765" w:rsidRPr="00753EC4">
        <w:t>uld not conflict with the policies</w:t>
      </w:r>
      <w:r w:rsidRPr="00753EC4">
        <w:t xml:space="preserve"> underlying the LOC requirement, </w:t>
      </w:r>
      <w:r w:rsidRPr="00215E23">
        <w:t xml:space="preserve">which </w:t>
      </w:r>
      <w:r w:rsidR="00A63765" w:rsidRPr="00215E23">
        <w:t xml:space="preserve">are </w:t>
      </w:r>
      <w:r w:rsidRPr="00215E23">
        <w:t xml:space="preserve">to </w:t>
      </w:r>
      <w:r w:rsidR="00A63765" w:rsidRPr="00215E23">
        <w:t xml:space="preserve">ensure that winning bidders have committed sufficient financial resources to meet the program obligations associated with </w:t>
      </w:r>
      <w:r w:rsidR="008D3E79" w:rsidRPr="00215E23">
        <w:t>Tribal Mobility</w:t>
      </w:r>
      <w:r w:rsidR="00A63765" w:rsidRPr="00215E23">
        <w:t xml:space="preserve"> Fund Phase I support and </w:t>
      </w:r>
      <w:r w:rsidR="000C61D0" w:rsidRPr="00215E23">
        <w:t xml:space="preserve">to </w:t>
      </w:r>
      <w:r w:rsidRPr="00215E23">
        <w:t>protect the government’s interest in any disbursements</w:t>
      </w:r>
      <w:r w:rsidR="00A63765" w:rsidRPr="00215E23">
        <w:t xml:space="preserve"> of support</w:t>
      </w:r>
      <w:r w:rsidRPr="00215E23">
        <w:t>.</w:t>
      </w:r>
      <w:r w:rsidRPr="00753EC4">
        <w:rPr>
          <w:rStyle w:val="FootnoteReference"/>
        </w:rPr>
        <w:footnoteReference w:id="31"/>
      </w:r>
      <w:r w:rsidRPr="00753EC4">
        <w:t xml:space="preserve"> </w:t>
      </w:r>
      <w:r w:rsidR="000F131B" w:rsidRPr="00753EC4">
        <w:t xml:space="preserve"> </w:t>
      </w:r>
      <w:r w:rsidR="008F733E" w:rsidRPr="00753EC4">
        <w:t>Copper Valley</w:t>
      </w:r>
      <w:r w:rsidR="005F2862" w:rsidRPr="00753EC4">
        <w:t xml:space="preserve">’s buildout plans, as described in its application, show that </w:t>
      </w:r>
      <w:r w:rsidR="008F733E" w:rsidRPr="00215E23">
        <w:t>Copper Valley</w:t>
      </w:r>
      <w:r w:rsidR="00B80616" w:rsidRPr="00215E23">
        <w:t xml:space="preserve"> proposes </w:t>
      </w:r>
      <w:r w:rsidR="008F733E" w:rsidRPr="00215E23">
        <w:t xml:space="preserve">a single </w:t>
      </w:r>
      <w:r w:rsidR="00FA1196">
        <w:t xml:space="preserve">project </w:t>
      </w:r>
      <w:r w:rsidR="008F733E" w:rsidRPr="00215E23">
        <w:t xml:space="preserve">to </w:t>
      </w:r>
      <w:r w:rsidR="00B80616" w:rsidRPr="00215E23">
        <w:t xml:space="preserve">be covered by one LOC </w:t>
      </w:r>
      <w:r w:rsidR="008F733E" w:rsidRPr="00215E23">
        <w:t xml:space="preserve">which </w:t>
      </w:r>
      <w:r w:rsidR="005F2862" w:rsidRPr="00215E23">
        <w:t xml:space="preserve">corresponds to a set of equipment upgrades at </w:t>
      </w:r>
      <w:r w:rsidR="00B80616" w:rsidRPr="00215E23">
        <w:t>one</w:t>
      </w:r>
      <w:r w:rsidR="008F733E" w:rsidRPr="00215E23">
        <w:t xml:space="preserve"> tower site</w:t>
      </w:r>
      <w:r w:rsidR="005F2862" w:rsidRPr="00215E23">
        <w:t xml:space="preserve">.  </w:t>
      </w:r>
      <w:r w:rsidR="008F733E" w:rsidRPr="00215E23">
        <w:t>Copper Valley</w:t>
      </w:r>
      <w:r w:rsidR="005F2862" w:rsidRPr="00215E23">
        <w:t xml:space="preserve"> represents that it has sufficie</w:t>
      </w:r>
      <w:r w:rsidR="008F733E" w:rsidRPr="00215E23">
        <w:t>nt financial resources for this project</w:t>
      </w:r>
      <w:r w:rsidR="005F2862" w:rsidRPr="00215E23">
        <w:t xml:space="preserve"> and provides details of those plans in its long-form application.  By </w:t>
      </w:r>
      <w:r w:rsidR="008F733E" w:rsidRPr="00215E23">
        <w:t>providing a single LOC</w:t>
      </w:r>
      <w:r w:rsidR="000557F0" w:rsidRPr="00215E23">
        <w:t xml:space="preserve">, </w:t>
      </w:r>
      <w:r w:rsidR="008F733E" w:rsidRPr="00215E23">
        <w:t>Copper Valley</w:t>
      </w:r>
      <w:r w:rsidR="000557F0" w:rsidRPr="00215E23">
        <w:t xml:space="preserve"> will </w:t>
      </w:r>
      <w:r w:rsidR="00416783" w:rsidRPr="00215E23">
        <w:t xml:space="preserve">guarantee its performance in meeting its public interest obligations associated with its winning bids for </w:t>
      </w:r>
      <w:r w:rsidR="008D3E79" w:rsidRPr="00215E23">
        <w:t>Tribal Mobility</w:t>
      </w:r>
      <w:r w:rsidR="00416783" w:rsidRPr="00215E23">
        <w:t xml:space="preserve"> Fund Phase I support and </w:t>
      </w:r>
      <w:r w:rsidR="000557F0" w:rsidRPr="00215E23">
        <w:t xml:space="preserve">safeguard the government’s interest in any disbursements.  </w:t>
      </w:r>
      <w:r w:rsidR="00D056D1" w:rsidRPr="008813F5">
        <w:t>We further find that in these circumstances</w:t>
      </w:r>
      <w:r w:rsidR="00D056D1">
        <w:t>,</w:t>
      </w:r>
      <w:r w:rsidR="00D056D1" w:rsidRPr="008813F5">
        <w:t xml:space="preserve"> grant of the waiver serves the public interest by </w:t>
      </w:r>
      <w:r w:rsidR="00D056D1">
        <w:t xml:space="preserve">taking into account the </w:t>
      </w:r>
      <w:r w:rsidR="00B83BB1">
        <w:t xml:space="preserve">special </w:t>
      </w:r>
      <w:r w:rsidR="00D056D1">
        <w:t>circumstances of Copper Valley’s</w:t>
      </w:r>
      <w:r w:rsidR="00D056D1" w:rsidRPr="008813F5">
        <w:t xml:space="preserve"> winning bids </w:t>
      </w:r>
      <w:r w:rsidR="00D056D1">
        <w:t xml:space="preserve">and ensuring that an appropriate guarantee of performance is in place to ensure </w:t>
      </w:r>
      <w:r w:rsidR="00D056D1" w:rsidRPr="008813F5">
        <w:t xml:space="preserve">the </w:t>
      </w:r>
      <w:r w:rsidR="00D056D1">
        <w:t>expansion of 4G LTE</w:t>
      </w:r>
      <w:r w:rsidR="00D056D1" w:rsidRPr="008813F5">
        <w:t xml:space="preserve"> mobile voice and broadband service </w:t>
      </w:r>
      <w:r w:rsidR="00D056D1">
        <w:t xml:space="preserve">to the Alaska communities </w:t>
      </w:r>
      <w:r w:rsidR="00D056D1" w:rsidRPr="008813F5">
        <w:t>covered by th</w:t>
      </w:r>
      <w:r w:rsidR="00D056D1">
        <w:t>e</w:t>
      </w:r>
      <w:r w:rsidR="00D056D1" w:rsidRPr="008813F5">
        <w:t xml:space="preserve">se </w:t>
      </w:r>
      <w:r w:rsidR="00D056D1">
        <w:t xml:space="preserve">11 </w:t>
      </w:r>
      <w:r w:rsidR="00D056D1" w:rsidRPr="008813F5">
        <w:t>winning bids.</w:t>
      </w:r>
    </w:p>
    <w:p w:rsidR="00884E23" w:rsidRDefault="003A4141" w:rsidP="00DD066A">
      <w:pPr>
        <w:pStyle w:val="ParaNum"/>
        <w:tabs>
          <w:tab w:val="clear" w:pos="1080"/>
        </w:tabs>
        <w:jc w:val="left"/>
      </w:pPr>
      <w:r>
        <w:t>For the reasons stated above</w:t>
      </w:r>
      <w:r w:rsidR="002D3CF8">
        <w:t>, we waive</w:t>
      </w:r>
      <w:r w:rsidR="006D30B4">
        <w:t xml:space="preserve"> </w:t>
      </w:r>
      <w:r w:rsidR="001C6EF3">
        <w:t>the</w:t>
      </w:r>
      <w:r w:rsidR="00CC4B0F">
        <w:t xml:space="preserve"> requirement that a winning bidder submit an LOC for each winning bid </w:t>
      </w:r>
      <w:r w:rsidR="006E7528">
        <w:t>to allow Auction 902</w:t>
      </w:r>
      <w:r w:rsidR="002D3CF8">
        <w:t xml:space="preserve"> winning bidder </w:t>
      </w:r>
      <w:r w:rsidR="006E7528">
        <w:t>Copper Valley</w:t>
      </w:r>
      <w:r w:rsidR="002D3CF8">
        <w:t xml:space="preserve"> to submit </w:t>
      </w:r>
      <w:r w:rsidR="006E7528">
        <w:t xml:space="preserve">a single </w:t>
      </w:r>
      <w:r w:rsidR="00E34FB9">
        <w:t xml:space="preserve">irrevocable </w:t>
      </w:r>
      <w:r w:rsidR="002D3CF8">
        <w:t>stan</w:t>
      </w:r>
      <w:r w:rsidR="006E7528">
        <w:t>d-by LOC</w:t>
      </w:r>
      <w:r w:rsidR="002D3CF8">
        <w:t xml:space="preserve"> </w:t>
      </w:r>
      <w:r w:rsidR="00E34FB9">
        <w:t xml:space="preserve">with its long-form application </w:t>
      </w:r>
      <w:r w:rsidR="0012211F">
        <w:t xml:space="preserve">for </w:t>
      </w:r>
      <w:r w:rsidR="008D3E79">
        <w:t>Tribal Mobility</w:t>
      </w:r>
      <w:r w:rsidR="002D3CF8">
        <w:t xml:space="preserve"> Fund Phase I</w:t>
      </w:r>
      <w:r w:rsidR="006D30B4">
        <w:t xml:space="preserve"> support</w:t>
      </w:r>
      <w:r w:rsidR="002D3CF8">
        <w:t>.</w:t>
      </w:r>
      <w:r w:rsidR="00B83BB1">
        <w:rPr>
          <w:rStyle w:val="FootnoteReference"/>
        </w:rPr>
        <w:footnoteReference w:id="32"/>
      </w:r>
      <w:r w:rsidR="00987A0A">
        <w:t xml:space="preserve">  </w:t>
      </w:r>
    </w:p>
    <w:p w:rsidR="000F2260" w:rsidRDefault="000F2260" w:rsidP="004F37DD">
      <w:pPr>
        <w:pStyle w:val="Heading1"/>
        <w:jc w:val="left"/>
      </w:pPr>
      <w:r>
        <w:t>ORDERING CLAUSES</w:t>
      </w:r>
    </w:p>
    <w:p w:rsidR="000F2260" w:rsidRDefault="000F2260" w:rsidP="005F3357">
      <w:pPr>
        <w:pStyle w:val="ParaNum"/>
        <w:tabs>
          <w:tab w:val="clear" w:pos="1080"/>
        </w:tabs>
        <w:jc w:val="left"/>
      </w:pPr>
      <w:r>
        <w:t>Accordingly, IT IS ORDERED that, pursuant to the authority contained in sections 1, 4(i), 4(j), 5(c), 201, 254, and 303(r),</w:t>
      </w:r>
      <w:r w:rsidR="00E56FD3">
        <w:t xml:space="preserve"> of the Communications Act of 1934, as amended, 47 U.S.C. §§ 151, 154(i), 154(j), 155(c), 201, 254, 303(r),</w:t>
      </w:r>
      <w:r>
        <w:t xml:space="preserve"> and sections 0.131, 0.331, and 1.</w:t>
      </w:r>
      <w:r w:rsidR="006E7528">
        <w:t>3 of the Commission’s rules, 47 </w:t>
      </w:r>
      <w:r>
        <w:t>C.F.R. §§ 0.131</w:t>
      </w:r>
      <w:r w:rsidR="002D0C9C">
        <w:t xml:space="preserve">, </w:t>
      </w:r>
      <w:r>
        <w:t xml:space="preserve">0.331, and 1.3, </w:t>
      </w:r>
      <w:r w:rsidR="00CC4B0F">
        <w:t xml:space="preserve">the </w:t>
      </w:r>
      <w:r w:rsidR="003C0404">
        <w:t xml:space="preserve">request of Copper Valley for waiver of the </w:t>
      </w:r>
      <w:r w:rsidR="004325B2">
        <w:t>Auction 902</w:t>
      </w:r>
      <w:r w:rsidR="008F4A3A">
        <w:t xml:space="preserve"> </w:t>
      </w:r>
      <w:r w:rsidR="00CC4B0F">
        <w:t xml:space="preserve">requirement that a winning bidder submit a letter of credit for each winning bid </w:t>
      </w:r>
      <w:r w:rsidR="004F5A4E">
        <w:t>is</w:t>
      </w:r>
      <w:r w:rsidR="003C0404">
        <w:t xml:space="preserve"> </w:t>
      </w:r>
      <w:r w:rsidR="00613883">
        <w:t>GRANTED</w:t>
      </w:r>
      <w:r>
        <w:t>.</w:t>
      </w:r>
      <w:r w:rsidR="005F3357">
        <w:br w:type="page"/>
      </w:r>
    </w:p>
    <w:p w:rsidR="000F2260" w:rsidRDefault="000F2260" w:rsidP="00DD066A">
      <w:pPr>
        <w:pStyle w:val="ParaNum"/>
        <w:tabs>
          <w:tab w:val="clear" w:pos="1080"/>
        </w:tabs>
        <w:jc w:val="left"/>
      </w:pPr>
      <w:r>
        <w:t>IT IS FURTHER ORDERED that a copy of this order SHALL BE transmitted by the Office of the Secretary to the Universal Service Administrative Company</w:t>
      </w:r>
      <w:r w:rsidR="0015603B">
        <w:t>.</w:t>
      </w:r>
    </w:p>
    <w:p w:rsidR="0015603B" w:rsidRDefault="0015603B" w:rsidP="0015603B">
      <w:pPr>
        <w:pStyle w:val="ParaNum"/>
        <w:numPr>
          <w:ilvl w:val="0"/>
          <w:numId w:val="0"/>
        </w:numPr>
        <w:ind w:left="720"/>
        <w:jc w:val="left"/>
      </w:pPr>
    </w:p>
    <w:p w:rsidR="000F2260" w:rsidRDefault="00DE76B7" w:rsidP="00F95033">
      <w:pPr>
        <w:pStyle w:val="ParaNum"/>
        <w:numPr>
          <w:ilvl w:val="0"/>
          <w:numId w:val="0"/>
        </w:numPr>
        <w:spacing w:after="0"/>
        <w:ind w:firstLine="720"/>
      </w:pPr>
      <w:r>
        <w:tab/>
      </w:r>
      <w:r>
        <w:tab/>
      </w:r>
      <w:r>
        <w:tab/>
      </w:r>
      <w:r>
        <w:tab/>
      </w:r>
      <w:r>
        <w:tab/>
        <w:t>FEDERAL COMMUNICATIONS COMMISSION</w:t>
      </w:r>
    </w:p>
    <w:p w:rsidR="00DE76B7" w:rsidRDefault="00DE76B7" w:rsidP="00F95033">
      <w:pPr>
        <w:pStyle w:val="ParaNum"/>
        <w:numPr>
          <w:ilvl w:val="0"/>
          <w:numId w:val="0"/>
        </w:numPr>
        <w:spacing w:after="0"/>
      </w:pPr>
      <w:r>
        <w:tab/>
      </w:r>
    </w:p>
    <w:p w:rsidR="003A45DF" w:rsidRDefault="003A45DF" w:rsidP="00F95033">
      <w:pPr>
        <w:pStyle w:val="ParaNum"/>
        <w:numPr>
          <w:ilvl w:val="0"/>
          <w:numId w:val="0"/>
        </w:numPr>
        <w:spacing w:after="0"/>
      </w:pPr>
    </w:p>
    <w:p w:rsidR="00F95033" w:rsidRDefault="00F95033" w:rsidP="00F95033">
      <w:pPr>
        <w:pStyle w:val="ParaNum"/>
        <w:numPr>
          <w:ilvl w:val="0"/>
          <w:numId w:val="0"/>
        </w:numPr>
        <w:spacing w:after="0"/>
      </w:pPr>
    </w:p>
    <w:p w:rsidR="007235C7" w:rsidRDefault="007235C7" w:rsidP="00F95033">
      <w:pPr>
        <w:pStyle w:val="ParaNum"/>
        <w:numPr>
          <w:ilvl w:val="0"/>
          <w:numId w:val="0"/>
        </w:numPr>
        <w:spacing w:after="0"/>
      </w:pPr>
    </w:p>
    <w:p w:rsidR="00F95033" w:rsidRDefault="00F95033" w:rsidP="00F95033">
      <w:pPr>
        <w:pStyle w:val="ParaNum"/>
        <w:numPr>
          <w:ilvl w:val="0"/>
          <w:numId w:val="0"/>
        </w:numPr>
        <w:spacing w:after="0"/>
      </w:pPr>
    </w:p>
    <w:p w:rsidR="008F4A3A" w:rsidRDefault="00DE76B7" w:rsidP="00F95033">
      <w:pPr>
        <w:pStyle w:val="ParaNum"/>
        <w:numPr>
          <w:ilvl w:val="0"/>
          <w:numId w:val="0"/>
        </w:numPr>
        <w:spacing w:after="0"/>
      </w:pPr>
      <w:r>
        <w:tab/>
      </w:r>
      <w:r>
        <w:tab/>
      </w:r>
      <w:r>
        <w:tab/>
      </w:r>
      <w:r>
        <w:tab/>
      </w:r>
      <w:r>
        <w:tab/>
      </w:r>
      <w:r w:rsidR="007A302C">
        <w:t xml:space="preserve">Gary D. Michaels </w:t>
      </w:r>
    </w:p>
    <w:p w:rsidR="008F4A3A" w:rsidRDefault="008F4A3A" w:rsidP="00F95033">
      <w:pPr>
        <w:pStyle w:val="ParaNum"/>
        <w:numPr>
          <w:ilvl w:val="0"/>
          <w:numId w:val="0"/>
        </w:numPr>
        <w:spacing w:after="0"/>
      </w:pPr>
      <w:r>
        <w:tab/>
      </w:r>
      <w:r>
        <w:tab/>
      </w:r>
      <w:r>
        <w:tab/>
      </w:r>
      <w:r>
        <w:tab/>
      </w:r>
      <w:r>
        <w:tab/>
      </w:r>
      <w:r w:rsidR="007A302C">
        <w:t xml:space="preserve">Deputy </w:t>
      </w:r>
      <w:r>
        <w:t>Chief</w:t>
      </w:r>
      <w:r w:rsidR="00F95033">
        <w:t xml:space="preserve">, </w:t>
      </w:r>
      <w:r>
        <w:t>Auctions and Spectrum Access Division</w:t>
      </w:r>
    </w:p>
    <w:p w:rsidR="00DE76B7" w:rsidRPr="000F2260" w:rsidRDefault="008F4A3A" w:rsidP="00F95033">
      <w:pPr>
        <w:pStyle w:val="ParaNum"/>
        <w:numPr>
          <w:ilvl w:val="0"/>
          <w:numId w:val="0"/>
        </w:numPr>
        <w:spacing w:after="0"/>
      </w:pPr>
      <w:r>
        <w:tab/>
      </w:r>
      <w:r>
        <w:tab/>
      </w:r>
      <w:r>
        <w:tab/>
      </w:r>
      <w:r>
        <w:tab/>
      </w:r>
      <w:r>
        <w:tab/>
      </w:r>
      <w:r w:rsidR="00DE76B7">
        <w:t>Wireless Telecommunications Bureau</w:t>
      </w:r>
      <w:r w:rsidR="00F95033">
        <w:t xml:space="preserve"> </w:t>
      </w:r>
      <w:r w:rsidR="00DE76B7">
        <w:tab/>
      </w:r>
      <w:r w:rsidR="00DE76B7">
        <w:tab/>
      </w:r>
    </w:p>
    <w:sectPr w:rsidR="00DE76B7" w:rsidRPr="000F2260" w:rsidSect="00753E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B7" w:rsidRDefault="00E448B7">
      <w:r>
        <w:separator/>
      </w:r>
    </w:p>
  </w:endnote>
  <w:endnote w:type="continuationSeparator" w:id="0">
    <w:p w:rsidR="00E448B7" w:rsidRDefault="00E4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BC" w:rsidRDefault="00D15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F5" w:rsidRDefault="00E418F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8241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BC" w:rsidRDefault="00D1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B7" w:rsidRDefault="00E448B7">
      <w:pPr>
        <w:rPr>
          <w:sz w:val="20"/>
        </w:rPr>
      </w:pPr>
      <w:r>
        <w:rPr>
          <w:sz w:val="20"/>
        </w:rPr>
        <w:separator/>
      </w:r>
    </w:p>
  </w:footnote>
  <w:footnote w:type="continuationSeparator" w:id="0">
    <w:p w:rsidR="00E448B7" w:rsidRDefault="00E448B7">
      <w:pPr>
        <w:rPr>
          <w:sz w:val="20"/>
        </w:rPr>
      </w:pPr>
      <w:r>
        <w:rPr>
          <w:sz w:val="20"/>
        </w:rPr>
        <w:separator/>
      </w:r>
    </w:p>
    <w:p w:rsidR="00E448B7" w:rsidRDefault="00E448B7">
      <w:pPr>
        <w:rPr>
          <w:sz w:val="20"/>
        </w:rPr>
      </w:pPr>
      <w:r>
        <w:rPr>
          <w:sz w:val="20"/>
        </w:rPr>
        <w:t>(...continued from previous page)</w:t>
      </w:r>
    </w:p>
  </w:footnote>
  <w:footnote w:type="continuationNotice" w:id="1">
    <w:p w:rsidR="00E448B7" w:rsidRDefault="00E448B7">
      <w:pPr>
        <w:jc w:val="right"/>
        <w:rPr>
          <w:sz w:val="20"/>
        </w:rPr>
      </w:pPr>
      <w:r>
        <w:rPr>
          <w:sz w:val="20"/>
        </w:rPr>
        <w:t>(continued....)</w:t>
      </w:r>
    </w:p>
  </w:footnote>
  <w:footnote w:id="2">
    <w:p w:rsidR="00E418F5" w:rsidRDefault="00E418F5" w:rsidP="0089759C">
      <w:pPr>
        <w:pStyle w:val="FootnoteText"/>
        <w:jc w:val="left"/>
      </w:pPr>
      <w:r>
        <w:rPr>
          <w:rStyle w:val="FootnoteReference"/>
        </w:rPr>
        <w:footnoteRef/>
      </w:r>
      <w:r>
        <w:t xml:space="preserve"> Connect America Fund, WC Docket No. 10-90, A National Broadband Plan for Our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 Universal Service Reform – Mobility Fund, WT Docket No. 10-208, </w:t>
      </w:r>
      <w:r>
        <w:rPr>
          <w:i/>
        </w:rPr>
        <w:t>Report and Order and Further Notice of Proposed Rulemaking</w:t>
      </w:r>
      <w:r>
        <w:t>, 26 FCC Rcd 17663, 17733 ¶¶  299-300 (2011) (</w:t>
      </w:r>
      <w:r>
        <w:rPr>
          <w:i/>
        </w:rPr>
        <w:t>USF/ICC Transformation Order</w:t>
      </w:r>
      <w:r>
        <w:t xml:space="preserve">), </w:t>
      </w:r>
      <w:r>
        <w:rPr>
          <w:i/>
        </w:rPr>
        <w:t>pets</w:t>
      </w:r>
      <w:r>
        <w:t xml:space="preserve">. </w:t>
      </w:r>
      <w:r>
        <w:rPr>
          <w:i/>
        </w:rPr>
        <w:t>for review pending sub nom</w:t>
      </w:r>
      <w:r>
        <w:t xml:space="preserve">. </w:t>
      </w:r>
      <w:r>
        <w:rPr>
          <w:i/>
        </w:rPr>
        <w:t>In re:</w:t>
      </w:r>
      <w:r>
        <w:t xml:space="preserve"> </w:t>
      </w:r>
      <w:r>
        <w:rPr>
          <w:i/>
        </w:rPr>
        <w:t>FCC 11-161</w:t>
      </w:r>
      <w:r>
        <w:t>, No. 11-9900 (10th Cir. filed Dec. 8, 2011),</w:t>
      </w:r>
      <w:r w:rsidRPr="009C6441">
        <w:rPr>
          <w:snapToGrid w:val="0"/>
        </w:rPr>
        <w:t xml:space="preserve"> </w:t>
      </w:r>
      <w:r>
        <w:rPr>
          <w:snapToGrid w:val="0"/>
        </w:rPr>
        <w:t xml:space="preserve">upheld on review </w:t>
      </w:r>
      <w:r>
        <w:rPr>
          <w:i/>
          <w:snapToGrid w:val="0"/>
        </w:rPr>
        <w:t>In re:  FCC 11-161</w:t>
      </w:r>
      <w:r>
        <w:rPr>
          <w:snapToGrid w:val="0"/>
        </w:rPr>
        <w:t xml:space="preserve">, </w:t>
      </w:r>
      <w:r w:rsidR="008D0E3B">
        <w:rPr>
          <w:snapToGrid w:val="0"/>
        </w:rPr>
        <w:t>753</w:t>
      </w:r>
      <w:r>
        <w:rPr>
          <w:snapToGrid w:val="0"/>
        </w:rPr>
        <w:t xml:space="preserve"> F.3d </w:t>
      </w:r>
      <w:r w:rsidR="008D0E3B">
        <w:rPr>
          <w:snapToGrid w:val="0"/>
        </w:rPr>
        <w:t>1015</w:t>
      </w:r>
      <w:r>
        <w:rPr>
          <w:snapToGrid w:val="0"/>
        </w:rPr>
        <w:t xml:space="preserve"> (10th Cir. May 23, 2014)</w:t>
      </w:r>
      <w:r>
        <w:t xml:space="preserve">.  </w:t>
      </w:r>
    </w:p>
  </w:footnote>
  <w:footnote w:id="3">
    <w:p w:rsidR="00E418F5" w:rsidRPr="00387772" w:rsidRDefault="00E418F5" w:rsidP="00B621DC">
      <w:pPr>
        <w:pStyle w:val="FootnoteText"/>
      </w:pPr>
      <w:r>
        <w:rPr>
          <w:rStyle w:val="FootnoteReference"/>
        </w:rPr>
        <w:footnoteRef/>
      </w:r>
      <w:r>
        <w:t xml:space="preserve"> </w:t>
      </w:r>
      <w:r>
        <w:rPr>
          <w:i/>
        </w:rPr>
        <w:t>Id.</w:t>
      </w:r>
      <w:r>
        <w:t xml:space="preserve"> at 17667 ¶ 1.</w:t>
      </w:r>
    </w:p>
  </w:footnote>
  <w:footnote w:id="4">
    <w:p w:rsidR="00E418F5" w:rsidRDefault="00E418F5" w:rsidP="00B621DC">
      <w:pPr>
        <w:pStyle w:val="FootnoteText"/>
        <w:jc w:val="left"/>
      </w:pPr>
      <w:r>
        <w:rPr>
          <w:rStyle w:val="FootnoteReference"/>
        </w:rPr>
        <w:footnoteRef/>
      </w:r>
      <w:r>
        <w:t xml:space="preserve"> </w:t>
      </w:r>
      <w:r>
        <w:rPr>
          <w:i/>
        </w:rPr>
        <w:t>Id.</w:t>
      </w:r>
      <w:r>
        <w:t xml:space="preserve"> at 17773 ¶¶ 299-300.</w:t>
      </w:r>
    </w:p>
  </w:footnote>
  <w:footnote w:id="5">
    <w:p w:rsidR="00E418F5" w:rsidRDefault="00E418F5" w:rsidP="008A3152">
      <w:pPr>
        <w:pStyle w:val="FootnoteText"/>
      </w:pPr>
      <w:r>
        <w:rPr>
          <w:rStyle w:val="FootnoteReference"/>
        </w:rPr>
        <w:footnoteRef/>
      </w:r>
      <w:r>
        <w:t xml:space="preserve"> </w:t>
      </w:r>
      <w:r>
        <w:rPr>
          <w:i/>
        </w:rPr>
        <w:t>USF/ICC Transformation Order</w:t>
      </w:r>
      <w:r>
        <w:t>, 26 FCC Rcd</w:t>
      </w:r>
      <w:r>
        <w:rPr>
          <w:snapToGrid w:val="0"/>
        </w:rPr>
        <w:t xml:space="preserve"> at 17773, 17781, 17783 </w:t>
      </w:r>
      <w:r>
        <w:t xml:space="preserve">¶¶ </w:t>
      </w:r>
      <w:r>
        <w:rPr>
          <w:snapToGrid w:val="0"/>
        </w:rPr>
        <w:t>299, 321, 329.</w:t>
      </w:r>
    </w:p>
  </w:footnote>
  <w:footnote w:id="6">
    <w:p w:rsidR="00E418F5" w:rsidRDefault="00E418F5">
      <w:pPr>
        <w:pStyle w:val="FootnoteText"/>
      </w:pPr>
      <w:r>
        <w:rPr>
          <w:rStyle w:val="FootnoteReference"/>
        </w:rPr>
        <w:footnoteRef/>
      </w:r>
      <w:r>
        <w:t xml:space="preserve"> </w:t>
      </w:r>
      <w:r>
        <w:rPr>
          <w:i/>
        </w:rPr>
        <w:t>I</w:t>
      </w:r>
      <w:r w:rsidRPr="00340B4F">
        <w:rPr>
          <w:i/>
        </w:rPr>
        <w:t>d</w:t>
      </w:r>
      <w:r>
        <w:t xml:space="preserve">. at 17773 ¶ 299.     </w:t>
      </w:r>
    </w:p>
  </w:footnote>
  <w:footnote w:id="7">
    <w:p w:rsidR="00E418F5" w:rsidRPr="000779D0" w:rsidRDefault="00E418F5" w:rsidP="00D8241A">
      <w:pPr>
        <w:spacing w:after="120"/>
        <w:rPr>
          <w:sz w:val="20"/>
        </w:rPr>
      </w:pPr>
      <w:r>
        <w:rPr>
          <w:rStyle w:val="FootnoteReference"/>
        </w:rPr>
        <w:footnoteRef/>
      </w:r>
      <w:r>
        <w:t xml:space="preserve"> </w:t>
      </w:r>
      <w:r w:rsidRPr="000779D0">
        <w:rPr>
          <w:sz w:val="20"/>
        </w:rPr>
        <w:t xml:space="preserve">Tribal Mobility Fund Phase I Auction Closes; Winning Bidders Announced for Auction 902, AU Docket No. </w:t>
      </w:r>
      <w:r w:rsidRPr="000779D0">
        <w:rPr>
          <w:i/>
          <w:sz w:val="20"/>
        </w:rPr>
        <w:t>Public Notice</w:t>
      </w:r>
      <w:r w:rsidRPr="000779D0">
        <w:rPr>
          <w:sz w:val="20"/>
        </w:rPr>
        <w:t>, 29 FCC Rcd. 1974 (2014)</w:t>
      </w:r>
      <w:r>
        <w:rPr>
          <w:sz w:val="20"/>
        </w:rPr>
        <w:t xml:space="preserve"> (</w:t>
      </w:r>
      <w:r w:rsidRPr="000779D0">
        <w:rPr>
          <w:i/>
          <w:sz w:val="20"/>
        </w:rPr>
        <w:t>Auction 902 Closing Public Notice</w:t>
      </w:r>
      <w:r>
        <w:rPr>
          <w:sz w:val="20"/>
        </w:rPr>
        <w:t>).</w:t>
      </w:r>
    </w:p>
  </w:footnote>
  <w:footnote w:id="8">
    <w:p w:rsidR="00E418F5" w:rsidRDefault="00E418F5" w:rsidP="007862C5">
      <w:pPr>
        <w:pStyle w:val="FootnoteText"/>
      </w:pPr>
      <w:r>
        <w:rPr>
          <w:rStyle w:val="FootnoteReference"/>
        </w:rPr>
        <w:footnoteRef/>
      </w:r>
      <w:r>
        <w:t xml:space="preserve"> </w:t>
      </w:r>
      <w:r>
        <w:rPr>
          <w:i/>
        </w:rPr>
        <w:t>Id</w:t>
      </w:r>
      <w:r>
        <w:t xml:space="preserve">. </w:t>
      </w:r>
    </w:p>
  </w:footnote>
  <w:footnote w:id="9">
    <w:p w:rsidR="00E418F5" w:rsidRDefault="00E418F5" w:rsidP="007862C5">
      <w:pPr>
        <w:pStyle w:val="FootnoteText"/>
        <w:jc w:val="left"/>
      </w:pPr>
      <w:r>
        <w:rPr>
          <w:rStyle w:val="FootnoteReference"/>
        </w:rPr>
        <w:footnoteRef/>
      </w:r>
      <w:r>
        <w:t xml:space="preserve"> </w:t>
      </w:r>
      <w:r w:rsidRPr="00C27FDB">
        <w:rPr>
          <w:i/>
        </w:rPr>
        <w:t>Id</w:t>
      </w:r>
      <w:r>
        <w:t>.</w:t>
      </w:r>
    </w:p>
  </w:footnote>
  <w:footnote w:id="10">
    <w:p w:rsidR="00E418F5" w:rsidRDefault="00E418F5" w:rsidP="00101D7C">
      <w:pPr>
        <w:pStyle w:val="FootnoteText"/>
      </w:pPr>
      <w:r>
        <w:rPr>
          <w:rStyle w:val="FootnoteReference"/>
        </w:rPr>
        <w:footnoteRef/>
      </w:r>
      <w:r>
        <w:t xml:space="preserve"> </w:t>
      </w:r>
      <w:r>
        <w:rPr>
          <w:i/>
        </w:rPr>
        <w:t>USF/ICC Transformation Order</w:t>
      </w:r>
      <w:r>
        <w:t xml:space="preserve">, 26 FCC Rcd </w:t>
      </w:r>
      <w:r w:rsidRPr="00131B9B">
        <w:t>at</w:t>
      </w:r>
      <w:r>
        <w:t xml:space="preserve"> 17787-88</w:t>
      </w:r>
      <w:r w:rsidRPr="00131B9B">
        <w:t xml:space="preserve"> ¶ 346</w:t>
      </w:r>
      <w:r>
        <w:t>; 47 C.F.R. § 54.1002(a).</w:t>
      </w:r>
    </w:p>
  </w:footnote>
  <w:footnote w:id="11">
    <w:p w:rsidR="00E418F5" w:rsidRPr="00712267" w:rsidRDefault="00E418F5" w:rsidP="005F3357">
      <w:pPr>
        <w:pStyle w:val="FootnoteText"/>
        <w:jc w:val="left"/>
      </w:pPr>
      <w:r>
        <w:rPr>
          <w:rStyle w:val="FootnoteReference"/>
        </w:rPr>
        <w:footnoteRef/>
      </w:r>
      <w:r>
        <w:t xml:space="preserve"> </w:t>
      </w:r>
      <w:r>
        <w:rPr>
          <w:i/>
        </w:rPr>
        <w:t xml:space="preserve">USF/ICC Transformation Order, </w:t>
      </w:r>
      <w:r w:rsidRPr="006B3B61">
        <w:t>26 FCC Rcd at 17788</w:t>
      </w:r>
      <w:r>
        <w:rPr>
          <w:i/>
        </w:rPr>
        <w:t xml:space="preserve"> </w:t>
      </w:r>
      <w:r>
        <w:t xml:space="preserve">¶ 347.  </w:t>
      </w:r>
      <w:r>
        <w:rPr>
          <w:szCs w:val="22"/>
        </w:rPr>
        <w:t xml:space="preserve">Census blocks are the smallest geographic unit for which the Census Bureau collects and tabulates decennial census data.  </w:t>
      </w:r>
      <w:r>
        <w:t xml:space="preserve">Every census block fits within a census tract, and each census tract consists of multiple census blocks.  </w:t>
      </w:r>
      <w:r>
        <w:rPr>
          <w:i/>
        </w:rPr>
        <w:t xml:space="preserve">Id. </w:t>
      </w:r>
      <w:r>
        <w:t xml:space="preserve">at 17787, n. 583.  </w:t>
      </w:r>
    </w:p>
  </w:footnote>
  <w:footnote w:id="12">
    <w:p w:rsidR="00E418F5" w:rsidRDefault="00E418F5" w:rsidP="005F3357">
      <w:pPr>
        <w:pStyle w:val="FootnoteText"/>
        <w:jc w:val="left"/>
      </w:pPr>
      <w:r>
        <w:rPr>
          <w:rStyle w:val="FootnoteReference"/>
        </w:rPr>
        <w:footnoteRef/>
      </w:r>
      <w:r>
        <w:t xml:space="preserve"> Tribal Mobility Fund Phase I Auction Rescheduled for December 19, 2013; Notice and Filing Requirements and Other Procedures for Auction 902, AU Docket 13-53, </w:t>
      </w:r>
      <w:r>
        <w:rPr>
          <w:i/>
        </w:rPr>
        <w:t>Public Notice</w:t>
      </w:r>
      <w:r>
        <w:t>, 28 FCC Rcd. 11628, 1167</w:t>
      </w:r>
      <w:r w:rsidR="00F63C92">
        <w:t>2</w:t>
      </w:r>
      <w:r>
        <w:t xml:space="preserve"> ¶ </w:t>
      </w:r>
      <w:r>
        <w:rPr>
          <w:snapToGrid w:val="0"/>
        </w:rPr>
        <w:t>15</w:t>
      </w:r>
      <w:r w:rsidR="00F63C92">
        <w:rPr>
          <w:snapToGrid w:val="0"/>
        </w:rPr>
        <w:t>1</w:t>
      </w:r>
      <w:r>
        <w:rPr>
          <w:snapToGrid w:val="0"/>
        </w:rPr>
        <w:t xml:space="preserve"> </w:t>
      </w:r>
      <w:r>
        <w:t>(2013) (</w:t>
      </w:r>
      <w:r>
        <w:rPr>
          <w:i/>
        </w:rPr>
        <w:t>Auction 902 Procedures Public Notice</w:t>
      </w:r>
      <w:r>
        <w:t xml:space="preserve">).  </w:t>
      </w:r>
    </w:p>
  </w:footnote>
  <w:footnote w:id="13">
    <w:p w:rsidR="00E418F5" w:rsidRPr="008C0EC6" w:rsidRDefault="00E418F5" w:rsidP="00101D7C">
      <w:pPr>
        <w:pStyle w:val="FootnoteText"/>
        <w:rPr>
          <w:i/>
        </w:rPr>
      </w:pPr>
      <w:r>
        <w:rPr>
          <w:rStyle w:val="FootnoteReference"/>
        </w:rPr>
        <w:footnoteRef/>
      </w:r>
      <w:r>
        <w:t xml:space="preserve"> </w:t>
      </w:r>
      <w:r>
        <w:rPr>
          <w:i/>
        </w:rPr>
        <w:t xml:space="preserve">Id. </w:t>
      </w:r>
      <w:r>
        <w:t>at 11672 ¶¶ 152-54.</w:t>
      </w:r>
    </w:p>
  </w:footnote>
  <w:footnote w:id="14">
    <w:p w:rsidR="00E418F5" w:rsidRDefault="00E418F5">
      <w:pPr>
        <w:pStyle w:val="FootnoteText"/>
      </w:pPr>
      <w:r>
        <w:rPr>
          <w:rStyle w:val="FootnoteReference"/>
        </w:rPr>
        <w:footnoteRef/>
      </w:r>
      <w:r>
        <w:t xml:space="preserve"> </w:t>
      </w:r>
      <w:r w:rsidRPr="00B3626A">
        <w:rPr>
          <w:i/>
        </w:rPr>
        <w:t>Id</w:t>
      </w:r>
      <w:r>
        <w:t>. at 11673 at ¶ 156.</w:t>
      </w:r>
    </w:p>
  </w:footnote>
  <w:footnote w:id="15">
    <w:p w:rsidR="00E418F5" w:rsidRDefault="00E418F5" w:rsidP="00B656B6">
      <w:pPr>
        <w:pStyle w:val="FootnoteText"/>
        <w:jc w:val="left"/>
      </w:pPr>
      <w:r>
        <w:rPr>
          <w:rStyle w:val="FootnoteReference"/>
        </w:rPr>
        <w:footnoteRef/>
      </w:r>
      <w:r>
        <w:t xml:space="preserve"> </w:t>
      </w:r>
      <w:r>
        <w:rPr>
          <w:i/>
        </w:rPr>
        <w:t>USF/ICC Transformation Order</w:t>
      </w:r>
      <w:r>
        <w:t>, 26 FCC Rcd at 17810-11 ¶¶ 443-47.</w:t>
      </w:r>
    </w:p>
  </w:footnote>
  <w:footnote w:id="16">
    <w:p w:rsidR="00E418F5" w:rsidRDefault="00E418F5" w:rsidP="00DE63D6">
      <w:pPr>
        <w:pStyle w:val="FootnoteText"/>
        <w:jc w:val="left"/>
      </w:pPr>
      <w:r>
        <w:rPr>
          <w:rStyle w:val="FootnoteReference"/>
        </w:rPr>
        <w:footnoteRef/>
      </w:r>
      <w:r>
        <w:t xml:space="preserve"> </w:t>
      </w:r>
      <w:r>
        <w:rPr>
          <w:i/>
        </w:rPr>
        <w:t>Id</w:t>
      </w:r>
      <w:r>
        <w:t xml:space="preserve">. at 17811-12 ¶ 449.  </w:t>
      </w:r>
    </w:p>
  </w:footnote>
  <w:footnote w:id="17">
    <w:p w:rsidR="00E418F5" w:rsidRDefault="00E418F5" w:rsidP="00DE63D6">
      <w:pPr>
        <w:pStyle w:val="FootnoteText"/>
        <w:jc w:val="left"/>
      </w:pPr>
      <w:r>
        <w:rPr>
          <w:rStyle w:val="FootnoteReference"/>
        </w:rPr>
        <w:footnoteRef/>
      </w:r>
      <w:r>
        <w:t xml:space="preserve"> </w:t>
      </w:r>
      <w:r>
        <w:rPr>
          <w:i/>
        </w:rPr>
        <w:t>Id</w:t>
      </w:r>
      <w:r>
        <w:t xml:space="preserve">. at 17811 ¶ 447. </w:t>
      </w:r>
    </w:p>
  </w:footnote>
  <w:footnote w:id="18">
    <w:p w:rsidR="00E418F5" w:rsidRDefault="00E418F5" w:rsidP="00A73E60">
      <w:pPr>
        <w:pStyle w:val="FootnoteText"/>
      </w:pPr>
      <w:r>
        <w:rPr>
          <w:rStyle w:val="FootnoteReference"/>
        </w:rPr>
        <w:footnoteRef/>
      </w:r>
      <w:r>
        <w:t xml:space="preserve"> </w:t>
      </w:r>
      <w:r>
        <w:rPr>
          <w:i/>
        </w:rPr>
        <w:t>I</w:t>
      </w:r>
      <w:r w:rsidRPr="00EA5DA8">
        <w:rPr>
          <w:i/>
        </w:rPr>
        <w:t>d</w:t>
      </w:r>
      <w:r>
        <w:t xml:space="preserve">. </w:t>
      </w:r>
      <w:r w:rsidRPr="0015389D">
        <w:t xml:space="preserve">at </w:t>
      </w:r>
      <w:r>
        <w:t xml:space="preserve">17810 ¶ 444, </w:t>
      </w:r>
      <w:r w:rsidRPr="0015389D">
        <w:t>18319</w:t>
      </w:r>
      <w:r>
        <w:t>-23</w:t>
      </w:r>
      <w:r w:rsidRPr="0015389D">
        <w:t xml:space="preserve"> Appendix N</w:t>
      </w:r>
      <w:r>
        <w:t>.</w:t>
      </w:r>
    </w:p>
  </w:footnote>
  <w:footnote w:id="19">
    <w:p w:rsidR="00E418F5" w:rsidRDefault="00E418F5" w:rsidP="00C2783A">
      <w:pPr>
        <w:pStyle w:val="FootnoteText"/>
        <w:jc w:val="left"/>
      </w:pPr>
      <w:r>
        <w:rPr>
          <w:rStyle w:val="FootnoteReference"/>
        </w:rPr>
        <w:footnoteRef/>
      </w:r>
      <w:r>
        <w:t xml:space="preserve"> 47 C.F.R. § 54.1007(c)(1); </w:t>
      </w:r>
      <w:r>
        <w:rPr>
          <w:i/>
        </w:rPr>
        <w:t>USF/ICC Transformation Order</w:t>
      </w:r>
      <w:r>
        <w:t xml:space="preserve">, 26 FCC Rcd at </w:t>
      </w:r>
      <w:r>
        <w:rPr>
          <w:rFonts w:cs="TimesNewRomanPSMT"/>
          <w:szCs w:val="22"/>
        </w:rPr>
        <w:t xml:space="preserve">17811 </w:t>
      </w:r>
      <w:r>
        <w:t>¶ 448;</w:t>
      </w:r>
      <w:r w:rsidRPr="00E06794">
        <w:rPr>
          <w:i/>
        </w:rPr>
        <w:t xml:space="preserve"> </w:t>
      </w:r>
      <w:r>
        <w:rPr>
          <w:i/>
        </w:rPr>
        <w:t>s</w:t>
      </w:r>
      <w:r w:rsidRPr="00212AC8">
        <w:rPr>
          <w:i/>
        </w:rPr>
        <w:t>ee</w:t>
      </w:r>
      <w:r>
        <w:t xml:space="preserve"> </w:t>
      </w:r>
      <w:r w:rsidRPr="00E06794">
        <w:rPr>
          <w:i/>
        </w:rPr>
        <w:t>also</w:t>
      </w:r>
      <w:r>
        <w:t xml:space="preserve"> 47 C.F.R. § 54.1006(f).  The LOC is required to be in an amount equal to the amount of Tribal Mobility Fund Phase I support received plus the established additional default payment percentage, which for Auction 902 was ten percent of the winning bid amount.  47 C.F.R. § 54.1007(a); </w:t>
      </w:r>
      <w:r>
        <w:rPr>
          <w:i/>
        </w:rPr>
        <w:t>USF/ICC Transformation Order</w:t>
      </w:r>
      <w:r>
        <w:t xml:space="preserve">, 26 FCC Rcd at 17810-11 ¶¶ 446-47; </w:t>
      </w:r>
      <w:r>
        <w:rPr>
          <w:i/>
        </w:rPr>
        <w:t>Auction 902 Procedures Public Notice</w:t>
      </w:r>
      <w:r>
        <w:t xml:space="preserve">, 28 FCC Rcd at 11681 ¶ 188. </w:t>
      </w:r>
    </w:p>
  </w:footnote>
  <w:footnote w:id="20">
    <w:p w:rsidR="00E418F5" w:rsidRPr="003220FF" w:rsidRDefault="00E418F5" w:rsidP="00C430C3">
      <w:pPr>
        <w:pStyle w:val="FootnoteText"/>
        <w:jc w:val="left"/>
      </w:pPr>
      <w:r>
        <w:rPr>
          <w:rStyle w:val="FootnoteReference"/>
        </w:rPr>
        <w:footnoteRef/>
      </w:r>
      <w:r>
        <w:t xml:space="preserve"> 47 C.F.R. § 54.1005(b)(2)(vii); </w:t>
      </w:r>
      <w:r>
        <w:rPr>
          <w:i/>
        </w:rPr>
        <w:t>USF/ICC Transformation Order</w:t>
      </w:r>
      <w:r>
        <w:t xml:space="preserve">, 26 FCC Rcd at </w:t>
      </w:r>
      <w:r w:rsidRPr="00F7102D">
        <w:t>17810 ¶ 444</w:t>
      </w:r>
      <w:r>
        <w:t xml:space="preserve">; </w:t>
      </w:r>
      <w:r>
        <w:rPr>
          <w:i/>
        </w:rPr>
        <w:t>Auction 902 Procedures Public Notice</w:t>
      </w:r>
      <w:r>
        <w:t xml:space="preserve">, 28 FCC Rcd at 11681-82 ¶¶ 188, 191; </w:t>
      </w:r>
      <w:r>
        <w:rPr>
          <w:i/>
        </w:rPr>
        <w:t>Auction 902 Closing Public Notice</w:t>
      </w:r>
      <w:r>
        <w:t xml:space="preserve">, 29 FCC Rcd at </w:t>
      </w:r>
      <w:r w:rsidRPr="0078248D">
        <w:t xml:space="preserve">1979 </w:t>
      </w:r>
      <w:r>
        <w:t xml:space="preserve">¶ 22.    </w:t>
      </w:r>
    </w:p>
  </w:footnote>
  <w:footnote w:id="21">
    <w:p w:rsidR="00E418F5" w:rsidRPr="001146F2" w:rsidRDefault="00E418F5">
      <w:pPr>
        <w:pStyle w:val="FootnoteText"/>
      </w:pPr>
      <w:r>
        <w:rPr>
          <w:rStyle w:val="FootnoteReference"/>
        </w:rPr>
        <w:footnoteRef/>
      </w:r>
      <w:r>
        <w:t xml:space="preserve"> </w:t>
      </w:r>
      <w:r>
        <w:rPr>
          <w:i/>
        </w:rPr>
        <w:t>Auction 902</w:t>
      </w:r>
      <w:r w:rsidRPr="00E7085F">
        <w:rPr>
          <w:i/>
        </w:rPr>
        <w:t xml:space="preserve"> </w:t>
      </w:r>
      <w:r>
        <w:rPr>
          <w:i/>
        </w:rPr>
        <w:t xml:space="preserve">Closing </w:t>
      </w:r>
      <w:r w:rsidRPr="00E7085F">
        <w:rPr>
          <w:i/>
        </w:rPr>
        <w:t>Public</w:t>
      </w:r>
      <w:r>
        <w:rPr>
          <w:i/>
        </w:rPr>
        <w:t xml:space="preserve"> </w:t>
      </w:r>
      <w:r w:rsidRPr="00E7085F">
        <w:rPr>
          <w:i/>
        </w:rPr>
        <w:t>Notice</w:t>
      </w:r>
      <w:r>
        <w:t xml:space="preserve">, 29 FCC Rcd 1974, Attachment B.  The Bureau intends to make Copper Valley’s long-form application publicly available, along with those of other Auction 902 winning bidders, following the completion of processing and authorization of support to all Auction 902 winning bidders.  </w:t>
      </w:r>
    </w:p>
  </w:footnote>
  <w:footnote w:id="22">
    <w:p w:rsidR="00E418F5" w:rsidRDefault="00E418F5" w:rsidP="00D82A01">
      <w:pPr>
        <w:pStyle w:val="FootnoteText"/>
      </w:pPr>
      <w:r>
        <w:rPr>
          <w:rStyle w:val="FootnoteReference"/>
        </w:rPr>
        <w:footnoteRef/>
      </w:r>
      <w:r>
        <w:t xml:space="preserve"> Copper Valley Wireless, LLC, Waiver Request, filed on April 4, 2014, at 1-2 (</w:t>
      </w:r>
      <w:r w:rsidRPr="00D306ED">
        <w:rPr>
          <w:i/>
        </w:rPr>
        <w:t>Request</w:t>
      </w:r>
      <w:r>
        <w:t>).</w:t>
      </w:r>
    </w:p>
  </w:footnote>
  <w:footnote w:id="23">
    <w:p w:rsidR="00E418F5" w:rsidRDefault="00E418F5">
      <w:pPr>
        <w:pStyle w:val="FootnoteText"/>
      </w:pPr>
      <w:r>
        <w:rPr>
          <w:rStyle w:val="FootnoteReference"/>
        </w:rPr>
        <w:footnoteRef/>
      </w:r>
      <w:r>
        <w:t xml:space="preserve"> </w:t>
      </w:r>
      <w:r w:rsidRPr="00D56712">
        <w:rPr>
          <w:i/>
        </w:rPr>
        <w:t>See Id</w:t>
      </w:r>
      <w:r>
        <w:t xml:space="preserve">. </w:t>
      </w:r>
    </w:p>
  </w:footnote>
  <w:footnote w:id="24">
    <w:p w:rsidR="00E418F5" w:rsidRPr="00803652" w:rsidRDefault="00E418F5" w:rsidP="007D4306">
      <w:pPr>
        <w:pStyle w:val="FootnoteText"/>
        <w:jc w:val="left"/>
        <w:rPr>
          <w:i/>
        </w:rPr>
      </w:pPr>
      <w:r>
        <w:rPr>
          <w:rStyle w:val="FootnoteReference"/>
        </w:rPr>
        <w:footnoteRef/>
      </w:r>
      <w:r>
        <w:t xml:space="preserve"> Request at 2; </w:t>
      </w:r>
      <w:r w:rsidRPr="00951702">
        <w:rPr>
          <w:i/>
        </w:rPr>
        <w:t>see also</w:t>
      </w:r>
      <w:r>
        <w:t xml:space="preserve"> Copper Valley Long-Form Application, Project Description Attachment.</w:t>
      </w:r>
    </w:p>
  </w:footnote>
  <w:footnote w:id="25">
    <w:p w:rsidR="00E418F5" w:rsidRDefault="00E418F5">
      <w:pPr>
        <w:pStyle w:val="FootnoteText"/>
      </w:pPr>
      <w:r>
        <w:rPr>
          <w:rStyle w:val="FootnoteReference"/>
        </w:rPr>
        <w:footnoteRef/>
      </w:r>
      <w:r>
        <w:t xml:space="preserve"> </w:t>
      </w:r>
      <w:r w:rsidRPr="005F7491">
        <w:rPr>
          <w:i/>
        </w:rPr>
        <w:t>See</w:t>
      </w:r>
      <w:r>
        <w:t xml:space="preserve"> 47 C.F.R. §§ 1.3, 0.131(a).</w:t>
      </w:r>
    </w:p>
  </w:footnote>
  <w:footnote w:id="26">
    <w:p w:rsidR="00E418F5" w:rsidRDefault="00E418F5">
      <w:pPr>
        <w:pStyle w:val="FootnoteText"/>
      </w:pPr>
      <w:r>
        <w:rPr>
          <w:rStyle w:val="FootnoteReference"/>
        </w:rPr>
        <w:footnoteRef/>
      </w:r>
      <w:r>
        <w:t xml:space="preserve"> </w:t>
      </w:r>
      <w:r w:rsidRPr="0006634E">
        <w:rPr>
          <w:i/>
        </w:rPr>
        <w:t>See, e.g.</w:t>
      </w:r>
      <w:r>
        <w:t xml:space="preserve">, </w:t>
      </w:r>
      <w:r w:rsidRPr="0006634E">
        <w:rPr>
          <w:i/>
        </w:rPr>
        <w:t>Northeast Cellular Tel. Co. v. FCC</w:t>
      </w:r>
      <w:r>
        <w:t>, 897 F.2d 1164, 1166 (D.C. Cir. 1990).</w:t>
      </w:r>
    </w:p>
  </w:footnote>
  <w:footnote w:id="27">
    <w:p w:rsidR="00E418F5" w:rsidRDefault="00E418F5" w:rsidP="0078248D">
      <w:pPr>
        <w:pStyle w:val="FootnoteText"/>
        <w:jc w:val="left"/>
      </w:pPr>
      <w:r>
        <w:rPr>
          <w:rStyle w:val="FootnoteReference"/>
        </w:rPr>
        <w:footnoteRef/>
      </w:r>
      <w:r>
        <w:t xml:space="preserve"> </w:t>
      </w:r>
      <w:r w:rsidRPr="0006634E">
        <w:rPr>
          <w:i/>
        </w:rPr>
        <w:t>See WAIT Radio v. FCC</w:t>
      </w:r>
      <w:r>
        <w:t xml:space="preserve">, 418 F.2d 1153, 1155, 1157 (D.C. Cir. 1969) (finding that the Commission may decide in some instances that rule waiver serves the public interest if an applicant’s proposal will not undermine the policy served by the rule).  </w:t>
      </w:r>
      <w:r w:rsidRPr="0006634E">
        <w:rPr>
          <w:i/>
        </w:rPr>
        <w:t>See also Thomas Radio v. FCC</w:t>
      </w:r>
      <w:r>
        <w:t xml:space="preserve">, 716 F.2d 921, 924 (D.C. Cir. 1983).  </w:t>
      </w:r>
      <w:r w:rsidRPr="0006634E">
        <w:rPr>
          <w:i/>
        </w:rPr>
        <w:t>Cf</w:t>
      </w:r>
      <w:r>
        <w:t xml:space="preserve">. 47 C.F.R. § 1.925(b)(3)(i).  </w:t>
      </w:r>
    </w:p>
  </w:footnote>
  <w:footnote w:id="28">
    <w:p w:rsidR="00505B63" w:rsidRDefault="00505B63" w:rsidP="005F3357">
      <w:pPr>
        <w:pStyle w:val="FootnoteText"/>
        <w:jc w:val="left"/>
      </w:pPr>
      <w:r>
        <w:rPr>
          <w:rStyle w:val="FootnoteReference"/>
        </w:rPr>
        <w:footnoteRef/>
      </w:r>
      <w:r>
        <w:t xml:space="preserve"> AK-Ahtna-33 (Census Block 0226100001003008) is significantly larger than Copper Valley’s other ten winning bid areas, which cover an average of only 18 square miles each. However, Copper Valley states that the entire population of AK-Ahtna-33 is located on the side of the block nearest to Copper Valley’s other ten winning bid areas. </w:t>
      </w:r>
      <w:r w:rsidRPr="00EF0047">
        <w:rPr>
          <w:i/>
        </w:rPr>
        <w:t>See</w:t>
      </w:r>
      <w:r>
        <w:t xml:space="preserve"> Request at 2 and fn. 6.</w:t>
      </w:r>
    </w:p>
  </w:footnote>
  <w:footnote w:id="29">
    <w:p w:rsidR="00505B63" w:rsidRDefault="00505B63" w:rsidP="005F3357">
      <w:pPr>
        <w:pStyle w:val="FootnoteText"/>
        <w:jc w:val="left"/>
      </w:pPr>
      <w:r>
        <w:rPr>
          <w:rStyle w:val="FootnoteReference"/>
        </w:rPr>
        <w:footnoteRef/>
      </w:r>
      <w:r>
        <w:t xml:space="preserve"> </w:t>
      </w:r>
      <w:r w:rsidRPr="005F3357">
        <w:t>Ahtna, Inc. is one of the 13 Alaska Native Regional Corporations established by Congress under terms of the Alaska Native Claims Settlement Act in 1971 and cover</w:t>
      </w:r>
      <w:r w:rsidR="005F3357" w:rsidRPr="005F3357">
        <w:t>s</w:t>
      </w:r>
      <w:r w:rsidRPr="005F3357">
        <w:t xml:space="preserve"> approximately 1,528,000 acres.</w:t>
      </w:r>
      <w:r w:rsidR="005F3357">
        <w:t xml:space="preserve">  </w:t>
      </w:r>
      <w:r w:rsidR="005F3357" w:rsidRPr="005F3357">
        <w:rPr>
          <w:i/>
        </w:rPr>
        <w:t>See</w:t>
      </w:r>
      <w:r w:rsidR="005F3357">
        <w:t xml:space="preserve"> Copper Valley Project Description at fn. 1. </w:t>
      </w:r>
      <w:r>
        <w:t xml:space="preserve"> </w:t>
      </w:r>
    </w:p>
  </w:footnote>
  <w:footnote w:id="30">
    <w:p w:rsidR="00395298" w:rsidRDefault="00395298" w:rsidP="005F3357">
      <w:pPr>
        <w:pStyle w:val="FootnoteText"/>
        <w:jc w:val="left"/>
      </w:pPr>
      <w:r>
        <w:rPr>
          <w:rStyle w:val="FootnoteReference"/>
        </w:rPr>
        <w:footnoteRef/>
      </w:r>
      <w:r>
        <w:t xml:space="preserve"> In the event of any default by </w:t>
      </w:r>
      <w:r w:rsidRPr="00215E23">
        <w:t>Copper Valley</w:t>
      </w:r>
      <w:r>
        <w:t>, the Commission would draw the entire amount of the LOC as required under section 54.1007(c)</w:t>
      </w:r>
      <w:r w:rsidR="00527B1C">
        <w:t xml:space="preserve"> of the Commis</w:t>
      </w:r>
      <w:r w:rsidR="006D5206">
        <w:t>s</w:t>
      </w:r>
      <w:r w:rsidR="00527B1C">
        <w:t>ion’s rules</w:t>
      </w:r>
      <w:r>
        <w:t>.</w:t>
      </w:r>
      <w:r w:rsidRPr="002474EE">
        <w:rPr>
          <w:rStyle w:val="FootnoteReference"/>
        </w:rPr>
        <w:t xml:space="preserve"> </w:t>
      </w:r>
      <w:r>
        <w:t xml:space="preserve"> </w:t>
      </w:r>
      <w:r w:rsidRPr="00A67AC4">
        <w:rPr>
          <w:i/>
        </w:rPr>
        <w:t>See</w:t>
      </w:r>
      <w:r>
        <w:t xml:space="preserve"> 47 C.F.R. § 54.1007(c)(1)-(2).  </w:t>
      </w:r>
      <w:r w:rsidRPr="00212AC8">
        <w:rPr>
          <w:i/>
        </w:rPr>
        <w:t>See also</w:t>
      </w:r>
      <w:r>
        <w:rPr>
          <w:i/>
        </w:rPr>
        <w:t xml:space="preserve"> USF/ICC Transformation Order</w:t>
      </w:r>
      <w:r>
        <w:t xml:space="preserve">, 26 FCC Rcd at </w:t>
      </w:r>
      <w:r>
        <w:rPr>
          <w:rFonts w:cs="TimesNewRomanPSMT"/>
          <w:szCs w:val="22"/>
        </w:rPr>
        <w:t xml:space="preserve">17811 </w:t>
      </w:r>
      <w:r>
        <w:t xml:space="preserve">¶ 448.  </w:t>
      </w:r>
    </w:p>
  </w:footnote>
  <w:footnote w:id="31">
    <w:p w:rsidR="00E418F5" w:rsidRDefault="00E418F5" w:rsidP="00BA4D64">
      <w:pPr>
        <w:pStyle w:val="FootnoteText"/>
      </w:pPr>
      <w:r>
        <w:rPr>
          <w:rStyle w:val="FootnoteReference"/>
        </w:rPr>
        <w:footnoteRef/>
      </w:r>
      <w:r>
        <w:t xml:space="preserve"> </w:t>
      </w:r>
      <w:r w:rsidRPr="006E0015">
        <w:rPr>
          <w:i/>
        </w:rPr>
        <w:t>USF/ICC Transformation Order</w:t>
      </w:r>
      <w:r>
        <w:t xml:space="preserve">, 26 FCC Rcd at 17810-11 ¶¶ 443-447.  </w:t>
      </w:r>
    </w:p>
  </w:footnote>
  <w:footnote w:id="32">
    <w:p w:rsidR="00B83BB1" w:rsidRPr="00B83BB1" w:rsidRDefault="00B83BB1">
      <w:pPr>
        <w:pStyle w:val="FootnoteText"/>
      </w:pPr>
      <w:r>
        <w:rPr>
          <w:rStyle w:val="FootnoteReference"/>
        </w:rPr>
        <w:footnoteRef/>
      </w:r>
      <w:r>
        <w:t xml:space="preserve"> In many respects, the circumstances of this waiver </w:t>
      </w:r>
      <w:r w:rsidR="002D238B">
        <w:t>align with the facts</w:t>
      </w:r>
      <w:r w:rsidR="00736823">
        <w:t xml:space="preserve"> of</w:t>
      </w:r>
      <w:r>
        <w:t xml:space="preserve"> </w:t>
      </w:r>
      <w:r w:rsidRPr="00456DAC">
        <w:t xml:space="preserve">In the Matter of </w:t>
      </w:r>
      <w:r w:rsidR="00E379C2" w:rsidRPr="00456DAC">
        <w:t>G</w:t>
      </w:r>
      <w:r w:rsidRPr="00456DAC">
        <w:t>CI Communication Corp., Waiver of Section 54.1007(a) of the Commission’s Rules,</w:t>
      </w:r>
      <w:r>
        <w:rPr>
          <w:i/>
        </w:rPr>
        <w:t xml:space="preserve"> </w:t>
      </w:r>
      <w:r w:rsidR="00736823">
        <w:t xml:space="preserve">AU Docket No. 12-25, </w:t>
      </w:r>
      <w:r w:rsidR="00736823" w:rsidRPr="00456DAC">
        <w:rPr>
          <w:i/>
        </w:rPr>
        <w:t>Order</w:t>
      </w:r>
      <w:r w:rsidR="00736823">
        <w:t>,</w:t>
      </w:r>
      <w:r w:rsidR="00736823" w:rsidRPr="00736823">
        <w:t xml:space="preserve"> </w:t>
      </w:r>
      <w:r w:rsidR="00736823">
        <w:t>28 FCC Rcd 15874, 15877-78</w:t>
      </w:r>
      <w:r>
        <w:t xml:space="preserve"> ¶¶ 10-11 (WTB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BC" w:rsidRDefault="00D15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F5" w:rsidRDefault="00E418F5">
    <w:pPr>
      <w:pStyle w:val="Header"/>
      <w:tabs>
        <w:tab w:val="clear" w:pos="4320"/>
        <w:tab w:val="clear" w:pos="8640"/>
        <w:tab w:val="center" w:pos="4680"/>
        <w:tab w:val="right" w:pos="9360"/>
      </w:tabs>
      <w:rPr>
        <w:b/>
      </w:rPr>
    </w:pPr>
    <w:r>
      <w:rPr>
        <w:b/>
      </w:rPr>
      <w:tab/>
      <w:t>Federal Communications Commission</w:t>
    </w:r>
    <w:r>
      <w:rPr>
        <w:b/>
      </w:rPr>
      <w:tab/>
      <w:t>DA</w:t>
    </w:r>
    <w:r w:rsidR="0010706D">
      <w:rPr>
        <w:b/>
      </w:rPr>
      <w:t xml:space="preserve"> 14-1469</w:t>
    </w:r>
    <w:r>
      <w:rPr>
        <w:b/>
      </w:rPr>
      <w:t xml:space="preserve">  </w:t>
    </w:r>
  </w:p>
  <w:p w:rsidR="00E418F5" w:rsidRDefault="00E418F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702F337" wp14:editId="673945CB">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418F5" w:rsidRDefault="00E4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F5" w:rsidRDefault="00E418F5">
    <w:pPr>
      <w:pStyle w:val="Header"/>
      <w:tabs>
        <w:tab w:val="clear" w:pos="4320"/>
        <w:tab w:val="clear" w:pos="8640"/>
        <w:tab w:val="center" w:pos="4680"/>
        <w:tab w:val="right" w:pos="9360"/>
      </w:tabs>
      <w:rPr>
        <w:b/>
      </w:rPr>
    </w:pPr>
    <w:r>
      <w:rPr>
        <w:b/>
      </w:rPr>
      <w:tab/>
      <w:t>Federal Communications Commission</w:t>
    </w:r>
    <w:r>
      <w:rPr>
        <w:b/>
      </w:rPr>
      <w:tab/>
      <w:t>DA 14-</w:t>
    </w:r>
    <w:r w:rsidR="0010706D">
      <w:rPr>
        <w:b/>
      </w:rPr>
      <w:t>1469</w:t>
    </w:r>
    <w:r>
      <w:rPr>
        <w:b/>
      </w:rPr>
      <w:t xml:space="preserve"> </w:t>
    </w:r>
  </w:p>
  <w:p w:rsidR="00E418F5" w:rsidRDefault="00E418F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6F72E27" wp14:editId="33B275F2">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4">
    <w:nsid w:val="61182925"/>
    <w:multiLevelType w:val="singleLevel"/>
    <w:tmpl w:val="D180CED0"/>
    <w:lvl w:ilvl="0">
      <w:start w:val="1"/>
      <w:numFmt w:val="decimal"/>
      <w:lvlText w:val="%1."/>
      <w:lvlJc w:val="left"/>
      <w:pPr>
        <w:tabs>
          <w:tab w:val="num" w:pos="1080"/>
        </w:tabs>
        <w:ind w:left="0" w:firstLine="720"/>
      </w:pPr>
    </w:lvl>
  </w:abstractNum>
  <w:num w:numId="1">
    <w:abstractNumId w:val="2"/>
  </w:num>
  <w:num w:numId="2">
    <w:abstractNumId w:val="3"/>
  </w:num>
  <w:num w:numId="3">
    <w:abstractNumId w:val="0"/>
  </w:num>
  <w:num w:numId="4">
    <w:abstractNumId w:val="1"/>
  </w:num>
  <w:num w:numId="5">
    <w:abstractNumId w:val="4"/>
  </w:num>
  <w:num w:numId="6">
    <w:abstractNumId w:val="0"/>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85"/>
    <w:rsid w:val="00000020"/>
    <w:rsid w:val="00001EF8"/>
    <w:rsid w:val="0000292E"/>
    <w:rsid w:val="00003FC9"/>
    <w:rsid w:val="00010E21"/>
    <w:rsid w:val="00013D00"/>
    <w:rsid w:val="0001605C"/>
    <w:rsid w:val="00017BC9"/>
    <w:rsid w:val="00021E4B"/>
    <w:rsid w:val="00026285"/>
    <w:rsid w:val="000267D2"/>
    <w:rsid w:val="00027AA2"/>
    <w:rsid w:val="00027D49"/>
    <w:rsid w:val="000352B7"/>
    <w:rsid w:val="00036215"/>
    <w:rsid w:val="00037B2D"/>
    <w:rsid w:val="0004064F"/>
    <w:rsid w:val="00041EA7"/>
    <w:rsid w:val="00044EA4"/>
    <w:rsid w:val="000450A4"/>
    <w:rsid w:val="0004726F"/>
    <w:rsid w:val="000532B2"/>
    <w:rsid w:val="0005349B"/>
    <w:rsid w:val="000557F0"/>
    <w:rsid w:val="0005724F"/>
    <w:rsid w:val="00060802"/>
    <w:rsid w:val="00060AAF"/>
    <w:rsid w:val="00060E71"/>
    <w:rsid w:val="00060FF5"/>
    <w:rsid w:val="000621EB"/>
    <w:rsid w:val="00062D30"/>
    <w:rsid w:val="00063326"/>
    <w:rsid w:val="00065007"/>
    <w:rsid w:val="0006634E"/>
    <w:rsid w:val="00067618"/>
    <w:rsid w:val="0006777E"/>
    <w:rsid w:val="00071CB5"/>
    <w:rsid w:val="000724A5"/>
    <w:rsid w:val="00072EBA"/>
    <w:rsid w:val="00073B4A"/>
    <w:rsid w:val="00073BF8"/>
    <w:rsid w:val="000779D0"/>
    <w:rsid w:val="00077E37"/>
    <w:rsid w:val="00080148"/>
    <w:rsid w:val="000808BC"/>
    <w:rsid w:val="00082DF3"/>
    <w:rsid w:val="00093586"/>
    <w:rsid w:val="00093E3F"/>
    <w:rsid w:val="00097A74"/>
    <w:rsid w:val="000A1A86"/>
    <w:rsid w:val="000A542A"/>
    <w:rsid w:val="000A6786"/>
    <w:rsid w:val="000A7672"/>
    <w:rsid w:val="000B0A2D"/>
    <w:rsid w:val="000B0C6F"/>
    <w:rsid w:val="000B1EF7"/>
    <w:rsid w:val="000B3BF0"/>
    <w:rsid w:val="000B4BB0"/>
    <w:rsid w:val="000B5E65"/>
    <w:rsid w:val="000B7695"/>
    <w:rsid w:val="000B7CD3"/>
    <w:rsid w:val="000C07DC"/>
    <w:rsid w:val="000C0E3E"/>
    <w:rsid w:val="000C1CF7"/>
    <w:rsid w:val="000C61D0"/>
    <w:rsid w:val="000C650E"/>
    <w:rsid w:val="000C73DB"/>
    <w:rsid w:val="000D0752"/>
    <w:rsid w:val="000D0B27"/>
    <w:rsid w:val="000D13ED"/>
    <w:rsid w:val="000D331D"/>
    <w:rsid w:val="000D5CDB"/>
    <w:rsid w:val="000D61F9"/>
    <w:rsid w:val="000D7B68"/>
    <w:rsid w:val="000E0137"/>
    <w:rsid w:val="000F131B"/>
    <w:rsid w:val="000F141B"/>
    <w:rsid w:val="000F2260"/>
    <w:rsid w:val="000F3D03"/>
    <w:rsid w:val="00101D7C"/>
    <w:rsid w:val="00105068"/>
    <w:rsid w:val="00105677"/>
    <w:rsid w:val="0010706D"/>
    <w:rsid w:val="00110BD5"/>
    <w:rsid w:val="001141D9"/>
    <w:rsid w:val="001146F2"/>
    <w:rsid w:val="00114B7D"/>
    <w:rsid w:val="00114DE7"/>
    <w:rsid w:val="00116D10"/>
    <w:rsid w:val="0011766A"/>
    <w:rsid w:val="00120138"/>
    <w:rsid w:val="0012211F"/>
    <w:rsid w:val="001243E4"/>
    <w:rsid w:val="00126438"/>
    <w:rsid w:val="001267E0"/>
    <w:rsid w:val="00130D8C"/>
    <w:rsid w:val="001310A3"/>
    <w:rsid w:val="00131B9B"/>
    <w:rsid w:val="00141699"/>
    <w:rsid w:val="00141AE4"/>
    <w:rsid w:val="001450CF"/>
    <w:rsid w:val="0015053B"/>
    <w:rsid w:val="001520D6"/>
    <w:rsid w:val="0015317E"/>
    <w:rsid w:val="0015389D"/>
    <w:rsid w:val="00154F9B"/>
    <w:rsid w:val="00155544"/>
    <w:rsid w:val="00155C9E"/>
    <w:rsid w:val="0015603B"/>
    <w:rsid w:val="001605EC"/>
    <w:rsid w:val="001622A2"/>
    <w:rsid w:val="0016448D"/>
    <w:rsid w:val="00164D7C"/>
    <w:rsid w:val="00166C3B"/>
    <w:rsid w:val="00166EF5"/>
    <w:rsid w:val="001672A2"/>
    <w:rsid w:val="001744A1"/>
    <w:rsid w:val="0017677D"/>
    <w:rsid w:val="0018086D"/>
    <w:rsid w:val="00181B46"/>
    <w:rsid w:val="00181EBD"/>
    <w:rsid w:val="001822DD"/>
    <w:rsid w:val="00182B98"/>
    <w:rsid w:val="001838F2"/>
    <w:rsid w:val="00184829"/>
    <w:rsid w:val="001859BF"/>
    <w:rsid w:val="001924E9"/>
    <w:rsid w:val="00192D4E"/>
    <w:rsid w:val="00193E0B"/>
    <w:rsid w:val="001A19E4"/>
    <w:rsid w:val="001A6D07"/>
    <w:rsid w:val="001B4B82"/>
    <w:rsid w:val="001B4C77"/>
    <w:rsid w:val="001B4F6C"/>
    <w:rsid w:val="001B59DC"/>
    <w:rsid w:val="001B6891"/>
    <w:rsid w:val="001B774B"/>
    <w:rsid w:val="001C07B4"/>
    <w:rsid w:val="001C23A0"/>
    <w:rsid w:val="001C330B"/>
    <w:rsid w:val="001C395B"/>
    <w:rsid w:val="001C3CB6"/>
    <w:rsid w:val="001C454B"/>
    <w:rsid w:val="001C6BC7"/>
    <w:rsid w:val="001C6C22"/>
    <w:rsid w:val="001C6EF3"/>
    <w:rsid w:val="001D0D98"/>
    <w:rsid w:val="001D2A2B"/>
    <w:rsid w:val="001D32A9"/>
    <w:rsid w:val="001E237B"/>
    <w:rsid w:val="001E47D2"/>
    <w:rsid w:val="001F1609"/>
    <w:rsid w:val="001F37AB"/>
    <w:rsid w:val="001F7071"/>
    <w:rsid w:val="00200BC6"/>
    <w:rsid w:val="00202B24"/>
    <w:rsid w:val="00204DD9"/>
    <w:rsid w:val="00205EAE"/>
    <w:rsid w:val="00212AC8"/>
    <w:rsid w:val="00215E23"/>
    <w:rsid w:val="00221C6B"/>
    <w:rsid w:val="0022203B"/>
    <w:rsid w:val="00223F0F"/>
    <w:rsid w:val="00226A17"/>
    <w:rsid w:val="00230141"/>
    <w:rsid w:val="00236AC3"/>
    <w:rsid w:val="00241F5A"/>
    <w:rsid w:val="00242231"/>
    <w:rsid w:val="00242890"/>
    <w:rsid w:val="00243A3E"/>
    <w:rsid w:val="002441D5"/>
    <w:rsid w:val="0024538D"/>
    <w:rsid w:val="0024697F"/>
    <w:rsid w:val="002474EE"/>
    <w:rsid w:val="0025088F"/>
    <w:rsid w:val="002508D7"/>
    <w:rsid w:val="002543C6"/>
    <w:rsid w:val="002555B5"/>
    <w:rsid w:val="00257532"/>
    <w:rsid w:val="00262E4B"/>
    <w:rsid w:val="00263BE1"/>
    <w:rsid w:val="00265F59"/>
    <w:rsid w:val="00266173"/>
    <w:rsid w:val="00266BC9"/>
    <w:rsid w:val="00266D92"/>
    <w:rsid w:val="002677A7"/>
    <w:rsid w:val="002702B1"/>
    <w:rsid w:val="0027098B"/>
    <w:rsid w:val="00273F50"/>
    <w:rsid w:val="00274691"/>
    <w:rsid w:val="002809F1"/>
    <w:rsid w:val="0028213D"/>
    <w:rsid w:val="002830ED"/>
    <w:rsid w:val="00284892"/>
    <w:rsid w:val="00291163"/>
    <w:rsid w:val="002918FC"/>
    <w:rsid w:val="00293E81"/>
    <w:rsid w:val="002955D5"/>
    <w:rsid w:val="0029612B"/>
    <w:rsid w:val="002964E2"/>
    <w:rsid w:val="002975AB"/>
    <w:rsid w:val="002A792E"/>
    <w:rsid w:val="002B30F1"/>
    <w:rsid w:val="002B38D1"/>
    <w:rsid w:val="002B3CB5"/>
    <w:rsid w:val="002B3E30"/>
    <w:rsid w:val="002C04E5"/>
    <w:rsid w:val="002C095D"/>
    <w:rsid w:val="002C4C9F"/>
    <w:rsid w:val="002C7616"/>
    <w:rsid w:val="002D0C9C"/>
    <w:rsid w:val="002D238B"/>
    <w:rsid w:val="002D2F23"/>
    <w:rsid w:val="002D3CF8"/>
    <w:rsid w:val="002D62B9"/>
    <w:rsid w:val="002E7544"/>
    <w:rsid w:val="002F172D"/>
    <w:rsid w:val="002F41B8"/>
    <w:rsid w:val="002F4215"/>
    <w:rsid w:val="0030079E"/>
    <w:rsid w:val="00303F23"/>
    <w:rsid w:val="00305D95"/>
    <w:rsid w:val="003063BF"/>
    <w:rsid w:val="003077FD"/>
    <w:rsid w:val="003103D4"/>
    <w:rsid w:val="00311CE6"/>
    <w:rsid w:val="00314166"/>
    <w:rsid w:val="00314E22"/>
    <w:rsid w:val="00315F4B"/>
    <w:rsid w:val="00317307"/>
    <w:rsid w:val="003216B7"/>
    <w:rsid w:val="003225EA"/>
    <w:rsid w:val="00323EBF"/>
    <w:rsid w:val="003245B7"/>
    <w:rsid w:val="003276A7"/>
    <w:rsid w:val="0033115F"/>
    <w:rsid w:val="00332408"/>
    <w:rsid w:val="003326CF"/>
    <w:rsid w:val="00333942"/>
    <w:rsid w:val="00333B1C"/>
    <w:rsid w:val="00335D9F"/>
    <w:rsid w:val="0033747F"/>
    <w:rsid w:val="00340B4F"/>
    <w:rsid w:val="003415FC"/>
    <w:rsid w:val="00341D77"/>
    <w:rsid w:val="003443ED"/>
    <w:rsid w:val="0034588C"/>
    <w:rsid w:val="00351693"/>
    <w:rsid w:val="00352D07"/>
    <w:rsid w:val="00353735"/>
    <w:rsid w:val="00354705"/>
    <w:rsid w:val="00355294"/>
    <w:rsid w:val="00362572"/>
    <w:rsid w:val="003641D7"/>
    <w:rsid w:val="00365BA5"/>
    <w:rsid w:val="00365D02"/>
    <w:rsid w:val="00366C7E"/>
    <w:rsid w:val="00366C88"/>
    <w:rsid w:val="0037223A"/>
    <w:rsid w:val="00373287"/>
    <w:rsid w:val="00376985"/>
    <w:rsid w:val="00377CD7"/>
    <w:rsid w:val="00381012"/>
    <w:rsid w:val="00382DB3"/>
    <w:rsid w:val="00382EB3"/>
    <w:rsid w:val="00384DE5"/>
    <w:rsid w:val="00386A7F"/>
    <w:rsid w:val="00390C7B"/>
    <w:rsid w:val="00390C8F"/>
    <w:rsid w:val="00390D99"/>
    <w:rsid w:val="00394A17"/>
    <w:rsid w:val="00395298"/>
    <w:rsid w:val="00397876"/>
    <w:rsid w:val="00397AD5"/>
    <w:rsid w:val="003A4141"/>
    <w:rsid w:val="003A45DF"/>
    <w:rsid w:val="003B343C"/>
    <w:rsid w:val="003B6D0B"/>
    <w:rsid w:val="003B7309"/>
    <w:rsid w:val="003C0404"/>
    <w:rsid w:val="003C1A02"/>
    <w:rsid w:val="003C36E5"/>
    <w:rsid w:val="003C7FEE"/>
    <w:rsid w:val="003D1E4E"/>
    <w:rsid w:val="003D208C"/>
    <w:rsid w:val="003D217B"/>
    <w:rsid w:val="003D553F"/>
    <w:rsid w:val="003D6477"/>
    <w:rsid w:val="003E1D98"/>
    <w:rsid w:val="003F0909"/>
    <w:rsid w:val="003F2AF3"/>
    <w:rsid w:val="003F3F10"/>
    <w:rsid w:val="003F7224"/>
    <w:rsid w:val="003F7B1E"/>
    <w:rsid w:val="00402FB4"/>
    <w:rsid w:val="004037C0"/>
    <w:rsid w:val="00403CA8"/>
    <w:rsid w:val="004125CA"/>
    <w:rsid w:val="00414514"/>
    <w:rsid w:val="004159F9"/>
    <w:rsid w:val="00416783"/>
    <w:rsid w:val="004169DD"/>
    <w:rsid w:val="00420518"/>
    <w:rsid w:val="00422540"/>
    <w:rsid w:val="00423CAC"/>
    <w:rsid w:val="00430356"/>
    <w:rsid w:val="004325B2"/>
    <w:rsid w:val="004330D4"/>
    <w:rsid w:val="004332E3"/>
    <w:rsid w:val="004346D7"/>
    <w:rsid w:val="00437E81"/>
    <w:rsid w:val="00443950"/>
    <w:rsid w:val="004443EC"/>
    <w:rsid w:val="0044570C"/>
    <w:rsid w:val="00446AC0"/>
    <w:rsid w:val="00447543"/>
    <w:rsid w:val="004505C4"/>
    <w:rsid w:val="00450683"/>
    <w:rsid w:val="00452894"/>
    <w:rsid w:val="00454004"/>
    <w:rsid w:val="00456DAC"/>
    <w:rsid w:val="0046189B"/>
    <w:rsid w:val="0046301B"/>
    <w:rsid w:val="004635D3"/>
    <w:rsid w:val="00464664"/>
    <w:rsid w:val="00471DF2"/>
    <w:rsid w:val="00477024"/>
    <w:rsid w:val="00477772"/>
    <w:rsid w:val="0048188E"/>
    <w:rsid w:val="00485503"/>
    <w:rsid w:val="004871C5"/>
    <w:rsid w:val="004958F8"/>
    <w:rsid w:val="004A1517"/>
    <w:rsid w:val="004A17CA"/>
    <w:rsid w:val="004A2749"/>
    <w:rsid w:val="004A3B91"/>
    <w:rsid w:val="004A5318"/>
    <w:rsid w:val="004A68FF"/>
    <w:rsid w:val="004B0ADB"/>
    <w:rsid w:val="004B22A2"/>
    <w:rsid w:val="004B3559"/>
    <w:rsid w:val="004C65C5"/>
    <w:rsid w:val="004C7FA5"/>
    <w:rsid w:val="004D1156"/>
    <w:rsid w:val="004D18B7"/>
    <w:rsid w:val="004D2948"/>
    <w:rsid w:val="004D460B"/>
    <w:rsid w:val="004D4EC1"/>
    <w:rsid w:val="004E3911"/>
    <w:rsid w:val="004E4BDB"/>
    <w:rsid w:val="004E5D8D"/>
    <w:rsid w:val="004E5FBC"/>
    <w:rsid w:val="004F2174"/>
    <w:rsid w:val="004F37DD"/>
    <w:rsid w:val="004F3F15"/>
    <w:rsid w:val="004F5A4E"/>
    <w:rsid w:val="004F726E"/>
    <w:rsid w:val="00500507"/>
    <w:rsid w:val="005049CB"/>
    <w:rsid w:val="00504B78"/>
    <w:rsid w:val="00505B63"/>
    <w:rsid w:val="0050790B"/>
    <w:rsid w:val="0051282D"/>
    <w:rsid w:val="00515838"/>
    <w:rsid w:val="00517C9B"/>
    <w:rsid w:val="005218AB"/>
    <w:rsid w:val="00523AEF"/>
    <w:rsid w:val="00527B1C"/>
    <w:rsid w:val="00536654"/>
    <w:rsid w:val="00537456"/>
    <w:rsid w:val="00541187"/>
    <w:rsid w:val="00543183"/>
    <w:rsid w:val="00546159"/>
    <w:rsid w:val="005467D9"/>
    <w:rsid w:val="00546E30"/>
    <w:rsid w:val="0055523C"/>
    <w:rsid w:val="00557E5C"/>
    <w:rsid w:val="00563DF3"/>
    <w:rsid w:val="005641C3"/>
    <w:rsid w:val="0056503C"/>
    <w:rsid w:val="00565058"/>
    <w:rsid w:val="00565C7A"/>
    <w:rsid w:val="00567CDC"/>
    <w:rsid w:val="00572501"/>
    <w:rsid w:val="00575305"/>
    <w:rsid w:val="0057576E"/>
    <w:rsid w:val="00582B89"/>
    <w:rsid w:val="00582D1F"/>
    <w:rsid w:val="00583D15"/>
    <w:rsid w:val="005869DD"/>
    <w:rsid w:val="005873CC"/>
    <w:rsid w:val="00587AD3"/>
    <w:rsid w:val="00592C05"/>
    <w:rsid w:val="00593666"/>
    <w:rsid w:val="00594DF0"/>
    <w:rsid w:val="005956E7"/>
    <w:rsid w:val="0059661B"/>
    <w:rsid w:val="00597DC6"/>
    <w:rsid w:val="005A2BC7"/>
    <w:rsid w:val="005B04F0"/>
    <w:rsid w:val="005B3B9E"/>
    <w:rsid w:val="005B521B"/>
    <w:rsid w:val="005B5413"/>
    <w:rsid w:val="005C309A"/>
    <w:rsid w:val="005C37B1"/>
    <w:rsid w:val="005C54C7"/>
    <w:rsid w:val="005C6433"/>
    <w:rsid w:val="005D2945"/>
    <w:rsid w:val="005D2995"/>
    <w:rsid w:val="005D5825"/>
    <w:rsid w:val="005E3413"/>
    <w:rsid w:val="005E68D3"/>
    <w:rsid w:val="005E6B13"/>
    <w:rsid w:val="005F2862"/>
    <w:rsid w:val="005F3357"/>
    <w:rsid w:val="005F7491"/>
    <w:rsid w:val="006002B8"/>
    <w:rsid w:val="00600E25"/>
    <w:rsid w:val="006023FD"/>
    <w:rsid w:val="00603CBA"/>
    <w:rsid w:val="00604B43"/>
    <w:rsid w:val="0061099D"/>
    <w:rsid w:val="00611ECF"/>
    <w:rsid w:val="00611EDF"/>
    <w:rsid w:val="00612F2B"/>
    <w:rsid w:val="0061380C"/>
    <w:rsid w:val="00613883"/>
    <w:rsid w:val="00614CB1"/>
    <w:rsid w:val="00615F1D"/>
    <w:rsid w:val="0061627E"/>
    <w:rsid w:val="00621473"/>
    <w:rsid w:val="006222B5"/>
    <w:rsid w:val="00623818"/>
    <w:rsid w:val="00627AB6"/>
    <w:rsid w:val="00631BE5"/>
    <w:rsid w:val="006347AD"/>
    <w:rsid w:val="00643C9E"/>
    <w:rsid w:val="00643DCC"/>
    <w:rsid w:val="00644AF0"/>
    <w:rsid w:val="00646FAC"/>
    <w:rsid w:val="00663FF9"/>
    <w:rsid w:val="0067063A"/>
    <w:rsid w:val="00671CDB"/>
    <w:rsid w:val="00671F5A"/>
    <w:rsid w:val="00680ECB"/>
    <w:rsid w:val="00681427"/>
    <w:rsid w:val="0068144D"/>
    <w:rsid w:val="0068250B"/>
    <w:rsid w:val="00687CB9"/>
    <w:rsid w:val="006908E1"/>
    <w:rsid w:val="00691E87"/>
    <w:rsid w:val="00692502"/>
    <w:rsid w:val="00694B57"/>
    <w:rsid w:val="006A365F"/>
    <w:rsid w:val="006A3AD8"/>
    <w:rsid w:val="006A3D28"/>
    <w:rsid w:val="006A63D5"/>
    <w:rsid w:val="006A6AB7"/>
    <w:rsid w:val="006B1239"/>
    <w:rsid w:val="006B1648"/>
    <w:rsid w:val="006B2D4C"/>
    <w:rsid w:val="006B3073"/>
    <w:rsid w:val="006B3B61"/>
    <w:rsid w:val="006B59B8"/>
    <w:rsid w:val="006C07D8"/>
    <w:rsid w:val="006C123D"/>
    <w:rsid w:val="006C293E"/>
    <w:rsid w:val="006C37D4"/>
    <w:rsid w:val="006C4C72"/>
    <w:rsid w:val="006C59EF"/>
    <w:rsid w:val="006C6316"/>
    <w:rsid w:val="006D30B4"/>
    <w:rsid w:val="006D3A5F"/>
    <w:rsid w:val="006D5206"/>
    <w:rsid w:val="006D7C5B"/>
    <w:rsid w:val="006E0015"/>
    <w:rsid w:val="006E0A4E"/>
    <w:rsid w:val="006E1468"/>
    <w:rsid w:val="006E3B53"/>
    <w:rsid w:val="006E54F6"/>
    <w:rsid w:val="006E5880"/>
    <w:rsid w:val="006E5E7F"/>
    <w:rsid w:val="006E7528"/>
    <w:rsid w:val="006F146F"/>
    <w:rsid w:val="006F3DD0"/>
    <w:rsid w:val="006F461C"/>
    <w:rsid w:val="006F72C4"/>
    <w:rsid w:val="00701786"/>
    <w:rsid w:val="007025A5"/>
    <w:rsid w:val="007038B8"/>
    <w:rsid w:val="007059C8"/>
    <w:rsid w:val="007066AA"/>
    <w:rsid w:val="0070674E"/>
    <w:rsid w:val="00710BE7"/>
    <w:rsid w:val="007116A8"/>
    <w:rsid w:val="00712267"/>
    <w:rsid w:val="00712915"/>
    <w:rsid w:val="00714876"/>
    <w:rsid w:val="007148FA"/>
    <w:rsid w:val="00715125"/>
    <w:rsid w:val="00720030"/>
    <w:rsid w:val="0072228C"/>
    <w:rsid w:val="007235C7"/>
    <w:rsid w:val="00726F63"/>
    <w:rsid w:val="00727888"/>
    <w:rsid w:val="00727C70"/>
    <w:rsid w:val="00736823"/>
    <w:rsid w:val="00737A53"/>
    <w:rsid w:val="00737BC6"/>
    <w:rsid w:val="0074112D"/>
    <w:rsid w:val="007414DD"/>
    <w:rsid w:val="00741A6C"/>
    <w:rsid w:val="00742183"/>
    <w:rsid w:val="007446F9"/>
    <w:rsid w:val="00745144"/>
    <w:rsid w:val="007516FD"/>
    <w:rsid w:val="00753EC4"/>
    <w:rsid w:val="0075593C"/>
    <w:rsid w:val="0076214F"/>
    <w:rsid w:val="00762A83"/>
    <w:rsid w:val="00766AE7"/>
    <w:rsid w:val="007705EF"/>
    <w:rsid w:val="00775238"/>
    <w:rsid w:val="00776115"/>
    <w:rsid w:val="007779C2"/>
    <w:rsid w:val="007807D4"/>
    <w:rsid w:val="0078248D"/>
    <w:rsid w:val="00782859"/>
    <w:rsid w:val="0078541B"/>
    <w:rsid w:val="007862C5"/>
    <w:rsid w:val="007866AC"/>
    <w:rsid w:val="00786E1D"/>
    <w:rsid w:val="00790682"/>
    <w:rsid w:val="007909FC"/>
    <w:rsid w:val="00793D6F"/>
    <w:rsid w:val="0079667A"/>
    <w:rsid w:val="00796B85"/>
    <w:rsid w:val="007A28A0"/>
    <w:rsid w:val="007A2B08"/>
    <w:rsid w:val="007A302C"/>
    <w:rsid w:val="007A40CE"/>
    <w:rsid w:val="007A449F"/>
    <w:rsid w:val="007A5A97"/>
    <w:rsid w:val="007B1561"/>
    <w:rsid w:val="007B5F03"/>
    <w:rsid w:val="007C4B62"/>
    <w:rsid w:val="007C72C5"/>
    <w:rsid w:val="007D2A9A"/>
    <w:rsid w:val="007D3E07"/>
    <w:rsid w:val="007D4306"/>
    <w:rsid w:val="007D4CBB"/>
    <w:rsid w:val="007D60DF"/>
    <w:rsid w:val="007D66F1"/>
    <w:rsid w:val="007E0A0F"/>
    <w:rsid w:val="007E1CC6"/>
    <w:rsid w:val="007E4391"/>
    <w:rsid w:val="007E45DE"/>
    <w:rsid w:val="007F259E"/>
    <w:rsid w:val="007F77A0"/>
    <w:rsid w:val="00800328"/>
    <w:rsid w:val="00801DFA"/>
    <w:rsid w:val="00803652"/>
    <w:rsid w:val="00807C59"/>
    <w:rsid w:val="00815BFB"/>
    <w:rsid w:val="008167FF"/>
    <w:rsid w:val="00820BD2"/>
    <w:rsid w:val="00821891"/>
    <w:rsid w:val="008228BA"/>
    <w:rsid w:val="00825269"/>
    <w:rsid w:val="00826C51"/>
    <w:rsid w:val="00826EE5"/>
    <w:rsid w:val="00831083"/>
    <w:rsid w:val="008311F4"/>
    <w:rsid w:val="008320D1"/>
    <w:rsid w:val="0083649A"/>
    <w:rsid w:val="0083743C"/>
    <w:rsid w:val="00840381"/>
    <w:rsid w:val="00846DEC"/>
    <w:rsid w:val="00847CBB"/>
    <w:rsid w:val="008547B3"/>
    <w:rsid w:val="0086023D"/>
    <w:rsid w:val="008610DD"/>
    <w:rsid w:val="00861F57"/>
    <w:rsid w:val="008625DF"/>
    <w:rsid w:val="008627A0"/>
    <w:rsid w:val="00862C5C"/>
    <w:rsid w:val="00872D4E"/>
    <w:rsid w:val="00873689"/>
    <w:rsid w:val="008771E7"/>
    <w:rsid w:val="00877E48"/>
    <w:rsid w:val="00882A65"/>
    <w:rsid w:val="00884E23"/>
    <w:rsid w:val="008907EE"/>
    <w:rsid w:val="00891CB6"/>
    <w:rsid w:val="0089204D"/>
    <w:rsid w:val="008934E3"/>
    <w:rsid w:val="008941E1"/>
    <w:rsid w:val="0089759C"/>
    <w:rsid w:val="008A3152"/>
    <w:rsid w:val="008A6BB7"/>
    <w:rsid w:val="008B2585"/>
    <w:rsid w:val="008B4AB7"/>
    <w:rsid w:val="008B5651"/>
    <w:rsid w:val="008B5E36"/>
    <w:rsid w:val="008B60E7"/>
    <w:rsid w:val="008C0EC6"/>
    <w:rsid w:val="008C1F71"/>
    <w:rsid w:val="008C447A"/>
    <w:rsid w:val="008D0AB6"/>
    <w:rsid w:val="008D0E3B"/>
    <w:rsid w:val="008D1771"/>
    <w:rsid w:val="008D3E79"/>
    <w:rsid w:val="008D60DE"/>
    <w:rsid w:val="008D6CE3"/>
    <w:rsid w:val="008D7AF5"/>
    <w:rsid w:val="008E1434"/>
    <w:rsid w:val="008E2F30"/>
    <w:rsid w:val="008E30FF"/>
    <w:rsid w:val="008E386F"/>
    <w:rsid w:val="008E3C4F"/>
    <w:rsid w:val="008E4A66"/>
    <w:rsid w:val="008E70FC"/>
    <w:rsid w:val="008F3FA5"/>
    <w:rsid w:val="008F412F"/>
    <w:rsid w:val="008F4A3A"/>
    <w:rsid w:val="008F4C41"/>
    <w:rsid w:val="008F64BA"/>
    <w:rsid w:val="008F733E"/>
    <w:rsid w:val="008F7D0D"/>
    <w:rsid w:val="00900B67"/>
    <w:rsid w:val="009037C0"/>
    <w:rsid w:val="00903B50"/>
    <w:rsid w:val="00906A01"/>
    <w:rsid w:val="0090756F"/>
    <w:rsid w:val="00911097"/>
    <w:rsid w:val="009128A8"/>
    <w:rsid w:val="0091383C"/>
    <w:rsid w:val="00913ED0"/>
    <w:rsid w:val="00913FA0"/>
    <w:rsid w:val="00916003"/>
    <w:rsid w:val="009164C0"/>
    <w:rsid w:val="00917531"/>
    <w:rsid w:val="00926ADB"/>
    <w:rsid w:val="009300D6"/>
    <w:rsid w:val="00933FFB"/>
    <w:rsid w:val="00936734"/>
    <w:rsid w:val="00940520"/>
    <w:rsid w:val="009405E8"/>
    <w:rsid w:val="00940B26"/>
    <w:rsid w:val="009415B5"/>
    <w:rsid w:val="00941EF6"/>
    <w:rsid w:val="00946942"/>
    <w:rsid w:val="0095008E"/>
    <w:rsid w:val="009510BA"/>
    <w:rsid w:val="00951702"/>
    <w:rsid w:val="009532CF"/>
    <w:rsid w:val="00953D50"/>
    <w:rsid w:val="0095683A"/>
    <w:rsid w:val="009607C4"/>
    <w:rsid w:val="009609D1"/>
    <w:rsid w:val="009700B2"/>
    <w:rsid w:val="00971AFF"/>
    <w:rsid w:val="0097216E"/>
    <w:rsid w:val="00973F4D"/>
    <w:rsid w:val="00976463"/>
    <w:rsid w:val="00976C67"/>
    <w:rsid w:val="00977305"/>
    <w:rsid w:val="00984EF1"/>
    <w:rsid w:val="0098547C"/>
    <w:rsid w:val="00986CBC"/>
    <w:rsid w:val="00986D25"/>
    <w:rsid w:val="00987A0A"/>
    <w:rsid w:val="00990D2A"/>
    <w:rsid w:val="00997966"/>
    <w:rsid w:val="00997FB7"/>
    <w:rsid w:val="009A42D1"/>
    <w:rsid w:val="009A7069"/>
    <w:rsid w:val="009C0391"/>
    <w:rsid w:val="009C2FD1"/>
    <w:rsid w:val="009C4BA1"/>
    <w:rsid w:val="009C6441"/>
    <w:rsid w:val="009C649E"/>
    <w:rsid w:val="009C7092"/>
    <w:rsid w:val="009D220E"/>
    <w:rsid w:val="009D37F0"/>
    <w:rsid w:val="009D481D"/>
    <w:rsid w:val="009D48A6"/>
    <w:rsid w:val="009D569C"/>
    <w:rsid w:val="009E094E"/>
    <w:rsid w:val="009E2C34"/>
    <w:rsid w:val="009E3535"/>
    <w:rsid w:val="009E486A"/>
    <w:rsid w:val="009E5150"/>
    <w:rsid w:val="009E6BED"/>
    <w:rsid w:val="009F50C6"/>
    <w:rsid w:val="009F587F"/>
    <w:rsid w:val="009F59ED"/>
    <w:rsid w:val="00A0098C"/>
    <w:rsid w:val="00A02307"/>
    <w:rsid w:val="00A02372"/>
    <w:rsid w:val="00A030BB"/>
    <w:rsid w:val="00A035DC"/>
    <w:rsid w:val="00A04472"/>
    <w:rsid w:val="00A04826"/>
    <w:rsid w:val="00A04BF7"/>
    <w:rsid w:val="00A12723"/>
    <w:rsid w:val="00A17273"/>
    <w:rsid w:val="00A1729C"/>
    <w:rsid w:val="00A22067"/>
    <w:rsid w:val="00A230DF"/>
    <w:rsid w:val="00A24B29"/>
    <w:rsid w:val="00A32B9F"/>
    <w:rsid w:val="00A33D6B"/>
    <w:rsid w:val="00A35B1E"/>
    <w:rsid w:val="00A402CE"/>
    <w:rsid w:val="00A42627"/>
    <w:rsid w:val="00A440FB"/>
    <w:rsid w:val="00A44168"/>
    <w:rsid w:val="00A449C3"/>
    <w:rsid w:val="00A46C83"/>
    <w:rsid w:val="00A51426"/>
    <w:rsid w:val="00A51813"/>
    <w:rsid w:val="00A6023B"/>
    <w:rsid w:val="00A63765"/>
    <w:rsid w:val="00A63D70"/>
    <w:rsid w:val="00A674D9"/>
    <w:rsid w:val="00A67AC4"/>
    <w:rsid w:val="00A7388D"/>
    <w:rsid w:val="00A73E60"/>
    <w:rsid w:val="00A759FA"/>
    <w:rsid w:val="00A771EE"/>
    <w:rsid w:val="00A90170"/>
    <w:rsid w:val="00A904B8"/>
    <w:rsid w:val="00A9163C"/>
    <w:rsid w:val="00A95176"/>
    <w:rsid w:val="00AA170E"/>
    <w:rsid w:val="00AA280A"/>
    <w:rsid w:val="00AA2B52"/>
    <w:rsid w:val="00AA2F2A"/>
    <w:rsid w:val="00AA3CA4"/>
    <w:rsid w:val="00AA6E88"/>
    <w:rsid w:val="00AA78AE"/>
    <w:rsid w:val="00AB3D5D"/>
    <w:rsid w:val="00AB7625"/>
    <w:rsid w:val="00AB76FD"/>
    <w:rsid w:val="00AC100E"/>
    <w:rsid w:val="00AC1B31"/>
    <w:rsid w:val="00AC1FB2"/>
    <w:rsid w:val="00AC3295"/>
    <w:rsid w:val="00AC3BDF"/>
    <w:rsid w:val="00AC5A21"/>
    <w:rsid w:val="00AC606E"/>
    <w:rsid w:val="00AC7443"/>
    <w:rsid w:val="00AC7B4C"/>
    <w:rsid w:val="00AD1AB9"/>
    <w:rsid w:val="00AE1B14"/>
    <w:rsid w:val="00AE4636"/>
    <w:rsid w:val="00AE79FE"/>
    <w:rsid w:val="00AF0AA4"/>
    <w:rsid w:val="00AF1B7F"/>
    <w:rsid w:val="00AF3659"/>
    <w:rsid w:val="00AF536B"/>
    <w:rsid w:val="00B02015"/>
    <w:rsid w:val="00B020BA"/>
    <w:rsid w:val="00B03832"/>
    <w:rsid w:val="00B04752"/>
    <w:rsid w:val="00B057A4"/>
    <w:rsid w:val="00B06ABC"/>
    <w:rsid w:val="00B114E5"/>
    <w:rsid w:val="00B11A22"/>
    <w:rsid w:val="00B174BA"/>
    <w:rsid w:val="00B21533"/>
    <w:rsid w:val="00B21D8E"/>
    <w:rsid w:val="00B24EFC"/>
    <w:rsid w:val="00B26F5B"/>
    <w:rsid w:val="00B26FAA"/>
    <w:rsid w:val="00B26FD2"/>
    <w:rsid w:val="00B30224"/>
    <w:rsid w:val="00B332F3"/>
    <w:rsid w:val="00B33C16"/>
    <w:rsid w:val="00B3626A"/>
    <w:rsid w:val="00B36E7E"/>
    <w:rsid w:val="00B56793"/>
    <w:rsid w:val="00B612A7"/>
    <w:rsid w:val="00B6190D"/>
    <w:rsid w:val="00B61F1C"/>
    <w:rsid w:val="00B621DC"/>
    <w:rsid w:val="00B6364C"/>
    <w:rsid w:val="00B6418D"/>
    <w:rsid w:val="00B646DA"/>
    <w:rsid w:val="00B656B6"/>
    <w:rsid w:val="00B71D52"/>
    <w:rsid w:val="00B72D7B"/>
    <w:rsid w:val="00B7631E"/>
    <w:rsid w:val="00B80616"/>
    <w:rsid w:val="00B8393A"/>
    <w:rsid w:val="00B83BB1"/>
    <w:rsid w:val="00B84929"/>
    <w:rsid w:val="00B864FF"/>
    <w:rsid w:val="00B91503"/>
    <w:rsid w:val="00B917C2"/>
    <w:rsid w:val="00B97222"/>
    <w:rsid w:val="00B97884"/>
    <w:rsid w:val="00BA0154"/>
    <w:rsid w:val="00BA03FD"/>
    <w:rsid w:val="00BA1321"/>
    <w:rsid w:val="00BA1BB6"/>
    <w:rsid w:val="00BA4D64"/>
    <w:rsid w:val="00BA504C"/>
    <w:rsid w:val="00BA565D"/>
    <w:rsid w:val="00BA6CC7"/>
    <w:rsid w:val="00BB0D55"/>
    <w:rsid w:val="00BB282D"/>
    <w:rsid w:val="00BB66DD"/>
    <w:rsid w:val="00BC0353"/>
    <w:rsid w:val="00BC21EE"/>
    <w:rsid w:val="00BC3313"/>
    <w:rsid w:val="00BC4099"/>
    <w:rsid w:val="00BC4180"/>
    <w:rsid w:val="00BC525C"/>
    <w:rsid w:val="00BC7B4C"/>
    <w:rsid w:val="00BD04F7"/>
    <w:rsid w:val="00BD1283"/>
    <w:rsid w:val="00BD2431"/>
    <w:rsid w:val="00BD2775"/>
    <w:rsid w:val="00BD2FD9"/>
    <w:rsid w:val="00BD4AA7"/>
    <w:rsid w:val="00BE037D"/>
    <w:rsid w:val="00BE5653"/>
    <w:rsid w:val="00BF0976"/>
    <w:rsid w:val="00BF0A96"/>
    <w:rsid w:val="00BF3904"/>
    <w:rsid w:val="00BF4ABC"/>
    <w:rsid w:val="00BF7599"/>
    <w:rsid w:val="00C008D3"/>
    <w:rsid w:val="00C00A8A"/>
    <w:rsid w:val="00C03712"/>
    <w:rsid w:val="00C10E5B"/>
    <w:rsid w:val="00C11384"/>
    <w:rsid w:val="00C123D3"/>
    <w:rsid w:val="00C149F4"/>
    <w:rsid w:val="00C14B8D"/>
    <w:rsid w:val="00C22241"/>
    <w:rsid w:val="00C232C0"/>
    <w:rsid w:val="00C2478C"/>
    <w:rsid w:val="00C24A10"/>
    <w:rsid w:val="00C2783A"/>
    <w:rsid w:val="00C27C42"/>
    <w:rsid w:val="00C27FDB"/>
    <w:rsid w:val="00C30085"/>
    <w:rsid w:val="00C30989"/>
    <w:rsid w:val="00C3508A"/>
    <w:rsid w:val="00C37477"/>
    <w:rsid w:val="00C4112C"/>
    <w:rsid w:val="00C430C3"/>
    <w:rsid w:val="00C52AC2"/>
    <w:rsid w:val="00C52CE0"/>
    <w:rsid w:val="00C55CD0"/>
    <w:rsid w:val="00C57989"/>
    <w:rsid w:val="00C627FB"/>
    <w:rsid w:val="00C65CB6"/>
    <w:rsid w:val="00C66C0D"/>
    <w:rsid w:val="00C721AF"/>
    <w:rsid w:val="00C737D6"/>
    <w:rsid w:val="00C74C71"/>
    <w:rsid w:val="00C7781D"/>
    <w:rsid w:val="00C831B6"/>
    <w:rsid w:val="00C85E30"/>
    <w:rsid w:val="00C90921"/>
    <w:rsid w:val="00C90A27"/>
    <w:rsid w:val="00C91104"/>
    <w:rsid w:val="00C9188B"/>
    <w:rsid w:val="00C91E17"/>
    <w:rsid w:val="00C93B79"/>
    <w:rsid w:val="00C979A8"/>
    <w:rsid w:val="00C97C56"/>
    <w:rsid w:val="00CA2791"/>
    <w:rsid w:val="00CA75AE"/>
    <w:rsid w:val="00CB393E"/>
    <w:rsid w:val="00CB474C"/>
    <w:rsid w:val="00CB754D"/>
    <w:rsid w:val="00CB7E7A"/>
    <w:rsid w:val="00CC2F31"/>
    <w:rsid w:val="00CC3D9C"/>
    <w:rsid w:val="00CC4B0F"/>
    <w:rsid w:val="00CC7E3C"/>
    <w:rsid w:val="00CD1743"/>
    <w:rsid w:val="00CD628E"/>
    <w:rsid w:val="00CD6D43"/>
    <w:rsid w:val="00CD7B91"/>
    <w:rsid w:val="00CE00A7"/>
    <w:rsid w:val="00CE26CA"/>
    <w:rsid w:val="00CE2E0C"/>
    <w:rsid w:val="00CE343D"/>
    <w:rsid w:val="00CE3EF1"/>
    <w:rsid w:val="00CE4585"/>
    <w:rsid w:val="00CE7A6A"/>
    <w:rsid w:val="00CE7BF6"/>
    <w:rsid w:val="00CF0DB0"/>
    <w:rsid w:val="00CF1A87"/>
    <w:rsid w:val="00CF5538"/>
    <w:rsid w:val="00CF7427"/>
    <w:rsid w:val="00D0056E"/>
    <w:rsid w:val="00D023E6"/>
    <w:rsid w:val="00D02DBE"/>
    <w:rsid w:val="00D03896"/>
    <w:rsid w:val="00D056D1"/>
    <w:rsid w:val="00D063B8"/>
    <w:rsid w:val="00D105B1"/>
    <w:rsid w:val="00D10E28"/>
    <w:rsid w:val="00D12ABD"/>
    <w:rsid w:val="00D14FCB"/>
    <w:rsid w:val="00D155BC"/>
    <w:rsid w:val="00D17023"/>
    <w:rsid w:val="00D2033E"/>
    <w:rsid w:val="00D208E2"/>
    <w:rsid w:val="00D22450"/>
    <w:rsid w:val="00D2640F"/>
    <w:rsid w:val="00D306ED"/>
    <w:rsid w:val="00D36A36"/>
    <w:rsid w:val="00D36A6E"/>
    <w:rsid w:val="00D47C64"/>
    <w:rsid w:val="00D50D9D"/>
    <w:rsid w:val="00D5366B"/>
    <w:rsid w:val="00D53936"/>
    <w:rsid w:val="00D56712"/>
    <w:rsid w:val="00D6383B"/>
    <w:rsid w:val="00D63E96"/>
    <w:rsid w:val="00D67717"/>
    <w:rsid w:val="00D71377"/>
    <w:rsid w:val="00D733AD"/>
    <w:rsid w:val="00D76758"/>
    <w:rsid w:val="00D76CB4"/>
    <w:rsid w:val="00D775B1"/>
    <w:rsid w:val="00D801E8"/>
    <w:rsid w:val="00D80D96"/>
    <w:rsid w:val="00D8241A"/>
    <w:rsid w:val="00D82A01"/>
    <w:rsid w:val="00D83A05"/>
    <w:rsid w:val="00D84F74"/>
    <w:rsid w:val="00D874C1"/>
    <w:rsid w:val="00D90DDD"/>
    <w:rsid w:val="00D93521"/>
    <w:rsid w:val="00D96EF3"/>
    <w:rsid w:val="00DA0BE6"/>
    <w:rsid w:val="00DA2BE7"/>
    <w:rsid w:val="00DA5754"/>
    <w:rsid w:val="00DB2939"/>
    <w:rsid w:val="00DC52AB"/>
    <w:rsid w:val="00DD066A"/>
    <w:rsid w:val="00DD0D1E"/>
    <w:rsid w:val="00DD187A"/>
    <w:rsid w:val="00DD2257"/>
    <w:rsid w:val="00DD2510"/>
    <w:rsid w:val="00DD4B30"/>
    <w:rsid w:val="00DE59AE"/>
    <w:rsid w:val="00DE63D6"/>
    <w:rsid w:val="00DE664C"/>
    <w:rsid w:val="00DE6B30"/>
    <w:rsid w:val="00DE73F7"/>
    <w:rsid w:val="00DE76B7"/>
    <w:rsid w:val="00DE7ADE"/>
    <w:rsid w:val="00DF17CF"/>
    <w:rsid w:val="00DF32C0"/>
    <w:rsid w:val="00DF3CD8"/>
    <w:rsid w:val="00DF4A06"/>
    <w:rsid w:val="00DF57A6"/>
    <w:rsid w:val="00DF6859"/>
    <w:rsid w:val="00E0052C"/>
    <w:rsid w:val="00E00B43"/>
    <w:rsid w:val="00E01703"/>
    <w:rsid w:val="00E01B29"/>
    <w:rsid w:val="00E0582F"/>
    <w:rsid w:val="00E06794"/>
    <w:rsid w:val="00E10A89"/>
    <w:rsid w:val="00E2366F"/>
    <w:rsid w:val="00E236CE"/>
    <w:rsid w:val="00E23FB3"/>
    <w:rsid w:val="00E244D2"/>
    <w:rsid w:val="00E304C9"/>
    <w:rsid w:val="00E34FB9"/>
    <w:rsid w:val="00E35500"/>
    <w:rsid w:val="00E379C2"/>
    <w:rsid w:val="00E40A6D"/>
    <w:rsid w:val="00E418F5"/>
    <w:rsid w:val="00E4356D"/>
    <w:rsid w:val="00E448B7"/>
    <w:rsid w:val="00E47F0E"/>
    <w:rsid w:val="00E50DDE"/>
    <w:rsid w:val="00E5149F"/>
    <w:rsid w:val="00E531CA"/>
    <w:rsid w:val="00E54261"/>
    <w:rsid w:val="00E54ECF"/>
    <w:rsid w:val="00E557CF"/>
    <w:rsid w:val="00E56FD3"/>
    <w:rsid w:val="00E6281B"/>
    <w:rsid w:val="00E63D55"/>
    <w:rsid w:val="00E64005"/>
    <w:rsid w:val="00E65DC7"/>
    <w:rsid w:val="00E67153"/>
    <w:rsid w:val="00E67255"/>
    <w:rsid w:val="00E6791E"/>
    <w:rsid w:val="00E7085F"/>
    <w:rsid w:val="00E75A7A"/>
    <w:rsid w:val="00E75C82"/>
    <w:rsid w:val="00E83F0D"/>
    <w:rsid w:val="00E85F08"/>
    <w:rsid w:val="00E869B6"/>
    <w:rsid w:val="00E86AE2"/>
    <w:rsid w:val="00E90939"/>
    <w:rsid w:val="00E950B6"/>
    <w:rsid w:val="00E95CB7"/>
    <w:rsid w:val="00E97487"/>
    <w:rsid w:val="00EA14AA"/>
    <w:rsid w:val="00EA243A"/>
    <w:rsid w:val="00EA3AF6"/>
    <w:rsid w:val="00EA4A09"/>
    <w:rsid w:val="00EA51BB"/>
    <w:rsid w:val="00EA5DA8"/>
    <w:rsid w:val="00EA7368"/>
    <w:rsid w:val="00EB143C"/>
    <w:rsid w:val="00EB1447"/>
    <w:rsid w:val="00EB246F"/>
    <w:rsid w:val="00EB3878"/>
    <w:rsid w:val="00EB783B"/>
    <w:rsid w:val="00EB7B1F"/>
    <w:rsid w:val="00EB7C2C"/>
    <w:rsid w:val="00EB7C7A"/>
    <w:rsid w:val="00EC0A7E"/>
    <w:rsid w:val="00EC172E"/>
    <w:rsid w:val="00EC1762"/>
    <w:rsid w:val="00EC1AE2"/>
    <w:rsid w:val="00ED0BA5"/>
    <w:rsid w:val="00ED168F"/>
    <w:rsid w:val="00ED43F6"/>
    <w:rsid w:val="00ED59BC"/>
    <w:rsid w:val="00EE0CF5"/>
    <w:rsid w:val="00EE1889"/>
    <w:rsid w:val="00EF0047"/>
    <w:rsid w:val="00EF2364"/>
    <w:rsid w:val="00EF2E22"/>
    <w:rsid w:val="00EF6836"/>
    <w:rsid w:val="00EF6AF3"/>
    <w:rsid w:val="00EF7ED1"/>
    <w:rsid w:val="00F01AAD"/>
    <w:rsid w:val="00F028AA"/>
    <w:rsid w:val="00F033D5"/>
    <w:rsid w:val="00F04D16"/>
    <w:rsid w:val="00F06B49"/>
    <w:rsid w:val="00F0770E"/>
    <w:rsid w:val="00F121D8"/>
    <w:rsid w:val="00F131C4"/>
    <w:rsid w:val="00F139EA"/>
    <w:rsid w:val="00F142B3"/>
    <w:rsid w:val="00F1444E"/>
    <w:rsid w:val="00F14722"/>
    <w:rsid w:val="00F2118D"/>
    <w:rsid w:val="00F214DF"/>
    <w:rsid w:val="00F21C4C"/>
    <w:rsid w:val="00F2523E"/>
    <w:rsid w:val="00F32728"/>
    <w:rsid w:val="00F32737"/>
    <w:rsid w:val="00F34662"/>
    <w:rsid w:val="00F35049"/>
    <w:rsid w:val="00F400B3"/>
    <w:rsid w:val="00F40C44"/>
    <w:rsid w:val="00F415D2"/>
    <w:rsid w:val="00F42277"/>
    <w:rsid w:val="00F433F7"/>
    <w:rsid w:val="00F43D78"/>
    <w:rsid w:val="00F451D5"/>
    <w:rsid w:val="00F46D85"/>
    <w:rsid w:val="00F46E7E"/>
    <w:rsid w:val="00F602C8"/>
    <w:rsid w:val="00F60A38"/>
    <w:rsid w:val="00F61B48"/>
    <w:rsid w:val="00F63C92"/>
    <w:rsid w:val="00F6404C"/>
    <w:rsid w:val="00F65187"/>
    <w:rsid w:val="00F70D03"/>
    <w:rsid w:val="00F724F5"/>
    <w:rsid w:val="00F738C8"/>
    <w:rsid w:val="00F80D31"/>
    <w:rsid w:val="00F82ADE"/>
    <w:rsid w:val="00F9381D"/>
    <w:rsid w:val="00F95033"/>
    <w:rsid w:val="00F964B3"/>
    <w:rsid w:val="00F97A9F"/>
    <w:rsid w:val="00FA00B7"/>
    <w:rsid w:val="00FA1196"/>
    <w:rsid w:val="00FA3DB0"/>
    <w:rsid w:val="00FA3FD5"/>
    <w:rsid w:val="00FA431E"/>
    <w:rsid w:val="00FA4CCB"/>
    <w:rsid w:val="00FA7CE7"/>
    <w:rsid w:val="00FB4351"/>
    <w:rsid w:val="00FB5B8A"/>
    <w:rsid w:val="00FB6CDD"/>
    <w:rsid w:val="00FB7923"/>
    <w:rsid w:val="00FC0E08"/>
    <w:rsid w:val="00FC20AD"/>
    <w:rsid w:val="00FC3B32"/>
    <w:rsid w:val="00FC5287"/>
    <w:rsid w:val="00FD55EF"/>
    <w:rsid w:val="00FE05C7"/>
    <w:rsid w:val="00FE31CE"/>
    <w:rsid w:val="00FE3448"/>
    <w:rsid w:val="00FE3752"/>
    <w:rsid w:val="00FE549A"/>
    <w:rsid w:val="00FE6E95"/>
    <w:rsid w:val="00FE7AEE"/>
    <w:rsid w:val="00FF6030"/>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rPr>
  </w:style>
  <w:style w:type="paragraph" w:styleId="Heading6">
    <w:name w:val="heading 6"/>
    <w:aliases w:val="h6"/>
    <w:basedOn w:val="Normal"/>
    <w:next w:val="ParaNum"/>
    <w:qFormat/>
    <w:pPr>
      <w:widowControl w:val="0"/>
      <w:numPr>
        <w:ilvl w:val="5"/>
        <w:numId w:val="1"/>
      </w:numPr>
      <w:spacing w:after="220"/>
      <w:jc w:val="both"/>
      <w:outlineLvl w:val="5"/>
    </w:pPr>
    <w:rPr>
      <w:b/>
    </w:rPr>
  </w:style>
  <w:style w:type="paragraph" w:styleId="Heading7">
    <w:name w:val="heading 7"/>
    <w:aliases w:val="Heading 7 Char"/>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aliases w:val="Heading 9 Char"/>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
    <w:pPr>
      <w:widowControl w:val="0"/>
      <w:numPr>
        <w:numId w:val="3"/>
      </w:numPr>
      <w:tabs>
        <w:tab w:val="left" w:pos="1440"/>
      </w:tabs>
      <w:spacing w:after="220"/>
      <w:jc w:val="both"/>
    </w:p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2"/>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A030BB"/>
  </w:style>
  <w:style w:type="character" w:styleId="Hyperlink">
    <w:name w:val="Hyperlink"/>
    <w:rsid w:val="00A030BB"/>
    <w:rPr>
      <w:color w:val="0000FF"/>
      <w:u w:val="single"/>
    </w:rPr>
  </w:style>
  <w:style w:type="character" w:customStyle="1" w:styleId="ParaNumCharChar">
    <w:name w:val="ParaNum Char Char"/>
    <w:link w:val="ParaNum"/>
    <w:rsid w:val="00A030BB"/>
    <w:rPr>
      <w:sz w:val="22"/>
    </w:rPr>
  </w:style>
  <w:style w:type="paragraph" w:styleId="BalloonText">
    <w:name w:val="Balloon Text"/>
    <w:basedOn w:val="Normal"/>
    <w:link w:val="BalloonTextChar"/>
    <w:uiPriority w:val="99"/>
    <w:semiHidden/>
    <w:unhideWhenUsed/>
    <w:rsid w:val="005467D9"/>
    <w:rPr>
      <w:rFonts w:ascii="Tahoma" w:hAnsi="Tahoma" w:cs="Tahoma"/>
      <w:sz w:val="16"/>
      <w:szCs w:val="16"/>
    </w:rPr>
  </w:style>
  <w:style w:type="character" w:customStyle="1" w:styleId="BalloonTextChar">
    <w:name w:val="Balloon Text Char"/>
    <w:basedOn w:val="DefaultParagraphFont"/>
    <w:link w:val="BalloonText"/>
    <w:uiPriority w:val="99"/>
    <w:semiHidden/>
    <w:rsid w:val="005467D9"/>
    <w:rPr>
      <w:rFonts w:ascii="Tahoma" w:hAnsi="Tahoma" w:cs="Tahoma"/>
      <w:sz w:val="16"/>
      <w:szCs w:val="16"/>
    </w:rPr>
  </w:style>
  <w:style w:type="character" w:styleId="CommentReference">
    <w:name w:val="annotation reference"/>
    <w:basedOn w:val="DefaultParagraphFont"/>
    <w:uiPriority w:val="99"/>
    <w:semiHidden/>
    <w:unhideWhenUsed/>
    <w:rsid w:val="001C6EF3"/>
    <w:rPr>
      <w:sz w:val="16"/>
      <w:szCs w:val="16"/>
    </w:rPr>
  </w:style>
  <w:style w:type="paragraph" w:styleId="CommentText">
    <w:name w:val="annotation text"/>
    <w:basedOn w:val="Normal"/>
    <w:link w:val="CommentTextChar"/>
    <w:uiPriority w:val="99"/>
    <w:semiHidden/>
    <w:unhideWhenUsed/>
    <w:rsid w:val="001C6EF3"/>
    <w:rPr>
      <w:sz w:val="20"/>
    </w:rPr>
  </w:style>
  <w:style w:type="character" w:customStyle="1" w:styleId="CommentTextChar">
    <w:name w:val="Comment Text Char"/>
    <w:basedOn w:val="DefaultParagraphFont"/>
    <w:link w:val="CommentText"/>
    <w:uiPriority w:val="99"/>
    <w:semiHidden/>
    <w:rsid w:val="001C6EF3"/>
  </w:style>
  <w:style w:type="paragraph" w:styleId="CommentSubject">
    <w:name w:val="annotation subject"/>
    <w:basedOn w:val="CommentText"/>
    <w:next w:val="CommentText"/>
    <w:link w:val="CommentSubjectChar"/>
    <w:uiPriority w:val="99"/>
    <w:semiHidden/>
    <w:unhideWhenUsed/>
    <w:rsid w:val="001C6EF3"/>
    <w:rPr>
      <w:b/>
      <w:bCs/>
    </w:rPr>
  </w:style>
  <w:style w:type="character" w:customStyle="1" w:styleId="CommentSubjectChar">
    <w:name w:val="Comment Subject Char"/>
    <w:basedOn w:val="CommentTextChar"/>
    <w:link w:val="CommentSubject"/>
    <w:uiPriority w:val="99"/>
    <w:semiHidden/>
    <w:rsid w:val="001C6EF3"/>
    <w:rPr>
      <w:b/>
      <w:bCs/>
    </w:rPr>
  </w:style>
  <w:style w:type="character" w:customStyle="1" w:styleId="FootnoteTextCharCharChar2">
    <w:name w:val="Footnote Text Char Char Char2"/>
    <w:aliases w:val="Footnote Text Char5 Char Char Char,Footnote Text Char Char Char Char Char,Footnote Text Char4 Char Char1 Char Char Char,Footnote Text Char2 Char Char2 Char2 Char Char Char"/>
    <w:semiHidden/>
    <w:rsid w:val="00236AC3"/>
    <w:rPr>
      <w:lang w:val="en-US" w:eastAsia="en-US" w:bidi="ar-SA"/>
    </w:rPr>
  </w:style>
  <w:style w:type="paragraph" w:styleId="Revision">
    <w:name w:val="Revision"/>
    <w:hidden/>
    <w:uiPriority w:val="99"/>
    <w:semiHidden/>
    <w:rsid w:val="00CE343D"/>
    <w:rPr>
      <w:sz w:val="22"/>
    </w:rPr>
  </w:style>
  <w:style w:type="character" w:customStyle="1" w:styleId="cosearchterm7">
    <w:name w:val="co_searchterm7"/>
    <w:basedOn w:val="DefaultParagraphFont"/>
    <w:rsid w:val="00E54261"/>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rPr>
  </w:style>
  <w:style w:type="paragraph" w:styleId="Heading6">
    <w:name w:val="heading 6"/>
    <w:aliases w:val="h6"/>
    <w:basedOn w:val="Normal"/>
    <w:next w:val="ParaNum"/>
    <w:qFormat/>
    <w:pPr>
      <w:widowControl w:val="0"/>
      <w:numPr>
        <w:ilvl w:val="5"/>
        <w:numId w:val="1"/>
      </w:numPr>
      <w:spacing w:after="220"/>
      <w:jc w:val="both"/>
      <w:outlineLvl w:val="5"/>
    </w:pPr>
    <w:rPr>
      <w:b/>
    </w:rPr>
  </w:style>
  <w:style w:type="paragraph" w:styleId="Heading7">
    <w:name w:val="heading 7"/>
    <w:aliases w:val="Heading 7 Char"/>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aliases w:val="Heading 9 Char"/>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
    <w:pPr>
      <w:widowControl w:val="0"/>
      <w:numPr>
        <w:numId w:val="3"/>
      </w:numPr>
      <w:tabs>
        <w:tab w:val="left" w:pos="1440"/>
      </w:tabs>
      <w:spacing w:after="220"/>
      <w:jc w:val="both"/>
    </w:p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2"/>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A030BB"/>
  </w:style>
  <w:style w:type="character" w:styleId="Hyperlink">
    <w:name w:val="Hyperlink"/>
    <w:rsid w:val="00A030BB"/>
    <w:rPr>
      <w:color w:val="0000FF"/>
      <w:u w:val="single"/>
    </w:rPr>
  </w:style>
  <w:style w:type="character" w:customStyle="1" w:styleId="ParaNumCharChar">
    <w:name w:val="ParaNum Char Char"/>
    <w:link w:val="ParaNum"/>
    <w:rsid w:val="00A030BB"/>
    <w:rPr>
      <w:sz w:val="22"/>
    </w:rPr>
  </w:style>
  <w:style w:type="paragraph" w:styleId="BalloonText">
    <w:name w:val="Balloon Text"/>
    <w:basedOn w:val="Normal"/>
    <w:link w:val="BalloonTextChar"/>
    <w:uiPriority w:val="99"/>
    <w:semiHidden/>
    <w:unhideWhenUsed/>
    <w:rsid w:val="005467D9"/>
    <w:rPr>
      <w:rFonts w:ascii="Tahoma" w:hAnsi="Tahoma" w:cs="Tahoma"/>
      <w:sz w:val="16"/>
      <w:szCs w:val="16"/>
    </w:rPr>
  </w:style>
  <w:style w:type="character" w:customStyle="1" w:styleId="BalloonTextChar">
    <w:name w:val="Balloon Text Char"/>
    <w:basedOn w:val="DefaultParagraphFont"/>
    <w:link w:val="BalloonText"/>
    <w:uiPriority w:val="99"/>
    <w:semiHidden/>
    <w:rsid w:val="005467D9"/>
    <w:rPr>
      <w:rFonts w:ascii="Tahoma" w:hAnsi="Tahoma" w:cs="Tahoma"/>
      <w:sz w:val="16"/>
      <w:szCs w:val="16"/>
    </w:rPr>
  </w:style>
  <w:style w:type="character" w:styleId="CommentReference">
    <w:name w:val="annotation reference"/>
    <w:basedOn w:val="DefaultParagraphFont"/>
    <w:uiPriority w:val="99"/>
    <w:semiHidden/>
    <w:unhideWhenUsed/>
    <w:rsid w:val="001C6EF3"/>
    <w:rPr>
      <w:sz w:val="16"/>
      <w:szCs w:val="16"/>
    </w:rPr>
  </w:style>
  <w:style w:type="paragraph" w:styleId="CommentText">
    <w:name w:val="annotation text"/>
    <w:basedOn w:val="Normal"/>
    <w:link w:val="CommentTextChar"/>
    <w:uiPriority w:val="99"/>
    <w:semiHidden/>
    <w:unhideWhenUsed/>
    <w:rsid w:val="001C6EF3"/>
    <w:rPr>
      <w:sz w:val="20"/>
    </w:rPr>
  </w:style>
  <w:style w:type="character" w:customStyle="1" w:styleId="CommentTextChar">
    <w:name w:val="Comment Text Char"/>
    <w:basedOn w:val="DefaultParagraphFont"/>
    <w:link w:val="CommentText"/>
    <w:uiPriority w:val="99"/>
    <w:semiHidden/>
    <w:rsid w:val="001C6EF3"/>
  </w:style>
  <w:style w:type="paragraph" w:styleId="CommentSubject">
    <w:name w:val="annotation subject"/>
    <w:basedOn w:val="CommentText"/>
    <w:next w:val="CommentText"/>
    <w:link w:val="CommentSubjectChar"/>
    <w:uiPriority w:val="99"/>
    <w:semiHidden/>
    <w:unhideWhenUsed/>
    <w:rsid w:val="001C6EF3"/>
    <w:rPr>
      <w:b/>
      <w:bCs/>
    </w:rPr>
  </w:style>
  <w:style w:type="character" w:customStyle="1" w:styleId="CommentSubjectChar">
    <w:name w:val="Comment Subject Char"/>
    <w:basedOn w:val="CommentTextChar"/>
    <w:link w:val="CommentSubject"/>
    <w:uiPriority w:val="99"/>
    <w:semiHidden/>
    <w:rsid w:val="001C6EF3"/>
    <w:rPr>
      <w:b/>
      <w:bCs/>
    </w:rPr>
  </w:style>
  <w:style w:type="character" w:customStyle="1" w:styleId="FootnoteTextCharCharChar2">
    <w:name w:val="Footnote Text Char Char Char2"/>
    <w:aliases w:val="Footnote Text Char5 Char Char Char,Footnote Text Char Char Char Char Char,Footnote Text Char4 Char Char1 Char Char Char,Footnote Text Char2 Char Char2 Char2 Char Char Char"/>
    <w:semiHidden/>
    <w:rsid w:val="00236AC3"/>
    <w:rPr>
      <w:lang w:val="en-US" w:eastAsia="en-US" w:bidi="ar-SA"/>
    </w:rPr>
  </w:style>
  <w:style w:type="paragraph" w:styleId="Revision">
    <w:name w:val="Revision"/>
    <w:hidden/>
    <w:uiPriority w:val="99"/>
    <w:semiHidden/>
    <w:rsid w:val="00CE343D"/>
    <w:rPr>
      <w:sz w:val="22"/>
    </w:rPr>
  </w:style>
  <w:style w:type="character" w:customStyle="1" w:styleId="cosearchterm7">
    <w:name w:val="co_searchterm7"/>
    <w:basedOn w:val="DefaultParagraphFont"/>
    <w:rsid w:val="00E54261"/>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3443">
      <w:bodyDiv w:val="1"/>
      <w:marLeft w:val="0"/>
      <w:marRight w:val="0"/>
      <w:marTop w:val="0"/>
      <w:marBottom w:val="0"/>
      <w:divBdr>
        <w:top w:val="none" w:sz="0" w:space="0" w:color="auto"/>
        <w:left w:val="none" w:sz="0" w:space="0" w:color="auto"/>
        <w:bottom w:val="none" w:sz="0" w:space="0" w:color="auto"/>
        <w:right w:val="none" w:sz="0" w:space="0" w:color="auto"/>
      </w:divBdr>
      <w:divsChild>
        <w:div w:id="443236130">
          <w:marLeft w:val="0"/>
          <w:marRight w:val="0"/>
          <w:marTop w:val="0"/>
          <w:marBottom w:val="0"/>
          <w:divBdr>
            <w:top w:val="none" w:sz="0" w:space="0" w:color="auto"/>
            <w:left w:val="none" w:sz="0" w:space="0" w:color="auto"/>
            <w:bottom w:val="none" w:sz="0" w:space="0" w:color="auto"/>
            <w:right w:val="none" w:sz="0" w:space="0" w:color="auto"/>
          </w:divBdr>
          <w:divsChild>
            <w:div w:id="18147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6025">
      <w:bodyDiv w:val="1"/>
      <w:marLeft w:val="0"/>
      <w:marRight w:val="0"/>
      <w:marTop w:val="0"/>
      <w:marBottom w:val="0"/>
      <w:divBdr>
        <w:top w:val="none" w:sz="0" w:space="0" w:color="auto"/>
        <w:left w:val="none" w:sz="0" w:space="0" w:color="auto"/>
        <w:bottom w:val="none" w:sz="0" w:space="0" w:color="auto"/>
        <w:right w:val="none" w:sz="0" w:space="0" w:color="auto"/>
      </w:divBdr>
    </w:div>
    <w:div w:id="1399743340">
      <w:bodyDiv w:val="1"/>
      <w:marLeft w:val="0"/>
      <w:marRight w:val="0"/>
      <w:marTop w:val="0"/>
      <w:marBottom w:val="0"/>
      <w:divBdr>
        <w:top w:val="none" w:sz="0" w:space="0" w:color="auto"/>
        <w:left w:val="none" w:sz="0" w:space="0" w:color="auto"/>
        <w:bottom w:val="none" w:sz="0" w:space="0" w:color="auto"/>
        <w:right w:val="none" w:sz="0" w:space="0" w:color="auto"/>
      </w:divBdr>
    </w:div>
    <w:div w:id="2120292731">
      <w:bodyDiv w:val="1"/>
      <w:marLeft w:val="0"/>
      <w:marRight w:val="0"/>
      <w:marTop w:val="0"/>
      <w:marBottom w:val="0"/>
      <w:divBdr>
        <w:top w:val="none" w:sz="0" w:space="0" w:color="auto"/>
        <w:left w:val="none" w:sz="0" w:space="0" w:color="auto"/>
        <w:bottom w:val="none" w:sz="0" w:space="0" w:color="auto"/>
        <w:right w:val="none" w:sz="0" w:space="0" w:color="auto"/>
      </w:divBdr>
      <w:divsChild>
        <w:div w:id="639073896">
          <w:marLeft w:val="0"/>
          <w:marRight w:val="0"/>
          <w:marTop w:val="0"/>
          <w:marBottom w:val="0"/>
          <w:divBdr>
            <w:top w:val="none" w:sz="0" w:space="0" w:color="auto"/>
            <w:left w:val="none" w:sz="0" w:space="0" w:color="auto"/>
            <w:bottom w:val="none" w:sz="0" w:space="0" w:color="auto"/>
            <w:right w:val="none" w:sz="0" w:space="0" w:color="auto"/>
          </w:divBdr>
          <w:divsChild>
            <w:div w:id="1100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2049</Words>
  <Characters>10865</Characters>
  <Application>Microsoft Office Word</Application>
  <DocSecurity>0</DocSecurity>
  <Lines>174</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2014-10-09T16:31:00Z</dcterms:created>
  <dcterms:modified xsi:type="dcterms:W3CDTF">2014-10-09T16:31:00Z</dcterms:modified>
  <cp:category> </cp:category>
  <cp:contentStatus> </cp:contentStatus>
</cp:coreProperties>
</file>