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CB" w:rsidRPr="00E741CB" w:rsidRDefault="00E741CB" w:rsidP="00E741CB">
      <w:pPr>
        <w:jc w:val="both"/>
        <w:rPr>
          <w:b/>
          <w:sz w:val="24"/>
          <w:szCs w:val="24"/>
        </w:rPr>
      </w:pP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p>
    <w:p w:rsidR="00E741CB" w:rsidRPr="00E741CB" w:rsidRDefault="00E741CB" w:rsidP="00E741CB">
      <w:pPr>
        <w:jc w:val="both"/>
        <w:rPr>
          <w:sz w:val="24"/>
          <w:szCs w:val="24"/>
        </w:rPr>
      </w:pPr>
      <w:r w:rsidRPr="00E741CB">
        <w:rPr>
          <w:b/>
          <w:sz w:val="24"/>
          <w:szCs w:val="24"/>
        </w:rPr>
        <w:tab/>
      </w:r>
      <w:r w:rsidRPr="00E741CB">
        <w:rPr>
          <w:b/>
          <w:sz w:val="24"/>
          <w:szCs w:val="24"/>
        </w:rPr>
        <w:tab/>
      </w:r>
      <w:r w:rsidRPr="00E741CB">
        <w:rPr>
          <w:b/>
          <w:sz w:val="24"/>
          <w:szCs w:val="24"/>
        </w:rPr>
        <w:tab/>
      </w:r>
      <w:r w:rsidRPr="00E741CB">
        <w:rPr>
          <w:b/>
          <w:sz w:val="24"/>
          <w:szCs w:val="24"/>
        </w:rPr>
        <w:tab/>
      </w:r>
      <w:r w:rsidRPr="00E741CB">
        <w:rPr>
          <w:b/>
          <w:sz w:val="24"/>
          <w:szCs w:val="24"/>
        </w:rPr>
        <w:tab/>
      </w:r>
      <w:r w:rsidRPr="00E741CB">
        <w:rPr>
          <w:sz w:val="24"/>
          <w:szCs w:val="24"/>
        </w:rPr>
        <w:fldChar w:fldCharType="begin"/>
      </w:r>
      <w:r w:rsidRPr="00E741CB">
        <w:rPr>
          <w:sz w:val="24"/>
          <w:szCs w:val="24"/>
        </w:rPr>
        <w:instrText xml:space="preserve"> DATE \@ "MMMM d, yyyy" </w:instrText>
      </w:r>
      <w:r w:rsidRPr="00E741CB">
        <w:rPr>
          <w:sz w:val="24"/>
          <w:szCs w:val="24"/>
        </w:rPr>
        <w:fldChar w:fldCharType="separate"/>
      </w:r>
      <w:r w:rsidR="005C007B">
        <w:rPr>
          <w:noProof/>
          <w:sz w:val="24"/>
          <w:szCs w:val="24"/>
        </w:rPr>
        <w:t>October 10, 2014</w:t>
      </w:r>
      <w:r w:rsidRPr="00E741CB">
        <w:rPr>
          <w:sz w:val="24"/>
          <w:szCs w:val="24"/>
        </w:rPr>
        <w:fldChar w:fldCharType="end"/>
      </w:r>
    </w:p>
    <w:p w:rsidR="00E741CB" w:rsidRPr="00E741CB" w:rsidRDefault="00E741CB" w:rsidP="007F1D8B">
      <w:pPr>
        <w:ind w:left="7200" w:firstLine="720"/>
        <w:rPr>
          <w:b/>
          <w:sz w:val="24"/>
          <w:szCs w:val="24"/>
        </w:rPr>
      </w:pPr>
    </w:p>
    <w:p w:rsidR="00E741CB" w:rsidRPr="00E741CB" w:rsidRDefault="00E741CB" w:rsidP="007F1D8B">
      <w:pPr>
        <w:ind w:left="7200" w:firstLine="720"/>
        <w:rPr>
          <w:b/>
          <w:sz w:val="24"/>
          <w:szCs w:val="24"/>
        </w:rPr>
      </w:pPr>
    </w:p>
    <w:p w:rsidR="007F1D8B" w:rsidRPr="00E741CB" w:rsidRDefault="007F1D8B" w:rsidP="007F1D8B">
      <w:pPr>
        <w:ind w:left="7200" w:firstLine="720"/>
        <w:rPr>
          <w:rFonts w:ascii="Arial" w:hAnsi="Arial" w:cs="Arial"/>
          <w:b/>
          <w:color w:val="000080"/>
          <w:sz w:val="24"/>
          <w:szCs w:val="24"/>
          <w:lang w:eastAsia="en-US"/>
        </w:rPr>
      </w:pPr>
      <w:r w:rsidRPr="00E741CB">
        <w:rPr>
          <w:b/>
          <w:sz w:val="24"/>
          <w:szCs w:val="24"/>
        </w:rPr>
        <w:t xml:space="preserve">DA </w:t>
      </w:r>
      <w:r w:rsidR="00A9495E" w:rsidRPr="00E741CB">
        <w:rPr>
          <w:b/>
          <w:sz w:val="24"/>
          <w:szCs w:val="24"/>
          <w:lang w:eastAsia="en-US"/>
        </w:rPr>
        <w:t>14</w:t>
      </w:r>
      <w:r w:rsidRPr="00E741CB">
        <w:rPr>
          <w:b/>
          <w:sz w:val="24"/>
          <w:szCs w:val="24"/>
          <w:lang w:eastAsia="en-US"/>
        </w:rPr>
        <w:t>-</w:t>
      </w:r>
      <w:r w:rsidR="0053358D">
        <w:rPr>
          <w:b/>
          <w:sz w:val="24"/>
          <w:szCs w:val="24"/>
          <w:lang w:eastAsia="en-US"/>
        </w:rPr>
        <w:t>1482</w:t>
      </w:r>
    </w:p>
    <w:p w:rsidR="007F1D8B" w:rsidRPr="00E741CB" w:rsidRDefault="007F1D8B" w:rsidP="007F1D8B">
      <w:pPr>
        <w:pStyle w:val="ReferenceLine"/>
        <w:rPr>
          <w:b/>
          <w:sz w:val="24"/>
          <w:szCs w:val="24"/>
          <w:u w:val="single"/>
        </w:rPr>
      </w:pPr>
      <w:r w:rsidRPr="00E741CB">
        <w:rPr>
          <w:b/>
          <w:sz w:val="24"/>
          <w:szCs w:val="24"/>
          <w:u w:val="single"/>
        </w:rPr>
        <w:t xml:space="preserve">     </w:t>
      </w:r>
    </w:p>
    <w:p w:rsidR="007F1D8B" w:rsidRPr="00E741CB" w:rsidRDefault="007F1D8B" w:rsidP="007F1D8B">
      <w:pPr>
        <w:pStyle w:val="ReferenceLine"/>
        <w:rPr>
          <w:b/>
          <w:sz w:val="24"/>
          <w:szCs w:val="24"/>
          <w:u w:val="single"/>
        </w:rPr>
      </w:pPr>
      <w:r w:rsidRPr="00E741CB">
        <w:rPr>
          <w:b/>
          <w:sz w:val="24"/>
          <w:szCs w:val="24"/>
          <w:u w:val="single"/>
        </w:rPr>
        <w:t>VIA CERTIFIED MAIL, RETURN RECEIPT REQUESTED</w:t>
      </w:r>
    </w:p>
    <w:p w:rsidR="007F1D8B" w:rsidRPr="00E741CB" w:rsidRDefault="007F1D8B" w:rsidP="007F1D8B">
      <w:pPr>
        <w:pStyle w:val="ReferenceLine"/>
        <w:rPr>
          <w:b/>
          <w:sz w:val="24"/>
          <w:szCs w:val="24"/>
          <w:u w:val="single"/>
        </w:rPr>
      </w:pPr>
    </w:p>
    <w:p w:rsidR="007F1D8B" w:rsidRPr="00E741CB" w:rsidRDefault="007F1D8B" w:rsidP="007F1D8B">
      <w:pPr>
        <w:pStyle w:val="InsideAddressName"/>
        <w:rPr>
          <w:sz w:val="24"/>
          <w:szCs w:val="24"/>
        </w:rPr>
      </w:pPr>
      <w:r w:rsidRPr="00E741CB">
        <w:rPr>
          <w:sz w:val="24"/>
          <w:szCs w:val="24"/>
        </w:rPr>
        <w:t>Mr. Darrell Buchbinder</w:t>
      </w:r>
    </w:p>
    <w:p w:rsidR="007F1D8B" w:rsidRPr="00E741CB" w:rsidRDefault="007F1D8B" w:rsidP="007F1D8B">
      <w:pPr>
        <w:pStyle w:val="InsideAddress"/>
        <w:rPr>
          <w:sz w:val="24"/>
          <w:szCs w:val="24"/>
        </w:rPr>
      </w:pPr>
      <w:r w:rsidRPr="00E741CB">
        <w:rPr>
          <w:sz w:val="24"/>
          <w:szCs w:val="24"/>
        </w:rPr>
        <w:t>General Counsel</w:t>
      </w:r>
    </w:p>
    <w:p w:rsidR="007F1D8B" w:rsidRPr="00E741CB" w:rsidRDefault="007F1D8B" w:rsidP="007F1D8B">
      <w:pPr>
        <w:pStyle w:val="InsideAddress"/>
        <w:rPr>
          <w:sz w:val="24"/>
          <w:szCs w:val="24"/>
        </w:rPr>
      </w:pPr>
      <w:r w:rsidRPr="00E741CB">
        <w:rPr>
          <w:sz w:val="24"/>
          <w:szCs w:val="24"/>
        </w:rPr>
        <w:t>Port Authority of New York and New Jersey</w:t>
      </w:r>
    </w:p>
    <w:p w:rsidR="007F1D8B" w:rsidRPr="00E741CB" w:rsidRDefault="007F1D8B" w:rsidP="007F1D8B">
      <w:pPr>
        <w:pStyle w:val="InsideAddress"/>
        <w:rPr>
          <w:sz w:val="24"/>
          <w:szCs w:val="24"/>
        </w:rPr>
      </w:pPr>
      <w:r w:rsidRPr="00E741CB">
        <w:rPr>
          <w:sz w:val="24"/>
          <w:szCs w:val="24"/>
        </w:rPr>
        <w:t>225 Park Avenue South, 15</w:t>
      </w:r>
      <w:r w:rsidRPr="00E741CB">
        <w:rPr>
          <w:sz w:val="24"/>
          <w:szCs w:val="24"/>
          <w:vertAlign w:val="superscript"/>
        </w:rPr>
        <w:t>th</w:t>
      </w:r>
      <w:r w:rsidRPr="00E741CB">
        <w:rPr>
          <w:sz w:val="24"/>
          <w:szCs w:val="24"/>
        </w:rPr>
        <w:t xml:space="preserve"> Floor</w:t>
      </w:r>
    </w:p>
    <w:p w:rsidR="007F1D8B" w:rsidRPr="00E741CB" w:rsidRDefault="007F1D8B" w:rsidP="007F1D8B">
      <w:pPr>
        <w:pStyle w:val="InsideAddress"/>
        <w:rPr>
          <w:sz w:val="24"/>
          <w:szCs w:val="24"/>
        </w:rPr>
      </w:pPr>
      <w:r w:rsidRPr="00E741CB">
        <w:rPr>
          <w:sz w:val="24"/>
          <w:szCs w:val="24"/>
        </w:rPr>
        <w:t>New York, New York 10003</w:t>
      </w:r>
    </w:p>
    <w:p w:rsidR="007F1D8B" w:rsidRPr="00E741CB" w:rsidRDefault="007F1D8B" w:rsidP="007F1D8B">
      <w:pPr>
        <w:pStyle w:val="InsideAddress"/>
        <w:rPr>
          <w:sz w:val="24"/>
          <w:szCs w:val="24"/>
        </w:rPr>
      </w:pPr>
    </w:p>
    <w:p w:rsidR="007F1D8B" w:rsidRPr="00E741CB" w:rsidRDefault="007F1D8B" w:rsidP="007F1D8B">
      <w:pPr>
        <w:pStyle w:val="ReferenceLine"/>
        <w:spacing w:after="0"/>
        <w:ind w:left="720"/>
        <w:rPr>
          <w:b/>
          <w:sz w:val="24"/>
          <w:szCs w:val="24"/>
        </w:rPr>
      </w:pPr>
      <w:r w:rsidRPr="00E741CB">
        <w:rPr>
          <w:sz w:val="24"/>
          <w:szCs w:val="24"/>
        </w:rPr>
        <w:fldChar w:fldCharType="begin"/>
      </w:r>
      <w:r w:rsidRPr="00E741CB">
        <w:rPr>
          <w:sz w:val="24"/>
          <w:szCs w:val="24"/>
        </w:rPr>
        <w:instrText xml:space="preserve"> AUTOTEXTLIST </w:instrText>
      </w:r>
      <w:r w:rsidRPr="00E741CB">
        <w:rPr>
          <w:sz w:val="24"/>
          <w:szCs w:val="24"/>
        </w:rPr>
        <w:fldChar w:fldCharType="separate"/>
      </w:r>
      <w:r w:rsidRPr="00E741CB">
        <w:rPr>
          <w:sz w:val="24"/>
          <w:szCs w:val="24"/>
        </w:rPr>
        <w:t>Re:</w:t>
      </w:r>
      <w:r w:rsidRPr="00E741CB">
        <w:rPr>
          <w:sz w:val="24"/>
          <w:szCs w:val="24"/>
        </w:rPr>
        <w:tab/>
      </w:r>
      <w:r w:rsidRPr="00E741CB">
        <w:rPr>
          <w:b/>
          <w:sz w:val="24"/>
          <w:szCs w:val="24"/>
        </w:rPr>
        <w:t>In the Matter of the Port Authority of New York and New Jersey</w:t>
      </w:r>
    </w:p>
    <w:p w:rsidR="007F1D8B" w:rsidRPr="00E741CB" w:rsidRDefault="007F1D8B" w:rsidP="007F1D8B">
      <w:pPr>
        <w:pStyle w:val="ReferenceLine"/>
        <w:spacing w:after="0"/>
        <w:ind w:left="720"/>
        <w:rPr>
          <w:b/>
          <w:sz w:val="24"/>
          <w:szCs w:val="24"/>
        </w:rPr>
      </w:pPr>
      <w:r w:rsidRPr="00E741CB">
        <w:rPr>
          <w:b/>
          <w:sz w:val="24"/>
          <w:szCs w:val="24"/>
        </w:rPr>
        <w:tab/>
        <w:t>Request for Waiver of Sections 90.157 of the Commission’s Rules</w:t>
      </w:r>
    </w:p>
    <w:p w:rsidR="007F1D8B" w:rsidRPr="00E741CB" w:rsidRDefault="007F1D8B" w:rsidP="007F1D8B">
      <w:pPr>
        <w:pStyle w:val="ReferenceLine"/>
        <w:spacing w:after="0"/>
        <w:ind w:left="720" w:firstLine="720"/>
        <w:rPr>
          <w:sz w:val="24"/>
          <w:szCs w:val="24"/>
        </w:rPr>
      </w:pPr>
      <w:r w:rsidRPr="00E741CB">
        <w:rPr>
          <w:sz w:val="24"/>
          <w:szCs w:val="24"/>
        </w:rPr>
        <w:fldChar w:fldCharType="end"/>
      </w:r>
    </w:p>
    <w:p w:rsidR="007F1D8B" w:rsidRPr="00E741CB" w:rsidRDefault="007F1D8B" w:rsidP="007F1D8B">
      <w:pPr>
        <w:pStyle w:val="Salutation"/>
        <w:rPr>
          <w:sz w:val="24"/>
          <w:szCs w:val="24"/>
        </w:rPr>
      </w:pPr>
      <w:r w:rsidRPr="00E741CB">
        <w:rPr>
          <w:sz w:val="24"/>
          <w:szCs w:val="24"/>
        </w:rPr>
        <w:fldChar w:fldCharType="begin"/>
      </w:r>
      <w:r w:rsidRPr="00E741CB">
        <w:rPr>
          <w:sz w:val="24"/>
          <w:szCs w:val="24"/>
        </w:rPr>
        <w:instrText xml:space="preserve"> AUTOTEXTLIST </w:instrText>
      </w:r>
      <w:r w:rsidRPr="00E741CB">
        <w:rPr>
          <w:sz w:val="24"/>
          <w:szCs w:val="24"/>
        </w:rPr>
        <w:fldChar w:fldCharType="separate"/>
      </w:r>
      <w:r w:rsidRPr="00E741CB">
        <w:rPr>
          <w:sz w:val="24"/>
          <w:szCs w:val="24"/>
        </w:rPr>
        <w:t>Dear Mr. Buchbinder:</w:t>
      </w:r>
      <w:r w:rsidRPr="00E741CB">
        <w:rPr>
          <w:sz w:val="24"/>
          <w:szCs w:val="24"/>
        </w:rPr>
        <w:fldChar w:fldCharType="end"/>
      </w:r>
    </w:p>
    <w:p w:rsidR="007F1D8B" w:rsidRPr="00E741CB" w:rsidRDefault="007F1D8B" w:rsidP="007F1D8B">
      <w:pPr>
        <w:rPr>
          <w:sz w:val="24"/>
          <w:szCs w:val="24"/>
        </w:rPr>
      </w:pPr>
    </w:p>
    <w:p w:rsidR="007F1D8B" w:rsidRPr="00E741CB" w:rsidRDefault="007F1D8B" w:rsidP="007F1D8B">
      <w:pPr>
        <w:ind w:firstLine="720"/>
        <w:rPr>
          <w:sz w:val="24"/>
          <w:szCs w:val="24"/>
        </w:rPr>
      </w:pPr>
      <w:r w:rsidRPr="00E741CB">
        <w:rPr>
          <w:sz w:val="24"/>
          <w:szCs w:val="24"/>
        </w:rPr>
        <w:t>On behalf of the Port Authority of New York and New Jersey (Port Authority), you filed a request for waiver</w:t>
      </w:r>
      <w:r w:rsidRPr="00E741CB">
        <w:rPr>
          <w:rStyle w:val="FootnoteReference"/>
          <w:sz w:val="24"/>
          <w:szCs w:val="24"/>
        </w:rPr>
        <w:footnoteReference w:id="1"/>
      </w:r>
      <w:r w:rsidRPr="00E741CB">
        <w:rPr>
          <w:sz w:val="24"/>
          <w:szCs w:val="24"/>
        </w:rPr>
        <w:t xml:space="preserve"> of Section 90.157 of the Commission’s rules,</w:t>
      </w:r>
      <w:r w:rsidRPr="00E741CB">
        <w:rPr>
          <w:rStyle w:val="FootnoteReference"/>
          <w:sz w:val="24"/>
          <w:szCs w:val="24"/>
        </w:rPr>
        <w:footnoteReference w:id="2"/>
      </w:r>
      <w:r w:rsidRPr="00E741CB">
        <w:rPr>
          <w:sz w:val="24"/>
          <w:szCs w:val="24"/>
        </w:rPr>
        <w:t xml:space="preserve"> seeking a one-year extension to construct the stations listed in the attachment to this letter (collectively, World Trade Center Stations).</w:t>
      </w:r>
      <w:r w:rsidRPr="00E741CB">
        <w:rPr>
          <w:rStyle w:val="FootnoteReference"/>
          <w:sz w:val="24"/>
          <w:szCs w:val="24"/>
        </w:rPr>
        <w:footnoteReference w:id="3"/>
      </w:r>
      <w:r w:rsidRPr="00E741CB">
        <w:rPr>
          <w:sz w:val="24"/>
          <w:szCs w:val="24"/>
        </w:rPr>
        <w:t xml:space="preserve">  For the reasons stated below, we grant, </w:t>
      </w:r>
      <w:r w:rsidRPr="00E741CB">
        <w:rPr>
          <w:i/>
          <w:sz w:val="24"/>
          <w:szCs w:val="24"/>
        </w:rPr>
        <w:t>nunc pro tunc</w:t>
      </w:r>
      <w:r w:rsidRPr="00E741CB">
        <w:rPr>
          <w:sz w:val="24"/>
          <w:szCs w:val="24"/>
        </w:rPr>
        <w:t xml:space="preserve">, the request for extension of </w:t>
      </w:r>
      <w:r w:rsidRPr="00E741CB">
        <w:rPr>
          <w:sz w:val="24"/>
          <w:szCs w:val="24"/>
        </w:rPr>
        <w:lastRenderedPageBreak/>
        <w:t xml:space="preserve">waiver, until September </w:t>
      </w:r>
      <w:r w:rsidR="00A9495E" w:rsidRPr="00E741CB">
        <w:rPr>
          <w:sz w:val="24"/>
          <w:szCs w:val="24"/>
        </w:rPr>
        <w:t>10</w:t>
      </w:r>
      <w:r w:rsidRPr="00E741CB">
        <w:rPr>
          <w:sz w:val="24"/>
          <w:szCs w:val="24"/>
        </w:rPr>
        <w:t>, 201</w:t>
      </w:r>
      <w:r w:rsidR="005367AD" w:rsidRPr="00E741CB">
        <w:rPr>
          <w:sz w:val="24"/>
          <w:szCs w:val="24"/>
        </w:rPr>
        <w:t>5</w:t>
      </w:r>
      <w:r w:rsidRPr="00E741CB">
        <w:rPr>
          <w:sz w:val="24"/>
          <w:szCs w:val="24"/>
        </w:rPr>
        <w:t xml:space="preserve">.   Accordingly, the Port Authority will have until no later than September </w:t>
      </w:r>
      <w:r w:rsidR="00A9495E" w:rsidRPr="00E741CB">
        <w:rPr>
          <w:sz w:val="24"/>
          <w:szCs w:val="24"/>
        </w:rPr>
        <w:t>10</w:t>
      </w:r>
      <w:r w:rsidRPr="00E741CB">
        <w:rPr>
          <w:sz w:val="24"/>
          <w:szCs w:val="24"/>
        </w:rPr>
        <w:t>, 201</w:t>
      </w:r>
      <w:r w:rsidR="005367AD" w:rsidRPr="00E741CB">
        <w:rPr>
          <w:sz w:val="24"/>
          <w:szCs w:val="24"/>
        </w:rPr>
        <w:t>5</w:t>
      </w:r>
      <w:r w:rsidRPr="00E741CB">
        <w:rPr>
          <w:sz w:val="24"/>
          <w:szCs w:val="24"/>
        </w:rPr>
        <w:t>, to construct and return the World Trade Center Stations to operational status without forfeiting the licenses for permanent discontinuance of operation, pursuant to Section 90.157.</w:t>
      </w:r>
      <w:r w:rsidRPr="00E741CB">
        <w:rPr>
          <w:rStyle w:val="FootnoteReference"/>
          <w:sz w:val="24"/>
          <w:szCs w:val="24"/>
        </w:rPr>
        <w:footnoteReference w:id="4"/>
      </w:r>
      <w:r w:rsidRPr="00E741CB">
        <w:rPr>
          <w:sz w:val="24"/>
          <w:szCs w:val="24"/>
        </w:rPr>
        <w:t xml:space="preserve"> </w:t>
      </w:r>
    </w:p>
    <w:p w:rsidR="007F1D8B" w:rsidRPr="00E741CB" w:rsidRDefault="007F1D8B" w:rsidP="007F1D8B">
      <w:pPr>
        <w:ind w:firstLine="720"/>
        <w:rPr>
          <w:sz w:val="24"/>
          <w:szCs w:val="24"/>
        </w:rPr>
      </w:pPr>
    </w:p>
    <w:p w:rsidR="007F1D8B" w:rsidRPr="00E741CB" w:rsidRDefault="007F1D8B" w:rsidP="007F1D8B">
      <w:pPr>
        <w:ind w:firstLine="720"/>
        <w:rPr>
          <w:sz w:val="24"/>
          <w:szCs w:val="24"/>
        </w:rPr>
      </w:pPr>
      <w:r w:rsidRPr="00E741CB">
        <w:rPr>
          <w:sz w:val="24"/>
          <w:szCs w:val="24"/>
        </w:rPr>
        <w:t>Consistent with the Commission’s rules, the waiver request demonstrates that unique and unusual circumstances caused the discontinuance of operations of the World Trade Center Stations, namely, the terrorist attacks of September 11, 2001.</w:t>
      </w:r>
      <w:r w:rsidRPr="00E741CB">
        <w:rPr>
          <w:rStyle w:val="FootnoteReference"/>
          <w:sz w:val="24"/>
          <w:szCs w:val="24"/>
        </w:rPr>
        <w:footnoteReference w:id="5"/>
      </w:r>
      <w:r w:rsidRPr="00E741CB">
        <w:rPr>
          <w:sz w:val="24"/>
          <w:szCs w:val="24"/>
        </w:rPr>
        <w:t xml:space="preserve">  Moreover, given the fact that the World Trade Center Stations will continue to serve an integral role in the extensive network of transportation, terminal, and commercial facilities throughout the New York metropolitan area, especially for public safety communications, we find that grant of the waiver request is in the public interest.</w:t>
      </w:r>
      <w:r w:rsidRPr="00E741CB">
        <w:rPr>
          <w:rStyle w:val="FootnoteReference"/>
          <w:sz w:val="24"/>
          <w:szCs w:val="24"/>
        </w:rPr>
        <w:footnoteReference w:id="6"/>
      </w:r>
      <w:r w:rsidRPr="00E741CB">
        <w:rPr>
          <w:sz w:val="24"/>
          <w:szCs w:val="24"/>
        </w:rPr>
        <w:t xml:space="preserve"> </w:t>
      </w:r>
    </w:p>
    <w:p w:rsidR="007F1D8B" w:rsidRPr="00E741CB" w:rsidRDefault="009E4367" w:rsidP="009E4367">
      <w:pPr>
        <w:tabs>
          <w:tab w:val="left" w:pos="7320"/>
        </w:tabs>
        <w:ind w:firstLine="720"/>
        <w:rPr>
          <w:sz w:val="24"/>
          <w:szCs w:val="24"/>
        </w:rPr>
      </w:pPr>
      <w:r w:rsidRPr="00E741CB">
        <w:rPr>
          <w:sz w:val="24"/>
          <w:szCs w:val="24"/>
        </w:rPr>
        <w:tab/>
      </w:r>
    </w:p>
    <w:p w:rsidR="007F1D8B" w:rsidRPr="00E741CB" w:rsidRDefault="007F1D8B" w:rsidP="007F1D8B">
      <w:pPr>
        <w:ind w:firstLine="720"/>
        <w:rPr>
          <w:sz w:val="24"/>
          <w:szCs w:val="24"/>
        </w:rPr>
      </w:pPr>
      <w:r w:rsidRPr="00E741CB">
        <w:rPr>
          <w:sz w:val="24"/>
          <w:szCs w:val="24"/>
        </w:rPr>
        <w:t>Additionally, the Port Authority demonstrates not only that it will continue to require use of the World Trade Center Stations, but also that it continues to proceed diligently and at an accelerated pace to reconstitute its destroyed radio communication facilities located at the World Trade Center.</w:t>
      </w:r>
      <w:r w:rsidRPr="00E741CB">
        <w:rPr>
          <w:rStyle w:val="FootnoteReference"/>
          <w:sz w:val="24"/>
          <w:szCs w:val="24"/>
        </w:rPr>
        <w:footnoteReference w:id="7"/>
      </w:r>
      <w:r w:rsidRPr="00E741CB">
        <w:rPr>
          <w:sz w:val="24"/>
          <w:szCs w:val="24"/>
        </w:rPr>
        <w:t xml:space="preserve">  </w:t>
      </w:r>
      <w:r w:rsidR="00BD5CD1" w:rsidRPr="00E741CB">
        <w:rPr>
          <w:sz w:val="24"/>
          <w:szCs w:val="24"/>
        </w:rPr>
        <w:t xml:space="preserve">The </w:t>
      </w:r>
      <w:r w:rsidRPr="00E741CB">
        <w:rPr>
          <w:sz w:val="24"/>
          <w:szCs w:val="24"/>
        </w:rPr>
        <w:t xml:space="preserve">Part 90 radio stations </w:t>
      </w:r>
      <w:r w:rsidR="00BD5CD1" w:rsidRPr="00E741CB">
        <w:rPr>
          <w:sz w:val="24"/>
          <w:szCs w:val="24"/>
        </w:rPr>
        <w:t xml:space="preserve">which are the subject of the instant waiver request </w:t>
      </w:r>
      <w:r w:rsidR="00110E16" w:rsidRPr="00E741CB">
        <w:rPr>
          <w:sz w:val="24"/>
          <w:szCs w:val="24"/>
        </w:rPr>
        <w:t>were local area radio facilities used at the former World Trade Center buildings for building security and other purposes.</w:t>
      </w:r>
      <w:r w:rsidR="00110E16" w:rsidRPr="00E741CB">
        <w:rPr>
          <w:rStyle w:val="FootnoteReference"/>
          <w:sz w:val="24"/>
          <w:szCs w:val="24"/>
        </w:rPr>
        <w:footnoteReference w:id="8"/>
      </w:r>
      <w:r w:rsidR="00110E16" w:rsidRPr="00E741CB">
        <w:rPr>
          <w:sz w:val="24"/>
          <w:szCs w:val="24"/>
        </w:rPr>
        <w:t xml:space="preserve">  </w:t>
      </w:r>
      <w:r w:rsidR="004151B5" w:rsidRPr="00E741CB">
        <w:rPr>
          <w:sz w:val="24"/>
          <w:szCs w:val="24"/>
        </w:rPr>
        <w:t xml:space="preserve">The Port Authority states that </w:t>
      </w:r>
      <w:r w:rsidR="00587208" w:rsidRPr="00E741CB">
        <w:rPr>
          <w:sz w:val="24"/>
          <w:szCs w:val="24"/>
        </w:rPr>
        <w:t xml:space="preserve">at this time, it </w:t>
      </w:r>
      <w:r w:rsidR="00830C8A" w:rsidRPr="00E741CB">
        <w:rPr>
          <w:sz w:val="24"/>
          <w:szCs w:val="24"/>
        </w:rPr>
        <w:t>“</w:t>
      </w:r>
      <w:r w:rsidR="00587208" w:rsidRPr="00E741CB">
        <w:rPr>
          <w:sz w:val="24"/>
          <w:szCs w:val="24"/>
        </w:rPr>
        <w:t xml:space="preserve">plans to restore the operations of these local area facilities </w:t>
      </w:r>
      <w:r w:rsidR="00E81D5A" w:rsidRPr="00E741CB">
        <w:rPr>
          <w:sz w:val="24"/>
          <w:szCs w:val="24"/>
        </w:rPr>
        <w:t xml:space="preserve">as </w:t>
      </w:r>
      <w:r w:rsidR="00587208" w:rsidRPr="00E741CB">
        <w:rPr>
          <w:sz w:val="24"/>
          <w:szCs w:val="24"/>
        </w:rPr>
        <w:t>promptly as reasonable during the World Trade Center site reconstruction process</w:t>
      </w:r>
      <w:r w:rsidRPr="00E741CB">
        <w:rPr>
          <w:sz w:val="24"/>
          <w:szCs w:val="24"/>
        </w:rPr>
        <w:t>.</w:t>
      </w:r>
      <w:r w:rsidR="00830C8A" w:rsidRPr="00E741CB">
        <w:rPr>
          <w:sz w:val="24"/>
          <w:szCs w:val="24"/>
        </w:rPr>
        <w:t>”</w:t>
      </w:r>
      <w:r w:rsidRPr="00E741CB">
        <w:rPr>
          <w:rStyle w:val="FootnoteReference"/>
          <w:sz w:val="24"/>
          <w:szCs w:val="24"/>
        </w:rPr>
        <w:footnoteReference w:id="9"/>
      </w:r>
      <w:r w:rsidRPr="00E741CB">
        <w:rPr>
          <w:sz w:val="24"/>
          <w:szCs w:val="24"/>
        </w:rPr>
        <w:t xml:space="preserve">  </w:t>
      </w:r>
      <w:r w:rsidR="001C0B10" w:rsidRPr="00E741CB">
        <w:rPr>
          <w:sz w:val="24"/>
          <w:szCs w:val="24"/>
        </w:rPr>
        <w:t xml:space="preserve">  </w:t>
      </w:r>
    </w:p>
    <w:p w:rsidR="007F1D8B" w:rsidRPr="00E741CB" w:rsidRDefault="007F1D8B" w:rsidP="007F1D8B">
      <w:pPr>
        <w:ind w:firstLine="720"/>
        <w:rPr>
          <w:sz w:val="24"/>
          <w:szCs w:val="24"/>
        </w:rPr>
      </w:pPr>
    </w:p>
    <w:p w:rsidR="007F1D8B" w:rsidRPr="00E741CB" w:rsidRDefault="007F1D8B" w:rsidP="007F1D8B">
      <w:pPr>
        <w:pStyle w:val="FootnoteText"/>
        <w:spacing w:after="0"/>
        <w:jc w:val="left"/>
        <w:rPr>
          <w:sz w:val="24"/>
          <w:szCs w:val="24"/>
        </w:rPr>
      </w:pPr>
      <w:r w:rsidRPr="00E741CB">
        <w:rPr>
          <w:sz w:val="24"/>
          <w:szCs w:val="24"/>
        </w:rPr>
        <w:tab/>
      </w:r>
      <w:r w:rsidRPr="00E741CB">
        <w:rPr>
          <w:sz w:val="24"/>
          <w:szCs w:val="24"/>
        </w:rPr>
        <w:tab/>
        <w:t xml:space="preserve">In the </w:t>
      </w:r>
      <w:r w:rsidRPr="00E741CB">
        <w:rPr>
          <w:i/>
          <w:sz w:val="24"/>
          <w:szCs w:val="24"/>
        </w:rPr>
        <w:t xml:space="preserve">2002 Order, </w:t>
      </w:r>
      <w:r w:rsidRPr="00E741CB">
        <w:rPr>
          <w:sz w:val="24"/>
          <w:szCs w:val="24"/>
        </w:rPr>
        <w:t xml:space="preserve">we concluded that a fixed waiver term was appropriate to “avoid any ambiguity concerning the status of the licenses and to allow relicensing of any spectrum that the </w:t>
      </w:r>
      <w:r w:rsidRPr="00E741CB">
        <w:rPr>
          <w:sz w:val="24"/>
          <w:szCs w:val="24"/>
        </w:rPr>
        <w:lastRenderedPageBreak/>
        <w:t>Port Authority may later decide is not necessary for its future operations.”</w:t>
      </w:r>
      <w:r w:rsidRPr="00E741CB">
        <w:rPr>
          <w:rStyle w:val="FootnoteReference"/>
          <w:sz w:val="24"/>
          <w:szCs w:val="24"/>
        </w:rPr>
        <w:footnoteReference w:id="10"/>
      </w:r>
      <w:r w:rsidRPr="00E741CB">
        <w:rPr>
          <w:sz w:val="24"/>
          <w:szCs w:val="24"/>
        </w:rPr>
        <w:t xml:space="preserve">  In the </w:t>
      </w:r>
      <w:r w:rsidRPr="00E741CB">
        <w:rPr>
          <w:i/>
          <w:sz w:val="24"/>
          <w:szCs w:val="24"/>
        </w:rPr>
        <w:t>201</w:t>
      </w:r>
      <w:r w:rsidR="00E142E3" w:rsidRPr="00E741CB">
        <w:rPr>
          <w:i/>
          <w:sz w:val="24"/>
          <w:szCs w:val="24"/>
        </w:rPr>
        <w:t>3</w:t>
      </w:r>
      <w:r w:rsidRPr="00E741CB">
        <w:rPr>
          <w:i/>
          <w:sz w:val="24"/>
          <w:szCs w:val="24"/>
        </w:rPr>
        <w:t xml:space="preserve"> Letter</w:t>
      </w:r>
      <w:r w:rsidRPr="00E741CB">
        <w:rPr>
          <w:sz w:val="24"/>
          <w:szCs w:val="24"/>
        </w:rPr>
        <w:t xml:space="preserve"> we again concluded that, in balancing the Port Authority’s continued need for additional time to bring facilities back into operation and the need of other public safety entities for spectrum, a further extension of   waiver originally granted in the </w:t>
      </w:r>
      <w:r w:rsidRPr="00E741CB">
        <w:rPr>
          <w:i/>
          <w:sz w:val="24"/>
          <w:szCs w:val="24"/>
        </w:rPr>
        <w:t>2002 Order</w:t>
      </w:r>
      <w:r w:rsidRPr="00E741CB">
        <w:rPr>
          <w:sz w:val="24"/>
          <w:szCs w:val="24"/>
        </w:rPr>
        <w:t>, until September 10, 201</w:t>
      </w:r>
      <w:r w:rsidR="00E142E3" w:rsidRPr="00E741CB">
        <w:rPr>
          <w:sz w:val="24"/>
          <w:szCs w:val="24"/>
        </w:rPr>
        <w:t>4</w:t>
      </w:r>
      <w:r w:rsidRPr="00E741CB">
        <w:rPr>
          <w:sz w:val="24"/>
          <w:szCs w:val="24"/>
        </w:rPr>
        <w:t>, was in the public interest.</w:t>
      </w:r>
      <w:r w:rsidRPr="00E741CB">
        <w:rPr>
          <w:rStyle w:val="FootnoteReference"/>
          <w:sz w:val="24"/>
          <w:szCs w:val="24"/>
        </w:rPr>
        <w:footnoteReference w:id="11"/>
      </w:r>
      <w:r w:rsidRPr="00E741CB">
        <w:rPr>
          <w:sz w:val="24"/>
          <w:szCs w:val="24"/>
        </w:rPr>
        <w:t xml:space="preserve">  Similarly, we conclude here that, in balancing the Port Authority’s continued need for additional time to bring facilities back into operation and the need of other public safety entities for spectrum, a further extension of waiver originally granted in the </w:t>
      </w:r>
      <w:r w:rsidRPr="00E741CB">
        <w:rPr>
          <w:i/>
          <w:sz w:val="24"/>
          <w:szCs w:val="24"/>
        </w:rPr>
        <w:t>2002 Order</w:t>
      </w:r>
      <w:r w:rsidRPr="00E741CB">
        <w:rPr>
          <w:sz w:val="24"/>
          <w:szCs w:val="24"/>
        </w:rPr>
        <w:t xml:space="preserve">, until September 10, </w:t>
      </w:r>
      <w:r w:rsidR="00AF661D" w:rsidRPr="00E741CB">
        <w:rPr>
          <w:sz w:val="24"/>
          <w:szCs w:val="24"/>
        </w:rPr>
        <w:t>2015</w:t>
      </w:r>
      <w:r w:rsidRPr="00E741CB">
        <w:rPr>
          <w:sz w:val="24"/>
          <w:szCs w:val="24"/>
        </w:rPr>
        <w:t>, is in the public interest.  Grant of the waiver request will enable the Port Authority to plan, construct and place into operation its stations and, at the same time, ensure that scarce spectrum is utilized to enhance public safety radio communications at the World Trade Center site.  We therefore conclude that the public interest would be served by granting the Port Authority an extension of time to complete construction of the World Trade Center Stations listed in the Attachment.</w:t>
      </w:r>
      <w:r w:rsidRPr="00E741CB">
        <w:rPr>
          <w:rStyle w:val="FootnoteReference"/>
          <w:sz w:val="24"/>
          <w:szCs w:val="24"/>
        </w:rPr>
        <w:footnoteReference w:id="12"/>
      </w:r>
      <w:r w:rsidRPr="00E741CB">
        <w:rPr>
          <w:sz w:val="24"/>
          <w:szCs w:val="24"/>
        </w:rPr>
        <w:t xml:space="preserve">  </w:t>
      </w:r>
    </w:p>
    <w:p w:rsidR="007F1D8B" w:rsidRPr="00E741CB" w:rsidRDefault="007F1D8B" w:rsidP="007F1D8B">
      <w:pPr>
        <w:ind w:firstLine="720"/>
        <w:rPr>
          <w:sz w:val="24"/>
          <w:szCs w:val="24"/>
        </w:rPr>
      </w:pPr>
    </w:p>
    <w:p w:rsidR="007F1D8B" w:rsidRPr="00E741CB" w:rsidRDefault="007F1D8B" w:rsidP="007F1D8B">
      <w:pPr>
        <w:ind w:firstLine="720"/>
        <w:rPr>
          <w:sz w:val="24"/>
          <w:szCs w:val="24"/>
        </w:rPr>
      </w:pPr>
      <w:r w:rsidRPr="00E741CB">
        <w:rPr>
          <w:sz w:val="24"/>
          <w:szCs w:val="24"/>
        </w:rPr>
        <w:t xml:space="preserve">Accordingly, pursuant to Sections 4(i) and 303(r) of the Communications Act of 1934, as amended, 47 U.S.C. §§ 154(i) and 303(r), and Sections 1.925, 1.946(e), and 90.157, of the Commission’s rules, 47 C.F.R. §§ 1.925, 1.946(e), and 90.157, we GRANT, </w:t>
      </w:r>
      <w:r w:rsidRPr="00E741CB">
        <w:rPr>
          <w:i/>
          <w:sz w:val="24"/>
          <w:szCs w:val="24"/>
        </w:rPr>
        <w:t xml:space="preserve">nunc pro tunc, </w:t>
      </w:r>
      <w:r w:rsidRPr="00E741CB">
        <w:rPr>
          <w:sz w:val="24"/>
          <w:szCs w:val="24"/>
        </w:rPr>
        <w:t>to the extent indicated herein, the Request for Extension of Waiver of Section 90.157 of the Commission’s rules, filed by the Port Authority of New York and New Jersey.</w:t>
      </w:r>
    </w:p>
    <w:p w:rsidR="007F1D8B" w:rsidRPr="00E741CB" w:rsidRDefault="007F1D8B" w:rsidP="007F1D8B">
      <w:pPr>
        <w:ind w:firstLine="720"/>
        <w:rPr>
          <w:sz w:val="24"/>
          <w:szCs w:val="24"/>
        </w:rPr>
      </w:pPr>
    </w:p>
    <w:p w:rsidR="007F1D8B" w:rsidRPr="00E741CB" w:rsidRDefault="007F1D8B" w:rsidP="007F1D8B">
      <w:pPr>
        <w:ind w:firstLine="720"/>
        <w:rPr>
          <w:sz w:val="24"/>
          <w:szCs w:val="24"/>
        </w:rPr>
      </w:pPr>
      <w:r w:rsidRPr="00E741CB">
        <w:rPr>
          <w:sz w:val="24"/>
          <w:szCs w:val="24"/>
        </w:rPr>
        <w:t xml:space="preserve">We take this action under delegated authority pursuant to Sections 0.191 and 0.392 of the Commission’s rules, 47 C.F.R. §§ 0.191 and 0.392.  </w:t>
      </w:r>
    </w:p>
    <w:p w:rsidR="007F1D8B" w:rsidRPr="00E741CB" w:rsidRDefault="007F1D8B" w:rsidP="007F1D8B">
      <w:pPr>
        <w:rPr>
          <w:sz w:val="24"/>
          <w:szCs w:val="24"/>
        </w:rPr>
      </w:pPr>
    </w:p>
    <w:p w:rsidR="007F1D8B" w:rsidRPr="00E741CB" w:rsidRDefault="007F1D8B" w:rsidP="00E741CB">
      <w:pPr>
        <w:ind w:left="2880" w:firstLine="720"/>
        <w:rPr>
          <w:sz w:val="24"/>
          <w:szCs w:val="24"/>
        </w:rPr>
      </w:pPr>
      <w:r w:rsidRPr="00E741CB">
        <w:rPr>
          <w:sz w:val="24"/>
          <w:szCs w:val="24"/>
        </w:rPr>
        <w:t>Sincerely,</w:t>
      </w:r>
    </w:p>
    <w:p w:rsidR="007F1D8B" w:rsidRPr="00E741CB" w:rsidRDefault="007F1D8B" w:rsidP="007F1D8B">
      <w:pPr>
        <w:ind w:firstLine="720"/>
        <w:rPr>
          <w:sz w:val="24"/>
          <w:szCs w:val="24"/>
        </w:rPr>
      </w:pPr>
    </w:p>
    <w:p w:rsidR="007F1D8B" w:rsidRPr="00E741CB" w:rsidRDefault="007F1D8B" w:rsidP="007F1D8B">
      <w:pPr>
        <w:ind w:firstLine="720"/>
        <w:rPr>
          <w:sz w:val="24"/>
          <w:szCs w:val="24"/>
        </w:rPr>
      </w:pPr>
    </w:p>
    <w:p w:rsidR="007F1D8B" w:rsidRPr="00E741CB" w:rsidRDefault="007F1D8B" w:rsidP="007F1D8B">
      <w:pPr>
        <w:ind w:firstLine="720"/>
        <w:rPr>
          <w:sz w:val="24"/>
          <w:szCs w:val="24"/>
        </w:rPr>
      </w:pPr>
    </w:p>
    <w:p w:rsidR="007F1D8B" w:rsidRPr="00E741CB" w:rsidRDefault="007F1D8B" w:rsidP="00E741CB">
      <w:pPr>
        <w:ind w:left="2880" w:firstLine="720"/>
        <w:rPr>
          <w:sz w:val="24"/>
          <w:szCs w:val="24"/>
        </w:rPr>
      </w:pPr>
      <w:r w:rsidRPr="00E741CB">
        <w:rPr>
          <w:sz w:val="24"/>
          <w:szCs w:val="24"/>
        </w:rPr>
        <w:t>Thomas J. Beers</w:t>
      </w:r>
    </w:p>
    <w:p w:rsidR="007F1D8B" w:rsidRPr="00E741CB" w:rsidRDefault="00E741CB" w:rsidP="007F1D8B">
      <w:pPr>
        <w:ind w:firstLine="720"/>
        <w:rPr>
          <w:sz w:val="24"/>
          <w:szCs w:val="24"/>
        </w:rPr>
      </w:pPr>
      <w:r>
        <w:rPr>
          <w:sz w:val="24"/>
          <w:szCs w:val="24"/>
        </w:rPr>
        <w:tab/>
      </w:r>
      <w:r>
        <w:rPr>
          <w:sz w:val="24"/>
          <w:szCs w:val="24"/>
        </w:rPr>
        <w:tab/>
      </w:r>
      <w:r>
        <w:rPr>
          <w:sz w:val="24"/>
          <w:szCs w:val="24"/>
        </w:rPr>
        <w:tab/>
      </w:r>
      <w:r>
        <w:rPr>
          <w:sz w:val="24"/>
          <w:szCs w:val="24"/>
        </w:rPr>
        <w:tab/>
      </w:r>
      <w:r w:rsidR="007F1D8B" w:rsidRPr="00E741CB">
        <w:rPr>
          <w:sz w:val="24"/>
          <w:szCs w:val="24"/>
        </w:rPr>
        <w:t>Chief, Policy and Licensing Division</w:t>
      </w:r>
    </w:p>
    <w:p w:rsidR="00D210DA" w:rsidRPr="00E741CB" w:rsidRDefault="007F1D8B" w:rsidP="00E741CB">
      <w:pPr>
        <w:ind w:left="2880" w:firstLine="720"/>
        <w:rPr>
          <w:sz w:val="24"/>
          <w:szCs w:val="24"/>
          <w:lang w:eastAsia="en-US"/>
        </w:rPr>
      </w:pPr>
      <w:r w:rsidRPr="00E741CB">
        <w:rPr>
          <w:sz w:val="24"/>
          <w:szCs w:val="24"/>
        </w:rPr>
        <w:t>Public Safety and Homeland Security Bureau</w:t>
      </w:r>
    </w:p>
    <w:p w:rsidR="00D210DA" w:rsidRPr="00E741CB" w:rsidRDefault="00D210DA" w:rsidP="00D210DA">
      <w:pPr>
        <w:rPr>
          <w:sz w:val="24"/>
          <w:szCs w:val="24"/>
          <w:lang w:eastAsia="en-US"/>
        </w:rPr>
      </w:pPr>
    </w:p>
    <w:p w:rsidR="00D210DA" w:rsidRPr="00E741CB" w:rsidRDefault="00D210DA" w:rsidP="00D210DA">
      <w:pPr>
        <w:rPr>
          <w:sz w:val="24"/>
          <w:szCs w:val="24"/>
          <w:lang w:eastAsia="en-US"/>
        </w:rPr>
      </w:pPr>
    </w:p>
    <w:p w:rsidR="00D210DA" w:rsidRPr="00E741CB" w:rsidRDefault="00D210DA" w:rsidP="00D210DA">
      <w:pPr>
        <w:rPr>
          <w:sz w:val="24"/>
          <w:szCs w:val="24"/>
          <w:lang w:eastAsia="en-US"/>
        </w:rPr>
      </w:pPr>
    </w:p>
    <w:p w:rsidR="00D210DA" w:rsidRPr="00E741CB" w:rsidRDefault="00D210DA" w:rsidP="00D210DA">
      <w:pPr>
        <w:pStyle w:val="Heading1"/>
        <w:tabs>
          <w:tab w:val="left" w:pos="8130"/>
        </w:tabs>
        <w:jc w:val="left"/>
        <w:rPr>
          <w:szCs w:val="24"/>
        </w:rPr>
      </w:pPr>
      <w:r w:rsidRPr="00E741CB">
        <w:rPr>
          <w:szCs w:val="24"/>
        </w:rPr>
        <w:tab/>
      </w:r>
    </w:p>
    <w:p w:rsidR="00E741CB" w:rsidRDefault="007F1D8B" w:rsidP="007F1D8B">
      <w:pPr>
        <w:pStyle w:val="Heading1"/>
        <w:jc w:val="center"/>
        <w:rPr>
          <w:szCs w:val="24"/>
        </w:rPr>
      </w:pPr>
      <w:r w:rsidRPr="00E741CB">
        <w:rPr>
          <w:szCs w:val="24"/>
        </w:rPr>
        <w:br w:type="page"/>
      </w:r>
    </w:p>
    <w:p w:rsidR="00E741CB" w:rsidRDefault="00E741CB" w:rsidP="007F1D8B">
      <w:pPr>
        <w:pStyle w:val="Heading1"/>
        <w:jc w:val="center"/>
        <w:rPr>
          <w:szCs w:val="24"/>
        </w:rPr>
      </w:pPr>
    </w:p>
    <w:p w:rsidR="007F1D8B" w:rsidRPr="00E741CB" w:rsidRDefault="007F1D8B" w:rsidP="007F1D8B">
      <w:pPr>
        <w:pStyle w:val="Heading1"/>
        <w:jc w:val="center"/>
        <w:rPr>
          <w:szCs w:val="24"/>
        </w:rPr>
      </w:pPr>
      <w:r w:rsidRPr="00E741CB">
        <w:rPr>
          <w:szCs w:val="24"/>
        </w:rPr>
        <w:t>ATTACHMENT</w:t>
      </w:r>
    </w:p>
    <w:p w:rsidR="007F1D8B" w:rsidRPr="00E741CB" w:rsidRDefault="007F1D8B" w:rsidP="007F1D8B">
      <w:pPr>
        <w:pStyle w:val="Heading1"/>
        <w:rPr>
          <w:szCs w:val="24"/>
        </w:rPr>
      </w:pPr>
      <w:r w:rsidRPr="00E741CB">
        <w:rPr>
          <w:szCs w:val="24"/>
        </w:rPr>
        <w:t>Table 1: Tabulation of Affected Radio Stations Authorized Under FCC Part 90</w:t>
      </w:r>
    </w:p>
    <w:p w:rsidR="007F1D8B" w:rsidRPr="00E741CB" w:rsidRDefault="007F1D8B" w:rsidP="007F1D8B">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466"/>
        <w:gridCol w:w="1455"/>
        <w:gridCol w:w="1459"/>
        <w:gridCol w:w="1763"/>
        <w:gridCol w:w="1466"/>
      </w:tblGrid>
      <w:tr w:rsidR="007F1D8B" w:rsidRPr="00E741CB" w:rsidTr="00E108E8">
        <w:trPr>
          <w:jc w:val="center"/>
        </w:trPr>
        <w:tc>
          <w:tcPr>
            <w:tcW w:w="1505" w:type="dxa"/>
            <w:shd w:val="clear" w:color="auto" w:fill="auto"/>
            <w:vAlign w:val="bottom"/>
          </w:tcPr>
          <w:p w:rsidR="007F1D8B" w:rsidRPr="00E741CB" w:rsidRDefault="007F1D8B" w:rsidP="00E108E8">
            <w:pPr>
              <w:jc w:val="center"/>
              <w:rPr>
                <w:rFonts w:ascii="Arial" w:hAnsi="Arial" w:cs="Arial"/>
                <w:b/>
                <w:bCs/>
                <w:sz w:val="24"/>
                <w:szCs w:val="24"/>
              </w:rPr>
            </w:pPr>
            <w:r w:rsidRPr="00E741CB">
              <w:rPr>
                <w:rFonts w:ascii="Arial" w:hAnsi="Arial" w:cs="Arial"/>
                <w:b/>
                <w:bCs/>
                <w:sz w:val="24"/>
                <w:szCs w:val="24"/>
              </w:rPr>
              <w:t>Radio Authorization Call Sign</w:t>
            </w:r>
          </w:p>
        </w:tc>
        <w:tc>
          <w:tcPr>
            <w:tcW w:w="1466" w:type="dxa"/>
            <w:shd w:val="clear" w:color="auto" w:fill="auto"/>
            <w:vAlign w:val="bottom"/>
          </w:tcPr>
          <w:p w:rsidR="007F1D8B" w:rsidRPr="00E741CB" w:rsidRDefault="007F1D8B" w:rsidP="00E108E8">
            <w:pPr>
              <w:jc w:val="center"/>
              <w:rPr>
                <w:rFonts w:ascii="Arial" w:hAnsi="Arial" w:cs="Arial"/>
                <w:b/>
                <w:bCs/>
                <w:sz w:val="24"/>
                <w:szCs w:val="24"/>
              </w:rPr>
            </w:pPr>
            <w:r w:rsidRPr="00E741CB">
              <w:rPr>
                <w:rFonts w:ascii="Arial" w:hAnsi="Arial" w:cs="Arial"/>
                <w:b/>
                <w:bCs/>
                <w:sz w:val="24"/>
                <w:szCs w:val="24"/>
              </w:rPr>
              <w:t>Expiration Date</w:t>
            </w:r>
          </w:p>
        </w:tc>
        <w:tc>
          <w:tcPr>
            <w:tcW w:w="1455" w:type="dxa"/>
            <w:shd w:val="clear" w:color="auto" w:fill="auto"/>
            <w:vAlign w:val="bottom"/>
          </w:tcPr>
          <w:p w:rsidR="007F1D8B" w:rsidRPr="00E741CB" w:rsidRDefault="007F1D8B" w:rsidP="00E108E8">
            <w:pPr>
              <w:jc w:val="center"/>
              <w:rPr>
                <w:rFonts w:ascii="Arial" w:hAnsi="Arial" w:cs="Arial"/>
                <w:b/>
                <w:bCs/>
                <w:sz w:val="24"/>
                <w:szCs w:val="24"/>
              </w:rPr>
            </w:pPr>
            <w:r w:rsidRPr="00E741CB">
              <w:rPr>
                <w:rFonts w:ascii="Arial" w:hAnsi="Arial" w:cs="Arial"/>
                <w:b/>
                <w:bCs/>
                <w:sz w:val="24"/>
                <w:szCs w:val="24"/>
              </w:rPr>
              <w:t>Radio Service Code</w:t>
            </w:r>
          </w:p>
        </w:tc>
        <w:tc>
          <w:tcPr>
            <w:tcW w:w="1459" w:type="dxa"/>
            <w:shd w:val="clear" w:color="auto" w:fill="auto"/>
            <w:vAlign w:val="bottom"/>
          </w:tcPr>
          <w:p w:rsidR="007F1D8B" w:rsidRPr="00E741CB" w:rsidRDefault="007F1D8B" w:rsidP="00E108E8">
            <w:pPr>
              <w:jc w:val="center"/>
              <w:rPr>
                <w:rFonts w:ascii="Arial" w:hAnsi="Arial" w:cs="Arial"/>
                <w:b/>
                <w:bCs/>
                <w:sz w:val="24"/>
                <w:szCs w:val="24"/>
              </w:rPr>
            </w:pPr>
            <w:r w:rsidRPr="00E741CB">
              <w:rPr>
                <w:rFonts w:ascii="Arial" w:hAnsi="Arial" w:cs="Arial"/>
                <w:b/>
                <w:bCs/>
                <w:sz w:val="24"/>
                <w:szCs w:val="24"/>
              </w:rPr>
              <w:t>Affected Location Number</w:t>
            </w:r>
          </w:p>
        </w:tc>
        <w:tc>
          <w:tcPr>
            <w:tcW w:w="1505" w:type="dxa"/>
            <w:shd w:val="clear" w:color="auto" w:fill="auto"/>
            <w:vAlign w:val="bottom"/>
          </w:tcPr>
          <w:p w:rsidR="007F1D8B" w:rsidRPr="00E741CB" w:rsidRDefault="007F1D8B" w:rsidP="00E108E8">
            <w:pPr>
              <w:jc w:val="center"/>
              <w:rPr>
                <w:rFonts w:ascii="Arial" w:hAnsi="Arial" w:cs="Arial"/>
                <w:b/>
                <w:bCs/>
                <w:sz w:val="24"/>
                <w:szCs w:val="24"/>
              </w:rPr>
            </w:pPr>
            <w:r w:rsidRPr="00E741CB">
              <w:rPr>
                <w:rFonts w:ascii="Arial" w:hAnsi="Arial" w:cs="Arial"/>
                <w:b/>
                <w:bCs/>
                <w:sz w:val="24"/>
                <w:szCs w:val="24"/>
              </w:rPr>
              <w:t>Geographic Coordinates N.Lat/W.Long (NAD83)</w:t>
            </w:r>
          </w:p>
        </w:tc>
        <w:tc>
          <w:tcPr>
            <w:tcW w:w="1466" w:type="dxa"/>
            <w:shd w:val="clear" w:color="auto" w:fill="auto"/>
            <w:vAlign w:val="bottom"/>
          </w:tcPr>
          <w:p w:rsidR="007F1D8B" w:rsidRPr="00E741CB" w:rsidRDefault="007F1D8B" w:rsidP="00E108E8">
            <w:pPr>
              <w:jc w:val="center"/>
              <w:rPr>
                <w:rFonts w:ascii="Arial" w:hAnsi="Arial" w:cs="Arial"/>
                <w:b/>
                <w:bCs/>
                <w:sz w:val="24"/>
                <w:szCs w:val="24"/>
              </w:rPr>
            </w:pPr>
            <w:r w:rsidRPr="00E741CB">
              <w:rPr>
                <w:rFonts w:ascii="Arial" w:hAnsi="Arial" w:cs="Arial"/>
                <w:b/>
                <w:bCs/>
                <w:sz w:val="24"/>
                <w:szCs w:val="24"/>
              </w:rPr>
              <w:t>Frequency (MHz)</w:t>
            </w:r>
          </w:p>
        </w:tc>
      </w:tr>
      <w:tr w:rsidR="007F1D8B" w:rsidRPr="00E741CB" w:rsidTr="00E108E8">
        <w:trPr>
          <w:jc w:val="center"/>
        </w:trPr>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KGU999</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1/14/2012</w:t>
            </w:r>
          </w:p>
        </w:tc>
        <w:tc>
          <w:tcPr>
            <w:tcW w:w="145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PW</w:t>
            </w:r>
          </w:p>
        </w:tc>
        <w:tc>
          <w:tcPr>
            <w:tcW w:w="1459"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w:t>
            </w:r>
          </w:p>
        </w:tc>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40-42-43.4</w:t>
            </w:r>
          </w:p>
          <w:p w:rsidR="007F1D8B" w:rsidRPr="00E741CB" w:rsidRDefault="007F1D8B" w:rsidP="00E108E8">
            <w:pPr>
              <w:jc w:val="center"/>
              <w:rPr>
                <w:rFonts w:ascii="Arial" w:hAnsi="Arial" w:cs="Arial"/>
                <w:sz w:val="24"/>
                <w:szCs w:val="24"/>
              </w:rPr>
            </w:pPr>
            <w:r w:rsidRPr="00E741CB">
              <w:rPr>
                <w:rFonts w:ascii="Arial" w:hAnsi="Arial" w:cs="Arial"/>
                <w:sz w:val="24"/>
                <w:szCs w:val="24"/>
              </w:rPr>
              <w:t>074-00-47.5</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150.99500</w:t>
            </w:r>
          </w:p>
        </w:tc>
      </w:tr>
      <w:tr w:rsidR="007F1D8B" w:rsidRPr="00E741CB" w:rsidTr="00E108E8">
        <w:trPr>
          <w:jc w:val="center"/>
        </w:trPr>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KGU998</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1/14/2012</w:t>
            </w:r>
          </w:p>
        </w:tc>
        <w:tc>
          <w:tcPr>
            <w:tcW w:w="145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PW</w:t>
            </w:r>
          </w:p>
        </w:tc>
        <w:tc>
          <w:tcPr>
            <w:tcW w:w="1459"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w:t>
            </w:r>
          </w:p>
        </w:tc>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40-42-43.4</w:t>
            </w:r>
          </w:p>
          <w:p w:rsidR="007F1D8B" w:rsidRPr="00E741CB" w:rsidRDefault="007F1D8B" w:rsidP="00E108E8">
            <w:pPr>
              <w:jc w:val="center"/>
              <w:rPr>
                <w:rFonts w:ascii="Arial" w:hAnsi="Arial" w:cs="Arial"/>
                <w:sz w:val="24"/>
                <w:szCs w:val="24"/>
              </w:rPr>
            </w:pPr>
            <w:r w:rsidRPr="00E741CB">
              <w:rPr>
                <w:rFonts w:ascii="Arial" w:hAnsi="Arial" w:cs="Arial"/>
                <w:sz w:val="24"/>
                <w:szCs w:val="24"/>
              </w:rPr>
              <w:t>074-00-47.5</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151.11500</w:t>
            </w:r>
          </w:p>
        </w:tc>
      </w:tr>
      <w:tr w:rsidR="007F1D8B" w:rsidRPr="00E741CB" w:rsidTr="00E108E8">
        <w:trPr>
          <w:jc w:val="center"/>
        </w:trPr>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KVN780</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10/23/2014</w:t>
            </w:r>
          </w:p>
        </w:tc>
        <w:tc>
          <w:tcPr>
            <w:tcW w:w="145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PW</w:t>
            </w:r>
          </w:p>
        </w:tc>
        <w:tc>
          <w:tcPr>
            <w:tcW w:w="1459"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2</w:t>
            </w:r>
          </w:p>
        </w:tc>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40-42-39.4</w:t>
            </w:r>
          </w:p>
          <w:p w:rsidR="007F1D8B" w:rsidRPr="00E741CB" w:rsidRDefault="007F1D8B" w:rsidP="00E108E8">
            <w:pPr>
              <w:jc w:val="center"/>
              <w:rPr>
                <w:rFonts w:ascii="Arial" w:hAnsi="Arial" w:cs="Arial"/>
                <w:sz w:val="24"/>
                <w:szCs w:val="24"/>
              </w:rPr>
            </w:pPr>
            <w:r w:rsidRPr="00E741CB">
              <w:rPr>
                <w:rFonts w:ascii="Arial" w:hAnsi="Arial" w:cs="Arial"/>
                <w:sz w:val="24"/>
                <w:szCs w:val="24"/>
              </w:rPr>
              <w:t>074-00-43.5</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470.56250</w:t>
            </w:r>
          </w:p>
          <w:p w:rsidR="007F1D8B" w:rsidRPr="00E741CB" w:rsidRDefault="007F1D8B" w:rsidP="00E108E8">
            <w:pPr>
              <w:jc w:val="center"/>
              <w:rPr>
                <w:rFonts w:ascii="Arial" w:hAnsi="Arial" w:cs="Arial"/>
                <w:sz w:val="24"/>
                <w:szCs w:val="24"/>
              </w:rPr>
            </w:pPr>
            <w:r w:rsidRPr="00E741CB">
              <w:rPr>
                <w:rFonts w:ascii="Arial" w:hAnsi="Arial" w:cs="Arial"/>
                <w:sz w:val="24"/>
                <w:szCs w:val="24"/>
              </w:rPr>
              <w:t>470.58750</w:t>
            </w:r>
          </w:p>
        </w:tc>
      </w:tr>
      <w:tr w:rsidR="007F1D8B" w:rsidRPr="00E741CB" w:rsidTr="00E108E8">
        <w:trPr>
          <w:jc w:val="center"/>
        </w:trPr>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KVN779</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10/23/2014</w:t>
            </w:r>
          </w:p>
        </w:tc>
        <w:tc>
          <w:tcPr>
            <w:tcW w:w="145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PW</w:t>
            </w:r>
          </w:p>
        </w:tc>
        <w:tc>
          <w:tcPr>
            <w:tcW w:w="1459"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w:t>
            </w:r>
          </w:p>
        </w:tc>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40-42-39.4</w:t>
            </w:r>
          </w:p>
          <w:p w:rsidR="007F1D8B" w:rsidRPr="00E741CB" w:rsidRDefault="007F1D8B" w:rsidP="00E108E8">
            <w:pPr>
              <w:jc w:val="center"/>
              <w:rPr>
                <w:rFonts w:ascii="Arial" w:hAnsi="Arial" w:cs="Arial"/>
                <w:sz w:val="24"/>
                <w:szCs w:val="24"/>
              </w:rPr>
            </w:pPr>
            <w:r w:rsidRPr="00E741CB">
              <w:rPr>
                <w:rFonts w:ascii="Arial" w:hAnsi="Arial" w:cs="Arial"/>
                <w:sz w:val="24"/>
                <w:szCs w:val="24"/>
              </w:rPr>
              <w:t>074-00-43.5</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470.61250</w:t>
            </w:r>
          </w:p>
        </w:tc>
      </w:tr>
      <w:tr w:rsidR="007F1D8B" w:rsidRPr="00E741CB" w:rsidTr="00E108E8">
        <w:trPr>
          <w:jc w:val="center"/>
        </w:trPr>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WPDU923</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11/18/2013</w:t>
            </w:r>
          </w:p>
        </w:tc>
        <w:tc>
          <w:tcPr>
            <w:tcW w:w="145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PW</w:t>
            </w:r>
          </w:p>
        </w:tc>
        <w:tc>
          <w:tcPr>
            <w:tcW w:w="1459"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1</w:t>
            </w:r>
          </w:p>
        </w:tc>
        <w:tc>
          <w:tcPr>
            <w:tcW w:w="1505"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40-42-41.4</w:t>
            </w:r>
          </w:p>
          <w:p w:rsidR="007F1D8B" w:rsidRPr="00E741CB" w:rsidRDefault="007F1D8B" w:rsidP="00E108E8">
            <w:pPr>
              <w:jc w:val="center"/>
              <w:rPr>
                <w:rFonts w:ascii="Arial" w:hAnsi="Arial" w:cs="Arial"/>
                <w:sz w:val="24"/>
                <w:szCs w:val="24"/>
              </w:rPr>
            </w:pPr>
            <w:r w:rsidRPr="00E741CB">
              <w:rPr>
                <w:rFonts w:ascii="Arial" w:hAnsi="Arial" w:cs="Arial"/>
                <w:sz w:val="24"/>
                <w:szCs w:val="24"/>
              </w:rPr>
              <w:t>074-00-43.5</w:t>
            </w:r>
          </w:p>
        </w:tc>
        <w:tc>
          <w:tcPr>
            <w:tcW w:w="1466" w:type="dxa"/>
            <w:vAlign w:val="bottom"/>
          </w:tcPr>
          <w:p w:rsidR="007F1D8B" w:rsidRPr="00E741CB" w:rsidRDefault="007F1D8B" w:rsidP="00E108E8">
            <w:pPr>
              <w:jc w:val="center"/>
              <w:rPr>
                <w:rFonts w:ascii="Arial" w:hAnsi="Arial" w:cs="Arial"/>
                <w:sz w:val="24"/>
                <w:szCs w:val="24"/>
              </w:rPr>
            </w:pPr>
            <w:r w:rsidRPr="00E741CB">
              <w:rPr>
                <w:rFonts w:ascii="Arial" w:hAnsi="Arial" w:cs="Arial"/>
                <w:sz w:val="24"/>
                <w:szCs w:val="24"/>
              </w:rPr>
              <w:t>453.65000</w:t>
            </w:r>
          </w:p>
        </w:tc>
      </w:tr>
    </w:tbl>
    <w:p w:rsidR="007F1D8B" w:rsidRPr="00E741CB" w:rsidRDefault="007F1D8B" w:rsidP="007F1D8B">
      <w:pPr>
        <w:rPr>
          <w:sz w:val="24"/>
          <w:szCs w:val="24"/>
        </w:rPr>
      </w:pPr>
    </w:p>
    <w:p w:rsidR="007F1D8B" w:rsidRPr="00E741CB" w:rsidRDefault="007F1D8B" w:rsidP="007F1D8B">
      <w:pPr>
        <w:pStyle w:val="BodyText"/>
        <w:rPr>
          <w:sz w:val="24"/>
          <w:szCs w:val="24"/>
        </w:rPr>
      </w:pPr>
    </w:p>
    <w:p w:rsidR="007F1D8B" w:rsidRPr="00E741CB" w:rsidRDefault="007F1D8B" w:rsidP="007F1D8B">
      <w:pPr>
        <w:rPr>
          <w:sz w:val="24"/>
          <w:szCs w:val="24"/>
        </w:rPr>
      </w:pPr>
    </w:p>
    <w:p w:rsidR="00204CE3" w:rsidRPr="00E741CB" w:rsidRDefault="00204CE3">
      <w:pPr>
        <w:rPr>
          <w:sz w:val="24"/>
          <w:szCs w:val="24"/>
        </w:rPr>
      </w:pPr>
    </w:p>
    <w:sectPr w:rsidR="00204CE3" w:rsidRPr="00E741C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20" w:rsidRDefault="00025320">
      <w:r>
        <w:separator/>
      </w:r>
    </w:p>
  </w:endnote>
  <w:endnote w:type="continuationSeparator" w:id="0">
    <w:p w:rsidR="00025320" w:rsidRDefault="0002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1" w:rsidRDefault="00525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1" w:rsidRDefault="00525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AC" w:rsidRDefault="00FA60AC" w:rsidP="00FA60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20" w:rsidRDefault="00025320">
      <w:r>
        <w:separator/>
      </w:r>
    </w:p>
  </w:footnote>
  <w:footnote w:type="continuationSeparator" w:id="0">
    <w:p w:rsidR="00025320" w:rsidRDefault="00025320">
      <w:r>
        <w:continuationSeparator/>
      </w:r>
    </w:p>
  </w:footnote>
  <w:footnote w:id="1">
    <w:p w:rsidR="007F1D8B" w:rsidRDefault="007F1D8B" w:rsidP="007F1D8B">
      <w:pPr>
        <w:pStyle w:val="FootnoteText"/>
        <w:jc w:val="left"/>
      </w:pPr>
      <w:r>
        <w:rPr>
          <w:rStyle w:val="FootnoteReference"/>
        </w:rPr>
        <w:footnoteRef/>
      </w:r>
      <w:r>
        <w:t xml:space="preserve"> Request for Extension of Waiver of Sections 90.157 of the Commssion’s [sic] Rules (dated </w:t>
      </w:r>
      <w:r w:rsidR="00887A3F">
        <w:t>Sept. 8</w:t>
      </w:r>
      <w:r>
        <w:t>, 201</w:t>
      </w:r>
      <w:r w:rsidR="00887A3F">
        <w:t>4</w:t>
      </w:r>
      <w:r>
        <w:t>) (Waiver Request).</w:t>
      </w:r>
    </w:p>
  </w:footnote>
  <w:footnote w:id="2">
    <w:p w:rsidR="007F1D8B" w:rsidRDefault="007F1D8B" w:rsidP="007F1D8B">
      <w:pPr>
        <w:pStyle w:val="FootnoteText"/>
        <w:jc w:val="left"/>
        <w:rPr>
          <w:i/>
        </w:rPr>
      </w:pPr>
      <w:r>
        <w:rPr>
          <w:rStyle w:val="FootnoteReference"/>
        </w:rPr>
        <w:footnoteRef/>
      </w:r>
      <w:r>
        <w:t xml:space="preserve"> 47 C.F.R. §§ 90.157, 101.65(b).  Pursuant to Sections 90.157, any station which has not been operated for one year or more is considered to have been permanently discontinued and is therefore subject to cancellation.  </w:t>
      </w:r>
      <w:r>
        <w:rPr>
          <w:i/>
        </w:rPr>
        <w:t>Id.</w:t>
      </w:r>
    </w:p>
  </w:footnote>
  <w:footnote w:id="3">
    <w:p w:rsidR="007F1D8B" w:rsidRPr="00A02A62" w:rsidRDefault="007F1D8B" w:rsidP="007F1D8B">
      <w:pPr>
        <w:spacing w:after="120"/>
      </w:pPr>
      <w:r>
        <w:rPr>
          <w:rStyle w:val="FootnoteReference"/>
        </w:rPr>
        <w:footnoteRef/>
      </w:r>
      <w:r>
        <w:t xml:space="preserve"> </w:t>
      </w:r>
      <w:r w:rsidRPr="002B2377">
        <w:t xml:space="preserve">In </w:t>
      </w:r>
      <w:r w:rsidR="005367AD" w:rsidRPr="002B2377">
        <w:t>eleven</w:t>
      </w:r>
      <w:r w:rsidRPr="002B2377">
        <w:t xml:space="preserve"> prior instances, the former Public Safety and Private Wireless Division of the Wireless Telecommunications Bureau, the former Public Safety and Critical Infrastructure Division of the Wireless Telecommunications Bureau, the Policy Division of the Public Safety Homeland Security Bureau or the Policy and Licensing Division of the Public Safety Homeland Security Bureau (collectively, Division) granted similar Port Authority requests for waiver.  </w:t>
      </w:r>
      <w:r w:rsidRPr="002B2377">
        <w:rPr>
          <w:i/>
        </w:rPr>
        <w:t xml:space="preserve">See </w:t>
      </w:r>
      <w:r w:rsidRPr="002B2377">
        <w:t xml:space="preserve">Port Authority of New York and New Jersey, </w:t>
      </w:r>
      <w:r w:rsidRPr="002B2377">
        <w:rPr>
          <w:i/>
        </w:rPr>
        <w:t>Order</w:t>
      </w:r>
      <w:r w:rsidRPr="002B2377">
        <w:t>, 17 FCC Rcd 16784 (WTB PSPWD 2002) (</w:t>
      </w:r>
      <w:r w:rsidRPr="002B2377">
        <w:rPr>
          <w:i/>
        </w:rPr>
        <w:t>2002 Order</w:t>
      </w:r>
      <w:r w:rsidRPr="002B2377">
        <w:t xml:space="preserve">); Port Authority of New York and New Jersey, </w:t>
      </w:r>
      <w:r w:rsidRPr="002B2377">
        <w:rPr>
          <w:i/>
        </w:rPr>
        <w:t>Order</w:t>
      </w:r>
      <w:r w:rsidRPr="002B2377">
        <w:t xml:space="preserve">, 18 FCC Rcd 19243 (WTB PSPWD 2003); Letter dated Nov. 10, 2004 from Michael J. Wilhelm, Chief, Public Safety and Critical Infrastructure Division, to Jeffrey S. Green, General Counsel, Port Authority of New York and New Jersey; Letter dated Aug. 10, 2006 from Michael J. Wilhelm, Chief, Public Safety and Critical Infrastructure Division, to Darrell Buchbinder, General Counsel, Port Authority of New York and New Jersey; Port Authority of New York and New Jersey, </w:t>
      </w:r>
      <w:r w:rsidRPr="002B2377">
        <w:rPr>
          <w:i/>
        </w:rPr>
        <w:t>Letter Order</w:t>
      </w:r>
      <w:r w:rsidRPr="002B2377">
        <w:t xml:space="preserve">, 23 FCC Rcd 1753 (PSHSB PD 2008); Port Authority of New York and New Jersey, </w:t>
      </w:r>
      <w:r w:rsidRPr="002B2377">
        <w:rPr>
          <w:i/>
        </w:rPr>
        <w:t>Letter Order</w:t>
      </w:r>
      <w:r w:rsidRPr="002B2377">
        <w:t xml:space="preserve">, 23 FCC Rcd 16622 (PSHSB PD 2008); Port Authority of New York and New Jersey, </w:t>
      </w:r>
      <w:r w:rsidRPr="002B2377">
        <w:rPr>
          <w:i/>
        </w:rPr>
        <w:t>Letter Order</w:t>
      </w:r>
      <w:r w:rsidRPr="002B2377">
        <w:t xml:space="preserve">, </w:t>
      </w:r>
      <w:r w:rsidRPr="002B2377">
        <w:rPr>
          <w:color w:val="000000"/>
        </w:rPr>
        <w:t>24 FCC Rcd 14426</w:t>
      </w:r>
      <w:r w:rsidRPr="002B2377">
        <w:t xml:space="preserve"> (PSHSB PD 2009); Port Authority of New York and New Jersey, </w:t>
      </w:r>
      <w:r w:rsidRPr="002B2377">
        <w:rPr>
          <w:i/>
        </w:rPr>
        <w:t>Letter Order</w:t>
      </w:r>
      <w:r w:rsidRPr="002B2377">
        <w:t xml:space="preserve">, </w:t>
      </w:r>
      <w:r w:rsidRPr="002B2377">
        <w:rPr>
          <w:color w:val="000000"/>
        </w:rPr>
        <w:t>25 FCC Rcd 17555</w:t>
      </w:r>
      <w:r w:rsidRPr="002B2377">
        <w:t xml:space="preserve"> (PSHSB PD 10) (Letter dated Nov. 16, 2011, from Thomas J. Beers, Chief, Policy and Licensing Division, to Darrell Buchbinder, General Counsel, Port Authority of New York and New Jersey); Letter dated September 7, 2012, from Thomas J. Beers, Chief, Policy and Licensing Division, to Darrell Buchbinder, General Counsel, Port Authority of New York and New Jersey (</w:t>
      </w:r>
      <w:r w:rsidRPr="002B2377">
        <w:rPr>
          <w:i/>
        </w:rPr>
        <w:t>2012 Letter</w:t>
      </w:r>
      <w:r w:rsidR="00A9495E" w:rsidRPr="002B2377">
        <w:t>); Letter dated October 29, 2013, from Thomas J. Beers, Chief, Policy and Licensing Division, to Darrell Buchbinder, General Counsel, Port Authority of New York and New Jersey (</w:t>
      </w:r>
      <w:r w:rsidR="00A9495E" w:rsidRPr="002B2377">
        <w:rPr>
          <w:i/>
        </w:rPr>
        <w:t>2013 Letter</w:t>
      </w:r>
      <w:r w:rsidR="00A9495E" w:rsidRPr="002B2377">
        <w:t xml:space="preserve">).  </w:t>
      </w:r>
      <w:r w:rsidRPr="002B2377">
        <w:t xml:space="preserve">  In</w:t>
      </w:r>
      <w:r>
        <w:t xml:space="preserve"> </w:t>
      </w:r>
      <w:r w:rsidRPr="00A02A62">
        <w:t>each instance, the Division granted the Port Authority an additional one-year period to complete construction of its World Trade Center Stations.</w:t>
      </w:r>
      <w:r w:rsidRPr="00A02A62">
        <w:rPr>
          <w:i/>
        </w:rPr>
        <w:t xml:space="preserve">  </w:t>
      </w:r>
    </w:p>
  </w:footnote>
  <w:footnote w:id="4">
    <w:p w:rsidR="007F1D8B" w:rsidRPr="00A02A62" w:rsidRDefault="007F1D8B" w:rsidP="007F1D8B">
      <w:pPr>
        <w:pStyle w:val="FootnoteText"/>
        <w:jc w:val="left"/>
      </w:pPr>
      <w:r w:rsidRPr="00A02A62">
        <w:rPr>
          <w:rStyle w:val="FootnoteReference"/>
        </w:rPr>
        <w:footnoteRef/>
      </w:r>
      <w:r w:rsidRPr="00A02A62">
        <w:t xml:space="preserve"> The grant of this Waiver Request does not relieve the Port Authority from applying for a renewal of license for any World Trade Center Station listed in the attachment prior to the expiration date of the license.  </w:t>
      </w:r>
      <w:r w:rsidRPr="00A02A62">
        <w:rPr>
          <w:i/>
        </w:rPr>
        <w:t xml:space="preserve">See </w:t>
      </w:r>
      <w:r w:rsidRPr="00A02A62">
        <w:t xml:space="preserve">47 C.F.R.            § 1.949(a).  Moreover, any renewal application submitted for a World Trade Center Station subject to grant of this Waiver Request will be held in pending status until the extended construction period granted herein is expired.  </w:t>
      </w:r>
      <w:r w:rsidRPr="00A02A62">
        <w:rPr>
          <w:i/>
        </w:rPr>
        <w:t xml:space="preserve">See </w:t>
      </w:r>
      <w:r w:rsidRPr="00A02A62">
        <w:t>County of Beaver</w:t>
      </w:r>
      <w:r w:rsidRPr="00A02A62">
        <w:rPr>
          <w:i/>
        </w:rPr>
        <w:t xml:space="preserve">, Memorandum Opinion and Order, </w:t>
      </w:r>
      <w:r w:rsidRPr="00A02A62">
        <w:t>18 FCC Rcd 18754, 18758 ¶ 13 (WTB PSPWD 2003) (renewal application for unconstructed station held in pending status until the extended construction period grant is expired).</w:t>
      </w:r>
    </w:p>
  </w:footnote>
  <w:footnote w:id="5">
    <w:p w:rsidR="007F1D8B" w:rsidRPr="00A02A62" w:rsidRDefault="007F1D8B" w:rsidP="007F1D8B">
      <w:pPr>
        <w:pStyle w:val="FootnoteText"/>
      </w:pPr>
      <w:r w:rsidRPr="00A02A62">
        <w:rPr>
          <w:rStyle w:val="FootnoteReference"/>
        </w:rPr>
        <w:footnoteRef/>
      </w:r>
      <w:r w:rsidRPr="00A02A62">
        <w:t xml:space="preserve"> </w:t>
      </w:r>
      <w:r w:rsidRPr="00A02A62">
        <w:rPr>
          <w:i/>
        </w:rPr>
        <w:t xml:space="preserve">See </w:t>
      </w:r>
      <w:r w:rsidRPr="00A02A62">
        <w:t>47 C.F.R. § 1.925(b)(3)(ii).</w:t>
      </w:r>
    </w:p>
  </w:footnote>
  <w:footnote w:id="6">
    <w:p w:rsidR="007F1D8B" w:rsidRPr="00A02A62" w:rsidRDefault="007F1D8B" w:rsidP="007F1D8B">
      <w:pPr>
        <w:pStyle w:val="FootnoteText"/>
        <w:rPr>
          <w:i/>
        </w:rPr>
      </w:pPr>
      <w:r w:rsidRPr="00A02A62">
        <w:rPr>
          <w:rStyle w:val="FootnoteReference"/>
        </w:rPr>
        <w:footnoteRef/>
      </w:r>
      <w:r w:rsidRPr="00A02A62">
        <w:t xml:space="preserve"> </w:t>
      </w:r>
      <w:r w:rsidRPr="00A02A62">
        <w:rPr>
          <w:i/>
        </w:rPr>
        <w:t>Id.</w:t>
      </w:r>
    </w:p>
  </w:footnote>
  <w:footnote w:id="7">
    <w:p w:rsidR="007F1D8B" w:rsidRPr="00A02A62" w:rsidRDefault="007F1D8B" w:rsidP="007F1D8B">
      <w:pPr>
        <w:pStyle w:val="FootnoteText"/>
        <w:jc w:val="left"/>
      </w:pPr>
      <w:r w:rsidRPr="00A02A62">
        <w:rPr>
          <w:rStyle w:val="FootnoteReference"/>
        </w:rPr>
        <w:footnoteRef/>
      </w:r>
      <w:r w:rsidRPr="00A02A62">
        <w:t xml:space="preserve"> Waiver Request at 2-4, 6.  The Port Authority states that its efforts have involved the relocation of certain facilities to other sites, on either a temporary or permanent basis, the establishment of new facilities, and planning for the reconstruction of facilities at the World Trade Center site when a suitable structure becomes available.  </w:t>
      </w:r>
      <w:r w:rsidRPr="00A02A62">
        <w:rPr>
          <w:i/>
        </w:rPr>
        <w:t xml:space="preserve">Id. </w:t>
      </w:r>
      <w:r w:rsidRPr="00A02A62">
        <w:t xml:space="preserve">at 2.  </w:t>
      </w:r>
      <w:r w:rsidR="00D42311" w:rsidRPr="00A02A62">
        <w:t xml:space="preserve">  The Port Authority states that it intends to use one of the licenses for which waiver is requested, WPDU923, for public safety communications on an interim basis from a police trailer in the World Trade Center construction are.  </w:t>
      </w:r>
      <w:r w:rsidR="00D42311" w:rsidRPr="00A02A62">
        <w:rPr>
          <w:i/>
        </w:rPr>
        <w:t xml:space="preserve">Id. </w:t>
      </w:r>
      <w:r w:rsidR="00D42311" w:rsidRPr="00A02A62">
        <w:t xml:space="preserve">at 2 (citing File No. 0006387944).   </w:t>
      </w:r>
    </w:p>
  </w:footnote>
  <w:footnote w:id="8">
    <w:p w:rsidR="00110E16" w:rsidRPr="00A02A62" w:rsidRDefault="00110E16">
      <w:pPr>
        <w:pStyle w:val="FootnoteText"/>
      </w:pPr>
      <w:r w:rsidRPr="00A02A62">
        <w:rPr>
          <w:rStyle w:val="FootnoteReference"/>
        </w:rPr>
        <w:footnoteRef/>
      </w:r>
      <w:r w:rsidRPr="00A02A62">
        <w:t xml:space="preserve"> </w:t>
      </w:r>
      <w:r w:rsidRPr="00A02A62">
        <w:rPr>
          <w:i/>
        </w:rPr>
        <w:t xml:space="preserve">Id. </w:t>
      </w:r>
      <w:r w:rsidRPr="00A02A62">
        <w:t>at 3.</w:t>
      </w:r>
    </w:p>
  </w:footnote>
  <w:footnote w:id="9">
    <w:p w:rsidR="007F1D8B" w:rsidRPr="00A02A62" w:rsidRDefault="00110E16" w:rsidP="00110E16">
      <w:pPr>
        <w:pStyle w:val="FootnoteText"/>
      </w:pPr>
      <w:r w:rsidRPr="00A02A62">
        <w:rPr>
          <w:rStyle w:val="FootnoteReference"/>
        </w:rPr>
        <w:footnoteRef/>
      </w:r>
      <w:r w:rsidRPr="00A02A62">
        <w:t xml:space="preserve"> </w:t>
      </w:r>
      <w:r w:rsidRPr="00A02A62">
        <w:rPr>
          <w:i/>
        </w:rPr>
        <w:t>Id</w:t>
      </w:r>
      <w:r w:rsidR="007F1D8B" w:rsidRPr="00A02A62">
        <w:t xml:space="preserve">.  </w:t>
      </w:r>
    </w:p>
  </w:footnote>
  <w:footnote w:id="10">
    <w:p w:rsidR="007F1D8B" w:rsidRPr="00A02A62" w:rsidRDefault="007F1D8B" w:rsidP="005E29A0">
      <w:pPr>
        <w:pStyle w:val="FootnoteText"/>
        <w:jc w:val="left"/>
      </w:pPr>
      <w:r w:rsidRPr="00A02A62">
        <w:rPr>
          <w:rStyle w:val="FootnoteReference"/>
        </w:rPr>
        <w:footnoteRef/>
      </w:r>
      <w:r w:rsidRPr="00A02A62">
        <w:t xml:space="preserve"> </w:t>
      </w:r>
      <w:r w:rsidRPr="00A02A62">
        <w:rPr>
          <w:i/>
        </w:rPr>
        <w:t xml:space="preserve">2002 Order, </w:t>
      </w:r>
      <w:r w:rsidRPr="00A02A62">
        <w:t>17 FCC Rcd at 16786 ¶ 6.</w:t>
      </w:r>
      <w:r w:rsidR="00113DE1" w:rsidRPr="00A02A62">
        <w:t xml:space="preserve">  </w:t>
      </w:r>
      <w:r w:rsidR="00E81D5A" w:rsidRPr="00A02A62">
        <w:t>As we noted at the time of our 2013 rule waiver grant</w:t>
      </w:r>
      <w:r w:rsidR="00113DE1" w:rsidRPr="00A02A62">
        <w:t xml:space="preserve">, the Port Authority </w:t>
      </w:r>
      <w:r w:rsidR="00E81D5A" w:rsidRPr="00A02A62">
        <w:t xml:space="preserve">previously </w:t>
      </w:r>
      <w:r w:rsidR="00113DE1" w:rsidRPr="00A02A62">
        <w:t xml:space="preserve">surrendered </w:t>
      </w:r>
      <w:r w:rsidR="00E81D5A" w:rsidRPr="00A02A62">
        <w:t xml:space="preserve">various </w:t>
      </w:r>
      <w:r w:rsidR="00113DE1" w:rsidRPr="00A02A62">
        <w:t xml:space="preserve">licenses </w:t>
      </w:r>
      <w:r w:rsidR="00E81D5A" w:rsidRPr="00A02A62">
        <w:t xml:space="preserve">issued pursuant to Part 101 of the Commission’s rules </w:t>
      </w:r>
      <w:r w:rsidR="00113DE1" w:rsidRPr="00A02A62">
        <w:t xml:space="preserve">and returned the frequencies back into the frequency pool:  WNEE495 (11215.00000 MHz, 11685.00000 MHz, 11525.00000 MHz), WNEK376 (23075.00000 MHz), WNEK377 (21875.00000 MHz), WNEE496 (10835.00000 MHz), </w:t>
      </w:r>
      <w:r w:rsidR="006E373A" w:rsidRPr="00A02A62">
        <w:t>WNEE497 (1087.00000 MHz), WPNI363 (10715.00000 MHz).</w:t>
      </w:r>
      <w:r w:rsidR="00E81D5A" w:rsidRPr="00A02A62">
        <w:t xml:space="preserve">  </w:t>
      </w:r>
      <w:r w:rsidR="00E81D5A" w:rsidRPr="00A02A62">
        <w:rPr>
          <w:i/>
        </w:rPr>
        <w:t>See 2013 Letter</w:t>
      </w:r>
      <w:r w:rsidR="00AF661D" w:rsidRPr="00A02A62">
        <w:t xml:space="preserve"> at </w:t>
      </w:r>
      <w:r w:rsidR="008A294D" w:rsidRPr="00A02A62">
        <w:t>14</w:t>
      </w:r>
      <w:r w:rsidR="00E81D5A" w:rsidRPr="00A02A62">
        <w:t>.</w:t>
      </w:r>
    </w:p>
  </w:footnote>
  <w:footnote w:id="11">
    <w:p w:rsidR="007F1D8B" w:rsidRPr="00A02A62" w:rsidRDefault="007F1D8B" w:rsidP="007F1D8B">
      <w:pPr>
        <w:pStyle w:val="FootnoteText"/>
      </w:pPr>
      <w:r w:rsidRPr="00A02A62">
        <w:rPr>
          <w:rStyle w:val="FootnoteReference"/>
        </w:rPr>
        <w:footnoteRef/>
      </w:r>
      <w:r w:rsidRPr="00A02A62">
        <w:t xml:space="preserve"> </w:t>
      </w:r>
      <w:r w:rsidR="00E142E3" w:rsidRPr="00A02A62">
        <w:rPr>
          <w:i/>
        </w:rPr>
        <w:t xml:space="preserve">2013 </w:t>
      </w:r>
      <w:r w:rsidRPr="00A02A62">
        <w:rPr>
          <w:i/>
        </w:rPr>
        <w:t xml:space="preserve">Letter </w:t>
      </w:r>
      <w:r w:rsidRPr="00A02A62">
        <w:t>at 2.</w:t>
      </w:r>
    </w:p>
  </w:footnote>
  <w:footnote w:id="12">
    <w:p w:rsidR="007F1D8B" w:rsidRPr="00A02A62" w:rsidRDefault="007F1D8B" w:rsidP="007F1D8B">
      <w:pPr>
        <w:pStyle w:val="FootnoteText"/>
        <w:jc w:val="left"/>
      </w:pPr>
      <w:r w:rsidRPr="00A02A62">
        <w:rPr>
          <w:rStyle w:val="FootnoteReference"/>
        </w:rPr>
        <w:footnoteRef/>
      </w:r>
      <w:r w:rsidRPr="00A02A62">
        <w:t xml:space="preserve"> Our action herein does not preclude the Port Authority from requesting additional time should circumstances so warrant.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1" w:rsidRDefault="00525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CB" w:rsidRDefault="00E741CB" w:rsidP="00E741CB">
    <w:pPr>
      <w:pStyle w:val="Header"/>
      <w:tabs>
        <w:tab w:val="clear" w:pos="4320"/>
      </w:tabs>
      <w:jc w:val="right"/>
      <w:rPr>
        <w:sz w:val="24"/>
        <w:szCs w:val="24"/>
      </w:rPr>
    </w:pPr>
    <w:r w:rsidRPr="00E741CB">
      <w:rPr>
        <w:sz w:val="24"/>
        <w:szCs w:val="24"/>
      </w:rPr>
      <w:t>Mr. Darrell Buchbinder</w:t>
    </w:r>
  </w:p>
  <w:p w:rsidR="00E741CB" w:rsidRDefault="00E741CB" w:rsidP="00E741CB">
    <w:pPr>
      <w:pStyle w:val="Header"/>
      <w:tabs>
        <w:tab w:val="clear" w:pos="4320"/>
      </w:tabs>
      <w:jc w:val="right"/>
      <w:rPr>
        <w:sz w:val="24"/>
        <w:szCs w:val="24"/>
      </w:rPr>
    </w:pPr>
    <w:r>
      <w:rPr>
        <w:sz w:val="24"/>
        <w:szCs w:val="24"/>
      </w:rPr>
      <w:fldChar w:fldCharType="begin"/>
    </w:r>
    <w:r>
      <w:rPr>
        <w:sz w:val="24"/>
        <w:szCs w:val="24"/>
      </w:rPr>
      <w:instrText xml:space="preserve"> DATE \@ "MMMM d, yyyy" </w:instrText>
    </w:r>
    <w:r>
      <w:rPr>
        <w:sz w:val="24"/>
        <w:szCs w:val="24"/>
      </w:rPr>
      <w:fldChar w:fldCharType="separate"/>
    </w:r>
    <w:r w:rsidR="005C007B">
      <w:rPr>
        <w:noProof/>
        <w:sz w:val="24"/>
        <w:szCs w:val="24"/>
      </w:rPr>
      <w:t>October 10, 2014</w:t>
    </w:r>
    <w:r>
      <w:rPr>
        <w:sz w:val="24"/>
        <w:szCs w:val="24"/>
      </w:rPr>
      <w:fldChar w:fldCharType="end"/>
    </w:r>
  </w:p>
  <w:p w:rsidR="007F1D8B" w:rsidRPr="00E741CB" w:rsidRDefault="007F1D8B" w:rsidP="00E741CB">
    <w:pPr>
      <w:pStyle w:val="Header"/>
      <w:tabs>
        <w:tab w:val="clear" w:pos="4320"/>
      </w:tabs>
      <w:jc w:val="right"/>
      <w:rPr>
        <w:rStyle w:val="PageNumber"/>
        <w:sz w:val="24"/>
        <w:szCs w:val="24"/>
      </w:rPr>
    </w:pPr>
    <w:r w:rsidRPr="00E741CB">
      <w:rPr>
        <w:sz w:val="24"/>
        <w:szCs w:val="24"/>
      </w:rPr>
      <w:t xml:space="preserve">Page </w:t>
    </w:r>
    <w:r w:rsidRPr="00E741CB">
      <w:rPr>
        <w:rStyle w:val="PageNumber"/>
        <w:sz w:val="24"/>
        <w:szCs w:val="24"/>
      </w:rPr>
      <w:fldChar w:fldCharType="begin"/>
    </w:r>
    <w:r w:rsidRPr="00E741CB">
      <w:rPr>
        <w:rStyle w:val="PageNumber"/>
        <w:sz w:val="24"/>
        <w:szCs w:val="24"/>
      </w:rPr>
      <w:instrText xml:space="preserve"> PAGE </w:instrText>
    </w:r>
    <w:r w:rsidRPr="00E741CB">
      <w:rPr>
        <w:rStyle w:val="PageNumber"/>
        <w:sz w:val="24"/>
        <w:szCs w:val="24"/>
      </w:rPr>
      <w:fldChar w:fldCharType="separate"/>
    </w:r>
    <w:r w:rsidR="005C007B">
      <w:rPr>
        <w:rStyle w:val="PageNumber"/>
        <w:noProof/>
        <w:sz w:val="24"/>
        <w:szCs w:val="24"/>
      </w:rPr>
      <w:t>2</w:t>
    </w:r>
    <w:r w:rsidRPr="00E741CB">
      <w:rPr>
        <w:rStyle w:val="PageNumber"/>
        <w:sz w:val="24"/>
        <w:szCs w:val="24"/>
      </w:rPr>
      <w:fldChar w:fldCharType="end"/>
    </w:r>
  </w:p>
  <w:p w:rsidR="007F1D8B" w:rsidRPr="007F1D8B" w:rsidRDefault="007F1D8B" w:rsidP="007F1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1" w:rsidRDefault="00525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AB"/>
    <w:rsid w:val="00025320"/>
    <w:rsid w:val="00110E16"/>
    <w:rsid w:val="00113DE1"/>
    <w:rsid w:val="0012762C"/>
    <w:rsid w:val="001C0B10"/>
    <w:rsid w:val="00204CE3"/>
    <w:rsid w:val="002B2377"/>
    <w:rsid w:val="002B54DB"/>
    <w:rsid w:val="002E5F31"/>
    <w:rsid w:val="003714DE"/>
    <w:rsid w:val="004151B5"/>
    <w:rsid w:val="0046786D"/>
    <w:rsid w:val="004D3B53"/>
    <w:rsid w:val="00525A31"/>
    <w:rsid w:val="0053358D"/>
    <w:rsid w:val="005367AD"/>
    <w:rsid w:val="00587208"/>
    <w:rsid w:val="005C007B"/>
    <w:rsid w:val="005E29A0"/>
    <w:rsid w:val="006D3E5F"/>
    <w:rsid w:val="006E373A"/>
    <w:rsid w:val="007F1D8B"/>
    <w:rsid w:val="00830C8A"/>
    <w:rsid w:val="00887A3F"/>
    <w:rsid w:val="008A294D"/>
    <w:rsid w:val="009E4367"/>
    <w:rsid w:val="00A02A62"/>
    <w:rsid w:val="00A763F6"/>
    <w:rsid w:val="00A9495E"/>
    <w:rsid w:val="00AD4FAB"/>
    <w:rsid w:val="00AF661D"/>
    <w:rsid w:val="00BD5CD1"/>
    <w:rsid w:val="00D210DA"/>
    <w:rsid w:val="00D4059B"/>
    <w:rsid w:val="00D42311"/>
    <w:rsid w:val="00E142E3"/>
    <w:rsid w:val="00E741CB"/>
    <w:rsid w:val="00E81D5A"/>
    <w:rsid w:val="00F15516"/>
    <w:rsid w:val="00F45532"/>
    <w:rsid w:val="00FA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B"/>
    <w:rPr>
      <w:lang w:eastAsia="ja-JP"/>
    </w:rPr>
  </w:style>
  <w:style w:type="paragraph" w:styleId="Heading1">
    <w:name w:val="heading 1"/>
    <w:basedOn w:val="Normal"/>
    <w:next w:val="BodyText"/>
    <w:link w:val="Heading1Char"/>
    <w:qFormat/>
    <w:rsid w:val="007F1D8B"/>
    <w:pPr>
      <w:keepNext/>
      <w:spacing w:after="240"/>
      <w:jc w:val="both"/>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eastAsia="en-US"/>
    </w:rPr>
  </w:style>
  <w:style w:type="paragraph" w:styleId="Footer">
    <w:name w:val="footer"/>
    <w:basedOn w:val="Normal"/>
    <w:semiHidden/>
    <w:pPr>
      <w:tabs>
        <w:tab w:val="center" w:pos="4320"/>
        <w:tab w:val="right" w:pos="8640"/>
      </w:tabs>
    </w:pPr>
    <w:rPr>
      <w:lang w:eastAsia="en-US"/>
    </w:rPr>
  </w:style>
  <w:style w:type="character" w:customStyle="1" w:styleId="Heading1Char">
    <w:name w:val="Heading 1 Char"/>
    <w:basedOn w:val="DefaultParagraphFont"/>
    <w:link w:val="Heading1"/>
    <w:rsid w:val="007F1D8B"/>
    <w:rPr>
      <w:b/>
      <w:sz w:val="24"/>
    </w:rPr>
  </w:style>
  <w:style w:type="paragraph" w:customStyle="1" w:styleId="InsideAddressName">
    <w:name w:val="Inside Address Name"/>
    <w:basedOn w:val="Normal"/>
    <w:rsid w:val="007F1D8B"/>
  </w:style>
  <w:style w:type="paragraph" w:customStyle="1" w:styleId="InsideAddress">
    <w:name w:val="Inside Address"/>
    <w:basedOn w:val="Normal"/>
    <w:rsid w:val="007F1D8B"/>
  </w:style>
  <w:style w:type="paragraph" w:styleId="Salutation">
    <w:name w:val="Salutation"/>
    <w:basedOn w:val="Normal"/>
    <w:next w:val="Normal"/>
    <w:link w:val="SalutationChar"/>
    <w:rsid w:val="007F1D8B"/>
  </w:style>
  <w:style w:type="character" w:customStyle="1" w:styleId="SalutationChar">
    <w:name w:val="Salutation Char"/>
    <w:basedOn w:val="DefaultParagraphFont"/>
    <w:link w:val="Salutation"/>
    <w:rsid w:val="007F1D8B"/>
    <w:rPr>
      <w:lang w:eastAsia="ja-JP"/>
    </w:rPr>
  </w:style>
  <w:style w:type="paragraph" w:styleId="BodyText">
    <w:name w:val="Body Text"/>
    <w:basedOn w:val="Normal"/>
    <w:link w:val="BodyTextChar"/>
    <w:rsid w:val="007F1D8B"/>
    <w:pPr>
      <w:spacing w:after="120"/>
    </w:pPr>
  </w:style>
  <w:style w:type="character" w:customStyle="1" w:styleId="BodyTextChar">
    <w:name w:val="Body Text Char"/>
    <w:basedOn w:val="DefaultParagraphFont"/>
    <w:link w:val="BodyText"/>
    <w:rsid w:val="007F1D8B"/>
    <w:rPr>
      <w:lang w:eastAsia="ja-JP"/>
    </w:rPr>
  </w:style>
  <w:style w:type="paragraph" w:customStyle="1" w:styleId="ReferenceLine">
    <w:name w:val="Reference Line"/>
    <w:basedOn w:val="BodyText"/>
    <w:rsid w:val="007F1D8B"/>
  </w:style>
  <w:style w:type="paragraph" w:styleId="FootnoteText">
    <w:name w:val="footnote text"/>
    <w:aliases w:val="Footnote Text Char1,Footnote Text Char Char,Footnote Text Char1 Char Char,Footnote Text Char Char Char Char,ft"/>
    <w:basedOn w:val="Normal"/>
    <w:link w:val="FootnoteTextChar"/>
    <w:semiHidden/>
    <w:rsid w:val="007F1D8B"/>
    <w:pPr>
      <w:tabs>
        <w:tab w:val="left" w:pos="180"/>
        <w:tab w:val="left" w:pos="720"/>
        <w:tab w:val="left" w:pos="1440"/>
        <w:tab w:val="left" w:pos="2160"/>
      </w:tabs>
      <w:spacing w:after="120"/>
      <w:jc w:val="both"/>
    </w:pPr>
    <w:rPr>
      <w:lang w:eastAsia="en-US"/>
    </w:rPr>
  </w:style>
  <w:style w:type="character" w:customStyle="1" w:styleId="FootnoteTextChar">
    <w:name w:val="Footnote Text Char"/>
    <w:aliases w:val="Footnote Text Char1 Char,Footnote Text Char Char Char,Footnote Text Char1 Char Char Char,Footnote Text Char Char Char Char Char,ft Char"/>
    <w:basedOn w:val="DefaultParagraphFont"/>
    <w:link w:val="FootnoteText"/>
    <w:semiHidden/>
    <w:rsid w:val="007F1D8B"/>
  </w:style>
  <w:style w:type="character" w:styleId="FootnoteReference">
    <w:name w:val="footnote reference"/>
    <w:semiHidden/>
    <w:rsid w:val="007F1D8B"/>
    <w:rPr>
      <w:vertAlign w:val="superscript"/>
    </w:rPr>
  </w:style>
  <w:style w:type="character" w:styleId="PageNumber">
    <w:name w:val="page number"/>
    <w:basedOn w:val="DefaultParagraphFont"/>
    <w:rsid w:val="007F1D8B"/>
  </w:style>
  <w:style w:type="character" w:styleId="CommentReference">
    <w:name w:val="annotation reference"/>
    <w:basedOn w:val="DefaultParagraphFont"/>
    <w:uiPriority w:val="99"/>
    <w:semiHidden/>
    <w:unhideWhenUsed/>
    <w:rsid w:val="00F15516"/>
    <w:rPr>
      <w:sz w:val="16"/>
      <w:szCs w:val="16"/>
    </w:rPr>
  </w:style>
  <w:style w:type="paragraph" w:styleId="CommentText">
    <w:name w:val="annotation text"/>
    <w:basedOn w:val="Normal"/>
    <w:link w:val="CommentTextChar"/>
    <w:uiPriority w:val="99"/>
    <w:semiHidden/>
    <w:unhideWhenUsed/>
    <w:rsid w:val="00F15516"/>
  </w:style>
  <w:style w:type="character" w:customStyle="1" w:styleId="CommentTextChar">
    <w:name w:val="Comment Text Char"/>
    <w:basedOn w:val="DefaultParagraphFont"/>
    <w:link w:val="CommentText"/>
    <w:uiPriority w:val="99"/>
    <w:semiHidden/>
    <w:rsid w:val="00F15516"/>
    <w:rPr>
      <w:lang w:eastAsia="ja-JP"/>
    </w:rPr>
  </w:style>
  <w:style w:type="paragraph" w:styleId="CommentSubject">
    <w:name w:val="annotation subject"/>
    <w:basedOn w:val="CommentText"/>
    <w:next w:val="CommentText"/>
    <w:link w:val="CommentSubjectChar"/>
    <w:uiPriority w:val="99"/>
    <w:semiHidden/>
    <w:unhideWhenUsed/>
    <w:rsid w:val="00F15516"/>
    <w:rPr>
      <w:b/>
      <w:bCs/>
    </w:rPr>
  </w:style>
  <w:style w:type="character" w:customStyle="1" w:styleId="CommentSubjectChar">
    <w:name w:val="Comment Subject Char"/>
    <w:basedOn w:val="CommentTextChar"/>
    <w:link w:val="CommentSubject"/>
    <w:uiPriority w:val="99"/>
    <w:semiHidden/>
    <w:rsid w:val="00F15516"/>
    <w:rPr>
      <w:b/>
      <w:bCs/>
      <w:lang w:eastAsia="ja-JP"/>
    </w:rPr>
  </w:style>
  <w:style w:type="paragraph" w:styleId="BalloonText">
    <w:name w:val="Balloon Text"/>
    <w:basedOn w:val="Normal"/>
    <w:link w:val="BalloonTextChar"/>
    <w:uiPriority w:val="99"/>
    <w:semiHidden/>
    <w:unhideWhenUsed/>
    <w:rsid w:val="00F15516"/>
    <w:rPr>
      <w:rFonts w:ascii="Tahoma" w:hAnsi="Tahoma" w:cs="Tahoma"/>
      <w:sz w:val="16"/>
      <w:szCs w:val="16"/>
    </w:rPr>
  </w:style>
  <w:style w:type="character" w:customStyle="1" w:styleId="BalloonTextChar">
    <w:name w:val="Balloon Text Char"/>
    <w:basedOn w:val="DefaultParagraphFont"/>
    <w:link w:val="BalloonText"/>
    <w:uiPriority w:val="99"/>
    <w:semiHidden/>
    <w:rsid w:val="00F1551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B"/>
    <w:rPr>
      <w:lang w:eastAsia="ja-JP"/>
    </w:rPr>
  </w:style>
  <w:style w:type="paragraph" w:styleId="Heading1">
    <w:name w:val="heading 1"/>
    <w:basedOn w:val="Normal"/>
    <w:next w:val="BodyText"/>
    <w:link w:val="Heading1Char"/>
    <w:qFormat/>
    <w:rsid w:val="007F1D8B"/>
    <w:pPr>
      <w:keepNext/>
      <w:spacing w:after="240"/>
      <w:jc w:val="both"/>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eastAsia="en-US"/>
    </w:rPr>
  </w:style>
  <w:style w:type="paragraph" w:styleId="Footer">
    <w:name w:val="footer"/>
    <w:basedOn w:val="Normal"/>
    <w:semiHidden/>
    <w:pPr>
      <w:tabs>
        <w:tab w:val="center" w:pos="4320"/>
        <w:tab w:val="right" w:pos="8640"/>
      </w:tabs>
    </w:pPr>
    <w:rPr>
      <w:lang w:eastAsia="en-US"/>
    </w:rPr>
  </w:style>
  <w:style w:type="character" w:customStyle="1" w:styleId="Heading1Char">
    <w:name w:val="Heading 1 Char"/>
    <w:basedOn w:val="DefaultParagraphFont"/>
    <w:link w:val="Heading1"/>
    <w:rsid w:val="007F1D8B"/>
    <w:rPr>
      <w:b/>
      <w:sz w:val="24"/>
    </w:rPr>
  </w:style>
  <w:style w:type="paragraph" w:customStyle="1" w:styleId="InsideAddressName">
    <w:name w:val="Inside Address Name"/>
    <w:basedOn w:val="Normal"/>
    <w:rsid w:val="007F1D8B"/>
  </w:style>
  <w:style w:type="paragraph" w:customStyle="1" w:styleId="InsideAddress">
    <w:name w:val="Inside Address"/>
    <w:basedOn w:val="Normal"/>
    <w:rsid w:val="007F1D8B"/>
  </w:style>
  <w:style w:type="paragraph" w:styleId="Salutation">
    <w:name w:val="Salutation"/>
    <w:basedOn w:val="Normal"/>
    <w:next w:val="Normal"/>
    <w:link w:val="SalutationChar"/>
    <w:rsid w:val="007F1D8B"/>
  </w:style>
  <w:style w:type="character" w:customStyle="1" w:styleId="SalutationChar">
    <w:name w:val="Salutation Char"/>
    <w:basedOn w:val="DefaultParagraphFont"/>
    <w:link w:val="Salutation"/>
    <w:rsid w:val="007F1D8B"/>
    <w:rPr>
      <w:lang w:eastAsia="ja-JP"/>
    </w:rPr>
  </w:style>
  <w:style w:type="paragraph" w:styleId="BodyText">
    <w:name w:val="Body Text"/>
    <w:basedOn w:val="Normal"/>
    <w:link w:val="BodyTextChar"/>
    <w:rsid w:val="007F1D8B"/>
    <w:pPr>
      <w:spacing w:after="120"/>
    </w:pPr>
  </w:style>
  <w:style w:type="character" w:customStyle="1" w:styleId="BodyTextChar">
    <w:name w:val="Body Text Char"/>
    <w:basedOn w:val="DefaultParagraphFont"/>
    <w:link w:val="BodyText"/>
    <w:rsid w:val="007F1D8B"/>
    <w:rPr>
      <w:lang w:eastAsia="ja-JP"/>
    </w:rPr>
  </w:style>
  <w:style w:type="paragraph" w:customStyle="1" w:styleId="ReferenceLine">
    <w:name w:val="Reference Line"/>
    <w:basedOn w:val="BodyText"/>
    <w:rsid w:val="007F1D8B"/>
  </w:style>
  <w:style w:type="paragraph" w:styleId="FootnoteText">
    <w:name w:val="footnote text"/>
    <w:aliases w:val="Footnote Text Char1,Footnote Text Char Char,Footnote Text Char1 Char Char,Footnote Text Char Char Char Char,ft"/>
    <w:basedOn w:val="Normal"/>
    <w:link w:val="FootnoteTextChar"/>
    <w:semiHidden/>
    <w:rsid w:val="007F1D8B"/>
    <w:pPr>
      <w:tabs>
        <w:tab w:val="left" w:pos="180"/>
        <w:tab w:val="left" w:pos="720"/>
        <w:tab w:val="left" w:pos="1440"/>
        <w:tab w:val="left" w:pos="2160"/>
      </w:tabs>
      <w:spacing w:after="120"/>
      <w:jc w:val="both"/>
    </w:pPr>
    <w:rPr>
      <w:lang w:eastAsia="en-US"/>
    </w:rPr>
  </w:style>
  <w:style w:type="character" w:customStyle="1" w:styleId="FootnoteTextChar">
    <w:name w:val="Footnote Text Char"/>
    <w:aliases w:val="Footnote Text Char1 Char,Footnote Text Char Char Char,Footnote Text Char1 Char Char Char,Footnote Text Char Char Char Char Char,ft Char"/>
    <w:basedOn w:val="DefaultParagraphFont"/>
    <w:link w:val="FootnoteText"/>
    <w:semiHidden/>
    <w:rsid w:val="007F1D8B"/>
  </w:style>
  <w:style w:type="character" w:styleId="FootnoteReference">
    <w:name w:val="footnote reference"/>
    <w:semiHidden/>
    <w:rsid w:val="007F1D8B"/>
    <w:rPr>
      <w:vertAlign w:val="superscript"/>
    </w:rPr>
  </w:style>
  <w:style w:type="character" w:styleId="PageNumber">
    <w:name w:val="page number"/>
    <w:basedOn w:val="DefaultParagraphFont"/>
    <w:rsid w:val="007F1D8B"/>
  </w:style>
  <w:style w:type="character" w:styleId="CommentReference">
    <w:name w:val="annotation reference"/>
    <w:basedOn w:val="DefaultParagraphFont"/>
    <w:uiPriority w:val="99"/>
    <w:semiHidden/>
    <w:unhideWhenUsed/>
    <w:rsid w:val="00F15516"/>
    <w:rPr>
      <w:sz w:val="16"/>
      <w:szCs w:val="16"/>
    </w:rPr>
  </w:style>
  <w:style w:type="paragraph" w:styleId="CommentText">
    <w:name w:val="annotation text"/>
    <w:basedOn w:val="Normal"/>
    <w:link w:val="CommentTextChar"/>
    <w:uiPriority w:val="99"/>
    <w:semiHidden/>
    <w:unhideWhenUsed/>
    <w:rsid w:val="00F15516"/>
  </w:style>
  <w:style w:type="character" w:customStyle="1" w:styleId="CommentTextChar">
    <w:name w:val="Comment Text Char"/>
    <w:basedOn w:val="DefaultParagraphFont"/>
    <w:link w:val="CommentText"/>
    <w:uiPriority w:val="99"/>
    <w:semiHidden/>
    <w:rsid w:val="00F15516"/>
    <w:rPr>
      <w:lang w:eastAsia="ja-JP"/>
    </w:rPr>
  </w:style>
  <w:style w:type="paragraph" w:styleId="CommentSubject">
    <w:name w:val="annotation subject"/>
    <w:basedOn w:val="CommentText"/>
    <w:next w:val="CommentText"/>
    <w:link w:val="CommentSubjectChar"/>
    <w:uiPriority w:val="99"/>
    <w:semiHidden/>
    <w:unhideWhenUsed/>
    <w:rsid w:val="00F15516"/>
    <w:rPr>
      <w:b/>
      <w:bCs/>
    </w:rPr>
  </w:style>
  <w:style w:type="character" w:customStyle="1" w:styleId="CommentSubjectChar">
    <w:name w:val="Comment Subject Char"/>
    <w:basedOn w:val="CommentTextChar"/>
    <w:link w:val="CommentSubject"/>
    <w:uiPriority w:val="99"/>
    <w:semiHidden/>
    <w:rsid w:val="00F15516"/>
    <w:rPr>
      <w:b/>
      <w:bCs/>
      <w:lang w:eastAsia="ja-JP"/>
    </w:rPr>
  </w:style>
  <w:style w:type="paragraph" w:styleId="BalloonText">
    <w:name w:val="Balloon Text"/>
    <w:basedOn w:val="Normal"/>
    <w:link w:val="BalloonTextChar"/>
    <w:uiPriority w:val="99"/>
    <w:semiHidden/>
    <w:unhideWhenUsed/>
    <w:rsid w:val="00F15516"/>
    <w:rPr>
      <w:rFonts w:ascii="Tahoma" w:hAnsi="Tahoma" w:cs="Tahoma"/>
      <w:sz w:val="16"/>
      <w:szCs w:val="16"/>
    </w:rPr>
  </w:style>
  <w:style w:type="character" w:customStyle="1" w:styleId="BalloonTextChar">
    <w:name w:val="Balloon Text Char"/>
    <w:basedOn w:val="DefaultParagraphFont"/>
    <w:link w:val="BalloonText"/>
    <w:uiPriority w:val="99"/>
    <w:semiHidden/>
    <w:rsid w:val="00F1551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761</Words>
  <Characters>4151</Characters>
  <Application>Microsoft Office Word</Application>
  <DocSecurity>0</DocSecurity>
  <Lines>142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2014-10-10T18:49:00Z</cp:lastPrinted>
  <dcterms:created xsi:type="dcterms:W3CDTF">2014-10-10T18:55:00Z</dcterms:created>
  <dcterms:modified xsi:type="dcterms:W3CDTF">2014-10-10T18:55:00Z</dcterms:modified>
  <cp:category> </cp:category>
  <cp:contentStatus> </cp:contentStatus>
</cp:coreProperties>
</file>