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93" w:rsidRDefault="00303F93">
      <w:pPr>
        <w:pStyle w:val="Title"/>
        <w:rPr>
          <w:szCs w:val="22"/>
        </w:rPr>
      </w:pPr>
      <w:bookmarkStart w:id="0" w:name="_GoBack"/>
      <w:bookmarkEnd w:id="0"/>
      <w:r>
        <w:rPr>
          <w:szCs w:val="22"/>
        </w:rPr>
        <w:t>Before the</w:t>
      </w:r>
    </w:p>
    <w:p w:rsidR="00303F93" w:rsidRDefault="00303F93">
      <w:pPr>
        <w:tabs>
          <w:tab w:val="center" w:pos="4680"/>
        </w:tabs>
        <w:spacing w:line="226" w:lineRule="auto"/>
        <w:jc w:val="center"/>
        <w:rPr>
          <w:b/>
          <w:sz w:val="22"/>
          <w:szCs w:val="22"/>
        </w:rPr>
      </w:pPr>
      <w:r>
        <w:rPr>
          <w:b/>
          <w:sz w:val="22"/>
          <w:szCs w:val="22"/>
        </w:rPr>
        <w:t>Federal Communications Commission</w:t>
      </w:r>
    </w:p>
    <w:p w:rsidR="00303F93" w:rsidRDefault="00303F93">
      <w:pPr>
        <w:tabs>
          <w:tab w:val="center" w:pos="4680"/>
        </w:tabs>
        <w:spacing w:line="226" w:lineRule="auto"/>
        <w:jc w:val="center"/>
        <w:rPr>
          <w:sz w:val="22"/>
          <w:szCs w:val="22"/>
        </w:rPr>
      </w:pPr>
      <w:r>
        <w:rPr>
          <w:b/>
          <w:sz w:val="22"/>
          <w:szCs w:val="22"/>
        </w:rPr>
        <w:t>Washington, D.C. 20554</w:t>
      </w:r>
    </w:p>
    <w:p w:rsidR="00303F93" w:rsidRDefault="00303F93">
      <w:pPr>
        <w:spacing w:line="226" w:lineRule="auto"/>
        <w:ind w:firstLine="4320"/>
        <w:jc w:val="both"/>
        <w:rPr>
          <w:sz w:val="22"/>
          <w:szCs w:val="22"/>
        </w:rPr>
      </w:pPr>
    </w:p>
    <w:tbl>
      <w:tblPr>
        <w:tblW w:w="0" w:type="auto"/>
        <w:tblLayout w:type="fixed"/>
        <w:tblLook w:val="0000" w:firstRow="0" w:lastRow="0" w:firstColumn="0" w:lastColumn="0" w:noHBand="0" w:noVBand="0"/>
      </w:tblPr>
      <w:tblGrid>
        <w:gridCol w:w="4698"/>
        <w:gridCol w:w="630"/>
        <w:gridCol w:w="4248"/>
      </w:tblGrid>
      <w:tr w:rsidR="00BA52EA">
        <w:trPr>
          <w:trHeight w:val="1629"/>
        </w:trPr>
        <w:tc>
          <w:tcPr>
            <w:tcW w:w="4698" w:type="dxa"/>
          </w:tcPr>
          <w:p w:rsidR="00BA52EA" w:rsidRPr="00BA52EA" w:rsidRDefault="00BA52EA" w:rsidP="00303F93">
            <w:pPr>
              <w:rPr>
                <w:sz w:val="22"/>
                <w:szCs w:val="22"/>
              </w:rPr>
            </w:pPr>
            <w:r w:rsidRPr="00BA52EA">
              <w:rPr>
                <w:spacing w:val="-2"/>
                <w:sz w:val="22"/>
                <w:szCs w:val="22"/>
              </w:rPr>
              <w:t>In the Matter of</w:t>
            </w:r>
            <w:r w:rsidRPr="00BA52EA">
              <w:rPr>
                <w:sz w:val="22"/>
                <w:szCs w:val="22"/>
              </w:rPr>
              <w:t xml:space="preserve"> </w:t>
            </w:r>
          </w:p>
          <w:p w:rsidR="00BA52EA" w:rsidRPr="00BA52EA" w:rsidRDefault="00BA52EA" w:rsidP="00303F93">
            <w:pPr>
              <w:rPr>
                <w:sz w:val="22"/>
                <w:szCs w:val="22"/>
              </w:rPr>
            </w:pPr>
          </w:p>
          <w:p w:rsidR="00BA52EA" w:rsidRPr="00BA52EA" w:rsidRDefault="00BA52EA" w:rsidP="00303F93">
            <w:pPr>
              <w:rPr>
                <w:sz w:val="22"/>
                <w:szCs w:val="22"/>
              </w:rPr>
            </w:pPr>
            <w:r w:rsidRPr="00BA52EA">
              <w:rPr>
                <w:sz w:val="22"/>
                <w:szCs w:val="22"/>
              </w:rPr>
              <w:t>Wagenvoord Advertising Group, Inc.</w:t>
            </w:r>
          </w:p>
          <w:p w:rsidR="00BA52EA" w:rsidRPr="00BA52EA" w:rsidRDefault="00BA52EA" w:rsidP="00303F93">
            <w:pPr>
              <w:rPr>
                <w:sz w:val="22"/>
                <w:szCs w:val="22"/>
              </w:rPr>
            </w:pPr>
          </w:p>
          <w:p w:rsidR="00BA52EA" w:rsidRPr="00BA52EA" w:rsidRDefault="00EC682F" w:rsidP="00303F93">
            <w:pPr>
              <w:rPr>
                <w:sz w:val="22"/>
                <w:szCs w:val="22"/>
              </w:rPr>
            </w:pPr>
            <w:r>
              <w:rPr>
                <w:sz w:val="22"/>
                <w:szCs w:val="22"/>
              </w:rPr>
              <w:t xml:space="preserve">Former </w:t>
            </w:r>
            <w:r w:rsidR="00BA52EA" w:rsidRPr="00BA52EA">
              <w:rPr>
                <w:sz w:val="22"/>
                <w:szCs w:val="22"/>
              </w:rPr>
              <w:t>Licensee of Radio Station KLRG-AM</w:t>
            </w:r>
            <w:r>
              <w:rPr>
                <w:rStyle w:val="FootnoteReference"/>
                <w:szCs w:val="22"/>
              </w:rPr>
              <w:footnoteReference w:id="2"/>
            </w:r>
            <w:r w:rsidR="00BA52EA" w:rsidRPr="00BA52EA">
              <w:rPr>
                <w:sz w:val="22"/>
                <w:szCs w:val="22"/>
              </w:rPr>
              <w:t xml:space="preserve"> </w:t>
            </w:r>
          </w:p>
          <w:p w:rsidR="00BA52EA" w:rsidRPr="00BA52EA" w:rsidRDefault="00BA52EA" w:rsidP="00D84DA2">
            <w:pPr>
              <w:rPr>
                <w:spacing w:val="-2"/>
                <w:sz w:val="22"/>
                <w:szCs w:val="22"/>
              </w:rPr>
            </w:pPr>
            <w:r w:rsidRPr="00BA52EA">
              <w:rPr>
                <w:sz w:val="22"/>
                <w:szCs w:val="22"/>
              </w:rPr>
              <w:t>Sheridan, AR</w:t>
            </w:r>
            <w:r w:rsidRPr="00BA52EA">
              <w:rPr>
                <w:spacing w:val="-2"/>
                <w:sz w:val="22"/>
                <w:szCs w:val="22"/>
              </w:rPr>
              <w:t xml:space="preserve"> </w:t>
            </w:r>
          </w:p>
        </w:tc>
        <w:tc>
          <w:tcPr>
            <w:tcW w:w="630" w:type="dxa"/>
          </w:tcPr>
          <w:p w:rsidR="00BA52EA" w:rsidRPr="00BA52EA" w:rsidRDefault="00BA52EA" w:rsidP="00303F93">
            <w:pPr>
              <w:tabs>
                <w:tab w:val="center" w:pos="4680"/>
              </w:tabs>
              <w:suppressAutoHyphens/>
              <w:spacing w:line="240" w:lineRule="atLeast"/>
              <w:jc w:val="both"/>
              <w:outlineLvl w:val="0"/>
              <w:rPr>
                <w:sz w:val="22"/>
                <w:szCs w:val="22"/>
              </w:rPr>
            </w:pPr>
            <w:r w:rsidRPr="00BA52EA">
              <w:rPr>
                <w:sz w:val="22"/>
                <w:szCs w:val="22"/>
              </w:rPr>
              <w:t>)</w:t>
            </w:r>
          </w:p>
          <w:p w:rsidR="00BA52EA" w:rsidRPr="00BA52EA" w:rsidRDefault="00BA52EA" w:rsidP="00303F93">
            <w:pPr>
              <w:tabs>
                <w:tab w:val="center" w:pos="4680"/>
              </w:tabs>
              <w:suppressAutoHyphens/>
              <w:spacing w:line="240" w:lineRule="atLeast"/>
              <w:jc w:val="both"/>
              <w:outlineLvl w:val="0"/>
              <w:rPr>
                <w:sz w:val="22"/>
                <w:szCs w:val="22"/>
              </w:rPr>
            </w:pPr>
            <w:r w:rsidRPr="00BA52EA">
              <w:rPr>
                <w:sz w:val="22"/>
                <w:szCs w:val="22"/>
              </w:rPr>
              <w:t>)</w:t>
            </w:r>
          </w:p>
          <w:p w:rsidR="00BA52EA" w:rsidRPr="00BA52EA" w:rsidRDefault="00BA52EA" w:rsidP="00303F93">
            <w:pPr>
              <w:tabs>
                <w:tab w:val="center" w:pos="4680"/>
              </w:tabs>
              <w:suppressAutoHyphens/>
              <w:spacing w:line="240" w:lineRule="atLeast"/>
              <w:jc w:val="both"/>
              <w:outlineLvl w:val="0"/>
              <w:rPr>
                <w:sz w:val="22"/>
                <w:szCs w:val="22"/>
              </w:rPr>
            </w:pPr>
            <w:r w:rsidRPr="00BA52EA">
              <w:rPr>
                <w:sz w:val="22"/>
                <w:szCs w:val="22"/>
              </w:rPr>
              <w:t>)</w:t>
            </w:r>
          </w:p>
          <w:p w:rsidR="00BA52EA" w:rsidRPr="00BA52EA" w:rsidRDefault="00BA52EA" w:rsidP="00303F93">
            <w:pPr>
              <w:tabs>
                <w:tab w:val="center" w:pos="4680"/>
              </w:tabs>
              <w:suppressAutoHyphens/>
              <w:spacing w:line="240" w:lineRule="atLeast"/>
              <w:jc w:val="both"/>
              <w:outlineLvl w:val="0"/>
              <w:rPr>
                <w:sz w:val="22"/>
                <w:szCs w:val="22"/>
              </w:rPr>
            </w:pPr>
            <w:r w:rsidRPr="00BA52EA">
              <w:rPr>
                <w:sz w:val="22"/>
                <w:szCs w:val="22"/>
              </w:rPr>
              <w:t>)</w:t>
            </w:r>
          </w:p>
          <w:p w:rsidR="00BA52EA" w:rsidRPr="00BA52EA" w:rsidRDefault="00BA52EA" w:rsidP="00303F93">
            <w:pPr>
              <w:tabs>
                <w:tab w:val="center" w:pos="4680"/>
              </w:tabs>
              <w:suppressAutoHyphens/>
              <w:spacing w:line="240" w:lineRule="atLeast"/>
              <w:jc w:val="both"/>
              <w:outlineLvl w:val="0"/>
              <w:rPr>
                <w:sz w:val="22"/>
                <w:szCs w:val="22"/>
              </w:rPr>
            </w:pPr>
            <w:r w:rsidRPr="00BA52EA">
              <w:rPr>
                <w:sz w:val="22"/>
                <w:szCs w:val="22"/>
              </w:rPr>
              <w:t>)</w:t>
            </w:r>
          </w:p>
          <w:p w:rsidR="00BA52EA" w:rsidRPr="00BA52EA" w:rsidRDefault="00BA52EA" w:rsidP="00303F93">
            <w:pPr>
              <w:tabs>
                <w:tab w:val="center" w:pos="4680"/>
              </w:tabs>
              <w:suppressAutoHyphens/>
              <w:spacing w:line="240" w:lineRule="atLeast"/>
              <w:jc w:val="both"/>
              <w:outlineLvl w:val="0"/>
              <w:rPr>
                <w:sz w:val="22"/>
                <w:szCs w:val="22"/>
              </w:rPr>
            </w:pPr>
            <w:r w:rsidRPr="00BA52EA">
              <w:rPr>
                <w:sz w:val="22"/>
                <w:szCs w:val="22"/>
              </w:rPr>
              <w:t>)</w:t>
            </w:r>
          </w:p>
        </w:tc>
        <w:tc>
          <w:tcPr>
            <w:tcW w:w="4248" w:type="dxa"/>
          </w:tcPr>
          <w:p w:rsidR="00BA52EA" w:rsidRPr="00BA52EA" w:rsidRDefault="00BA52EA" w:rsidP="00303F93">
            <w:pPr>
              <w:rPr>
                <w:spacing w:val="-2"/>
                <w:sz w:val="22"/>
                <w:szCs w:val="22"/>
              </w:rPr>
            </w:pPr>
          </w:p>
          <w:p w:rsidR="00BA52EA" w:rsidRPr="00BA52EA" w:rsidRDefault="00BA52EA" w:rsidP="00303F93">
            <w:pPr>
              <w:ind w:left="702"/>
              <w:rPr>
                <w:spacing w:val="-2"/>
                <w:sz w:val="22"/>
                <w:szCs w:val="22"/>
              </w:rPr>
            </w:pPr>
          </w:p>
          <w:p w:rsidR="00BA52EA" w:rsidRPr="00BA52EA" w:rsidRDefault="00BA52EA" w:rsidP="00BA52EA">
            <w:pPr>
              <w:rPr>
                <w:sz w:val="22"/>
                <w:szCs w:val="22"/>
              </w:rPr>
            </w:pPr>
            <w:r>
              <w:rPr>
                <w:sz w:val="22"/>
                <w:szCs w:val="22"/>
              </w:rPr>
              <w:t xml:space="preserve">         </w:t>
            </w:r>
            <w:r w:rsidRPr="00BA52EA">
              <w:rPr>
                <w:sz w:val="22"/>
                <w:szCs w:val="22"/>
              </w:rPr>
              <w:t>File No.:  EB-FIELDSCR-12-00000481</w:t>
            </w:r>
          </w:p>
          <w:p w:rsidR="00BA52EA" w:rsidRPr="00BA52EA" w:rsidRDefault="00BA52EA" w:rsidP="00BA52EA">
            <w:pPr>
              <w:rPr>
                <w:sz w:val="22"/>
                <w:szCs w:val="22"/>
              </w:rPr>
            </w:pPr>
            <w:r>
              <w:rPr>
                <w:sz w:val="22"/>
                <w:szCs w:val="22"/>
              </w:rPr>
              <w:t xml:space="preserve">         </w:t>
            </w:r>
            <w:r w:rsidRPr="00BA52EA">
              <w:rPr>
                <w:sz w:val="22"/>
                <w:szCs w:val="22"/>
              </w:rPr>
              <w:t>NAL/Acct. No.:  201232620003</w:t>
            </w:r>
          </w:p>
          <w:p w:rsidR="00BA52EA" w:rsidRPr="00BA52EA" w:rsidRDefault="00BA52EA" w:rsidP="00BA52EA">
            <w:pPr>
              <w:rPr>
                <w:sz w:val="22"/>
                <w:szCs w:val="22"/>
              </w:rPr>
            </w:pPr>
            <w:r>
              <w:rPr>
                <w:sz w:val="22"/>
                <w:szCs w:val="22"/>
              </w:rPr>
              <w:t xml:space="preserve">         </w:t>
            </w:r>
            <w:r w:rsidRPr="00BA52EA">
              <w:rPr>
                <w:sz w:val="22"/>
                <w:szCs w:val="22"/>
              </w:rPr>
              <w:t>FRN:  0010300747</w:t>
            </w:r>
          </w:p>
          <w:p w:rsidR="00BA52EA" w:rsidRPr="00BA52EA" w:rsidRDefault="00BA52EA" w:rsidP="00303F93">
            <w:pPr>
              <w:rPr>
                <w:sz w:val="22"/>
                <w:szCs w:val="22"/>
              </w:rPr>
            </w:pPr>
            <w:r>
              <w:rPr>
                <w:sz w:val="22"/>
                <w:szCs w:val="22"/>
              </w:rPr>
              <w:t xml:space="preserve">         </w:t>
            </w:r>
            <w:r w:rsidRPr="00BA52EA">
              <w:rPr>
                <w:sz w:val="22"/>
                <w:szCs w:val="22"/>
              </w:rPr>
              <w:t>Facility ID No.:  14053</w:t>
            </w:r>
          </w:p>
        </w:tc>
      </w:tr>
    </w:tbl>
    <w:p w:rsidR="008B13C1" w:rsidRDefault="008B13C1" w:rsidP="008B13C1">
      <w:pPr>
        <w:spacing w:line="226" w:lineRule="auto"/>
        <w:jc w:val="both"/>
        <w:rPr>
          <w:sz w:val="22"/>
          <w:szCs w:val="22"/>
        </w:rPr>
      </w:pPr>
    </w:p>
    <w:p w:rsidR="00303F93" w:rsidRPr="008B13C1" w:rsidRDefault="008B13C1" w:rsidP="008B13C1">
      <w:pPr>
        <w:spacing w:line="226" w:lineRule="auto"/>
        <w:jc w:val="center"/>
        <w:rPr>
          <w:b/>
          <w:sz w:val="22"/>
          <w:szCs w:val="22"/>
        </w:rPr>
      </w:pPr>
      <w:r w:rsidRPr="008B13C1">
        <w:rPr>
          <w:b/>
          <w:sz w:val="22"/>
          <w:szCs w:val="22"/>
        </w:rPr>
        <w:t>MEMORANDUM OPINION AND ORDER</w:t>
      </w:r>
    </w:p>
    <w:p w:rsidR="00303F93" w:rsidRDefault="00303F93">
      <w:pPr>
        <w:spacing w:line="226" w:lineRule="auto"/>
        <w:jc w:val="both"/>
        <w:rPr>
          <w:sz w:val="22"/>
          <w:szCs w:val="22"/>
        </w:rPr>
      </w:pPr>
    </w:p>
    <w:p w:rsidR="00303F93" w:rsidRDefault="00303F93">
      <w:pPr>
        <w:tabs>
          <w:tab w:val="left" w:pos="720"/>
          <w:tab w:val="left" w:pos="5760"/>
        </w:tabs>
        <w:suppressAutoHyphens/>
        <w:spacing w:line="227" w:lineRule="auto"/>
        <w:jc w:val="both"/>
        <w:rPr>
          <w:spacing w:val="-2"/>
          <w:sz w:val="22"/>
          <w:szCs w:val="22"/>
        </w:rPr>
      </w:pPr>
      <w:r>
        <w:rPr>
          <w:b/>
          <w:spacing w:val="-2"/>
          <w:sz w:val="22"/>
          <w:szCs w:val="22"/>
        </w:rPr>
        <w:t xml:space="preserve">Adopted:  </w:t>
      </w:r>
      <w:r w:rsidR="000F56E7">
        <w:rPr>
          <w:b/>
          <w:spacing w:val="-2"/>
          <w:sz w:val="22"/>
          <w:szCs w:val="22"/>
        </w:rPr>
        <w:t>October 14</w:t>
      </w:r>
      <w:r w:rsidR="00360ED3">
        <w:rPr>
          <w:b/>
          <w:spacing w:val="-2"/>
          <w:sz w:val="22"/>
          <w:szCs w:val="22"/>
        </w:rPr>
        <w:t>, 2014</w:t>
      </w:r>
      <w:r>
        <w:rPr>
          <w:b/>
          <w:spacing w:val="-2"/>
          <w:sz w:val="22"/>
          <w:szCs w:val="22"/>
        </w:rPr>
        <w:tab/>
      </w:r>
      <w:r>
        <w:rPr>
          <w:b/>
          <w:spacing w:val="-2"/>
          <w:sz w:val="22"/>
          <w:szCs w:val="22"/>
        </w:rPr>
        <w:tab/>
        <w:t xml:space="preserve">Released:  </w:t>
      </w:r>
      <w:r w:rsidR="000F56E7">
        <w:rPr>
          <w:b/>
          <w:spacing w:val="-2"/>
          <w:sz w:val="22"/>
          <w:szCs w:val="22"/>
        </w:rPr>
        <w:t>October 14</w:t>
      </w:r>
      <w:r>
        <w:rPr>
          <w:b/>
          <w:spacing w:val="-2"/>
          <w:sz w:val="22"/>
          <w:szCs w:val="22"/>
        </w:rPr>
        <w:t>, 201</w:t>
      </w:r>
      <w:r w:rsidR="00360ED3">
        <w:rPr>
          <w:b/>
          <w:spacing w:val="-2"/>
          <w:sz w:val="22"/>
          <w:szCs w:val="22"/>
        </w:rPr>
        <w:t>4</w:t>
      </w:r>
    </w:p>
    <w:p w:rsidR="00303F93" w:rsidRDefault="00303F93">
      <w:pPr>
        <w:tabs>
          <w:tab w:val="left" w:pos="720"/>
          <w:tab w:val="left" w:pos="5760"/>
        </w:tabs>
        <w:suppressAutoHyphens/>
        <w:spacing w:line="227" w:lineRule="auto"/>
        <w:jc w:val="both"/>
        <w:rPr>
          <w:b/>
          <w:spacing w:val="-2"/>
          <w:sz w:val="22"/>
          <w:szCs w:val="22"/>
        </w:rPr>
      </w:pPr>
    </w:p>
    <w:p w:rsidR="00303F93" w:rsidRDefault="00CE7EDA">
      <w:pPr>
        <w:tabs>
          <w:tab w:val="left" w:pos="720"/>
          <w:tab w:val="left" w:pos="5760"/>
        </w:tabs>
        <w:suppressAutoHyphens/>
        <w:spacing w:line="227" w:lineRule="auto"/>
        <w:jc w:val="both"/>
        <w:rPr>
          <w:spacing w:val="-2"/>
          <w:sz w:val="22"/>
          <w:szCs w:val="22"/>
        </w:rPr>
      </w:pPr>
      <w:r>
        <w:rPr>
          <w:spacing w:val="-2"/>
          <w:sz w:val="22"/>
          <w:szCs w:val="22"/>
        </w:rPr>
        <w:t>By the Chief, Enforcement Bureau</w:t>
      </w:r>
      <w:r w:rsidR="00303F93">
        <w:rPr>
          <w:spacing w:val="-2"/>
          <w:sz w:val="22"/>
          <w:szCs w:val="22"/>
        </w:rPr>
        <w:t xml:space="preserve">: </w:t>
      </w:r>
    </w:p>
    <w:p w:rsidR="00303F93" w:rsidRDefault="00303F93">
      <w:pPr>
        <w:tabs>
          <w:tab w:val="left" w:pos="720"/>
          <w:tab w:val="left" w:pos="5760"/>
        </w:tabs>
        <w:suppressAutoHyphens/>
        <w:spacing w:line="227" w:lineRule="auto"/>
        <w:jc w:val="both"/>
        <w:rPr>
          <w:spacing w:val="-2"/>
          <w:sz w:val="22"/>
          <w:szCs w:val="22"/>
        </w:rPr>
      </w:pPr>
    </w:p>
    <w:p w:rsidR="00303F93" w:rsidRPr="008B13C1" w:rsidRDefault="00303F93" w:rsidP="00C4153B">
      <w:pPr>
        <w:tabs>
          <w:tab w:val="left" w:pos="720"/>
          <w:tab w:val="left" w:pos="5760"/>
        </w:tabs>
        <w:suppressAutoHyphens/>
        <w:spacing w:after="120"/>
        <w:rPr>
          <w:b/>
          <w:spacing w:val="-2"/>
          <w:sz w:val="22"/>
          <w:szCs w:val="22"/>
        </w:rPr>
      </w:pPr>
      <w:r>
        <w:rPr>
          <w:b/>
          <w:spacing w:val="-2"/>
          <w:sz w:val="22"/>
          <w:szCs w:val="22"/>
        </w:rPr>
        <w:t>I.</w:t>
      </w:r>
      <w:r>
        <w:rPr>
          <w:b/>
          <w:spacing w:val="-2"/>
          <w:sz w:val="22"/>
          <w:szCs w:val="22"/>
        </w:rPr>
        <w:tab/>
        <w:t xml:space="preserve"> INTRODUCTION</w:t>
      </w:r>
    </w:p>
    <w:p w:rsidR="00303F93" w:rsidRDefault="00CE7EDA" w:rsidP="00C4153B">
      <w:pPr>
        <w:pStyle w:val="ParaNum"/>
        <w:widowControl/>
        <w:numPr>
          <w:ilvl w:val="0"/>
          <w:numId w:val="11"/>
        </w:numPr>
        <w:tabs>
          <w:tab w:val="clear" w:pos="1080"/>
          <w:tab w:val="num" w:pos="1440"/>
        </w:tabs>
        <w:spacing w:after="120"/>
        <w:jc w:val="left"/>
        <w:rPr>
          <w:szCs w:val="22"/>
        </w:rPr>
      </w:pPr>
      <w:r>
        <w:rPr>
          <w:szCs w:val="22"/>
        </w:rPr>
        <w:t>This Memorandum Opinion and Order denies an</w:t>
      </w:r>
      <w:r w:rsidR="001A7816">
        <w:rPr>
          <w:szCs w:val="22"/>
        </w:rPr>
        <w:t xml:space="preserve"> Application for Review</w:t>
      </w:r>
      <w:r>
        <w:rPr>
          <w:rStyle w:val="FootnoteReference"/>
          <w:szCs w:val="22"/>
        </w:rPr>
        <w:footnoteReference w:id="3"/>
      </w:r>
      <w:r w:rsidR="001A7816">
        <w:rPr>
          <w:szCs w:val="22"/>
        </w:rPr>
        <w:t xml:space="preserve"> filed by Wagenvoord </w:t>
      </w:r>
      <w:r w:rsidR="0081435B">
        <w:rPr>
          <w:szCs w:val="22"/>
        </w:rPr>
        <w:t>Advertising</w:t>
      </w:r>
      <w:r w:rsidR="001A7816">
        <w:rPr>
          <w:szCs w:val="22"/>
        </w:rPr>
        <w:t xml:space="preserve"> Group, Inc. (Wagenvoord), </w:t>
      </w:r>
      <w:r w:rsidR="001A7816">
        <w:rPr>
          <w:spacing w:val="-2"/>
          <w:szCs w:val="22"/>
        </w:rPr>
        <w:t>former licensee of Station KL</w:t>
      </w:r>
      <w:r w:rsidR="008B13C1">
        <w:rPr>
          <w:spacing w:val="-2"/>
          <w:szCs w:val="22"/>
        </w:rPr>
        <w:t>RG-AM, in Sheridan, Arkansas.  Wagenvoord</w:t>
      </w:r>
      <w:r w:rsidR="00CF4E09">
        <w:rPr>
          <w:spacing w:val="-2"/>
          <w:szCs w:val="22"/>
        </w:rPr>
        <w:t xml:space="preserve"> request</w:t>
      </w:r>
      <w:r w:rsidR="008B13C1">
        <w:rPr>
          <w:spacing w:val="-2"/>
          <w:szCs w:val="22"/>
        </w:rPr>
        <w:t xml:space="preserve">s </w:t>
      </w:r>
      <w:r w:rsidR="004A4147">
        <w:rPr>
          <w:spacing w:val="-2"/>
          <w:szCs w:val="22"/>
        </w:rPr>
        <w:t>cancellation of the $7</w:t>
      </w:r>
      <w:r w:rsidR="00CF4E09">
        <w:rPr>
          <w:spacing w:val="-2"/>
          <w:szCs w:val="22"/>
        </w:rPr>
        <w:t xml:space="preserve">,000 forfeiture imposed </w:t>
      </w:r>
      <w:r w:rsidR="008B13C1">
        <w:rPr>
          <w:spacing w:val="-2"/>
          <w:szCs w:val="22"/>
        </w:rPr>
        <w:t xml:space="preserve">on it </w:t>
      </w:r>
      <w:r w:rsidR="00CF4E09">
        <w:rPr>
          <w:spacing w:val="-2"/>
          <w:szCs w:val="22"/>
        </w:rPr>
        <w:t>by the Enforcemen</w:t>
      </w:r>
      <w:r w:rsidR="008B13C1">
        <w:rPr>
          <w:spacing w:val="-2"/>
          <w:szCs w:val="22"/>
        </w:rPr>
        <w:t xml:space="preserve">t Bureau </w:t>
      </w:r>
      <w:r w:rsidR="00CF4E09">
        <w:rPr>
          <w:spacing w:val="-2"/>
          <w:szCs w:val="22"/>
        </w:rPr>
        <w:t xml:space="preserve">for </w:t>
      </w:r>
      <w:r w:rsidR="00206E8D">
        <w:rPr>
          <w:szCs w:val="22"/>
        </w:rPr>
        <w:t>failing to have an effective locked fence around its ant</w:t>
      </w:r>
      <w:r w:rsidR="008B13C1">
        <w:rPr>
          <w:szCs w:val="22"/>
        </w:rPr>
        <w:t>enna structure.</w:t>
      </w:r>
      <w:r w:rsidR="00CD48A9">
        <w:rPr>
          <w:szCs w:val="22"/>
        </w:rPr>
        <w:t xml:space="preserve">  </w:t>
      </w:r>
      <w:r w:rsidR="00CD48A9">
        <w:t>The Commission’s fencing rules protect the public by limiting access to areas with a high potential for radio</w:t>
      </w:r>
      <w:r w:rsidR="002835A3">
        <w:t xml:space="preserve"> </w:t>
      </w:r>
      <w:r w:rsidR="00CD48A9">
        <w:t xml:space="preserve">frequency </w:t>
      </w:r>
      <w:r w:rsidR="002835A3">
        <w:t xml:space="preserve">(RF) </w:t>
      </w:r>
      <w:r w:rsidR="00CD48A9">
        <w:t xml:space="preserve">exposure.  </w:t>
      </w:r>
      <w:r w:rsidR="008B13C1">
        <w:rPr>
          <w:szCs w:val="22"/>
        </w:rPr>
        <w:t>W</w:t>
      </w:r>
      <w:r w:rsidR="00206E8D">
        <w:rPr>
          <w:szCs w:val="22"/>
        </w:rPr>
        <w:t>e find that Wagenvoord failed to provide compelling evidence that a locked fe</w:t>
      </w:r>
      <w:r w:rsidR="00CD48A9">
        <w:rPr>
          <w:szCs w:val="22"/>
        </w:rPr>
        <w:t xml:space="preserve">nce was not required </w:t>
      </w:r>
      <w:r w:rsidR="0081435B">
        <w:rPr>
          <w:szCs w:val="22"/>
        </w:rPr>
        <w:t xml:space="preserve">for its antenna structure </w:t>
      </w:r>
      <w:r w:rsidR="00CD48A9">
        <w:rPr>
          <w:szCs w:val="22"/>
        </w:rPr>
        <w:t xml:space="preserve">and </w:t>
      </w:r>
      <w:r w:rsidR="00CD48A9">
        <w:rPr>
          <w:color w:val="000000"/>
          <w:szCs w:val="22"/>
        </w:rPr>
        <w:t>affirm our conclusion that Wagenvord violated the Commission’s rules</w:t>
      </w:r>
      <w:r w:rsidR="002E687A">
        <w:rPr>
          <w:szCs w:val="22"/>
        </w:rPr>
        <w:t xml:space="preserve">.  However, we </w:t>
      </w:r>
      <w:r w:rsidR="00CD48A9">
        <w:rPr>
          <w:szCs w:val="22"/>
        </w:rPr>
        <w:t xml:space="preserve">find on our own motion that a reduction of the forfeiture to </w:t>
      </w:r>
      <w:r w:rsidR="004A4147">
        <w:rPr>
          <w:szCs w:val="22"/>
        </w:rPr>
        <w:t>$5,6</w:t>
      </w:r>
      <w:r w:rsidR="002E687A">
        <w:rPr>
          <w:szCs w:val="22"/>
        </w:rPr>
        <w:t xml:space="preserve">00 </w:t>
      </w:r>
      <w:r w:rsidR="00CD48A9">
        <w:rPr>
          <w:szCs w:val="22"/>
        </w:rPr>
        <w:t xml:space="preserve">is warranted </w:t>
      </w:r>
      <w:r w:rsidR="002E687A">
        <w:rPr>
          <w:szCs w:val="22"/>
        </w:rPr>
        <w:t xml:space="preserve">based on Wagenvoord’s good faith efforts to comply with the </w:t>
      </w:r>
      <w:r w:rsidR="00CD48A9">
        <w:rPr>
          <w:szCs w:val="22"/>
        </w:rPr>
        <w:t xml:space="preserve">Commission’s </w:t>
      </w:r>
      <w:r w:rsidR="002E687A">
        <w:rPr>
          <w:szCs w:val="22"/>
        </w:rPr>
        <w:t xml:space="preserve">rules </w:t>
      </w:r>
      <w:r w:rsidR="00CD48A9">
        <w:rPr>
          <w:szCs w:val="22"/>
        </w:rPr>
        <w:t xml:space="preserve">taken prior to the </w:t>
      </w:r>
      <w:r w:rsidR="002E687A">
        <w:rPr>
          <w:szCs w:val="22"/>
        </w:rPr>
        <w:t xml:space="preserve">inspection of Station KLRG-AM.  </w:t>
      </w:r>
      <w:r w:rsidR="00303F93">
        <w:rPr>
          <w:szCs w:val="22"/>
        </w:rPr>
        <w:t xml:space="preserve"> </w:t>
      </w:r>
    </w:p>
    <w:p w:rsidR="00303F93" w:rsidRDefault="00303F93" w:rsidP="00C4153B">
      <w:pPr>
        <w:pStyle w:val="Heading3"/>
        <w:tabs>
          <w:tab w:val="left" w:pos="720"/>
        </w:tabs>
        <w:spacing w:after="120" w:line="240" w:lineRule="auto"/>
        <w:rPr>
          <w:spacing w:val="-2"/>
          <w:szCs w:val="22"/>
        </w:rPr>
      </w:pPr>
      <w:r>
        <w:rPr>
          <w:szCs w:val="22"/>
        </w:rPr>
        <w:t xml:space="preserve">II.  </w:t>
      </w:r>
      <w:r>
        <w:rPr>
          <w:szCs w:val="22"/>
        </w:rPr>
        <w:tab/>
        <w:t>BACKGROUND</w:t>
      </w:r>
    </w:p>
    <w:p w:rsidR="00347C07" w:rsidRPr="00347C07" w:rsidRDefault="00CD48A9" w:rsidP="00C4153B">
      <w:pPr>
        <w:pStyle w:val="ParaNum"/>
        <w:widowControl/>
        <w:numPr>
          <w:ilvl w:val="0"/>
          <w:numId w:val="11"/>
        </w:numPr>
        <w:tabs>
          <w:tab w:val="clear" w:pos="1080"/>
          <w:tab w:val="num" w:pos="1440"/>
        </w:tabs>
        <w:spacing w:after="120"/>
        <w:jc w:val="left"/>
      </w:pPr>
      <w:r>
        <w:rPr>
          <w:spacing w:val="-2"/>
        </w:rPr>
        <w:t>On March 1, 2013, the Enforcement Bureau</w:t>
      </w:r>
      <w:r w:rsidR="00D84DA2">
        <w:rPr>
          <w:spacing w:val="-2"/>
        </w:rPr>
        <w:t xml:space="preserve"> issued a </w:t>
      </w:r>
      <w:r w:rsidR="00D84DA2" w:rsidRPr="00C4153B">
        <w:rPr>
          <w:i/>
          <w:spacing w:val="-2"/>
        </w:rPr>
        <w:t>Forfeiture Order</w:t>
      </w:r>
      <w:r w:rsidR="00D84DA2">
        <w:rPr>
          <w:rStyle w:val="FootnoteReference"/>
          <w:spacing w:val="-2"/>
        </w:rPr>
        <w:footnoteReference w:id="4"/>
      </w:r>
      <w:r w:rsidR="00D84DA2">
        <w:rPr>
          <w:spacing w:val="-2"/>
        </w:rPr>
        <w:t xml:space="preserve"> finding that Wagenvoord violated Section 73.49 of the Commission’s rules (Rules)</w:t>
      </w:r>
      <w:r w:rsidR="00D84DA2">
        <w:rPr>
          <w:rStyle w:val="FootnoteReference"/>
          <w:spacing w:val="-2"/>
        </w:rPr>
        <w:footnoteReference w:id="5"/>
      </w:r>
      <w:r w:rsidR="00D84DA2">
        <w:rPr>
          <w:spacing w:val="-2"/>
        </w:rPr>
        <w:t xml:space="preserve"> by failing to maintain an effective locked fence around its antenna structure.</w:t>
      </w:r>
      <w:r w:rsidR="002634E0">
        <w:rPr>
          <w:rStyle w:val="FootnoteReference"/>
          <w:spacing w:val="-2"/>
        </w:rPr>
        <w:footnoteReference w:id="6"/>
      </w:r>
      <w:r w:rsidR="00D84DA2">
        <w:rPr>
          <w:spacing w:val="-2"/>
        </w:rPr>
        <w:t xml:space="preserve">  </w:t>
      </w:r>
      <w:r w:rsidR="005E13F4" w:rsidRPr="00694947">
        <w:rPr>
          <w:spacing w:val="-2"/>
        </w:rPr>
        <w:t>Section 73.49 of the</w:t>
      </w:r>
      <w:r w:rsidR="002E687A">
        <w:rPr>
          <w:spacing w:val="-2"/>
        </w:rPr>
        <w:t xml:space="preserve"> </w:t>
      </w:r>
      <w:r w:rsidR="005E13F4" w:rsidRPr="00694947">
        <w:rPr>
          <w:spacing w:val="-2"/>
        </w:rPr>
        <w:t>Rules states</w:t>
      </w:r>
      <w:r w:rsidR="005E13F4">
        <w:rPr>
          <w:spacing w:val="-2"/>
        </w:rPr>
        <w:t xml:space="preserve"> that</w:t>
      </w:r>
      <w:r w:rsidR="005E13F4" w:rsidRPr="00694947">
        <w:rPr>
          <w:spacing w:val="-2"/>
        </w:rPr>
        <w:t xml:space="preserve"> </w:t>
      </w:r>
      <w:r w:rsidR="002634E0">
        <w:rPr>
          <w:spacing w:val="-2"/>
        </w:rPr>
        <w:t>“</w:t>
      </w:r>
      <w:r w:rsidR="00347C07">
        <w:rPr>
          <w:spacing w:val="-2"/>
        </w:rPr>
        <w:t>[a]</w:t>
      </w:r>
      <w:r w:rsidR="005E13F4" w:rsidRPr="00694947">
        <w:rPr>
          <w:iCs/>
          <w:spacing w:val="-2"/>
        </w:rPr>
        <w:t xml:space="preserve">ntenna </w:t>
      </w:r>
      <w:r w:rsidR="00347C07">
        <w:rPr>
          <w:iCs/>
          <w:spacing w:val="-2"/>
        </w:rPr>
        <w:t xml:space="preserve">towers </w:t>
      </w:r>
      <w:r w:rsidR="002634E0">
        <w:rPr>
          <w:iCs/>
          <w:spacing w:val="-2"/>
        </w:rPr>
        <w:t>having radio frequency</w:t>
      </w:r>
      <w:r w:rsidR="005E13F4">
        <w:rPr>
          <w:iCs/>
          <w:spacing w:val="-2"/>
        </w:rPr>
        <w:t xml:space="preserve"> </w:t>
      </w:r>
      <w:r w:rsidR="005E13F4" w:rsidRPr="00694947">
        <w:rPr>
          <w:iCs/>
          <w:spacing w:val="-2"/>
        </w:rPr>
        <w:t>potential at the base</w:t>
      </w:r>
      <w:r w:rsidR="00783AE2">
        <w:rPr>
          <w:iCs/>
          <w:spacing w:val="-2"/>
        </w:rPr>
        <w:t xml:space="preserve"> (series fed, folded unipole, and insulated base antennas)</w:t>
      </w:r>
      <w:r w:rsidR="002634E0">
        <w:rPr>
          <w:iCs/>
          <w:spacing w:val="-2"/>
        </w:rPr>
        <w:t xml:space="preserve"> </w:t>
      </w:r>
      <w:r w:rsidR="005E13F4" w:rsidRPr="00694947">
        <w:rPr>
          <w:iCs/>
          <w:spacing w:val="-2"/>
        </w:rPr>
        <w:t>must be enclosed within effective locked fence</w:t>
      </w:r>
      <w:r w:rsidR="005E13F4">
        <w:rPr>
          <w:iCs/>
          <w:spacing w:val="-2"/>
        </w:rPr>
        <w:t>s</w:t>
      </w:r>
      <w:r w:rsidR="005E13F4" w:rsidRPr="00694947">
        <w:rPr>
          <w:iCs/>
          <w:spacing w:val="-2"/>
        </w:rPr>
        <w:t xml:space="preserve"> or other enclosure</w:t>
      </w:r>
      <w:r w:rsidR="005E13F4">
        <w:rPr>
          <w:iCs/>
          <w:spacing w:val="-2"/>
        </w:rPr>
        <w:t>s</w:t>
      </w:r>
      <w:r w:rsidR="005E13F4" w:rsidRPr="00694947">
        <w:rPr>
          <w:iCs/>
          <w:spacing w:val="-2"/>
        </w:rPr>
        <w:t>.</w:t>
      </w:r>
      <w:r w:rsidR="005E13F4">
        <w:rPr>
          <w:iCs/>
          <w:spacing w:val="-2"/>
        </w:rPr>
        <w:t>”</w:t>
      </w:r>
      <w:r w:rsidR="005E13F4">
        <w:rPr>
          <w:rStyle w:val="FootnoteReference"/>
          <w:iCs/>
          <w:spacing w:val="-2"/>
        </w:rPr>
        <w:footnoteReference w:id="7"/>
      </w:r>
      <w:r w:rsidR="005E13F4">
        <w:rPr>
          <w:iCs/>
          <w:spacing w:val="-2"/>
        </w:rPr>
        <w:t xml:space="preserve">  </w:t>
      </w:r>
      <w:r w:rsidR="002634E0" w:rsidRPr="00694947">
        <w:rPr>
          <w:spacing w:val="-2"/>
        </w:rPr>
        <w:t xml:space="preserve">Section 73.49 </w:t>
      </w:r>
      <w:r w:rsidR="002634E0">
        <w:rPr>
          <w:spacing w:val="-2"/>
        </w:rPr>
        <w:t xml:space="preserve">of the Rules further provides </w:t>
      </w:r>
      <w:r w:rsidR="002634E0">
        <w:rPr>
          <w:spacing w:val="-2"/>
        </w:rPr>
        <w:lastRenderedPageBreak/>
        <w:t xml:space="preserve">that </w:t>
      </w:r>
      <w:r w:rsidR="005E13F4">
        <w:rPr>
          <w:iCs/>
          <w:spacing w:val="-2"/>
        </w:rPr>
        <w:t>“</w:t>
      </w:r>
      <w:r w:rsidR="002634E0">
        <w:rPr>
          <w:iCs/>
          <w:spacing w:val="-2"/>
        </w:rPr>
        <w:t>[i]</w:t>
      </w:r>
      <w:r w:rsidR="00347C07">
        <w:rPr>
          <w:iCs/>
          <w:spacing w:val="-2"/>
        </w:rPr>
        <w:t>ndividual tower fen</w:t>
      </w:r>
      <w:r w:rsidR="005E13F4">
        <w:rPr>
          <w:iCs/>
          <w:spacing w:val="-2"/>
        </w:rPr>
        <w:t>c</w:t>
      </w:r>
      <w:r w:rsidR="00347C07">
        <w:rPr>
          <w:iCs/>
          <w:spacing w:val="-2"/>
        </w:rPr>
        <w:t>e</w:t>
      </w:r>
      <w:r w:rsidR="005E13F4">
        <w:rPr>
          <w:iCs/>
          <w:spacing w:val="-2"/>
        </w:rPr>
        <w:t>s need not be installed if the towers are contained within a protective property fence.”</w:t>
      </w:r>
      <w:r w:rsidR="005E13F4">
        <w:rPr>
          <w:rStyle w:val="FootnoteReference"/>
          <w:iCs/>
          <w:spacing w:val="-2"/>
        </w:rPr>
        <w:footnoteReference w:id="8"/>
      </w:r>
      <w:r w:rsidR="005E13F4">
        <w:rPr>
          <w:iCs/>
          <w:spacing w:val="-2"/>
        </w:rPr>
        <w:t xml:space="preserve">  </w:t>
      </w:r>
    </w:p>
    <w:p w:rsidR="00303F93" w:rsidRDefault="004F032B" w:rsidP="00C4153B">
      <w:pPr>
        <w:pStyle w:val="ParaNum"/>
        <w:widowControl/>
        <w:numPr>
          <w:ilvl w:val="0"/>
          <w:numId w:val="11"/>
        </w:numPr>
        <w:tabs>
          <w:tab w:val="clear" w:pos="1080"/>
          <w:tab w:val="num" w:pos="1440"/>
        </w:tabs>
        <w:spacing w:after="120"/>
        <w:jc w:val="left"/>
      </w:pPr>
      <w:r>
        <w:t>It</w:t>
      </w:r>
      <w:r w:rsidR="002634E0">
        <w:t xml:space="preserve"> is undisputed that Station </w:t>
      </w:r>
      <w:r w:rsidR="002634E0">
        <w:rPr>
          <w:szCs w:val="22"/>
        </w:rPr>
        <w:t>KLRG-AM</w:t>
      </w:r>
      <w:r>
        <w:t xml:space="preserve">’s antenna structure </w:t>
      </w:r>
      <w:r w:rsidR="000370C2">
        <w:t>was not surrounded by an</w:t>
      </w:r>
      <w:r w:rsidR="004A4147">
        <w:t xml:space="preserve"> individual </w:t>
      </w:r>
      <w:r w:rsidR="002634E0">
        <w:t>locked fence</w:t>
      </w:r>
      <w:r w:rsidR="000370C2">
        <w:t xml:space="preserve"> or </w:t>
      </w:r>
      <w:r w:rsidR="004A4147">
        <w:t xml:space="preserve">protective property fence </w:t>
      </w:r>
      <w:r w:rsidR="002634E0">
        <w:t>at the time of inspection, but was built on top of a 7-foot concrete pedestal encased in 19 ¾ inches worth of insulation</w:t>
      </w:r>
      <w:r w:rsidR="00EC5BAA">
        <w:t xml:space="preserve">.  </w:t>
      </w:r>
      <w:r>
        <w:t>What is in dispute is whether</w:t>
      </w:r>
      <w:r w:rsidR="002E0A21">
        <w:t xml:space="preserve"> the concrete pedestal</w:t>
      </w:r>
      <w:r w:rsidR="00EC5BAA">
        <w:t xml:space="preserve"> and insulation was sufficient to comply with Section 73.49 of the Rules.  </w:t>
      </w:r>
      <w:r w:rsidR="0060624B">
        <w:t xml:space="preserve">The </w:t>
      </w:r>
      <w:r w:rsidR="0062570E" w:rsidRPr="002634E0">
        <w:rPr>
          <w:i/>
        </w:rPr>
        <w:t>Forfeiture Order</w:t>
      </w:r>
      <w:r w:rsidR="0060624B" w:rsidRPr="002634E0">
        <w:rPr>
          <w:i/>
        </w:rPr>
        <w:t xml:space="preserve"> </w:t>
      </w:r>
      <w:r w:rsidR="000370C2">
        <w:t xml:space="preserve">found that the </w:t>
      </w:r>
      <w:r w:rsidR="002318A8">
        <w:t>“</w:t>
      </w:r>
      <w:r w:rsidR="000370C2">
        <w:t>base</w:t>
      </w:r>
      <w:r w:rsidR="002318A8">
        <w:t>”</w:t>
      </w:r>
      <w:r w:rsidR="000370C2">
        <w:t xml:space="preserve"> referenced in Section 73.49 referred to the “</w:t>
      </w:r>
      <w:r w:rsidR="000370C2" w:rsidRPr="002634E0">
        <w:rPr>
          <w:spacing w:val="-2"/>
        </w:rPr>
        <w:t>base of the metal portion of the antenna structure” and that therefore</w:t>
      </w:r>
      <w:r w:rsidR="002634E0">
        <w:rPr>
          <w:spacing w:val="-2"/>
        </w:rPr>
        <w:t xml:space="preserve"> there was </w:t>
      </w:r>
      <w:r w:rsidR="002835A3">
        <w:rPr>
          <w:spacing w:val="-2"/>
        </w:rPr>
        <w:t xml:space="preserve">RF </w:t>
      </w:r>
      <w:r w:rsidR="000370C2" w:rsidRPr="002634E0">
        <w:rPr>
          <w:spacing w:val="-2"/>
        </w:rPr>
        <w:t>potential at the base</w:t>
      </w:r>
      <w:r w:rsidR="002634E0">
        <w:rPr>
          <w:spacing w:val="-2"/>
        </w:rPr>
        <w:t xml:space="preserve"> of Wagenvoord’s antenna structure</w:t>
      </w:r>
      <w:r w:rsidR="000370C2" w:rsidRPr="002634E0">
        <w:rPr>
          <w:spacing w:val="-2"/>
        </w:rPr>
        <w:t>, “albeit not at ground level.”</w:t>
      </w:r>
      <w:r w:rsidR="002318A8">
        <w:rPr>
          <w:rStyle w:val="FootnoteReference"/>
          <w:spacing w:val="-2"/>
        </w:rPr>
        <w:footnoteReference w:id="9"/>
      </w:r>
      <w:r w:rsidR="000370C2" w:rsidRPr="002634E0">
        <w:rPr>
          <w:spacing w:val="-2"/>
        </w:rPr>
        <w:t xml:space="preserve">  Accordingly, the </w:t>
      </w:r>
      <w:r w:rsidR="0060624B" w:rsidRPr="002634E0">
        <w:rPr>
          <w:i/>
          <w:spacing w:val="-2"/>
        </w:rPr>
        <w:t>F</w:t>
      </w:r>
      <w:r w:rsidR="0062570E" w:rsidRPr="002634E0">
        <w:rPr>
          <w:i/>
          <w:spacing w:val="-2"/>
        </w:rPr>
        <w:t>orfeiture Order</w:t>
      </w:r>
      <w:r w:rsidR="000370C2" w:rsidRPr="002634E0">
        <w:rPr>
          <w:spacing w:val="-2"/>
        </w:rPr>
        <w:t xml:space="preserve"> found the antenna structure was required to be enclosed within an effective locked fence </w:t>
      </w:r>
      <w:r w:rsidR="004A4147">
        <w:rPr>
          <w:spacing w:val="-2"/>
        </w:rPr>
        <w:t xml:space="preserve">or other enclosure </w:t>
      </w:r>
      <w:r w:rsidR="000370C2" w:rsidRPr="002634E0">
        <w:rPr>
          <w:spacing w:val="-2"/>
        </w:rPr>
        <w:t>and imposed a</w:t>
      </w:r>
      <w:r w:rsidR="004A4147">
        <w:rPr>
          <w:spacing w:val="-2"/>
        </w:rPr>
        <w:t xml:space="preserve"> $7,000</w:t>
      </w:r>
      <w:r w:rsidR="000370C2" w:rsidRPr="002634E0">
        <w:rPr>
          <w:spacing w:val="-2"/>
        </w:rPr>
        <w:t xml:space="preserve"> forfeiture.</w:t>
      </w:r>
      <w:r w:rsidR="004A4147">
        <w:rPr>
          <w:rStyle w:val="FootnoteReference"/>
          <w:spacing w:val="-2"/>
        </w:rPr>
        <w:footnoteReference w:id="10"/>
      </w:r>
      <w:r w:rsidR="000370C2" w:rsidRPr="002634E0">
        <w:rPr>
          <w:spacing w:val="-2"/>
        </w:rPr>
        <w:t xml:space="preserve">  In doing so, the </w:t>
      </w:r>
      <w:r w:rsidR="0060624B" w:rsidRPr="002634E0">
        <w:rPr>
          <w:i/>
          <w:spacing w:val="-2"/>
        </w:rPr>
        <w:t>F</w:t>
      </w:r>
      <w:r w:rsidR="0062570E" w:rsidRPr="002634E0">
        <w:rPr>
          <w:i/>
          <w:spacing w:val="-2"/>
        </w:rPr>
        <w:t>orfeiture Order</w:t>
      </w:r>
      <w:r w:rsidR="000370C2" w:rsidRPr="002634E0">
        <w:rPr>
          <w:spacing w:val="-2"/>
        </w:rPr>
        <w:t xml:space="preserve"> </w:t>
      </w:r>
      <w:r w:rsidR="00660B13" w:rsidRPr="002634E0">
        <w:rPr>
          <w:spacing w:val="-2"/>
        </w:rPr>
        <w:t>fou</w:t>
      </w:r>
      <w:r w:rsidR="00AA0D69" w:rsidRPr="002634E0">
        <w:rPr>
          <w:spacing w:val="-2"/>
        </w:rPr>
        <w:t xml:space="preserve">nd </w:t>
      </w:r>
      <w:r w:rsidR="00E9095C" w:rsidRPr="002634E0">
        <w:rPr>
          <w:spacing w:val="-2"/>
        </w:rPr>
        <w:t xml:space="preserve">Wagenvoord’s arguments that the forfeiture should be cancelled because the structure did not pose a safety hazard </w:t>
      </w:r>
      <w:r w:rsidR="00660B13" w:rsidRPr="002634E0">
        <w:rPr>
          <w:spacing w:val="-2"/>
        </w:rPr>
        <w:t>un</w:t>
      </w:r>
      <w:r w:rsidR="00E9095C" w:rsidRPr="002634E0">
        <w:rPr>
          <w:spacing w:val="-2"/>
        </w:rPr>
        <w:t>persuasive.</w:t>
      </w:r>
      <w:r w:rsidR="004A4147">
        <w:rPr>
          <w:rStyle w:val="FootnoteReference"/>
          <w:spacing w:val="-2"/>
        </w:rPr>
        <w:footnoteReference w:id="11"/>
      </w:r>
      <w:r w:rsidR="00E9095C" w:rsidRPr="002634E0">
        <w:rPr>
          <w:spacing w:val="-2"/>
        </w:rPr>
        <w:t xml:space="preserve">  </w:t>
      </w:r>
      <w:r w:rsidR="00303F93" w:rsidRPr="002634E0">
        <w:rPr>
          <w:szCs w:val="22"/>
        </w:rPr>
        <w:t xml:space="preserve">The </w:t>
      </w:r>
      <w:r w:rsidR="0060624B" w:rsidRPr="002634E0">
        <w:rPr>
          <w:i/>
          <w:szCs w:val="22"/>
        </w:rPr>
        <w:t>F</w:t>
      </w:r>
      <w:r w:rsidR="0062570E" w:rsidRPr="002634E0">
        <w:rPr>
          <w:i/>
          <w:szCs w:val="22"/>
        </w:rPr>
        <w:t>orfeiture Order</w:t>
      </w:r>
      <w:r w:rsidR="00303F93" w:rsidRPr="002634E0">
        <w:rPr>
          <w:szCs w:val="22"/>
        </w:rPr>
        <w:t xml:space="preserve"> also found that</w:t>
      </w:r>
      <w:r w:rsidR="002318A8" w:rsidRPr="002634E0">
        <w:rPr>
          <w:szCs w:val="22"/>
        </w:rPr>
        <w:t xml:space="preserve"> there were</w:t>
      </w:r>
      <w:r w:rsidR="00E9095C" w:rsidRPr="002634E0">
        <w:rPr>
          <w:szCs w:val="22"/>
        </w:rPr>
        <w:t xml:space="preserve"> no natural or other impediment</w:t>
      </w:r>
      <w:r w:rsidR="002318A8" w:rsidRPr="002634E0">
        <w:rPr>
          <w:szCs w:val="22"/>
        </w:rPr>
        <w:t>s</w:t>
      </w:r>
      <w:r w:rsidR="00E9095C" w:rsidRPr="002634E0">
        <w:rPr>
          <w:szCs w:val="22"/>
        </w:rPr>
        <w:t xml:space="preserve"> to Wagenvoord constructing an effective fence.</w:t>
      </w:r>
      <w:r w:rsidR="004A4147">
        <w:rPr>
          <w:rStyle w:val="FootnoteReference"/>
          <w:szCs w:val="22"/>
        </w:rPr>
        <w:footnoteReference w:id="12"/>
      </w:r>
      <w:r w:rsidR="00303F93" w:rsidRPr="002634E0">
        <w:rPr>
          <w:color w:val="000000"/>
          <w:szCs w:val="22"/>
        </w:rPr>
        <w:t xml:space="preserve">  </w:t>
      </w:r>
    </w:p>
    <w:p w:rsidR="00303F93" w:rsidRPr="008B13C1" w:rsidRDefault="00303F93" w:rsidP="00C4153B">
      <w:pPr>
        <w:pStyle w:val="Heading1"/>
        <w:numPr>
          <w:ilvl w:val="0"/>
          <w:numId w:val="43"/>
        </w:numPr>
        <w:tabs>
          <w:tab w:val="clear" w:pos="1080"/>
          <w:tab w:val="num" w:pos="720"/>
        </w:tabs>
        <w:spacing w:after="120" w:line="240" w:lineRule="auto"/>
        <w:ind w:left="720"/>
        <w:rPr>
          <w:szCs w:val="22"/>
        </w:rPr>
      </w:pPr>
      <w:r>
        <w:rPr>
          <w:szCs w:val="22"/>
        </w:rPr>
        <w:t>DISCUSSION</w:t>
      </w:r>
    </w:p>
    <w:p w:rsidR="00133373" w:rsidRDefault="00E9095C" w:rsidP="00C4153B">
      <w:pPr>
        <w:numPr>
          <w:ilvl w:val="0"/>
          <w:numId w:val="11"/>
        </w:numPr>
        <w:tabs>
          <w:tab w:val="clear" w:pos="1080"/>
          <w:tab w:val="left" w:pos="0"/>
          <w:tab w:val="num" w:pos="1440"/>
        </w:tabs>
        <w:suppressAutoHyphens/>
        <w:autoSpaceDE w:val="0"/>
        <w:autoSpaceDN w:val="0"/>
        <w:adjustRightInd w:val="0"/>
        <w:spacing w:after="120"/>
        <w:rPr>
          <w:sz w:val="22"/>
          <w:szCs w:val="22"/>
        </w:rPr>
      </w:pPr>
      <w:r>
        <w:rPr>
          <w:sz w:val="22"/>
          <w:szCs w:val="22"/>
        </w:rPr>
        <w:t>Wagenvoord</w:t>
      </w:r>
      <w:r w:rsidR="005E13F4">
        <w:rPr>
          <w:sz w:val="22"/>
          <w:szCs w:val="22"/>
        </w:rPr>
        <w:t xml:space="preserve"> presents two</w:t>
      </w:r>
      <w:r w:rsidR="00303F93">
        <w:rPr>
          <w:sz w:val="22"/>
          <w:szCs w:val="22"/>
        </w:rPr>
        <w:t xml:space="preserve"> questions for review</w:t>
      </w:r>
      <w:r w:rsidR="004A4147">
        <w:rPr>
          <w:sz w:val="22"/>
          <w:szCs w:val="22"/>
        </w:rPr>
        <w:t xml:space="preserve"> in its </w:t>
      </w:r>
      <w:r w:rsidR="004A4147">
        <w:rPr>
          <w:i/>
          <w:sz w:val="22"/>
          <w:szCs w:val="22"/>
        </w:rPr>
        <w:t>Petition</w:t>
      </w:r>
      <w:r w:rsidR="00303F93">
        <w:rPr>
          <w:sz w:val="22"/>
          <w:szCs w:val="22"/>
        </w:rPr>
        <w:t xml:space="preserve">.  It first asks </w:t>
      </w:r>
      <w:r w:rsidR="0084172E">
        <w:rPr>
          <w:sz w:val="22"/>
          <w:szCs w:val="22"/>
        </w:rPr>
        <w:t>“[</w:t>
      </w:r>
      <w:r w:rsidR="00303F93">
        <w:rPr>
          <w:sz w:val="22"/>
          <w:szCs w:val="22"/>
        </w:rPr>
        <w:t>w</w:t>
      </w:r>
      <w:r w:rsidR="0084172E">
        <w:rPr>
          <w:sz w:val="22"/>
          <w:szCs w:val="22"/>
        </w:rPr>
        <w:t>]</w:t>
      </w:r>
      <w:r w:rsidR="00303F93">
        <w:rPr>
          <w:sz w:val="22"/>
          <w:szCs w:val="22"/>
        </w:rPr>
        <w:t>hethe</w:t>
      </w:r>
      <w:r>
        <w:rPr>
          <w:sz w:val="22"/>
          <w:szCs w:val="22"/>
        </w:rPr>
        <w:t>r a licensee is required to maintain a fence surrounding an AM tower when the AM tower has no radio frequency at the base of the tower structure, and when the radiating portion of the AM fence is already inaccessible due to other barriers erected by the licensee.</w:t>
      </w:r>
      <w:r w:rsidR="0084172E">
        <w:rPr>
          <w:sz w:val="22"/>
          <w:szCs w:val="22"/>
        </w:rPr>
        <w:t>”</w:t>
      </w:r>
      <w:r w:rsidR="004A4147">
        <w:rPr>
          <w:rStyle w:val="FootnoteReference"/>
          <w:szCs w:val="22"/>
        </w:rPr>
        <w:footnoteReference w:id="13"/>
      </w:r>
      <w:r w:rsidR="00B32CBC">
        <w:rPr>
          <w:sz w:val="22"/>
          <w:szCs w:val="22"/>
        </w:rPr>
        <w:t xml:space="preserve">  W</w:t>
      </w:r>
      <w:r w:rsidR="00557094">
        <w:rPr>
          <w:sz w:val="22"/>
          <w:szCs w:val="22"/>
        </w:rPr>
        <w:t>agenvoord arg</w:t>
      </w:r>
      <w:r w:rsidR="00660B13">
        <w:rPr>
          <w:sz w:val="22"/>
          <w:szCs w:val="22"/>
        </w:rPr>
        <w:t>ues t</w:t>
      </w:r>
      <w:r w:rsidR="0081435B">
        <w:rPr>
          <w:sz w:val="22"/>
          <w:szCs w:val="22"/>
        </w:rPr>
        <w:t>hat its</w:t>
      </w:r>
      <w:r w:rsidR="00660B13">
        <w:rPr>
          <w:sz w:val="22"/>
          <w:szCs w:val="22"/>
        </w:rPr>
        <w:t xml:space="preserve"> </w:t>
      </w:r>
      <w:r w:rsidR="0081435B">
        <w:rPr>
          <w:sz w:val="22"/>
          <w:szCs w:val="22"/>
        </w:rPr>
        <w:t xml:space="preserve">AM </w:t>
      </w:r>
      <w:r w:rsidR="00660B13">
        <w:rPr>
          <w:sz w:val="22"/>
          <w:szCs w:val="22"/>
        </w:rPr>
        <w:t>antenna structure</w:t>
      </w:r>
      <w:r w:rsidR="00557094">
        <w:rPr>
          <w:sz w:val="22"/>
          <w:szCs w:val="22"/>
        </w:rPr>
        <w:t xml:space="preserve"> had no </w:t>
      </w:r>
      <w:r w:rsidR="002835A3">
        <w:rPr>
          <w:sz w:val="22"/>
          <w:szCs w:val="22"/>
        </w:rPr>
        <w:t xml:space="preserve">RF </w:t>
      </w:r>
      <w:r w:rsidR="00557094">
        <w:rPr>
          <w:sz w:val="22"/>
          <w:szCs w:val="22"/>
        </w:rPr>
        <w:t>potential at its “base,”</w:t>
      </w:r>
      <w:r w:rsidR="002E0A21">
        <w:rPr>
          <w:sz w:val="22"/>
          <w:szCs w:val="22"/>
        </w:rPr>
        <w:t xml:space="preserve"> </w:t>
      </w:r>
      <w:r w:rsidR="009F74E2">
        <w:rPr>
          <w:i/>
          <w:sz w:val="22"/>
          <w:szCs w:val="22"/>
        </w:rPr>
        <w:t>i.e.</w:t>
      </w:r>
      <w:r w:rsidR="009F74E2">
        <w:rPr>
          <w:sz w:val="22"/>
          <w:szCs w:val="22"/>
        </w:rPr>
        <w:t xml:space="preserve"> at the pedestal, </w:t>
      </w:r>
      <w:r w:rsidR="00557094">
        <w:rPr>
          <w:sz w:val="22"/>
          <w:szCs w:val="22"/>
        </w:rPr>
        <w:t>and that “under a strict reading of the Rule . . .  there was no actionable violation of Section 73.49</w:t>
      </w:r>
      <w:r w:rsidR="0081331B">
        <w:rPr>
          <w:sz w:val="22"/>
          <w:szCs w:val="22"/>
        </w:rPr>
        <w:t>.”</w:t>
      </w:r>
      <w:r w:rsidR="0081331B">
        <w:rPr>
          <w:rStyle w:val="FootnoteReference"/>
          <w:szCs w:val="22"/>
        </w:rPr>
        <w:footnoteReference w:id="14"/>
      </w:r>
      <w:r w:rsidR="0081331B">
        <w:rPr>
          <w:sz w:val="22"/>
          <w:szCs w:val="22"/>
        </w:rPr>
        <w:t xml:space="preserve">  </w:t>
      </w:r>
    </w:p>
    <w:p w:rsidR="004874F3" w:rsidRDefault="0081331B" w:rsidP="00C4153B">
      <w:pPr>
        <w:numPr>
          <w:ilvl w:val="0"/>
          <w:numId w:val="11"/>
        </w:numPr>
        <w:tabs>
          <w:tab w:val="clear" w:pos="1080"/>
          <w:tab w:val="left" w:pos="0"/>
          <w:tab w:val="num" w:pos="1440"/>
        </w:tabs>
        <w:suppressAutoHyphens/>
        <w:autoSpaceDE w:val="0"/>
        <w:autoSpaceDN w:val="0"/>
        <w:adjustRightInd w:val="0"/>
        <w:spacing w:after="120"/>
        <w:rPr>
          <w:sz w:val="22"/>
          <w:szCs w:val="22"/>
        </w:rPr>
      </w:pPr>
      <w:r>
        <w:rPr>
          <w:sz w:val="22"/>
          <w:szCs w:val="22"/>
        </w:rPr>
        <w:t xml:space="preserve">We find that </w:t>
      </w:r>
      <w:r w:rsidR="00B32CBC">
        <w:rPr>
          <w:sz w:val="22"/>
          <w:szCs w:val="22"/>
        </w:rPr>
        <w:t>Wagenvo</w:t>
      </w:r>
      <w:r w:rsidR="0081435B">
        <w:rPr>
          <w:sz w:val="22"/>
          <w:szCs w:val="22"/>
        </w:rPr>
        <w:t>ord’s initial assumption that its</w:t>
      </w:r>
      <w:r w:rsidR="00660B13">
        <w:rPr>
          <w:sz w:val="22"/>
          <w:szCs w:val="22"/>
        </w:rPr>
        <w:t xml:space="preserve"> AM antenna structure</w:t>
      </w:r>
      <w:r w:rsidR="004C7DD3">
        <w:rPr>
          <w:sz w:val="22"/>
          <w:szCs w:val="22"/>
        </w:rPr>
        <w:t xml:space="preserve"> had</w:t>
      </w:r>
      <w:r>
        <w:rPr>
          <w:sz w:val="22"/>
          <w:szCs w:val="22"/>
        </w:rPr>
        <w:t xml:space="preserve"> no </w:t>
      </w:r>
      <w:r w:rsidR="002835A3">
        <w:rPr>
          <w:sz w:val="22"/>
          <w:szCs w:val="22"/>
        </w:rPr>
        <w:t xml:space="preserve">RF </w:t>
      </w:r>
      <w:r>
        <w:rPr>
          <w:sz w:val="22"/>
          <w:szCs w:val="22"/>
        </w:rPr>
        <w:t>at its</w:t>
      </w:r>
      <w:r w:rsidR="00B32CBC">
        <w:rPr>
          <w:sz w:val="22"/>
          <w:szCs w:val="22"/>
        </w:rPr>
        <w:t xml:space="preserve"> “base” is incorrect.</w:t>
      </w:r>
      <w:r w:rsidR="0060624B">
        <w:rPr>
          <w:sz w:val="22"/>
          <w:szCs w:val="22"/>
        </w:rPr>
        <w:t xml:space="preserve">  The </w:t>
      </w:r>
      <w:r w:rsidR="0062570E">
        <w:rPr>
          <w:i/>
          <w:sz w:val="22"/>
          <w:szCs w:val="22"/>
        </w:rPr>
        <w:t>Forfeiture Order</w:t>
      </w:r>
      <w:r w:rsidR="0060624B">
        <w:rPr>
          <w:i/>
          <w:sz w:val="22"/>
          <w:szCs w:val="22"/>
        </w:rPr>
        <w:t xml:space="preserve"> </w:t>
      </w:r>
      <w:r w:rsidR="0084172E">
        <w:rPr>
          <w:sz w:val="22"/>
          <w:szCs w:val="22"/>
        </w:rPr>
        <w:t xml:space="preserve">properly held that the “base” refers to the </w:t>
      </w:r>
      <w:r w:rsidR="0084172E" w:rsidRPr="0084172E">
        <w:rPr>
          <w:sz w:val="22"/>
          <w:szCs w:val="22"/>
        </w:rPr>
        <w:t>“</w:t>
      </w:r>
      <w:r w:rsidR="0084172E" w:rsidRPr="0084172E">
        <w:rPr>
          <w:spacing w:val="-2"/>
          <w:sz w:val="22"/>
          <w:szCs w:val="22"/>
        </w:rPr>
        <w:t xml:space="preserve">base of the metal portion of </w:t>
      </w:r>
      <w:r w:rsidR="009F74E2">
        <w:rPr>
          <w:spacing w:val="-2"/>
          <w:sz w:val="22"/>
          <w:szCs w:val="22"/>
        </w:rPr>
        <w:t>the antenna structure,</w:t>
      </w:r>
      <w:r w:rsidR="0084172E" w:rsidRPr="0084172E">
        <w:rPr>
          <w:spacing w:val="-2"/>
          <w:sz w:val="22"/>
          <w:szCs w:val="22"/>
        </w:rPr>
        <w:t>”</w:t>
      </w:r>
      <w:r w:rsidR="009F74E2">
        <w:rPr>
          <w:spacing w:val="-2"/>
          <w:sz w:val="22"/>
          <w:szCs w:val="22"/>
        </w:rPr>
        <w:t xml:space="preserve"> not the pedestal.</w:t>
      </w:r>
      <w:r w:rsidR="002835A3">
        <w:rPr>
          <w:rStyle w:val="FootnoteReference"/>
          <w:spacing w:val="-2"/>
          <w:szCs w:val="22"/>
        </w:rPr>
        <w:footnoteReference w:id="15"/>
      </w:r>
      <w:r w:rsidR="0084172E">
        <w:rPr>
          <w:spacing w:val="-2"/>
        </w:rPr>
        <w:t xml:space="preserve">  </w:t>
      </w:r>
      <w:r w:rsidR="0084172E">
        <w:rPr>
          <w:sz w:val="22"/>
          <w:szCs w:val="22"/>
        </w:rPr>
        <w:t xml:space="preserve">Interpreting </w:t>
      </w:r>
      <w:r w:rsidR="002835A3">
        <w:rPr>
          <w:sz w:val="22"/>
          <w:szCs w:val="22"/>
        </w:rPr>
        <w:t>Section 73.49</w:t>
      </w:r>
      <w:r w:rsidR="004874F3">
        <w:rPr>
          <w:sz w:val="22"/>
          <w:szCs w:val="22"/>
        </w:rPr>
        <w:t xml:space="preserve"> </w:t>
      </w:r>
      <w:r w:rsidR="002835A3">
        <w:rPr>
          <w:sz w:val="22"/>
          <w:szCs w:val="22"/>
        </w:rPr>
        <w:t xml:space="preserve">of the </w:t>
      </w:r>
      <w:r w:rsidR="004874F3">
        <w:rPr>
          <w:sz w:val="22"/>
          <w:szCs w:val="22"/>
        </w:rPr>
        <w:t>Rule</w:t>
      </w:r>
      <w:r w:rsidR="002835A3">
        <w:rPr>
          <w:sz w:val="22"/>
          <w:szCs w:val="22"/>
        </w:rPr>
        <w:t>s</w:t>
      </w:r>
      <w:r w:rsidR="004874F3">
        <w:rPr>
          <w:sz w:val="22"/>
          <w:szCs w:val="22"/>
        </w:rPr>
        <w:t xml:space="preserve"> as Wagenvoord suggests—that the bas</w:t>
      </w:r>
      <w:r w:rsidR="00660B13">
        <w:rPr>
          <w:sz w:val="22"/>
          <w:szCs w:val="22"/>
        </w:rPr>
        <w:t>e is the portion of the AM antenna structure</w:t>
      </w:r>
      <w:r w:rsidR="004874F3">
        <w:rPr>
          <w:sz w:val="22"/>
          <w:szCs w:val="22"/>
        </w:rPr>
        <w:t xml:space="preserve"> at ground</w:t>
      </w:r>
      <w:r w:rsidR="002835A3">
        <w:rPr>
          <w:sz w:val="22"/>
          <w:szCs w:val="22"/>
        </w:rPr>
        <w:t xml:space="preserve"> level—would eviscerate the regulation’s effectiveness and pose a public safety risk</w:t>
      </w:r>
      <w:r w:rsidR="004874F3">
        <w:rPr>
          <w:sz w:val="22"/>
          <w:szCs w:val="22"/>
        </w:rPr>
        <w:t xml:space="preserve">.  </w:t>
      </w:r>
      <w:r w:rsidR="002835A3">
        <w:rPr>
          <w:sz w:val="22"/>
          <w:szCs w:val="22"/>
        </w:rPr>
        <w:t>Although Wagenvoord</w:t>
      </w:r>
      <w:r>
        <w:rPr>
          <w:sz w:val="22"/>
          <w:szCs w:val="22"/>
        </w:rPr>
        <w:t xml:space="preserve"> built a 7-</w:t>
      </w:r>
      <w:r w:rsidR="004874F3">
        <w:rPr>
          <w:sz w:val="22"/>
          <w:szCs w:val="22"/>
        </w:rPr>
        <w:t xml:space="preserve">foot concrete </w:t>
      </w:r>
      <w:r w:rsidR="002E0A21">
        <w:rPr>
          <w:sz w:val="22"/>
          <w:szCs w:val="22"/>
        </w:rPr>
        <w:t>pedestal</w:t>
      </w:r>
      <w:r w:rsidR="00660B13">
        <w:rPr>
          <w:sz w:val="22"/>
          <w:szCs w:val="22"/>
        </w:rPr>
        <w:t>, a station with an AM antenna structure</w:t>
      </w:r>
      <w:r w:rsidR="004874F3">
        <w:rPr>
          <w:sz w:val="22"/>
          <w:szCs w:val="22"/>
        </w:rPr>
        <w:t xml:space="preserve"> built on top </w:t>
      </w:r>
      <w:r>
        <w:rPr>
          <w:sz w:val="22"/>
          <w:szCs w:val="22"/>
        </w:rPr>
        <w:t>of a 2-</w:t>
      </w:r>
      <w:r w:rsidR="002E0A21">
        <w:rPr>
          <w:sz w:val="22"/>
          <w:szCs w:val="22"/>
        </w:rPr>
        <w:t>foot concrete pedestal</w:t>
      </w:r>
      <w:r w:rsidR="004874F3">
        <w:rPr>
          <w:sz w:val="22"/>
          <w:szCs w:val="22"/>
        </w:rPr>
        <w:t xml:space="preserve"> could make the same argument, namely that the </w:t>
      </w:r>
      <w:r w:rsidR="009F74E2">
        <w:rPr>
          <w:sz w:val="22"/>
          <w:szCs w:val="22"/>
        </w:rPr>
        <w:t xml:space="preserve">“base” of the </w:t>
      </w:r>
      <w:r w:rsidR="004874F3">
        <w:rPr>
          <w:sz w:val="22"/>
          <w:szCs w:val="22"/>
        </w:rPr>
        <w:t xml:space="preserve">concrete </w:t>
      </w:r>
      <w:r w:rsidR="009F74E2">
        <w:rPr>
          <w:sz w:val="22"/>
          <w:szCs w:val="22"/>
        </w:rPr>
        <w:t>pedestal</w:t>
      </w:r>
      <w:r w:rsidR="004874F3">
        <w:rPr>
          <w:sz w:val="22"/>
          <w:szCs w:val="22"/>
        </w:rPr>
        <w:t xml:space="preserve"> does not have RF potential and thus the Section 73.49 fenci</w:t>
      </w:r>
      <w:r w:rsidR="005E13F4">
        <w:rPr>
          <w:sz w:val="22"/>
          <w:szCs w:val="22"/>
        </w:rPr>
        <w:t xml:space="preserve">ng requirement </w:t>
      </w:r>
      <w:r w:rsidR="00660B13">
        <w:rPr>
          <w:sz w:val="22"/>
          <w:szCs w:val="22"/>
        </w:rPr>
        <w:t>does not apply</w:t>
      </w:r>
      <w:r w:rsidR="005E13F4">
        <w:rPr>
          <w:sz w:val="22"/>
          <w:szCs w:val="22"/>
        </w:rPr>
        <w:t xml:space="preserve">. </w:t>
      </w:r>
      <w:r w:rsidR="002835A3">
        <w:rPr>
          <w:sz w:val="22"/>
          <w:szCs w:val="22"/>
        </w:rPr>
        <w:t xml:space="preserve"> </w:t>
      </w:r>
      <w:r w:rsidR="005E13F4">
        <w:rPr>
          <w:sz w:val="22"/>
          <w:szCs w:val="22"/>
        </w:rPr>
        <w:t>Such a result would pose an extreme safety hazard</w:t>
      </w:r>
      <w:r>
        <w:rPr>
          <w:sz w:val="22"/>
          <w:szCs w:val="22"/>
        </w:rPr>
        <w:t>,</w:t>
      </w:r>
      <w:r w:rsidR="005E13F4">
        <w:rPr>
          <w:sz w:val="22"/>
          <w:szCs w:val="22"/>
        </w:rPr>
        <w:t xml:space="preserve"> as anyone would be able to touch the radi</w:t>
      </w:r>
      <w:r w:rsidR="00660B13">
        <w:rPr>
          <w:sz w:val="22"/>
          <w:szCs w:val="22"/>
        </w:rPr>
        <w:t>ating portion of the structure</w:t>
      </w:r>
      <w:r w:rsidR="005E13F4">
        <w:rPr>
          <w:sz w:val="22"/>
          <w:szCs w:val="22"/>
        </w:rPr>
        <w:t xml:space="preserve"> and potentially electrocute themselves</w:t>
      </w:r>
      <w:r>
        <w:rPr>
          <w:sz w:val="22"/>
          <w:szCs w:val="22"/>
        </w:rPr>
        <w:t>,</w:t>
      </w:r>
      <w:r w:rsidR="005E13F4">
        <w:rPr>
          <w:sz w:val="22"/>
          <w:szCs w:val="22"/>
        </w:rPr>
        <w:t xml:space="preserve"> and is clearly inconsis</w:t>
      </w:r>
      <w:r w:rsidR="00783AE2">
        <w:rPr>
          <w:sz w:val="22"/>
          <w:szCs w:val="22"/>
        </w:rPr>
        <w:t>tent with the intent of Section 73.49 of the Rules</w:t>
      </w:r>
      <w:r w:rsidR="005E13F4">
        <w:rPr>
          <w:sz w:val="22"/>
          <w:szCs w:val="22"/>
        </w:rPr>
        <w:t xml:space="preserve">.  </w:t>
      </w:r>
      <w:r>
        <w:rPr>
          <w:sz w:val="22"/>
          <w:szCs w:val="22"/>
        </w:rPr>
        <w:t>Moreover, t</w:t>
      </w:r>
      <w:r w:rsidR="004874F3">
        <w:rPr>
          <w:sz w:val="22"/>
          <w:szCs w:val="22"/>
        </w:rPr>
        <w:t>he illustrativ</w:t>
      </w:r>
      <w:r>
        <w:rPr>
          <w:sz w:val="22"/>
          <w:szCs w:val="22"/>
        </w:rPr>
        <w:t>e examples in Section 73.49</w:t>
      </w:r>
      <w:r w:rsidR="004874F3">
        <w:rPr>
          <w:sz w:val="22"/>
          <w:szCs w:val="22"/>
        </w:rPr>
        <w:t xml:space="preserve"> </w:t>
      </w:r>
      <w:r w:rsidR="002468E1">
        <w:rPr>
          <w:sz w:val="22"/>
          <w:szCs w:val="22"/>
        </w:rPr>
        <w:t xml:space="preserve">of the Rules </w:t>
      </w:r>
      <w:r w:rsidR="0060624B">
        <w:rPr>
          <w:sz w:val="22"/>
          <w:szCs w:val="22"/>
        </w:rPr>
        <w:t>support our</w:t>
      </w:r>
      <w:r w:rsidR="004874F3">
        <w:rPr>
          <w:sz w:val="22"/>
          <w:szCs w:val="22"/>
        </w:rPr>
        <w:t xml:space="preserve"> interpretation.  Section 73.49 lists “insulated base antennas” a</w:t>
      </w:r>
      <w:r w:rsidR="00660B13">
        <w:rPr>
          <w:sz w:val="22"/>
          <w:szCs w:val="22"/>
        </w:rPr>
        <w:t>s an example of an antenna structure</w:t>
      </w:r>
      <w:r w:rsidR="004874F3">
        <w:rPr>
          <w:sz w:val="22"/>
          <w:szCs w:val="22"/>
        </w:rPr>
        <w:t xml:space="preserve"> that has RF potential at </w:t>
      </w:r>
      <w:r w:rsidR="00660B13">
        <w:rPr>
          <w:sz w:val="22"/>
          <w:szCs w:val="22"/>
        </w:rPr>
        <w:t>the base.</w:t>
      </w:r>
      <w:r w:rsidR="00783AE2">
        <w:rPr>
          <w:rStyle w:val="FootnoteReference"/>
          <w:szCs w:val="22"/>
        </w:rPr>
        <w:footnoteReference w:id="16"/>
      </w:r>
      <w:r w:rsidR="00660B13">
        <w:rPr>
          <w:sz w:val="22"/>
          <w:szCs w:val="22"/>
        </w:rPr>
        <w:t xml:space="preserve">  </w:t>
      </w:r>
      <w:r w:rsidR="00AA01E2">
        <w:rPr>
          <w:sz w:val="22"/>
          <w:szCs w:val="22"/>
        </w:rPr>
        <w:t xml:space="preserve">Insulated base antennas </w:t>
      </w:r>
      <w:r w:rsidR="004874F3">
        <w:rPr>
          <w:sz w:val="22"/>
          <w:szCs w:val="22"/>
        </w:rPr>
        <w:t>have insulation, which does not have RF potential, below t</w:t>
      </w:r>
      <w:r w:rsidR="00660B13">
        <w:rPr>
          <w:sz w:val="22"/>
          <w:szCs w:val="22"/>
        </w:rPr>
        <w:t>he metal portion of the AM antenna structure</w:t>
      </w:r>
      <w:r w:rsidR="00AA01E2">
        <w:rPr>
          <w:sz w:val="22"/>
          <w:szCs w:val="22"/>
        </w:rPr>
        <w:t>, but are still subject to the fencing requirements of Section 73.49 of the Rules</w:t>
      </w:r>
      <w:r w:rsidR="004874F3">
        <w:rPr>
          <w:sz w:val="22"/>
          <w:szCs w:val="22"/>
        </w:rPr>
        <w:t xml:space="preserve">.  </w:t>
      </w:r>
      <w:r w:rsidR="0060624B">
        <w:rPr>
          <w:sz w:val="22"/>
          <w:szCs w:val="22"/>
        </w:rPr>
        <w:t xml:space="preserve">Therefore, we find that the </w:t>
      </w:r>
      <w:r w:rsidR="0062570E">
        <w:rPr>
          <w:i/>
          <w:sz w:val="22"/>
          <w:szCs w:val="22"/>
        </w:rPr>
        <w:t>Forfeiture Order</w:t>
      </w:r>
      <w:r w:rsidR="00AA01E2" w:rsidRPr="00C4153B">
        <w:rPr>
          <w:sz w:val="22"/>
        </w:rPr>
        <w:t>’s</w:t>
      </w:r>
      <w:r w:rsidR="00A412ED">
        <w:rPr>
          <w:sz w:val="22"/>
          <w:szCs w:val="22"/>
        </w:rPr>
        <w:t xml:space="preserve"> </w:t>
      </w:r>
      <w:r w:rsidR="001F6BCF">
        <w:rPr>
          <w:sz w:val="22"/>
          <w:szCs w:val="22"/>
        </w:rPr>
        <w:t>holding</w:t>
      </w:r>
      <w:r w:rsidR="00A412ED">
        <w:rPr>
          <w:sz w:val="22"/>
          <w:szCs w:val="22"/>
        </w:rPr>
        <w:t xml:space="preserve"> that St</w:t>
      </w:r>
      <w:r w:rsidR="00BC0C54">
        <w:rPr>
          <w:sz w:val="22"/>
          <w:szCs w:val="22"/>
        </w:rPr>
        <w:t>ation Wagenvoord</w:t>
      </w:r>
      <w:r w:rsidR="00AA01E2">
        <w:rPr>
          <w:sz w:val="22"/>
          <w:szCs w:val="22"/>
        </w:rPr>
        <w:t xml:space="preserve">’s </w:t>
      </w:r>
      <w:r w:rsidR="00BC0C54">
        <w:rPr>
          <w:sz w:val="22"/>
          <w:szCs w:val="22"/>
        </w:rPr>
        <w:t xml:space="preserve">AM </w:t>
      </w:r>
      <w:r w:rsidR="002468E1">
        <w:rPr>
          <w:sz w:val="22"/>
          <w:szCs w:val="22"/>
        </w:rPr>
        <w:t>antenna structure</w:t>
      </w:r>
      <w:r w:rsidR="001F6BCF">
        <w:rPr>
          <w:sz w:val="22"/>
          <w:szCs w:val="22"/>
        </w:rPr>
        <w:t xml:space="preserve"> was subject to Section 73.49 of the Rules</w:t>
      </w:r>
      <w:r w:rsidR="0060624B">
        <w:rPr>
          <w:sz w:val="22"/>
          <w:szCs w:val="22"/>
        </w:rPr>
        <w:t xml:space="preserve"> was not in error</w:t>
      </w:r>
      <w:r w:rsidR="001F6BCF">
        <w:rPr>
          <w:sz w:val="22"/>
          <w:szCs w:val="22"/>
        </w:rPr>
        <w:t>.</w:t>
      </w:r>
    </w:p>
    <w:p w:rsidR="005E13F4" w:rsidRPr="0051192D" w:rsidRDefault="00BC0C54" w:rsidP="00C4153B">
      <w:pPr>
        <w:numPr>
          <w:ilvl w:val="0"/>
          <w:numId w:val="11"/>
        </w:numPr>
        <w:tabs>
          <w:tab w:val="clear" w:pos="1080"/>
          <w:tab w:val="left" w:pos="0"/>
          <w:tab w:val="num" w:pos="1440"/>
        </w:tabs>
        <w:suppressAutoHyphens/>
        <w:autoSpaceDE w:val="0"/>
        <w:autoSpaceDN w:val="0"/>
        <w:adjustRightInd w:val="0"/>
        <w:spacing w:after="120"/>
        <w:rPr>
          <w:sz w:val="22"/>
          <w:szCs w:val="22"/>
        </w:rPr>
      </w:pPr>
      <w:r>
        <w:rPr>
          <w:sz w:val="22"/>
          <w:szCs w:val="22"/>
        </w:rPr>
        <w:lastRenderedPageBreak/>
        <w:t>H</w:t>
      </w:r>
      <w:r w:rsidR="004874F3">
        <w:rPr>
          <w:sz w:val="22"/>
          <w:szCs w:val="22"/>
        </w:rPr>
        <w:t xml:space="preserve">aving established that </w:t>
      </w:r>
      <w:r w:rsidR="00E812E2">
        <w:rPr>
          <w:sz w:val="22"/>
          <w:szCs w:val="22"/>
        </w:rPr>
        <w:t>Wagenvoord’s</w:t>
      </w:r>
      <w:r w:rsidR="005E13F4">
        <w:rPr>
          <w:sz w:val="22"/>
          <w:szCs w:val="22"/>
        </w:rPr>
        <w:t xml:space="preserve"> </w:t>
      </w:r>
      <w:r w:rsidR="0081435B">
        <w:rPr>
          <w:sz w:val="22"/>
          <w:szCs w:val="22"/>
        </w:rPr>
        <w:t>AM antenna structure</w:t>
      </w:r>
      <w:r>
        <w:rPr>
          <w:sz w:val="22"/>
          <w:szCs w:val="22"/>
        </w:rPr>
        <w:t xml:space="preserve"> had</w:t>
      </w:r>
      <w:r w:rsidR="00E812E2">
        <w:rPr>
          <w:sz w:val="22"/>
          <w:szCs w:val="22"/>
        </w:rPr>
        <w:t xml:space="preserve"> RF potential at its</w:t>
      </w:r>
      <w:r w:rsidR="004874F3">
        <w:rPr>
          <w:sz w:val="22"/>
          <w:szCs w:val="22"/>
        </w:rPr>
        <w:t xml:space="preserve"> base, </w:t>
      </w:r>
      <w:r w:rsidR="00A412ED">
        <w:rPr>
          <w:sz w:val="22"/>
          <w:szCs w:val="22"/>
        </w:rPr>
        <w:t xml:space="preserve">and that Section </w:t>
      </w:r>
      <w:r w:rsidR="00660B13">
        <w:rPr>
          <w:sz w:val="22"/>
          <w:szCs w:val="22"/>
        </w:rPr>
        <w:t>73.49 applies to all such structures</w:t>
      </w:r>
      <w:r w:rsidR="00A412ED">
        <w:rPr>
          <w:sz w:val="22"/>
          <w:szCs w:val="22"/>
        </w:rPr>
        <w:t>, we a</w:t>
      </w:r>
      <w:r w:rsidR="0060624B">
        <w:rPr>
          <w:sz w:val="22"/>
          <w:szCs w:val="22"/>
        </w:rPr>
        <w:t xml:space="preserve">gree with the </w:t>
      </w:r>
      <w:r w:rsidR="0060624B">
        <w:rPr>
          <w:i/>
          <w:sz w:val="22"/>
          <w:szCs w:val="22"/>
        </w:rPr>
        <w:t>F</w:t>
      </w:r>
      <w:r w:rsidR="0062570E">
        <w:rPr>
          <w:i/>
          <w:sz w:val="22"/>
          <w:szCs w:val="22"/>
        </w:rPr>
        <w:t>orfeiture</w:t>
      </w:r>
      <w:r w:rsidR="0062570E" w:rsidRPr="0051192D">
        <w:rPr>
          <w:i/>
          <w:sz w:val="22"/>
          <w:szCs w:val="22"/>
        </w:rPr>
        <w:t xml:space="preserve"> Order</w:t>
      </w:r>
      <w:r w:rsidR="001F6BCF" w:rsidRPr="0051192D">
        <w:rPr>
          <w:sz w:val="22"/>
          <w:szCs w:val="22"/>
        </w:rPr>
        <w:t xml:space="preserve"> </w:t>
      </w:r>
      <w:r>
        <w:rPr>
          <w:sz w:val="22"/>
          <w:szCs w:val="22"/>
        </w:rPr>
        <w:t xml:space="preserve">that Section 73.49 </w:t>
      </w:r>
      <w:r w:rsidR="001F6BCF" w:rsidRPr="0051192D">
        <w:rPr>
          <w:sz w:val="22"/>
          <w:szCs w:val="22"/>
        </w:rPr>
        <w:t>requires a base fence</w:t>
      </w:r>
      <w:r>
        <w:rPr>
          <w:sz w:val="22"/>
          <w:szCs w:val="22"/>
        </w:rPr>
        <w:t xml:space="preserve"> for the antenna structure</w:t>
      </w:r>
      <w:r w:rsidR="001F6BCF" w:rsidRPr="0051192D">
        <w:rPr>
          <w:sz w:val="22"/>
          <w:szCs w:val="22"/>
        </w:rPr>
        <w:t xml:space="preserve"> unless the structure is surrounded by a protective perimeter fence.</w:t>
      </w:r>
      <w:r w:rsidR="0081331B">
        <w:rPr>
          <w:rStyle w:val="FootnoteReference"/>
          <w:szCs w:val="22"/>
        </w:rPr>
        <w:footnoteReference w:id="17"/>
      </w:r>
      <w:r w:rsidR="00660B13" w:rsidRPr="0051192D">
        <w:rPr>
          <w:sz w:val="22"/>
          <w:szCs w:val="22"/>
        </w:rPr>
        <w:t xml:space="preserve">  Wagenvoord </w:t>
      </w:r>
      <w:r w:rsidR="00BC3E7D" w:rsidRPr="0051192D">
        <w:rPr>
          <w:sz w:val="22"/>
          <w:szCs w:val="22"/>
        </w:rPr>
        <w:t>cited</w:t>
      </w:r>
      <w:r w:rsidR="00660B13" w:rsidRPr="0051192D">
        <w:rPr>
          <w:sz w:val="22"/>
          <w:szCs w:val="22"/>
        </w:rPr>
        <w:t xml:space="preserve"> a few</w:t>
      </w:r>
      <w:r w:rsidR="001F6BCF" w:rsidRPr="0051192D">
        <w:rPr>
          <w:sz w:val="22"/>
          <w:szCs w:val="22"/>
        </w:rPr>
        <w:t xml:space="preserve"> cases </w:t>
      </w:r>
      <w:r w:rsidR="00DB03B0" w:rsidRPr="0051192D">
        <w:rPr>
          <w:sz w:val="22"/>
          <w:szCs w:val="22"/>
        </w:rPr>
        <w:t xml:space="preserve">with insufficient fences </w:t>
      </w:r>
      <w:r w:rsidR="001F6BCF" w:rsidRPr="0051192D">
        <w:rPr>
          <w:sz w:val="22"/>
          <w:szCs w:val="22"/>
        </w:rPr>
        <w:t xml:space="preserve">in which the </w:t>
      </w:r>
      <w:r w:rsidR="00660B13" w:rsidRPr="0051192D">
        <w:rPr>
          <w:sz w:val="22"/>
          <w:szCs w:val="22"/>
        </w:rPr>
        <w:t>forfeiture was n</w:t>
      </w:r>
      <w:r w:rsidR="001F6BCF" w:rsidRPr="0051192D">
        <w:rPr>
          <w:sz w:val="22"/>
          <w:szCs w:val="22"/>
        </w:rPr>
        <w:t>e</w:t>
      </w:r>
      <w:r w:rsidR="00660B13" w:rsidRPr="0051192D">
        <w:rPr>
          <w:sz w:val="22"/>
          <w:szCs w:val="22"/>
        </w:rPr>
        <w:t>ve</w:t>
      </w:r>
      <w:r w:rsidR="001F6BCF" w:rsidRPr="0051192D">
        <w:rPr>
          <w:sz w:val="22"/>
          <w:szCs w:val="22"/>
        </w:rPr>
        <w:t>rtheless reduced or cancelled</w:t>
      </w:r>
      <w:r w:rsidR="0060624B" w:rsidRPr="0051192D">
        <w:rPr>
          <w:sz w:val="22"/>
          <w:szCs w:val="22"/>
        </w:rPr>
        <w:t>, but those cases were</w:t>
      </w:r>
      <w:r w:rsidR="003E0465" w:rsidRPr="0051192D">
        <w:rPr>
          <w:sz w:val="22"/>
          <w:szCs w:val="22"/>
        </w:rPr>
        <w:t xml:space="preserve"> properly distinguished </w:t>
      </w:r>
      <w:r w:rsidR="0060624B" w:rsidRPr="0051192D">
        <w:rPr>
          <w:sz w:val="22"/>
          <w:szCs w:val="22"/>
        </w:rPr>
        <w:t xml:space="preserve">in the </w:t>
      </w:r>
      <w:r w:rsidR="0060624B" w:rsidRPr="0051192D">
        <w:rPr>
          <w:i/>
          <w:sz w:val="22"/>
          <w:szCs w:val="22"/>
        </w:rPr>
        <w:t>F</w:t>
      </w:r>
      <w:r w:rsidR="0062570E" w:rsidRPr="0051192D">
        <w:rPr>
          <w:i/>
          <w:sz w:val="22"/>
          <w:szCs w:val="22"/>
        </w:rPr>
        <w:t>orfeiture Order</w:t>
      </w:r>
      <w:r w:rsidR="003E0465" w:rsidRPr="0051192D">
        <w:rPr>
          <w:sz w:val="22"/>
          <w:szCs w:val="22"/>
        </w:rPr>
        <w:t>.</w:t>
      </w:r>
      <w:r w:rsidR="00F209F2">
        <w:rPr>
          <w:rStyle w:val="FootnoteReference"/>
          <w:szCs w:val="22"/>
        </w:rPr>
        <w:footnoteReference w:id="18"/>
      </w:r>
      <w:r w:rsidR="006E7B14" w:rsidRPr="0051192D">
        <w:rPr>
          <w:sz w:val="22"/>
          <w:szCs w:val="22"/>
        </w:rPr>
        <w:t xml:space="preserve">  </w:t>
      </w:r>
      <w:r w:rsidR="002016E8">
        <w:rPr>
          <w:sz w:val="22"/>
          <w:szCs w:val="22"/>
        </w:rPr>
        <w:t>Although Wagenvoord is correct that t</w:t>
      </w:r>
      <w:r w:rsidR="006E7B14" w:rsidRPr="0051192D">
        <w:rPr>
          <w:sz w:val="22"/>
          <w:szCs w:val="22"/>
        </w:rPr>
        <w:t>he cited cases “credited natural barriers or even [natural] conditions that temporarily impede direct access to a tower as mitigating factors,”</w:t>
      </w:r>
      <w:r w:rsidR="006E7B14" w:rsidRPr="006E7B14">
        <w:rPr>
          <w:rStyle w:val="FootnoteReference"/>
          <w:sz w:val="22"/>
          <w:szCs w:val="22"/>
        </w:rPr>
        <w:footnoteReference w:id="19"/>
      </w:r>
      <w:r w:rsidR="002016E8">
        <w:rPr>
          <w:sz w:val="22"/>
          <w:szCs w:val="22"/>
        </w:rPr>
        <w:t xml:space="preserve"> </w:t>
      </w:r>
      <w:r w:rsidR="006E7B14" w:rsidRPr="0051192D">
        <w:rPr>
          <w:sz w:val="22"/>
          <w:szCs w:val="22"/>
        </w:rPr>
        <w:t>no such natu</w:t>
      </w:r>
      <w:r w:rsidR="002016E8">
        <w:rPr>
          <w:sz w:val="22"/>
          <w:szCs w:val="22"/>
        </w:rPr>
        <w:t>ral conditions were present at</w:t>
      </w:r>
      <w:r w:rsidR="006E7B14" w:rsidRPr="0051192D">
        <w:rPr>
          <w:sz w:val="22"/>
          <w:szCs w:val="22"/>
        </w:rPr>
        <w:t xml:space="preserve"> Station KLRG</w:t>
      </w:r>
      <w:r w:rsidR="002016E8">
        <w:rPr>
          <w:sz w:val="22"/>
          <w:szCs w:val="22"/>
        </w:rPr>
        <w:t>-AM</w:t>
      </w:r>
      <w:r w:rsidR="004F0B4F" w:rsidRPr="0051192D">
        <w:rPr>
          <w:sz w:val="22"/>
          <w:szCs w:val="22"/>
        </w:rPr>
        <w:t>.</w:t>
      </w:r>
      <w:r w:rsidR="006E7B14" w:rsidRPr="0051192D">
        <w:rPr>
          <w:sz w:val="22"/>
          <w:szCs w:val="22"/>
        </w:rPr>
        <w:t xml:space="preserve"> </w:t>
      </w:r>
      <w:r w:rsidR="0060624B" w:rsidRPr="0051192D">
        <w:rPr>
          <w:sz w:val="22"/>
          <w:szCs w:val="22"/>
        </w:rPr>
        <w:t xml:space="preserve"> </w:t>
      </w:r>
      <w:r w:rsidR="004F0B4F" w:rsidRPr="0051192D">
        <w:rPr>
          <w:sz w:val="22"/>
          <w:szCs w:val="22"/>
        </w:rPr>
        <w:t xml:space="preserve">Moreover, </w:t>
      </w:r>
      <w:r w:rsidR="006E7B14" w:rsidRPr="0051192D">
        <w:rPr>
          <w:sz w:val="22"/>
          <w:szCs w:val="22"/>
        </w:rPr>
        <w:t>Wagenvoord provided no reason why it was unable to construct an effective locked fence around the base of its antenna structure</w:t>
      </w:r>
      <w:r w:rsidR="004F0B4F" w:rsidRPr="0051192D">
        <w:rPr>
          <w:sz w:val="22"/>
          <w:szCs w:val="22"/>
        </w:rPr>
        <w:t xml:space="preserve"> or that natural barriers impeded access to the tower</w:t>
      </w:r>
      <w:r w:rsidR="006E7B14" w:rsidRPr="0051192D">
        <w:rPr>
          <w:sz w:val="22"/>
          <w:szCs w:val="22"/>
        </w:rPr>
        <w:t>.</w:t>
      </w:r>
      <w:r w:rsidR="00DB03B0">
        <w:rPr>
          <w:rStyle w:val="FootnoteReference"/>
          <w:szCs w:val="22"/>
        </w:rPr>
        <w:footnoteReference w:id="20"/>
      </w:r>
      <w:r w:rsidR="00DB03B0" w:rsidRPr="0051192D">
        <w:rPr>
          <w:sz w:val="22"/>
          <w:szCs w:val="22"/>
        </w:rPr>
        <w:t xml:space="preserve">  </w:t>
      </w:r>
      <w:r w:rsidR="003E0465" w:rsidRPr="0051192D">
        <w:rPr>
          <w:sz w:val="22"/>
          <w:szCs w:val="22"/>
        </w:rPr>
        <w:t xml:space="preserve">  </w:t>
      </w:r>
    </w:p>
    <w:p w:rsidR="00BC3E7D" w:rsidRPr="008B13C1" w:rsidRDefault="00303F93" w:rsidP="00C4153B">
      <w:pPr>
        <w:numPr>
          <w:ilvl w:val="0"/>
          <w:numId w:val="11"/>
        </w:numPr>
        <w:tabs>
          <w:tab w:val="clear" w:pos="1080"/>
          <w:tab w:val="left" w:pos="0"/>
          <w:tab w:val="num" w:pos="1440"/>
        </w:tabs>
        <w:suppressAutoHyphens/>
        <w:autoSpaceDE w:val="0"/>
        <w:autoSpaceDN w:val="0"/>
        <w:adjustRightInd w:val="0"/>
        <w:spacing w:after="120"/>
        <w:rPr>
          <w:sz w:val="22"/>
          <w:szCs w:val="22"/>
        </w:rPr>
      </w:pPr>
      <w:r w:rsidRPr="006E7B14">
        <w:rPr>
          <w:sz w:val="22"/>
          <w:szCs w:val="22"/>
        </w:rPr>
        <w:t xml:space="preserve">Second, </w:t>
      </w:r>
      <w:r w:rsidR="00E9095C" w:rsidRPr="006E7B14">
        <w:rPr>
          <w:sz w:val="22"/>
          <w:szCs w:val="22"/>
        </w:rPr>
        <w:t>Wagenv</w:t>
      </w:r>
      <w:r w:rsidR="002E0A21">
        <w:rPr>
          <w:sz w:val="22"/>
          <w:szCs w:val="22"/>
        </w:rPr>
        <w:t>oord asks whether a cement pedestal</w:t>
      </w:r>
      <w:r w:rsidR="00E9095C" w:rsidRPr="006E7B14">
        <w:rPr>
          <w:sz w:val="22"/>
          <w:szCs w:val="22"/>
        </w:rPr>
        <w:t xml:space="preserve"> plus insulator, which together are over nine feet in height, together qualify as an “enclosure.”</w:t>
      </w:r>
      <w:r w:rsidR="0061711E">
        <w:rPr>
          <w:rStyle w:val="FootnoteReference"/>
          <w:szCs w:val="22"/>
        </w:rPr>
        <w:footnoteReference w:id="21"/>
      </w:r>
      <w:r w:rsidR="003E0465" w:rsidRPr="006E7B14">
        <w:rPr>
          <w:sz w:val="22"/>
          <w:szCs w:val="22"/>
        </w:rPr>
        <w:t xml:space="preserve">  </w:t>
      </w:r>
      <w:r w:rsidR="004F0B4F">
        <w:rPr>
          <w:sz w:val="22"/>
          <w:szCs w:val="22"/>
        </w:rPr>
        <w:t xml:space="preserve">The </w:t>
      </w:r>
      <w:r w:rsidR="00E062BF">
        <w:rPr>
          <w:sz w:val="22"/>
          <w:szCs w:val="22"/>
        </w:rPr>
        <w:t xml:space="preserve">Enforcement </w:t>
      </w:r>
      <w:r w:rsidR="004F0B4F">
        <w:rPr>
          <w:sz w:val="22"/>
          <w:szCs w:val="22"/>
        </w:rPr>
        <w:t xml:space="preserve">Bureau </w:t>
      </w:r>
      <w:r w:rsidR="003062AF">
        <w:rPr>
          <w:sz w:val="22"/>
          <w:szCs w:val="22"/>
        </w:rPr>
        <w:t xml:space="preserve">has </w:t>
      </w:r>
      <w:r w:rsidR="004F0B4F">
        <w:rPr>
          <w:sz w:val="22"/>
          <w:szCs w:val="22"/>
        </w:rPr>
        <w:t>found in</w:t>
      </w:r>
      <w:r w:rsidR="00BC3E7D">
        <w:rPr>
          <w:sz w:val="22"/>
          <w:szCs w:val="22"/>
        </w:rPr>
        <w:t xml:space="preserve"> </w:t>
      </w:r>
      <w:r w:rsidR="003062AF">
        <w:rPr>
          <w:sz w:val="22"/>
          <w:szCs w:val="22"/>
        </w:rPr>
        <w:t>only</w:t>
      </w:r>
      <w:r w:rsidR="004F0B4F">
        <w:rPr>
          <w:sz w:val="22"/>
          <w:szCs w:val="22"/>
        </w:rPr>
        <w:t xml:space="preserve"> one instance that a 12</w:t>
      </w:r>
      <w:r w:rsidR="006345A9">
        <w:rPr>
          <w:sz w:val="22"/>
          <w:szCs w:val="22"/>
        </w:rPr>
        <w:t>-</w:t>
      </w:r>
      <w:r w:rsidR="002E0A21">
        <w:rPr>
          <w:sz w:val="22"/>
          <w:szCs w:val="22"/>
        </w:rPr>
        <w:t>foot concrete pedestal</w:t>
      </w:r>
      <w:r w:rsidR="004F0B4F">
        <w:rPr>
          <w:sz w:val="22"/>
          <w:szCs w:val="22"/>
        </w:rPr>
        <w:t xml:space="preserve"> qualified as an “other enclosure</w:t>
      </w:r>
      <w:r w:rsidR="0081435B">
        <w:rPr>
          <w:sz w:val="22"/>
          <w:szCs w:val="22"/>
        </w:rPr>
        <w:t>,</w:t>
      </w:r>
      <w:r w:rsidR="004F0B4F">
        <w:rPr>
          <w:sz w:val="22"/>
          <w:szCs w:val="22"/>
        </w:rPr>
        <w:t xml:space="preserve">” </w:t>
      </w:r>
      <w:r w:rsidR="0081435B">
        <w:rPr>
          <w:sz w:val="22"/>
          <w:szCs w:val="22"/>
        </w:rPr>
        <w:t xml:space="preserve">but this conclusion was </w:t>
      </w:r>
      <w:r w:rsidR="004F0B4F">
        <w:rPr>
          <w:sz w:val="22"/>
          <w:szCs w:val="22"/>
        </w:rPr>
        <w:t>based on the totality of the circums</w:t>
      </w:r>
      <w:r w:rsidR="00BC3E7D">
        <w:rPr>
          <w:sz w:val="22"/>
          <w:szCs w:val="22"/>
        </w:rPr>
        <w:t xml:space="preserve">tances, namely that the AM antenna structure </w:t>
      </w:r>
      <w:r w:rsidR="004F0B4F">
        <w:rPr>
          <w:sz w:val="22"/>
          <w:szCs w:val="22"/>
        </w:rPr>
        <w:t xml:space="preserve">was built on a flood plain and </w:t>
      </w:r>
      <w:r w:rsidR="00E062BF">
        <w:rPr>
          <w:sz w:val="22"/>
          <w:szCs w:val="22"/>
        </w:rPr>
        <w:t xml:space="preserve">the structure owner </w:t>
      </w:r>
      <w:r w:rsidR="004F0B4F">
        <w:rPr>
          <w:sz w:val="22"/>
          <w:szCs w:val="22"/>
        </w:rPr>
        <w:t>was prohibited by local zoning restrictions from constructing a fence.</w:t>
      </w:r>
      <w:r w:rsidR="002468E1">
        <w:rPr>
          <w:rStyle w:val="FootnoteReference"/>
          <w:szCs w:val="22"/>
        </w:rPr>
        <w:footnoteReference w:id="22"/>
      </w:r>
      <w:r w:rsidR="004F0B4F">
        <w:rPr>
          <w:sz w:val="22"/>
          <w:szCs w:val="22"/>
        </w:rPr>
        <w:t xml:space="preserve">  Given that Wagenvoord was not prohibited in any way from erec</w:t>
      </w:r>
      <w:r w:rsidR="00BC3E7D">
        <w:rPr>
          <w:sz w:val="22"/>
          <w:szCs w:val="22"/>
        </w:rPr>
        <w:t>ting a fence around its AM antenna structure</w:t>
      </w:r>
      <w:r w:rsidR="004F0B4F">
        <w:rPr>
          <w:sz w:val="22"/>
          <w:szCs w:val="22"/>
        </w:rPr>
        <w:t>, we find no reason to conclude tha</w:t>
      </w:r>
      <w:r w:rsidR="00B51E53">
        <w:rPr>
          <w:sz w:val="22"/>
          <w:szCs w:val="22"/>
        </w:rPr>
        <w:t>t its p</w:t>
      </w:r>
      <w:r w:rsidR="002E0A21">
        <w:rPr>
          <w:sz w:val="22"/>
          <w:szCs w:val="22"/>
        </w:rPr>
        <w:t>edestal</w:t>
      </w:r>
      <w:r w:rsidR="004F0B4F">
        <w:rPr>
          <w:sz w:val="22"/>
          <w:szCs w:val="22"/>
        </w:rPr>
        <w:t xml:space="preserve"> plus insulator qualifies as an “other enclosure.”</w:t>
      </w:r>
      <w:r w:rsidR="00B51E53">
        <w:rPr>
          <w:sz w:val="22"/>
          <w:szCs w:val="22"/>
        </w:rPr>
        <w:t xml:space="preserve">  </w:t>
      </w:r>
      <w:r w:rsidR="00E062BF">
        <w:rPr>
          <w:color w:val="000000"/>
          <w:sz w:val="22"/>
          <w:szCs w:val="22"/>
        </w:rPr>
        <w:t xml:space="preserve">Therefore, upon review of Wagenvoord’s </w:t>
      </w:r>
      <w:r w:rsidR="00551428">
        <w:rPr>
          <w:i/>
          <w:color w:val="000000"/>
          <w:sz w:val="22"/>
          <w:szCs w:val="22"/>
        </w:rPr>
        <w:t>Petition</w:t>
      </w:r>
      <w:r w:rsidR="00BC3E7D">
        <w:rPr>
          <w:i/>
          <w:color w:val="000000"/>
          <w:sz w:val="22"/>
          <w:szCs w:val="22"/>
        </w:rPr>
        <w:t xml:space="preserve"> </w:t>
      </w:r>
      <w:r w:rsidR="00BC3E7D">
        <w:rPr>
          <w:color w:val="000000"/>
          <w:sz w:val="22"/>
          <w:szCs w:val="22"/>
        </w:rPr>
        <w:t xml:space="preserve">and the entire record herein, we affirm the </w:t>
      </w:r>
      <w:r w:rsidR="00551428">
        <w:rPr>
          <w:color w:val="000000"/>
          <w:sz w:val="22"/>
          <w:szCs w:val="22"/>
        </w:rPr>
        <w:t xml:space="preserve">conclusion in the </w:t>
      </w:r>
      <w:r w:rsidR="00BC3E7D">
        <w:rPr>
          <w:i/>
          <w:color w:val="000000"/>
          <w:sz w:val="22"/>
          <w:szCs w:val="22"/>
        </w:rPr>
        <w:t>F</w:t>
      </w:r>
      <w:r w:rsidR="0062570E">
        <w:rPr>
          <w:i/>
          <w:color w:val="000000"/>
          <w:sz w:val="22"/>
          <w:szCs w:val="22"/>
        </w:rPr>
        <w:t>orfeiture Order</w:t>
      </w:r>
      <w:r w:rsidR="00551428">
        <w:rPr>
          <w:i/>
          <w:color w:val="000000"/>
          <w:sz w:val="22"/>
          <w:szCs w:val="22"/>
        </w:rPr>
        <w:t xml:space="preserve"> </w:t>
      </w:r>
      <w:r w:rsidR="00551428">
        <w:rPr>
          <w:color w:val="000000"/>
          <w:sz w:val="22"/>
          <w:szCs w:val="22"/>
        </w:rPr>
        <w:t>that Wagenvoord willfully and repeatedly violated Section 73.49 of the Rules</w:t>
      </w:r>
      <w:r w:rsidR="00BC3E7D">
        <w:rPr>
          <w:iCs/>
          <w:color w:val="000000"/>
          <w:sz w:val="22"/>
          <w:szCs w:val="22"/>
        </w:rPr>
        <w:t xml:space="preserve">.  </w:t>
      </w:r>
    </w:p>
    <w:p w:rsidR="00E87967" w:rsidRDefault="006345A9" w:rsidP="00C4153B">
      <w:pPr>
        <w:numPr>
          <w:ilvl w:val="0"/>
          <w:numId w:val="11"/>
        </w:numPr>
        <w:tabs>
          <w:tab w:val="clear" w:pos="1080"/>
          <w:tab w:val="left" w:pos="0"/>
          <w:tab w:val="num" w:pos="1440"/>
        </w:tabs>
        <w:suppressAutoHyphens/>
        <w:autoSpaceDE w:val="0"/>
        <w:autoSpaceDN w:val="0"/>
        <w:adjustRightInd w:val="0"/>
        <w:spacing w:after="120"/>
        <w:rPr>
          <w:color w:val="000000"/>
          <w:sz w:val="22"/>
          <w:szCs w:val="22"/>
        </w:rPr>
      </w:pPr>
      <w:r>
        <w:rPr>
          <w:sz w:val="22"/>
          <w:szCs w:val="22"/>
        </w:rPr>
        <w:t xml:space="preserve">However, </w:t>
      </w:r>
      <w:r w:rsidR="00E87967">
        <w:rPr>
          <w:sz w:val="22"/>
          <w:szCs w:val="22"/>
        </w:rPr>
        <w:t>we do acknowledge that most people would be unable to reach the RF pote</w:t>
      </w:r>
      <w:r w:rsidR="00E062BF">
        <w:rPr>
          <w:sz w:val="22"/>
          <w:szCs w:val="22"/>
        </w:rPr>
        <w:t>ntial on Wagenvoord</w:t>
      </w:r>
      <w:r w:rsidR="00BC3E7D">
        <w:rPr>
          <w:sz w:val="22"/>
          <w:szCs w:val="22"/>
        </w:rPr>
        <w:t>’s antenna structure</w:t>
      </w:r>
      <w:r w:rsidR="00E062BF">
        <w:rPr>
          <w:sz w:val="22"/>
          <w:szCs w:val="22"/>
        </w:rPr>
        <w:t xml:space="preserve"> and the</w:t>
      </w:r>
      <w:r w:rsidR="00E87967">
        <w:rPr>
          <w:sz w:val="22"/>
          <w:szCs w:val="22"/>
        </w:rPr>
        <w:t xml:space="preserve"> structure does not pose the same safet</w:t>
      </w:r>
      <w:r w:rsidR="00BC3E7D">
        <w:rPr>
          <w:sz w:val="22"/>
          <w:szCs w:val="22"/>
        </w:rPr>
        <w:t>y hazard as an unfenced AM structure</w:t>
      </w:r>
      <w:r w:rsidR="002E0A21">
        <w:rPr>
          <w:sz w:val="22"/>
          <w:szCs w:val="22"/>
        </w:rPr>
        <w:t xml:space="preserve"> not built on a high</w:t>
      </w:r>
      <w:r w:rsidR="00E062BF">
        <w:rPr>
          <w:sz w:val="22"/>
          <w:szCs w:val="22"/>
        </w:rPr>
        <w:t>,</w:t>
      </w:r>
      <w:r w:rsidR="002E0A21">
        <w:rPr>
          <w:sz w:val="22"/>
          <w:szCs w:val="22"/>
        </w:rPr>
        <w:t xml:space="preserve"> </w:t>
      </w:r>
      <w:r w:rsidR="00E062BF">
        <w:rPr>
          <w:sz w:val="22"/>
          <w:szCs w:val="22"/>
        </w:rPr>
        <w:t xml:space="preserve">insulated </w:t>
      </w:r>
      <w:r w:rsidR="002E0A21">
        <w:rPr>
          <w:sz w:val="22"/>
          <w:szCs w:val="22"/>
        </w:rPr>
        <w:t>pedestal</w:t>
      </w:r>
      <w:r w:rsidR="00E87967">
        <w:rPr>
          <w:sz w:val="22"/>
          <w:szCs w:val="22"/>
        </w:rPr>
        <w:t xml:space="preserve">.  </w:t>
      </w:r>
      <w:r w:rsidR="005A4A83">
        <w:rPr>
          <w:sz w:val="22"/>
          <w:szCs w:val="22"/>
        </w:rPr>
        <w:t xml:space="preserve">Moreover, </w:t>
      </w:r>
      <w:r w:rsidR="00E062BF">
        <w:rPr>
          <w:sz w:val="22"/>
          <w:szCs w:val="22"/>
        </w:rPr>
        <w:t xml:space="preserve">we recognize that </w:t>
      </w:r>
      <w:r w:rsidR="005A4A83">
        <w:rPr>
          <w:sz w:val="22"/>
          <w:szCs w:val="22"/>
        </w:rPr>
        <w:t>Wagen</w:t>
      </w:r>
      <w:r w:rsidR="002E0A21">
        <w:rPr>
          <w:sz w:val="22"/>
          <w:szCs w:val="22"/>
        </w:rPr>
        <w:t>voord erected its concrete pedestal</w:t>
      </w:r>
      <w:r w:rsidR="00551428">
        <w:rPr>
          <w:sz w:val="22"/>
          <w:szCs w:val="22"/>
        </w:rPr>
        <w:t xml:space="preserve"> prior to the</w:t>
      </w:r>
      <w:r w:rsidR="005A4A83">
        <w:rPr>
          <w:sz w:val="22"/>
          <w:szCs w:val="22"/>
        </w:rPr>
        <w:t xml:space="preserve"> inspection.  </w:t>
      </w:r>
      <w:r w:rsidR="00E87967">
        <w:rPr>
          <w:sz w:val="22"/>
          <w:szCs w:val="22"/>
        </w:rPr>
        <w:t xml:space="preserve">Accordingly, </w:t>
      </w:r>
      <w:r w:rsidR="009D0BA5">
        <w:rPr>
          <w:sz w:val="22"/>
          <w:szCs w:val="22"/>
        </w:rPr>
        <w:t xml:space="preserve">on our own motion, </w:t>
      </w:r>
      <w:r w:rsidR="00E87967">
        <w:rPr>
          <w:sz w:val="22"/>
          <w:szCs w:val="22"/>
        </w:rPr>
        <w:t xml:space="preserve">we conclude a </w:t>
      </w:r>
      <w:r w:rsidR="00E062BF">
        <w:rPr>
          <w:sz w:val="22"/>
          <w:szCs w:val="22"/>
        </w:rPr>
        <w:t>$1,4</w:t>
      </w:r>
      <w:r w:rsidR="005A4A83">
        <w:rPr>
          <w:sz w:val="22"/>
          <w:szCs w:val="22"/>
        </w:rPr>
        <w:t xml:space="preserve">00 </w:t>
      </w:r>
      <w:r w:rsidR="00E87967">
        <w:rPr>
          <w:sz w:val="22"/>
          <w:szCs w:val="22"/>
        </w:rPr>
        <w:t>reduction in the forfeiture is appropriate</w:t>
      </w:r>
      <w:r w:rsidR="005A4A83">
        <w:rPr>
          <w:sz w:val="22"/>
          <w:szCs w:val="22"/>
        </w:rPr>
        <w:t xml:space="preserve"> based on Wagenvoord’s pre-inspection good faith efforts to comply with the </w:t>
      </w:r>
      <w:r w:rsidR="00E062BF">
        <w:rPr>
          <w:sz w:val="22"/>
          <w:szCs w:val="22"/>
        </w:rPr>
        <w:t xml:space="preserve">antenna structure fencing </w:t>
      </w:r>
      <w:r w:rsidR="00A66FBA">
        <w:rPr>
          <w:sz w:val="22"/>
          <w:szCs w:val="22"/>
        </w:rPr>
        <w:t>R</w:t>
      </w:r>
      <w:r w:rsidR="005A4A83">
        <w:rPr>
          <w:sz w:val="22"/>
          <w:szCs w:val="22"/>
        </w:rPr>
        <w:t>ules.</w:t>
      </w:r>
      <w:r w:rsidR="005A4A83">
        <w:rPr>
          <w:rStyle w:val="FootnoteReference"/>
          <w:szCs w:val="22"/>
        </w:rPr>
        <w:footnoteReference w:id="23"/>
      </w:r>
    </w:p>
    <w:p w:rsidR="00676331" w:rsidRPr="008B13C1" w:rsidRDefault="00303F93" w:rsidP="00C4153B">
      <w:pPr>
        <w:keepNext/>
        <w:numPr>
          <w:ilvl w:val="0"/>
          <w:numId w:val="43"/>
        </w:numPr>
        <w:tabs>
          <w:tab w:val="left" w:pos="0"/>
          <w:tab w:val="left" w:pos="720"/>
        </w:tabs>
        <w:suppressAutoHyphens/>
        <w:spacing w:after="120"/>
        <w:ind w:hanging="1080"/>
        <w:rPr>
          <w:b/>
          <w:sz w:val="22"/>
          <w:szCs w:val="22"/>
        </w:rPr>
      </w:pPr>
      <w:r>
        <w:rPr>
          <w:b/>
          <w:sz w:val="22"/>
          <w:szCs w:val="22"/>
        </w:rPr>
        <w:t>ORDERING CLAUSES</w:t>
      </w:r>
    </w:p>
    <w:p w:rsidR="00551428" w:rsidRPr="00676331" w:rsidRDefault="00551428" w:rsidP="00C4153B">
      <w:pPr>
        <w:pStyle w:val="ParaNum"/>
        <w:widowControl/>
        <w:numPr>
          <w:ilvl w:val="0"/>
          <w:numId w:val="11"/>
        </w:numPr>
        <w:tabs>
          <w:tab w:val="clear" w:pos="1080"/>
          <w:tab w:val="num" w:pos="1440"/>
        </w:tabs>
        <w:spacing w:after="120"/>
        <w:jc w:val="left"/>
        <w:rPr>
          <w:color w:val="000000"/>
          <w:szCs w:val="22"/>
        </w:rPr>
      </w:pPr>
      <w:r w:rsidRPr="00551428">
        <w:rPr>
          <w:szCs w:val="22"/>
        </w:rPr>
        <w:t xml:space="preserve">Accordingly, </w:t>
      </w:r>
      <w:r w:rsidRPr="00551428">
        <w:rPr>
          <w:b/>
          <w:bCs/>
          <w:szCs w:val="22"/>
        </w:rPr>
        <w:t>IT IS ORDERED</w:t>
      </w:r>
      <w:r w:rsidRPr="00551428">
        <w:rPr>
          <w:szCs w:val="22"/>
        </w:rPr>
        <w:t xml:space="preserve"> that, pursuant to Sections 4(i) and 405 of the Communications Act of 1934, as amended</w:t>
      </w:r>
      <w:r w:rsidR="00676331">
        <w:rPr>
          <w:szCs w:val="22"/>
        </w:rPr>
        <w:t xml:space="preserve"> (Act)</w:t>
      </w:r>
      <w:r w:rsidRPr="00551428">
        <w:rPr>
          <w:szCs w:val="22"/>
        </w:rPr>
        <w:t>,</w:t>
      </w:r>
      <w:bookmarkStart w:id="3" w:name="FN[FN41]"/>
      <w:bookmarkEnd w:id="3"/>
      <w:r>
        <w:rPr>
          <w:szCs w:val="22"/>
        </w:rPr>
        <w:t xml:space="preserve"> </w:t>
      </w:r>
      <w:r w:rsidRPr="00551428">
        <w:rPr>
          <w:szCs w:val="22"/>
        </w:rPr>
        <w:t xml:space="preserve">and Sections 0.111, 0.311, and 1.106 of the </w:t>
      </w:r>
      <w:r w:rsidR="00676331">
        <w:rPr>
          <w:szCs w:val="22"/>
        </w:rPr>
        <w:t>Rules</w:t>
      </w:r>
      <w:r w:rsidRPr="00551428">
        <w:rPr>
          <w:szCs w:val="22"/>
        </w:rPr>
        <w:t>,</w:t>
      </w:r>
      <w:bookmarkStart w:id="4" w:name="FN[FN42]"/>
      <w:bookmarkEnd w:id="4"/>
      <w:r w:rsidRPr="00551428">
        <w:rPr>
          <w:szCs w:val="22"/>
        </w:rPr>
        <w:t xml:space="preserve"> the </w:t>
      </w:r>
      <w:r w:rsidRPr="00676331">
        <w:rPr>
          <w:szCs w:val="22"/>
        </w:rPr>
        <w:t>Application f</w:t>
      </w:r>
      <w:r w:rsidR="002A1760">
        <w:rPr>
          <w:szCs w:val="22"/>
        </w:rPr>
        <w:t>or Review filed on April 1, 2013,</w:t>
      </w:r>
      <w:r w:rsidR="00676331" w:rsidRPr="00676331">
        <w:rPr>
          <w:szCs w:val="22"/>
        </w:rPr>
        <w:t xml:space="preserve"> by Wagenvoord Advertising Group, Inc.</w:t>
      </w:r>
      <w:r w:rsidRPr="00676331">
        <w:rPr>
          <w:szCs w:val="22"/>
        </w:rPr>
        <w:t xml:space="preserve">, which has been appropriately treated by the </w:t>
      </w:r>
      <w:r w:rsidR="002A1760">
        <w:rPr>
          <w:szCs w:val="22"/>
        </w:rPr>
        <w:t>Enforcement Bureau as a Petition for R</w:t>
      </w:r>
      <w:r w:rsidRPr="00676331">
        <w:rPr>
          <w:szCs w:val="22"/>
        </w:rPr>
        <w:t xml:space="preserve">econsideration, is hereby </w:t>
      </w:r>
      <w:r w:rsidRPr="00676331">
        <w:rPr>
          <w:b/>
          <w:bCs/>
          <w:szCs w:val="22"/>
        </w:rPr>
        <w:t>DENIED</w:t>
      </w:r>
      <w:r w:rsidRPr="00676331">
        <w:rPr>
          <w:szCs w:val="22"/>
        </w:rPr>
        <w:t xml:space="preserve"> </w:t>
      </w:r>
      <w:r w:rsidR="00676331" w:rsidRPr="00676331">
        <w:rPr>
          <w:b/>
          <w:szCs w:val="22"/>
        </w:rPr>
        <w:t xml:space="preserve">IN PART </w:t>
      </w:r>
      <w:r w:rsidRPr="00676331">
        <w:rPr>
          <w:szCs w:val="22"/>
        </w:rPr>
        <w:t xml:space="preserve">and </w:t>
      </w:r>
      <w:r w:rsidR="00676331" w:rsidRPr="00676331">
        <w:rPr>
          <w:b/>
          <w:szCs w:val="22"/>
        </w:rPr>
        <w:t>GRANTED IN PART</w:t>
      </w:r>
      <w:r w:rsidR="00676331" w:rsidRPr="00676331">
        <w:rPr>
          <w:szCs w:val="22"/>
        </w:rPr>
        <w:t>.</w:t>
      </w:r>
      <w:r w:rsidR="00676331" w:rsidRPr="00676331">
        <w:rPr>
          <w:rStyle w:val="FootnoteReference"/>
          <w:szCs w:val="22"/>
        </w:rPr>
        <w:footnoteReference w:id="24"/>
      </w:r>
    </w:p>
    <w:p w:rsidR="00676331" w:rsidRPr="00676331" w:rsidRDefault="00676331" w:rsidP="00C4153B">
      <w:pPr>
        <w:pStyle w:val="ParaNum"/>
        <w:widowControl/>
        <w:numPr>
          <w:ilvl w:val="0"/>
          <w:numId w:val="11"/>
        </w:numPr>
        <w:tabs>
          <w:tab w:val="clear" w:pos="1080"/>
          <w:tab w:val="num" w:pos="1440"/>
        </w:tabs>
        <w:spacing w:after="120"/>
        <w:jc w:val="left"/>
        <w:rPr>
          <w:color w:val="000000"/>
          <w:szCs w:val="22"/>
        </w:rPr>
      </w:pPr>
      <w:r w:rsidRPr="00676331">
        <w:rPr>
          <w:b/>
          <w:bCs/>
          <w:szCs w:val="22"/>
        </w:rPr>
        <w:t>IT IS FURTHER ORDERED</w:t>
      </w:r>
      <w:r w:rsidRPr="00676331">
        <w:rPr>
          <w:szCs w:val="22"/>
        </w:rPr>
        <w:t xml:space="preserve"> that, pursuant to Section 503(b) of the Act</w:t>
      </w:r>
      <w:bookmarkStart w:id="5" w:name="FN[FN43]"/>
      <w:bookmarkEnd w:id="5"/>
      <w:r w:rsidRPr="00676331">
        <w:rPr>
          <w:szCs w:val="22"/>
        </w:rPr>
        <w:t xml:space="preserve"> and Sections 0.111, 0.311 and 1.80(f)(4) of the Rules</w:t>
      </w:r>
      <w:bookmarkStart w:id="6" w:name="FN[FN44]"/>
      <w:bookmarkEnd w:id="6"/>
      <w:r>
        <w:rPr>
          <w:szCs w:val="22"/>
        </w:rPr>
        <w:t>, Wagenvoord Advertising Group, Inc.</w:t>
      </w:r>
      <w:r w:rsidRPr="00676331">
        <w:rPr>
          <w:szCs w:val="22"/>
        </w:rPr>
        <w:t xml:space="preserve"> </w:t>
      </w:r>
      <w:r w:rsidRPr="00676331">
        <w:rPr>
          <w:b/>
          <w:bCs/>
          <w:szCs w:val="22"/>
        </w:rPr>
        <w:t>IS LIABLE FOR A MONETARY FORFEITURE</w:t>
      </w:r>
      <w:r w:rsidR="002A1760">
        <w:rPr>
          <w:szCs w:val="22"/>
        </w:rPr>
        <w:t xml:space="preserve"> in the amount of five thousand six hundred</w:t>
      </w:r>
      <w:r>
        <w:rPr>
          <w:szCs w:val="22"/>
        </w:rPr>
        <w:t xml:space="preserve"> </w:t>
      </w:r>
      <w:r w:rsidR="002A1760">
        <w:rPr>
          <w:szCs w:val="22"/>
        </w:rPr>
        <w:t>dollars ($5,6</w:t>
      </w:r>
      <w:r w:rsidRPr="00676331">
        <w:rPr>
          <w:szCs w:val="22"/>
        </w:rPr>
        <w:t xml:space="preserve">00) for willful and repeated violation of Section </w:t>
      </w:r>
      <w:r>
        <w:rPr>
          <w:szCs w:val="22"/>
        </w:rPr>
        <w:t>73.49 of the Rules</w:t>
      </w:r>
      <w:r w:rsidRPr="00676331">
        <w:rPr>
          <w:szCs w:val="22"/>
        </w:rPr>
        <w:t>.</w:t>
      </w:r>
      <w:r>
        <w:rPr>
          <w:rStyle w:val="FootnoteReference"/>
          <w:szCs w:val="22"/>
        </w:rPr>
        <w:footnoteReference w:id="25"/>
      </w:r>
    </w:p>
    <w:p w:rsidR="001911E0" w:rsidRPr="001911E0" w:rsidRDefault="001911E0" w:rsidP="00C4153B">
      <w:pPr>
        <w:pStyle w:val="ParaNum"/>
        <w:widowControl/>
        <w:numPr>
          <w:ilvl w:val="0"/>
          <w:numId w:val="11"/>
        </w:numPr>
        <w:tabs>
          <w:tab w:val="clear" w:pos="1080"/>
          <w:tab w:val="num" w:pos="1440"/>
        </w:tabs>
        <w:spacing w:after="120"/>
        <w:jc w:val="left"/>
        <w:rPr>
          <w:color w:val="000000"/>
          <w:szCs w:val="22"/>
        </w:rPr>
      </w:pPr>
      <w:r w:rsidRPr="001911E0">
        <w:rPr>
          <w:szCs w:val="22"/>
        </w:rPr>
        <w:t>Payment</w:t>
      </w:r>
      <w:r w:rsidRPr="001911E0">
        <w:rPr>
          <w:rFonts w:eastAsia="MS Mincho"/>
          <w:szCs w:val="22"/>
        </w:rPr>
        <w:t xml:space="preserve"> of the forfeiture shall be made in the manner provided for in Section 1.80 of the Rules within thirty (30) calendar days after the release date of this </w:t>
      </w:r>
      <w:r w:rsidR="002A1760">
        <w:rPr>
          <w:rFonts w:eastAsia="MS Mincho"/>
          <w:szCs w:val="22"/>
        </w:rPr>
        <w:t>Memorandum Opinion and Order</w:t>
      </w:r>
      <w:r w:rsidRPr="001911E0">
        <w:rPr>
          <w:rFonts w:eastAsia="MS Mincho"/>
          <w:szCs w:val="22"/>
        </w:rPr>
        <w:t>.</w:t>
      </w:r>
      <w:r w:rsidRPr="001911E0">
        <w:rPr>
          <w:rStyle w:val="FootnoteReference"/>
          <w:rFonts w:eastAsia="MS Mincho"/>
          <w:sz w:val="22"/>
          <w:szCs w:val="22"/>
        </w:rPr>
        <w:footnoteReference w:id="26"/>
      </w:r>
      <w:r w:rsidRPr="001911E0">
        <w:rPr>
          <w:rFonts w:eastAsia="MS Mincho"/>
          <w:szCs w:val="22"/>
        </w:rPr>
        <w:t xml:space="preserve">  If the forfeiture is not paid within the period specified, the case may be referred to the U.S. Department of Justice for enforcement of the forfeiture pursuant to Section 504(a) of the </w:t>
      </w:r>
      <w:r w:rsidR="002A1760">
        <w:rPr>
          <w:rFonts w:eastAsia="MS Mincho"/>
          <w:szCs w:val="22"/>
        </w:rPr>
        <w:t>Act</w:t>
      </w:r>
      <w:r w:rsidRPr="001911E0">
        <w:rPr>
          <w:rFonts w:eastAsia="MS Mincho"/>
          <w:szCs w:val="22"/>
        </w:rPr>
        <w:t>.</w:t>
      </w:r>
      <w:r w:rsidRPr="001911E0">
        <w:rPr>
          <w:rStyle w:val="FootnoteReference"/>
          <w:rFonts w:eastAsia="MS Mincho"/>
          <w:sz w:val="22"/>
          <w:szCs w:val="22"/>
        </w:rPr>
        <w:footnoteReference w:id="27"/>
      </w:r>
      <w:r w:rsidRPr="001911E0">
        <w:rPr>
          <w:rFonts w:eastAsia="MS Mincho"/>
          <w:szCs w:val="22"/>
        </w:rPr>
        <w:t xml:space="preserve">  </w:t>
      </w:r>
      <w:r>
        <w:rPr>
          <w:rFonts w:eastAsia="MS Mincho"/>
          <w:szCs w:val="22"/>
        </w:rPr>
        <w:t>Wagenvoord Advertising Group, Inc.</w:t>
      </w:r>
      <w:r w:rsidRPr="001911E0">
        <w:rPr>
          <w:rFonts w:eastAsia="MS Mincho"/>
          <w:szCs w:val="22"/>
        </w:rPr>
        <w:t xml:space="preserve"> shall send electronic notification of payment to </w:t>
      </w:r>
      <w:r w:rsidRPr="001911E0">
        <w:rPr>
          <w:szCs w:val="22"/>
        </w:rPr>
        <w:t>SCR-Response@fcc.gov</w:t>
      </w:r>
      <w:r w:rsidRPr="001911E0">
        <w:rPr>
          <w:rFonts w:eastAsia="MS Mincho"/>
          <w:szCs w:val="22"/>
        </w:rPr>
        <w:t xml:space="preserve"> on the date said payment is made.  </w:t>
      </w:r>
      <w:r w:rsidRPr="001911E0">
        <w:rPr>
          <w:rFonts w:eastAsia="MS Mincho" w:cs="Arial"/>
          <w:szCs w:val="22"/>
        </w:rPr>
        <w:t>The payment must be made by check or similar instrument, wire transfer, or credit card, an</w:t>
      </w:r>
      <w:r w:rsidR="002A1760">
        <w:rPr>
          <w:rFonts w:eastAsia="MS Mincho" w:cs="Arial"/>
          <w:szCs w:val="22"/>
        </w:rPr>
        <w:t>d must include the NAL/Account N</w:t>
      </w:r>
      <w:r w:rsidRPr="001911E0">
        <w:rPr>
          <w:rFonts w:eastAsia="MS Mincho" w:cs="Arial"/>
          <w:szCs w:val="22"/>
        </w:rPr>
        <w:t>umber and FRN referenced above.  Regardless of the form of payment, a completed FCC Form 159 (Remittance Advice) must be submitted.</w:t>
      </w:r>
      <w:r w:rsidRPr="001911E0">
        <w:rPr>
          <w:rStyle w:val="FootnoteReference"/>
          <w:rFonts w:eastAsia="MS Mincho" w:cs="Arial"/>
          <w:sz w:val="22"/>
          <w:szCs w:val="22"/>
        </w:rPr>
        <w:footnoteReference w:id="28"/>
      </w:r>
      <w:r w:rsidRPr="001911E0">
        <w:rPr>
          <w:rFonts w:eastAsia="MS Mincho" w:cs="Arial"/>
          <w:szCs w:val="22"/>
        </w:rPr>
        <w:t xml:space="preserve">  When completing the FCC Form 159, enter the Account Number in block number 23A (call sign/other ID) and enter the letters “FORF” in block number 24A (payment type code).</w:t>
      </w:r>
      <w:r w:rsidR="002A1760">
        <w:rPr>
          <w:rFonts w:eastAsia="MS Mincho" w:cs="Arial"/>
          <w:szCs w:val="22"/>
        </w:rPr>
        <w:t>  </w:t>
      </w:r>
      <w:r w:rsidRPr="001911E0">
        <w:rPr>
          <w:color w:val="000000"/>
          <w:szCs w:val="22"/>
        </w:rPr>
        <w:t>Below are additional instructions you should follow based on the form of payment you select:</w:t>
      </w:r>
    </w:p>
    <w:p w:rsidR="001911E0" w:rsidRPr="001911E0" w:rsidRDefault="001911E0" w:rsidP="008B13C1">
      <w:pPr>
        <w:pStyle w:val="ParaNum"/>
        <w:widowControl/>
        <w:numPr>
          <w:ilvl w:val="0"/>
          <w:numId w:val="47"/>
        </w:numPr>
        <w:tabs>
          <w:tab w:val="clear" w:pos="1440"/>
        </w:tabs>
        <w:snapToGrid w:val="0"/>
        <w:spacing w:after="120"/>
        <w:jc w:val="left"/>
        <w:rPr>
          <w:rFonts w:eastAsia="MS Mincho"/>
          <w:szCs w:val="22"/>
        </w:rPr>
      </w:pPr>
      <w:r w:rsidRPr="001911E0">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1911E0" w:rsidRPr="001911E0" w:rsidRDefault="001911E0" w:rsidP="008B13C1">
      <w:pPr>
        <w:pStyle w:val="ParaNum"/>
        <w:widowControl/>
        <w:numPr>
          <w:ilvl w:val="0"/>
          <w:numId w:val="47"/>
        </w:numPr>
        <w:tabs>
          <w:tab w:val="clear" w:pos="1440"/>
        </w:tabs>
        <w:snapToGrid w:val="0"/>
        <w:spacing w:after="120"/>
        <w:jc w:val="left"/>
        <w:rPr>
          <w:rFonts w:eastAsia="MS Mincho"/>
          <w:szCs w:val="22"/>
        </w:rPr>
      </w:pPr>
      <w:r w:rsidRPr="001911E0">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1911E0" w:rsidRPr="001911E0" w:rsidRDefault="001911E0" w:rsidP="00C4153B">
      <w:pPr>
        <w:pStyle w:val="ParaNum"/>
        <w:widowControl/>
        <w:numPr>
          <w:ilvl w:val="0"/>
          <w:numId w:val="47"/>
        </w:numPr>
        <w:tabs>
          <w:tab w:val="clear" w:pos="1440"/>
        </w:tabs>
        <w:snapToGrid w:val="0"/>
        <w:spacing w:after="120"/>
        <w:jc w:val="left"/>
        <w:rPr>
          <w:rFonts w:eastAsia="MS Mincho"/>
          <w:szCs w:val="22"/>
        </w:rPr>
      </w:pPr>
      <w:r w:rsidRPr="001911E0">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1911E0" w:rsidRPr="001911E0" w:rsidRDefault="001911E0" w:rsidP="00C4153B">
      <w:pPr>
        <w:pStyle w:val="ParaNum"/>
        <w:widowControl/>
        <w:numPr>
          <w:ilvl w:val="0"/>
          <w:numId w:val="11"/>
        </w:numPr>
        <w:tabs>
          <w:tab w:val="clear" w:pos="1080"/>
          <w:tab w:val="num" w:pos="1440"/>
        </w:tabs>
        <w:spacing w:after="120"/>
        <w:jc w:val="left"/>
        <w:rPr>
          <w:color w:val="000000"/>
          <w:szCs w:val="22"/>
        </w:rPr>
      </w:pPr>
      <w:r w:rsidRPr="001911E0">
        <w:rPr>
          <w:rFonts w:eastAsia="MS Mincho"/>
          <w:szCs w:val="22"/>
        </w:rPr>
        <w:t xml:space="preserve">Any </w:t>
      </w:r>
      <w:r w:rsidRPr="001911E0">
        <w:rPr>
          <w:rFonts w:eastAsia="MS Mincho" w:cs="Arial"/>
          <w:szCs w:val="22"/>
        </w:rPr>
        <w:t>request</w:t>
      </w:r>
      <w:r w:rsidRPr="001911E0">
        <w:rPr>
          <w:rFonts w:eastAsia="MS Mincho"/>
          <w:szCs w:val="22"/>
        </w:rPr>
        <w:t xml:space="preserve"> for full payment </w:t>
      </w:r>
      <w:r w:rsidR="002A1760">
        <w:rPr>
          <w:rFonts w:eastAsia="MS Mincho"/>
          <w:szCs w:val="22"/>
        </w:rPr>
        <w:t xml:space="preserve">over time </w:t>
      </w:r>
      <w:r w:rsidRPr="001911E0">
        <w:rPr>
          <w:rFonts w:eastAsia="MS Mincho"/>
          <w:szCs w:val="22"/>
        </w:rPr>
        <w:t xml:space="preserve">under an installment plan should be sent to:  Chief Financial Officer—Financial Operations, </w:t>
      </w:r>
      <w:r w:rsidRPr="001911E0">
        <w:rPr>
          <w:rFonts w:eastAsia="MS Mincho" w:cs="Arial"/>
          <w:szCs w:val="22"/>
        </w:rPr>
        <w:t>Federal</w:t>
      </w:r>
      <w:r w:rsidRPr="001911E0">
        <w:rPr>
          <w:rFonts w:eastAsia="MS Mincho"/>
          <w:szCs w:val="22"/>
        </w:rPr>
        <w:t xml:space="preserve"> Communications Commission, 445 12th Street, S.W., Room 1-A625, Washington, D.C.  20554.</w:t>
      </w:r>
      <w:r w:rsidRPr="001911E0">
        <w:rPr>
          <w:rStyle w:val="FootnoteReference"/>
          <w:rFonts w:eastAsia="MS Mincho"/>
          <w:sz w:val="22"/>
          <w:szCs w:val="22"/>
        </w:rPr>
        <w:footnoteReference w:id="29"/>
      </w:r>
      <w:r w:rsidRPr="001911E0">
        <w:rPr>
          <w:rFonts w:eastAsia="MS Mincho"/>
          <w:szCs w:val="22"/>
        </w:rPr>
        <w:t>  If you have questions regarding payment procedures, please contact the Financial Operations Group Help Desk by phone, 1-877-480-3201, or by e</w:t>
      </w:r>
      <w:r w:rsidRPr="001911E0">
        <w:rPr>
          <w:rFonts w:eastAsia="MS Mincho"/>
          <w:szCs w:val="22"/>
        </w:rPr>
        <w:noBreakHyphen/>
        <w:t xml:space="preserve">mail, </w:t>
      </w:r>
      <w:r w:rsidRPr="002A1760">
        <w:rPr>
          <w:rFonts w:eastAsia="MS Mincho" w:cs="Arial"/>
          <w:szCs w:val="22"/>
        </w:rPr>
        <w:t>ARINQUIRIES@fcc.gov</w:t>
      </w:r>
      <w:r w:rsidRPr="001911E0">
        <w:rPr>
          <w:rFonts w:eastAsia="MS Mincho"/>
          <w:szCs w:val="22"/>
        </w:rPr>
        <w:t>. </w:t>
      </w:r>
    </w:p>
    <w:p w:rsidR="001911E0" w:rsidRPr="001911E0" w:rsidRDefault="001911E0" w:rsidP="00C4153B">
      <w:pPr>
        <w:pStyle w:val="ParaNum"/>
        <w:widowControl/>
        <w:numPr>
          <w:ilvl w:val="0"/>
          <w:numId w:val="11"/>
        </w:numPr>
        <w:tabs>
          <w:tab w:val="clear" w:pos="1080"/>
          <w:tab w:val="num" w:pos="1440"/>
        </w:tabs>
        <w:spacing w:after="120"/>
        <w:jc w:val="left"/>
        <w:rPr>
          <w:color w:val="000000"/>
          <w:szCs w:val="22"/>
        </w:rPr>
      </w:pPr>
      <w:r w:rsidRPr="001911E0">
        <w:rPr>
          <w:b/>
          <w:szCs w:val="22"/>
        </w:rPr>
        <w:t>IT IS FURTHER ORDERED</w:t>
      </w:r>
      <w:r w:rsidRPr="001911E0">
        <w:rPr>
          <w:szCs w:val="22"/>
        </w:rPr>
        <w:t xml:space="preserve"> that this </w:t>
      </w:r>
      <w:r w:rsidR="006C75D0">
        <w:rPr>
          <w:szCs w:val="22"/>
        </w:rPr>
        <w:t>Memorandum Opinion and Order</w:t>
      </w:r>
      <w:r w:rsidRPr="001911E0">
        <w:rPr>
          <w:szCs w:val="22"/>
        </w:rPr>
        <w:t xml:space="preserve"> shall be sent by both First Class Mail and Certified Mail, Return Receipt Requested, to </w:t>
      </w:r>
      <w:r>
        <w:t>Wagenvoord Advertising Group, Inc.</w:t>
      </w:r>
      <w:r w:rsidRPr="005514B9">
        <w:t xml:space="preserve"> at </w:t>
      </w:r>
      <w:r w:rsidRPr="00694947">
        <w:t>2360 NE Coachman Rd.,</w:t>
      </w:r>
      <w:r w:rsidRPr="00694947">
        <w:rPr>
          <w:rFonts w:ascii="Times New Roman Bold" w:hAnsi="Times New Roman Bold"/>
          <w:b/>
          <w:spacing w:val="-2"/>
        </w:rPr>
        <w:t xml:space="preserve"> </w:t>
      </w:r>
      <w:r w:rsidRPr="00694947">
        <w:t>Clearwater, FL 33765</w:t>
      </w:r>
      <w:r>
        <w:t>, and to its counsel, Dan J. Alpert, at 2120 N 21</w:t>
      </w:r>
      <w:r w:rsidRPr="00AD368C">
        <w:rPr>
          <w:vertAlign w:val="superscript"/>
        </w:rPr>
        <w:t>st</w:t>
      </w:r>
      <w:r>
        <w:t xml:space="preserve"> Rd., Arlington, VA 22201</w:t>
      </w:r>
      <w:r w:rsidRPr="001911E0">
        <w:rPr>
          <w:szCs w:val="22"/>
        </w:rPr>
        <w:t>.</w:t>
      </w:r>
    </w:p>
    <w:p w:rsidR="00303F93" w:rsidRDefault="00303F93">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03F93" w:rsidRDefault="00303F93">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r>
        <w:rPr>
          <w:sz w:val="22"/>
          <w:szCs w:val="22"/>
        </w:rPr>
        <w:tab/>
      </w:r>
      <w:r>
        <w:rPr>
          <w:sz w:val="22"/>
          <w:szCs w:val="22"/>
        </w:rPr>
        <w:tab/>
      </w:r>
      <w:r>
        <w:rPr>
          <w:sz w:val="22"/>
          <w:szCs w:val="22"/>
        </w:rPr>
        <w:tab/>
      </w:r>
    </w:p>
    <w:p w:rsidR="00303F93" w:rsidRDefault="00303F93">
      <w:pPr>
        <w:tabs>
          <w:tab w:val="left" w:pos="0"/>
        </w:tabs>
        <w:suppressAutoHyphens/>
        <w:spacing w:line="240" w:lineRule="atLeast"/>
        <w:jc w:val="both"/>
        <w:rPr>
          <w:sz w:val="22"/>
          <w:szCs w:val="22"/>
        </w:rPr>
      </w:pPr>
    </w:p>
    <w:p w:rsidR="00303F93" w:rsidRDefault="00303F93">
      <w:pPr>
        <w:tabs>
          <w:tab w:val="left" w:pos="0"/>
        </w:tabs>
        <w:suppressAutoHyphens/>
        <w:spacing w:line="240" w:lineRule="atLeast"/>
        <w:jc w:val="both"/>
        <w:rPr>
          <w:sz w:val="22"/>
          <w:szCs w:val="22"/>
        </w:rPr>
      </w:pPr>
    </w:p>
    <w:p w:rsidR="008B13C1" w:rsidRDefault="00303F93">
      <w:pPr>
        <w:ind w:firstLine="36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03F93" w:rsidRDefault="002A42D5" w:rsidP="00C4153B">
      <w:pPr>
        <w:ind w:left="2880" w:firstLine="720"/>
        <w:rPr>
          <w:color w:val="000000"/>
          <w:sz w:val="22"/>
          <w:szCs w:val="22"/>
        </w:rPr>
      </w:pPr>
      <w:r>
        <w:rPr>
          <w:color w:val="000000"/>
          <w:sz w:val="22"/>
          <w:szCs w:val="22"/>
        </w:rPr>
        <w:t>Travis LeBlanc</w:t>
      </w:r>
    </w:p>
    <w:p w:rsidR="00360ED3" w:rsidRDefault="00303F93">
      <w:pPr>
        <w:tabs>
          <w:tab w:val="left" w:pos="0"/>
        </w:tabs>
        <w:suppressAutoHyphens/>
        <w:spacing w:line="240" w:lineRule="atLeast"/>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360ED3">
        <w:rPr>
          <w:color w:val="000000"/>
          <w:sz w:val="22"/>
          <w:szCs w:val="22"/>
        </w:rPr>
        <w:t>Chief</w:t>
      </w:r>
    </w:p>
    <w:p w:rsidR="00303F93" w:rsidRDefault="00360ED3">
      <w:pPr>
        <w:tabs>
          <w:tab w:val="left" w:pos="0"/>
        </w:tabs>
        <w:suppressAutoHyphens/>
        <w:spacing w:line="240" w:lineRule="atLeast"/>
        <w:jc w:val="both"/>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Enforcement Bureau</w:t>
      </w:r>
    </w:p>
    <w:sectPr w:rsidR="00303F93">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0F" w:rsidRDefault="001C240F">
      <w:r>
        <w:separator/>
      </w:r>
    </w:p>
  </w:endnote>
  <w:endnote w:type="continuationSeparator" w:id="0">
    <w:p w:rsidR="001C240F" w:rsidRDefault="001C240F">
      <w:r>
        <w:continuationSeparator/>
      </w:r>
    </w:p>
  </w:endnote>
  <w:endnote w:type="continuationNotice" w:id="1">
    <w:p w:rsidR="001C240F" w:rsidRDefault="001C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93" w:rsidRDefault="00303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3F93" w:rsidRDefault="00303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93" w:rsidRDefault="00303F9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2252">
      <w:rPr>
        <w:rStyle w:val="PageNumber"/>
        <w:noProof/>
      </w:rPr>
      <w:t>2</w:t>
    </w:r>
    <w:r>
      <w:rPr>
        <w:rStyle w:val="PageNumber"/>
      </w:rPr>
      <w:fldChar w:fldCharType="end"/>
    </w:r>
  </w:p>
  <w:p w:rsidR="00303F93" w:rsidRDefault="00303F93">
    <w:pPr>
      <w:pStyle w:val="Footer"/>
      <w:rPr>
        <w:b/>
      </w:rPr>
    </w:pPr>
  </w:p>
  <w:p w:rsidR="00303F93" w:rsidRDefault="00303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81" w:rsidRDefault="0022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0F" w:rsidRDefault="001C240F">
      <w:r>
        <w:separator/>
      </w:r>
    </w:p>
  </w:footnote>
  <w:footnote w:type="continuationSeparator" w:id="0">
    <w:p w:rsidR="001C240F" w:rsidRDefault="001C240F">
      <w:r>
        <w:separator/>
      </w:r>
    </w:p>
    <w:p w:rsidR="001C240F" w:rsidRDefault="001C240F">
      <w:r>
        <w:t>(Continued from previous page)</w:t>
      </w:r>
    </w:p>
  </w:footnote>
  <w:footnote w:type="continuationNotice" w:id="1">
    <w:p w:rsidR="001C240F" w:rsidRDefault="001C240F">
      <w:r>
        <w:t>(continued . . . )</w:t>
      </w:r>
    </w:p>
  </w:footnote>
  <w:footnote w:id="2">
    <w:p w:rsidR="00EC682F" w:rsidRDefault="00EC682F">
      <w:pPr>
        <w:pStyle w:val="FootnoteText"/>
      </w:pPr>
      <w:r>
        <w:rPr>
          <w:rStyle w:val="FootnoteReference"/>
        </w:rPr>
        <w:footnoteRef/>
      </w:r>
      <w:r>
        <w:t xml:space="preserve"> Station KLRG</w:t>
      </w:r>
      <w:r w:rsidRPr="00EC682F">
        <w:t xml:space="preserve">-AM was assigned from Wagenvoord Advertising Group, Inc. to </w:t>
      </w:r>
      <w:r>
        <w:t xml:space="preserve">Joel J. Kinlow on February 28, 2013.  </w:t>
      </w:r>
      <w:r>
        <w:rPr>
          <w:i/>
        </w:rPr>
        <w:t xml:space="preserve">See </w:t>
      </w:r>
      <w:r>
        <w:t>File No.</w:t>
      </w:r>
      <w:r w:rsidRPr="00EC682F">
        <w:t xml:space="preserve"> BAL-20121115AGZ</w:t>
      </w:r>
      <w:r>
        <w:t>.</w:t>
      </w:r>
    </w:p>
  </w:footnote>
  <w:footnote w:id="3">
    <w:p w:rsidR="00CE7EDA" w:rsidRDefault="00CE7EDA">
      <w:pPr>
        <w:pStyle w:val="FootnoteText"/>
      </w:pPr>
      <w:r>
        <w:rPr>
          <w:rStyle w:val="FootnoteReference"/>
        </w:rPr>
        <w:footnoteRef/>
      </w:r>
      <w:r>
        <w:t xml:space="preserve"> Wagenvoord Advertising Group, Inc., Application for Review (Apr. 1, 2013) (on file in EB-FIELDSCR-12-00000481) (</w:t>
      </w:r>
      <w:r w:rsidR="008B13C1">
        <w:rPr>
          <w:i/>
        </w:rPr>
        <w:t>Petition</w:t>
      </w:r>
      <w:r>
        <w:t xml:space="preserve">).  Because Wagenvoord’s filing raised issues which the </w:t>
      </w:r>
      <w:r w:rsidR="002841A7">
        <w:t xml:space="preserve">Enforcement </w:t>
      </w:r>
      <w:r>
        <w:t xml:space="preserve">Bureau has not had an opportunity to </w:t>
      </w:r>
      <w:r w:rsidR="00A60C65">
        <w:t>review</w:t>
      </w:r>
      <w:r w:rsidR="00CF4E09">
        <w:t xml:space="preserve">, we treat the Application for Review as a Petition for Reconsideration.  </w:t>
      </w:r>
      <w:r w:rsidR="00CF4E09">
        <w:rPr>
          <w:i/>
        </w:rPr>
        <w:t xml:space="preserve">See </w:t>
      </w:r>
      <w:r w:rsidR="00CF4E09">
        <w:t>47 C.F.R. § 1.115(c)</w:t>
      </w:r>
      <w:r w:rsidR="008B13C1">
        <w:t xml:space="preserve"> (“No application for review will be granted if it relies on questions of fact or law upon which the designated authority has been afforded no opportunity to pass”)</w:t>
      </w:r>
      <w:r w:rsidR="002841A7">
        <w:t>;</w:t>
      </w:r>
      <w:r w:rsidR="002841A7">
        <w:rPr>
          <w:i/>
        </w:rPr>
        <w:t xml:space="preserve"> s</w:t>
      </w:r>
      <w:r w:rsidR="00CF4E09">
        <w:rPr>
          <w:i/>
        </w:rPr>
        <w:t>ee also Side by Side, Inc.</w:t>
      </w:r>
      <w:r w:rsidR="00CF4E09">
        <w:t>, Memorandum Opinion and Order, 27 FCC Rcd 11132 (Enf. Bur. 2012) (treating Application for Review as a Petition for Reconsideration because it raised issues not brought b</w:t>
      </w:r>
      <w:r w:rsidR="00A60C65">
        <w:t>efore</w:t>
      </w:r>
      <w:r w:rsidR="00CF4E09">
        <w:t xml:space="preserve"> the </w:t>
      </w:r>
      <w:r w:rsidR="008B13C1">
        <w:t xml:space="preserve">Enforcement </w:t>
      </w:r>
      <w:r w:rsidR="00CF4E09">
        <w:t>Bureau).</w:t>
      </w:r>
      <w:r>
        <w:t xml:space="preserve"> </w:t>
      </w:r>
    </w:p>
  </w:footnote>
  <w:footnote w:id="4">
    <w:p w:rsidR="00D84DA2" w:rsidRDefault="00D84DA2">
      <w:pPr>
        <w:pStyle w:val="FootnoteText"/>
      </w:pPr>
      <w:r>
        <w:rPr>
          <w:rStyle w:val="FootnoteReference"/>
        </w:rPr>
        <w:footnoteRef/>
      </w:r>
      <w:r>
        <w:t xml:space="preserve"> </w:t>
      </w:r>
      <w:r>
        <w:rPr>
          <w:i/>
        </w:rPr>
        <w:t>Wag</w:t>
      </w:r>
      <w:r w:rsidR="002841A7">
        <w:rPr>
          <w:i/>
        </w:rPr>
        <w:t>envoord Advertising Group, Inc.</w:t>
      </w:r>
      <w:r w:rsidR="002841A7" w:rsidRPr="00C4153B">
        <w:t>,</w:t>
      </w:r>
      <w:r>
        <w:rPr>
          <w:i/>
        </w:rPr>
        <w:t xml:space="preserve"> </w:t>
      </w:r>
      <w:r>
        <w:t>Forfeiture Order, 28 FCC Rcd 1945 (Enf. Bur. 2013) (</w:t>
      </w:r>
      <w:r>
        <w:rPr>
          <w:i/>
        </w:rPr>
        <w:t>Forfeiture Order</w:t>
      </w:r>
      <w:r>
        <w:t xml:space="preserve">), </w:t>
      </w:r>
      <w:r>
        <w:rPr>
          <w:i/>
        </w:rPr>
        <w:t>aff’g Wagenvoord Advertising Group, Inc.</w:t>
      </w:r>
      <w:r>
        <w:t xml:space="preserve">, </w:t>
      </w:r>
      <w:r w:rsidRPr="00506867">
        <w:t>Notice of Apparent Liability for Forfeiture</w:t>
      </w:r>
      <w:r>
        <w:t xml:space="preserve"> and Order</w:t>
      </w:r>
      <w:r w:rsidRPr="004D4085">
        <w:t xml:space="preserve">, </w:t>
      </w:r>
      <w:r>
        <w:t>27</w:t>
      </w:r>
      <w:r w:rsidR="002634E0">
        <w:t xml:space="preserve"> FCC Rcd 8126 (Enf. Bur. 2012)</w:t>
      </w:r>
      <w:r>
        <w:t>.</w:t>
      </w:r>
    </w:p>
  </w:footnote>
  <w:footnote w:id="5">
    <w:p w:rsidR="00D84DA2" w:rsidRDefault="00D84DA2">
      <w:pPr>
        <w:pStyle w:val="FootnoteText"/>
      </w:pPr>
      <w:r>
        <w:rPr>
          <w:rStyle w:val="FootnoteReference"/>
        </w:rPr>
        <w:footnoteRef/>
      </w:r>
      <w:r>
        <w:t xml:space="preserve"> 47 C.F.R. § 73.49.</w:t>
      </w:r>
    </w:p>
  </w:footnote>
  <w:footnote w:id="6">
    <w:p w:rsidR="002634E0" w:rsidRPr="002634E0" w:rsidRDefault="002634E0">
      <w:pPr>
        <w:pStyle w:val="FootnoteText"/>
      </w:pPr>
      <w:r>
        <w:rPr>
          <w:rStyle w:val="FootnoteReference"/>
        </w:rPr>
        <w:footnoteRef/>
      </w:r>
      <w:r>
        <w:t xml:space="preserve"> </w:t>
      </w:r>
      <w:r>
        <w:rPr>
          <w:i/>
        </w:rPr>
        <w:t>Forfeiture Order</w:t>
      </w:r>
      <w:r>
        <w:t>, 28 FCC Rcd at 1945, para. 1.</w:t>
      </w:r>
    </w:p>
  </w:footnote>
  <w:footnote w:id="7">
    <w:p w:rsidR="005E13F4" w:rsidRDefault="005E13F4" w:rsidP="005E13F4">
      <w:pPr>
        <w:pStyle w:val="FootnoteText"/>
      </w:pPr>
      <w:r>
        <w:rPr>
          <w:rStyle w:val="FootnoteReference"/>
        </w:rPr>
        <w:footnoteRef/>
      </w:r>
      <w:r>
        <w:t xml:space="preserve"> </w:t>
      </w:r>
      <w:r w:rsidR="002634E0">
        <w:t>47 C.F.R. § 73.49.</w:t>
      </w:r>
    </w:p>
  </w:footnote>
  <w:footnote w:id="8">
    <w:p w:rsidR="005E13F4" w:rsidRPr="005E13F4" w:rsidRDefault="005E13F4">
      <w:pPr>
        <w:pStyle w:val="FootnoteText"/>
        <w:rPr>
          <w:i/>
        </w:rPr>
      </w:pPr>
      <w:r>
        <w:rPr>
          <w:rStyle w:val="FootnoteReference"/>
        </w:rPr>
        <w:footnoteRef/>
      </w:r>
      <w:r>
        <w:t xml:space="preserve"> </w:t>
      </w:r>
      <w:r>
        <w:rPr>
          <w:i/>
        </w:rPr>
        <w:t>Id.</w:t>
      </w:r>
    </w:p>
  </w:footnote>
  <w:footnote w:id="9">
    <w:p w:rsidR="002318A8" w:rsidRDefault="002318A8">
      <w:pPr>
        <w:pStyle w:val="FootnoteText"/>
      </w:pPr>
      <w:r>
        <w:rPr>
          <w:rStyle w:val="FootnoteReference"/>
        </w:rPr>
        <w:footnoteRef/>
      </w:r>
      <w:r w:rsidR="001911E0">
        <w:t xml:space="preserve"> </w:t>
      </w:r>
      <w:r w:rsidR="0051192D">
        <w:rPr>
          <w:i/>
        </w:rPr>
        <w:t xml:space="preserve">Forfeiture </w:t>
      </w:r>
      <w:r w:rsidR="0051192D" w:rsidRPr="00C63C1C">
        <w:t>Order</w:t>
      </w:r>
      <w:r w:rsidR="00C63C1C">
        <w:t>, 2</w:t>
      </w:r>
      <w:r w:rsidR="002E687A" w:rsidRPr="00C63C1C">
        <w:t>8</w:t>
      </w:r>
      <w:r w:rsidR="002E687A">
        <w:t xml:space="preserve"> FCC Rcd </w:t>
      </w:r>
      <w:r w:rsidR="00C63C1C">
        <w:t>at 1</w:t>
      </w:r>
      <w:r w:rsidR="002E687A">
        <w:t>946</w:t>
      </w:r>
      <w:r w:rsidR="002634E0">
        <w:t>, para. 4</w:t>
      </w:r>
      <w:r w:rsidR="001911E0">
        <w:t>.</w:t>
      </w:r>
    </w:p>
  </w:footnote>
  <w:footnote w:id="10">
    <w:p w:rsidR="004A4147" w:rsidRPr="004A4147" w:rsidRDefault="004A4147">
      <w:pPr>
        <w:pStyle w:val="FootnoteText"/>
      </w:pPr>
      <w:r>
        <w:rPr>
          <w:rStyle w:val="FootnoteReference"/>
        </w:rPr>
        <w:footnoteRef/>
      </w:r>
      <w:r>
        <w:t xml:space="preserve"> </w:t>
      </w:r>
      <w:r>
        <w:rPr>
          <w:i/>
        </w:rPr>
        <w:t xml:space="preserve">Id. </w:t>
      </w:r>
      <w:r>
        <w:t>at 1947, para. 8.</w:t>
      </w:r>
    </w:p>
  </w:footnote>
  <w:footnote w:id="11">
    <w:p w:rsidR="004A4147" w:rsidRPr="004A4147" w:rsidRDefault="004A4147">
      <w:pPr>
        <w:pStyle w:val="FootnoteText"/>
      </w:pPr>
      <w:r>
        <w:rPr>
          <w:rStyle w:val="FootnoteReference"/>
        </w:rPr>
        <w:footnoteRef/>
      </w:r>
      <w:r>
        <w:t xml:space="preserve"> </w:t>
      </w:r>
      <w:r>
        <w:rPr>
          <w:i/>
        </w:rPr>
        <w:t>Id.</w:t>
      </w:r>
      <w:r>
        <w:t xml:space="preserve"> at 1946, para. 4.</w:t>
      </w:r>
    </w:p>
  </w:footnote>
  <w:footnote w:id="12">
    <w:p w:rsidR="004A4147" w:rsidRPr="004A4147" w:rsidRDefault="004A4147">
      <w:pPr>
        <w:pStyle w:val="FootnoteText"/>
      </w:pPr>
      <w:r>
        <w:rPr>
          <w:rStyle w:val="FootnoteReference"/>
        </w:rPr>
        <w:footnoteRef/>
      </w:r>
      <w:r>
        <w:t xml:space="preserve"> </w:t>
      </w:r>
      <w:r>
        <w:rPr>
          <w:i/>
        </w:rPr>
        <w:t xml:space="preserve">Id. </w:t>
      </w:r>
      <w:r>
        <w:t>at 1946–47, paras. 5, 8.</w:t>
      </w:r>
    </w:p>
  </w:footnote>
  <w:footnote w:id="13">
    <w:p w:rsidR="004A4147" w:rsidRPr="004A4147" w:rsidRDefault="004A4147">
      <w:pPr>
        <w:pStyle w:val="FootnoteText"/>
        <w:rPr>
          <w:b/>
        </w:rPr>
      </w:pPr>
      <w:r>
        <w:rPr>
          <w:rStyle w:val="FootnoteReference"/>
        </w:rPr>
        <w:footnoteRef/>
      </w:r>
      <w:r>
        <w:t xml:space="preserve"> </w:t>
      </w:r>
      <w:r w:rsidR="00C4153B">
        <w:rPr>
          <w:i/>
        </w:rPr>
        <w:t xml:space="preserve">Petition </w:t>
      </w:r>
      <w:r w:rsidR="00C4153B">
        <w:t>at 3.</w:t>
      </w:r>
    </w:p>
  </w:footnote>
  <w:footnote w:id="14">
    <w:p w:rsidR="0081331B" w:rsidRPr="0081331B" w:rsidRDefault="0081331B">
      <w:pPr>
        <w:pStyle w:val="FootnoteText"/>
      </w:pPr>
      <w:r>
        <w:rPr>
          <w:rStyle w:val="FootnoteReference"/>
        </w:rPr>
        <w:footnoteRef/>
      </w:r>
      <w:r>
        <w:t xml:space="preserve"> </w:t>
      </w:r>
      <w:r w:rsidR="002835A3">
        <w:rPr>
          <w:i/>
        </w:rPr>
        <w:t>Id.</w:t>
      </w:r>
      <w:r w:rsidR="00360ED3">
        <w:t xml:space="preserve"> </w:t>
      </w:r>
      <w:r w:rsidR="0061711E">
        <w:t>at 4</w:t>
      </w:r>
      <w:r>
        <w:t>.</w:t>
      </w:r>
    </w:p>
  </w:footnote>
  <w:footnote w:id="15">
    <w:p w:rsidR="002835A3" w:rsidRPr="004C7DD3" w:rsidRDefault="002835A3" w:rsidP="002835A3">
      <w:pPr>
        <w:pStyle w:val="FootnoteText"/>
      </w:pPr>
      <w:r>
        <w:rPr>
          <w:rStyle w:val="FootnoteReference"/>
        </w:rPr>
        <w:footnoteRef/>
      </w:r>
      <w:r>
        <w:t xml:space="preserve"> </w:t>
      </w:r>
      <w:r w:rsidRPr="001911E0">
        <w:rPr>
          <w:i/>
        </w:rPr>
        <w:t>F</w:t>
      </w:r>
      <w:r>
        <w:rPr>
          <w:i/>
        </w:rPr>
        <w:t>orfeiture Order</w:t>
      </w:r>
      <w:r>
        <w:t>, 28 FCC Rcd at 1946, para. 4.</w:t>
      </w:r>
    </w:p>
  </w:footnote>
  <w:footnote w:id="16">
    <w:p w:rsidR="00783AE2" w:rsidRPr="00783AE2" w:rsidRDefault="00783AE2">
      <w:pPr>
        <w:pStyle w:val="FootnoteText"/>
      </w:pPr>
      <w:r>
        <w:rPr>
          <w:rStyle w:val="FootnoteReference"/>
        </w:rPr>
        <w:footnoteRef/>
      </w:r>
      <w:r>
        <w:t xml:space="preserve"> 47 C.F.R. § 73.49.  </w:t>
      </w:r>
      <w:r>
        <w:rPr>
          <w:i/>
        </w:rPr>
        <w:t xml:space="preserve">See supra </w:t>
      </w:r>
      <w:r>
        <w:t>para. 2.</w:t>
      </w:r>
    </w:p>
  </w:footnote>
  <w:footnote w:id="17">
    <w:p w:rsidR="0081331B" w:rsidRPr="0081331B" w:rsidRDefault="0081331B">
      <w:pPr>
        <w:pStyle w:val="FootnoteText"/>
      </w:pPr>
      <w:r>
        <w:rPr>
          <w:rStyle w:val="FootnoteReference"/>
        </w:rPr>
        <w:footnoteRef/>
      </w:r>
      <w:r>
        <w:t xml:space="preserve"> </w:t>
      </w:r>
      <w:r>
        <w:rPr>
          <w:i/>
        </w:rPr>
        <w:t xml:space="preserve">See Review of Technical and Operational Regulations </w:t>
      </w:r>
      <w:r w:rsidR="00BC0C54">
        <w:rPr>
          <w:i/>
        </w:rPr>
        <w:t xml:space="preserve">of Part 73, Subpart A, </w:t>
      </w:r>
      <w:r>
        <w:rPr>
          <w:i/>
        </w:rPr>
        <w:t>AM Broadcast Stations</w:t>
      </w:r>
      <w:r>
        <w:t>, Report and Order, 59 Rad. Reg.2d (P&amp;F) 927, para. 6, 928 (1986) (holdin</w:t>
      </w:r>
      <w:r w:rsidR="002841A7">
        <w:t>g that towers must be enclosed</w:t>
      </w:r>
      <w:r>
        <w:t xml:space="preserve"> by base fences</w:t>
      </w:r>
      <w:r w:rsidR="00BC0C54">
        <w:t xml:space="preserve"> </w:t>
      </w:r>
      <w:r>
        <w:t>unless surrounded by a protective perimeter property fence).</w:t>
      </w:r>
    </w:p>
  </w:footnote>
  <w:footnote w:id="18">
    <w:p w:rsidR="00F209F2" w:rsidRDefault="00F209F2">
      <w:pPr>
        <w:pStyle w:val="FootnoteText"/>
      </w:pPr>
      <w:r>
        <w:rPr>
          <w:rStyle w:val="FootnoteReference"/>
        </w:rPr>
        <w:footnoteRef/>
      </w:r>
      <w:r>
        <w:t xml:space="preserve"> </w:t>
      </w:r>
      <w:r>
        <w:rPr>
          <w:i/>
        </w:rPr>
        <w:t>See</w:t>
      </w:r>
      <w:r>
        <w:t xml:space="preserve"> </w:t>
      </w:r>
      <w:r w:rsidR="00BC0C54">
        <w:rPr>
          <w:i/>
        </w:rPr>
        <w:t>Forfeiture Order</w:t>
      </w:r>
      <w:r w:rsidR="00BC0C54">
        <w:t xml:space="preserve">, 28 FCC Rcd at </w:t>
      </w:r>
      <w:r w:rsidR="002016E8">
        <w:t xml:space="preserve">1947, para. 8 n. 21 (citing </w:t>
      </w:r>
      <w:r w:rsidR="00BC0C54">
        <w:rPr>
          <w:i/>
        </w:rPr>
        <w:t>Buchanan Broad.</w:t>
      </w:r>
      <w:r>
        <w:rPr>
          <w:i/>
        </w:rPr>
        <w:t>, Inc.</w:t>
      </w:r>
      <w:r>
        <w:t>, Memorandum Opinion and Order, 15 FCC Rcd 4360 (Enf. Bur. 2000</w:t>
      </w:r>
      <w:r w:rsidRPr="005C079A">
        <w:t>) (reducing forfeiture because “</w:t>
      </w:r>
      <w:r w:rsidR="002016E8">
        <w:t>the muddy conditions around the base of the tower arguably impeded access, making the lack of effective fencing a less significant safety hazard</w:t>
      </w:r>
      <w:r w:rsidRPr="00F209F2">
        <w:t>”) (</w:t>
      </w:r>
      <w:r w:rsidRPr="00F209F2">
        <w:rPr>
          <w:i/>
        </w:rPr>
        <w:t>Buchanan Broadcasting</w:t>
      </w:r>
      <w:r w:rsidR="002016E8">
        <w:t xml:space="preserve">); </w:t>
      </w:r>
      <w:r>
        <w:rPr>
          <w:i/>
        </w:rPr>
        <w:t>A Radio Company, Inc.</w:t>
      </w:r>
      <w:r>
        <w:t xml:space="preserve">, Memorandum Opinion and Order, 22 FCC Rcd 2019 (Enf. Bur. 2007) (reducing forfeiture because base of tower surrounded </w:t>
      </w:r>
      <w:r w:rsidRPr="005C079A">
        <w:t xml:space="preserve">by </w:t>
      </w:r>
      <w:r>
        <w:t>12-</w:t>
      </w:r>
      <w:r w:rsidRPr="005C079A">
        <w:t xml:space="preserve">inch deep </w:t>
      </w:r>
      <w:r>
        <w:t xml:space="preserve">swampy water </w:t>
      </w:r>
      <w:r w:rsidRPr="005C079A">
        <w:t>filled with crocodiles</w:t>
      </w:r>
      <w:r>
        <w:t>, lee</w:t>
      </w:r>
      <w:r w:rsidRPr="005C079A">
        <w:t>ches</w:t>
      </w:r>
      <w:r>
        <w:t>, and local sewage overflow, thereby reducing safety hazard of lack of effective fencing)</w:t>
      </w:r>
      <w:r w:rsidR="002016E8">
        <w:t>)</w:t>
      </w:r>
      <w:r w:rsidRPr="005C079A">
        <w:t>.</w:t>
      </w:r>
    </w:p>
  </w:footnote>
  <w:footnote w:id="19">
    <w:p w:rsidR="006E7B14" w:rsidRPr="005C079A" w:rsidRDefault="006E7B14" w:rsidP="006E7B14">
      <w:pPr>
        <w:pStyle w:val="FootnoteText"/>
      </w:pPr>
      <w:r>
        <w:rPr>
          <w:rStyle w:val="FootnoteReference"/>
        </w:rPr>
        <w:footnoteRef/>
      </w:r>
      <w:r>
        <w:t xml:space="preserve"> </w:t>
      </w:r>
      <w:r w:rsidR="00F209F2">
        <w:t>Letter from Dan J. Alpert, Counsel for Wagenvoord Advertising Group, Inc., to Walter Gernon, District Director, New Orleans Office, South Central Region, Enforcement Bureau, at 4 (Aug. 18, 2012) (</w:t>
      </w:r>
      <w:r w:rsidR="00F209F2" w:rsidRPr="00803523">
        <w:t>on file in EB-FIELDSCR-12-00000481</w:t>
      </w:r>
      <w:r w:rsidR="00F209F2">
        <w:t>)</w:t>
      </w:r>
      <w:r w:rsidR="002016E8">
        <w:t xml:space="preserve"> (</w:t>
      </w:r>
      <w:r>
        <w:t xml:space="preserve">citing </w:t>
      </w:r>
      <w:r>
        <w:rPr>
          <w:i/>
        </w:rPr>
        <w:t>Buchanan Broadcasting, Inc</w:t>
      </w:r>
      <w:r w:rsidRPr="005C079A">
        <w:t>.</w:t>
      </w:r>
      <w:r w:rsidR="002016E8">
        <w:t>).</w:t>
      </w:r>
    </w:p>
  </w:footnote>
  <w:footnote w:id="20">
    <w:p w:rsidR="00DB03B0" w:rsidRPr="00DB03B0" w:rsidRDefault="00DB03B0">
      <w:pPr>
        <w:pStyle w:val="FootnoteText"/>
        <w:rPr>
          <w:i/>
        </w:rPr>
      </w:pPr>
      <w:r>
        <w:rPr>
          <w:rStyle w:val="FootnoteReference"/>
        </w:rPr>
        <w:footnoteRef/>
      </w:r>
      <w:r w:rsidR="002016E8">
        <w:t xml:space="preserve"> </w:t>
      </w:r>
      <w:r w:rsidR="002016E8">
        <w:rPr>
          <w:i/>
        </w:rPr>
        <w:t>C</w:t>
      </w:r>
      <w:r>
        <w:rPr>
          <w:i/>
        </w:rPr>
        <w:t>f</w:t>
      </w:r>
      <w:r w:rsidR="002016E8">
        <w:rPr>
          <w:i/>
        </w:rPr>
        <w:t>.</w:t>
      </w:r>
      <w:r>
        <w:rPr>
          <w:i/>
        </w:rPr>
        <w:t xml:space="preserve"> Chr</w:t>
      </w:r>
      <w:r w:rsidR="00E062BF">
        <w:rPr>
          <w:i/>
        </w:rPr>
        <w:t>istopher H. Bennett Broad. of Wash.</w:t>
      </w:r>
      <w:r>
        <w:rPr>
          <w:i/>
        </w:rPr>
        <w:t>, Inc.</w:t>
      </w:r>
      <w:r>
        <w:t>, Forfeiture Order, 23 FCC Rcd 11285 (Enf. Bur. 2008) (cancelling AM tower fencing forfeiture because of totality of circumstances – antenna structure built on 12-foot pier base in flood plain, where construction of a fence was prohibited by local zoning rules)</w:t>
      </w:r>
      <w:r w:rsidR="00E062BF">
        <w:t xml:space="preserve"> (</w:t>
      </w:r>
      <w:r w:rsidR="00E062BF">
        <w:rPr>
          <w:i/>
        </w:rPr>
        <w:t>Bennett Broadcasting</w:t>
      </w:r>
      <w:r w:rsidR="00E062BF">
        <w:t>)</w:t>
      </w:r>
      <w:r>
        <w:t>.</w:t>
      </w:r>
    </w:p>
  </w:footnote>
  <w:footnote w:id="21">
    <w:p w:rsidR="0061711E" w:rsidRPr="0061711E" w:rsidRDefault="0061711E">
      <w:pPr>
        <w:pStyle w:val="FootnoteText"/>
      </w:pPr>
      <w:r>
        <w:rPr>
          <w:rStyle w:val="FootnoteReference"/>
        </w:rPr>
        <w:footnoteRef/>
      </w:r>
      <w:r>
        <w:t xml:space="preserve"> </w:t>
      </w:r>
      <w:r w:rsidR="00A60C65">
        <w:rPr>
          <w:i/>
        </w:rPr>
        <w:t>Petition</w:t>
      </w:r>
      <w:r>
        <w:t xml:space="preserve"> at </w:t>
      </w:r>
      <w:r w:rsidR="00C43FC0">
        <w:t xml:space="preserve">4, </w:t>
      </w:r>
      <w:r>
        <w:t>7.</w:t>
      </w:r>
    </w:p>
  </w:footnote>
  <w:footnote w:id="22">
    <w:p w:rsidR="002468E1" w:rsidRPr="002468E1" w:rsidRDefault="002468E1">
      <w:pPr>
        <w:pStyle w:val="FootnoteText"/>
      </w:pPr>
      <w:r>
        <w:rPr>
          <w:rStyle w:val="FootnoteReference"/>
        </w:rPr>
        <w:footnoteRef/>
      </w:r>
      <w:r>
        <w:t xml:space="preserve"> </w:t>
      </w:r>
      <w:r>
        <w:rPr>
          <w:i/>
        </w:rPr>
        <w:t>See Bennett Broadcasting</w:t>
      </w:r>
      <w:r w:rsidR="00E062BF">
        <w:t>, 23 FCC Rcd at 11286–87, paras. 7, 12.</w:t>
      </w:r>
    </w:p>
  </w:footnote>
  <w:footnote w:id="23">
    <w:p w:rsidR="005A4A83" w:rsidRDefault="005A4A83">
      <w:pPr>
        <w:pStyle w:val="FootnoteText"/>
      </w:pPr>
      <w:r w:rsidRPr="00630108">
        <w:rPr>
          <w:rStyle w:val="FootnoteReference"/>
        </w:rPr>
        <w:footnoteRef/>
      </w:r>
      <w:r w:rsidRPr="00630108">
        <w:t xml:space="preserve"> </w:t>
      </w:r>
      <w:r w:rsidR="00630108" w:rsidRPr="00630108">
        <w:rPr>
          <w:i/>
          <w:iCs/>
          <w:color w:val="000000"/>
          <w:shd w:val="clear" w:color="auto" w:fill="FFFFFF"/>
        </w:rPr>
        <w:t>See</w:t>
      </w:r>
      <w:r w:rsidR="00E062BF">
        <w:rPr>
          <w:rStyle w:val="apple-converted-space"/>
          <w:color w:val="000000"/>
          <w:shd w:val="clear" w:color="auto" w:fill="FFFFFF"/>
        </w:rPr>
        <w:t xml:space="preserve"> </w:t>
      </w:r>
      <w:r w:rsidR="00E062BF">
        <w:rPr>
          <w:shd w:val="clear" w:color="auto" w:fill="FFFFFF"/>
        </w:rPr>
        <w:t>47 C.F.R. §</w:t>
      </w:r>
      <w:r w:rsidR="00E062BF" w:rsidRPr="00C4153B">
        <w:rPr>
          <w:shd w:val="clear" w:color="auto" w:fill="FFFFFF"/>
        </w:rPr>
        <w:t xml:space="preserve"> 1.80(b)(</w:t>
      </w:r>
      <w:r w:rsidR="00E062BF">
        <w:rPr>
          <w:shd w:val="clear" w:color="auto" w:fill="FFFFFF"/>
        </w:rPr>
        <w:t>8</w:t>
      </w:r>
      <w:r w:rsidR="00630108" w:rsidRPr="00E062BF">
        <w:rPr>
          <w:shd w:val="clear" w:color="auto" w:fill="FFFFFF"/>
        </w:rPr>
        <w:t>)</w:t>
      </w:r>
      <w:r w:rsidR="00E062BF">
        <w:rPr>
          <w:shd w:val="clear" w:color="auto" w:fill="FFFFFF"/>
        </w:rPr>
        <w:t>, note</w:t>
      </w:r>
      <w:r w:rsidR="00630108" w:rsidRPr="00630108">
        <w:rPr>
          <w:rStyle w:val="apple-converted-space"/>
          <w:color w:val="000000"/>
          <w:shd w:val="clear" w:color="auto" w:fill="FFFFFF"/>
        </w:rPr>
        <w:t> </w:t>
      </w:r>
      <w:r w:rsidR="00630108" w:rsidRPr="00630108">
        <w:rPr>
          <w:color w:val="000000"/>
          <w:shd w:val="clear" w:color="auto" w:fill="FFFFFF"/>
        </w:rPr>
        <w:t>(listing “</w:t>
      </w:r>
      <w:bookmarkStart w:id="1" w:name="SR;2495"/>
      <w:bookmarkStart w:id="2" w:name="SR;2496"/>
      <w:bookmarkEnd w:id="1"/>
      <w:bookmarkEnd w:id="2"/>
      <w:r w:rsidR="00630108">
        <w:rPr>
          <w:rStyle w:val="apple-converted-space"/>
          <w:color w:val="000000"/>
          <w:shd w:val="clear" w:color="auto" w:fill="FFFFFF"/>
        </w:rPr>
        <w:t xml:space="preserve">Good faith </w:t>
      </w:r>
      <w:r w:rsidR="00630108" w:rsidRPr="00630108">
        <w:rPr>
          <w:color w:val="000000"/>
          <w:shd w:val="clear" w:color="auto" w:fill="FFFFFF"/>
        </w:rPr>
        <w:t>or voluntary disclosure” as a basis for adjusting forfeitures downward);</w:t>
      </w:r>
      <w:r w:rsidR="00630108">
        <w:rPr>
          <w:color w:val="000000"/>
          <w:shd w:val="clear" w:color="auto" w:fill="FFFFFF"/>
        </w:rPr>
        <w:t xml:space="preserve"> </w:t>
      </w:r>
      <w:r w:rsidR="00E062BF">
        <w:rPr>
          <w:i/>
          <w:iCs/>
          <w:color w:val="000000"/>
          <w:shd w:val="clear" w:color="auto" w:fill="FFFFFF"/>
        </w:rPr>
        <w:t xml:space="preserve">see also </w:t>
      </w:r>
      <w:r w:rsidR="00E062BF" w:rsidRPr="00C4153B">
        <w:rPr>
          <w:rStyle w:val="Emphasis"/>
        </w:rPr>
        <w:t xml:space="preserve">Sutro </w:t>
      </w:r>
      <w:r w:rsidR="00E062BF" w:rsidRPr="005A6D93">
        <w:rPr>
          <w:rStyle w:val="Emphasis"/>
        </w:rPr>
        <w:t>Corp.</w:t>
      </w:r>
      <w:r w:rsidR="00E062BF" w:rsidRPr="005A6D93">
        <w:t xml:space="preserve">, </w:t>
      </w:r>
      <w:r w:rsidR="00E062BF" w:rsidRPr="00C4153B">
        <w:t>Memorandum Opinion and Order,</w:t>
      </w:r>
      <w:r w:rsidR="00E062BF" w:rsidRPr="005A6D93">
        <w:t xml:space="preserve"> 19 FCC Rcd 15274, 15277, para. 10 (2004) </w:t>
      </w:r>
      <w:r w:rsidR="00E062BF" w:rsidRPr="00C4153B">
        <w:t xml:space="preserve">(stating that the Commission </w:t>
      </w:r>
      <w:r w:rsidR="00E062BF" w:rsidRPr="005A6D93">
        <w:t xml:space="preserve">will </w:t>
      </w:r>
      <w:r w:rsidR="00E062BF" w:rsidRPr="00C4153B">
        <w:t xml:space="preserve">generally </w:t>
      </w:r>
      <w:r w:rsidR="00E062BF" w:rsidRPr="005A6D93">
        <w:t>reduce a forfeiture “</w:t>
      </w:r>
      <w:r w:rsidR="00E062BF" w:rsidRPr="00C4153B">
        <w:t>based on the good faith corrective efforts of a violator when those corrective efforts were taken prior to Commission notification of the violation”);</w:t>
      </w:r>
      <w:r w:rsidR="00E062BF" w:rsidRPr="005A6D93">
        <w:t xml:space="preserve"> </w:t>
      </w:r>
      <w:r w:rsidR="00630108" w:rsidRPr="00E062BF">
        <w:rPr>
          <w:i/>
          <w:iCs/>
          <w:shd w:val="clear" w:color="auto" w:fill="FFFFFF"/>
        </w:rPr>
        <w:t>Radio One Licenses, Inc.,</w:t>
      </w:r>
      <w:r w:rsidR="002A1760">
        <w:rPr>
          <w:rStyle w:val="apple-converted-space"/>
          <w:color w:val="0000FF"/>
          <w:shd w:val="clear" w:color="auto" w:fill="FFFFFF"/>
        </w:rPr>
        <w:t xml:space="preserve"> </w:t>
      </w:r>
      <w:r w:rsidR="00630108" w:rsidRPr="00E062BF">
        <w:rPr>
          <w:shd w:val="clear" w:color="auto" w:fill="FFFFFF"/>
        </w:rPr>
        <w:t>Memorandum Opinion</w:t>
      </w:r>
      <w:r w:rsidR="00E062BF">
        <w:rPr>
          <w:shd w:val="clear" w:color="auto" w:fill="FFFFFF"/>
        </w:rPr>
        <w:t xml:space="preserve"> and Order, 17 FCC Rcd 20408 (Enf. Bur.</w:t>
      </w:r>
      <w:r w:rsidR="00630108" w:rsidRPr="00E062BF">
        <w:rPr>
          <w:shd w:val="clear" w:color="auto" w:fill="FFFFFF"/>
        </w:rPr>
        <w:t xml:space="preserve"> 2002)</w:t>
      </w:r>
      <w:r w:rsidR="00630108" w:rsidRPr="00630108">
        <w:rPr>
          <w:color w:val="000000"/>
          <w:shd w:val="clear" w:color="auto" w:fill="FFFFFF"/>
        </w:rPr>
        <w:t>,</w:t>
      </w:r>
      <w:r w:rsidR="00630108" w:rsidRPr="00630108">
        <w:rPr>
          <w:rStyle w:val="apple-converted-space"/>
          <w:color w:val="000000"/>
          <w:shd w:val="clear" w:color="auto" w:fill="FFFFFF"/>
        </w:rPr>
        <w:t> </w:t>
      </w:r>
      <w:r w:rsidR="00630108" w:rsidRPr="00630108">
        <w:rPr>
          <w:i/>
          <w:iCs/>
          <w:color w:val="000000"/>
          <w:shd w:val="clear" w:color="auto" w:fill="FFFFFF"/>
        </w:rPr>
        <w:t>review granted in part and denied in part</w:t>
      </w:r>
      <w:r w:rsidR="00E062BF">
        <w:rPr>
          <w:iCs/>
          <w:color w:val="000000"/>
          <w:shd w:val="clear" w:color="auto" w:fill="FFFFFF"/>
        </w:rPr>
        <w:t>,</w:t>
      </w:r>
      <w:r w:rsidR="00630108" w:rsidRPr="00630108">
        <w:rPr>
          <w:rStyle w:val="apple-converted-space"/>
          <w:color w:val="000000"/>
          <w:shd w:val="clear" w:color="auto" w:fill="FFFFFF"/>
        </w:rPr>
        <w:t> </w:t>
      </w:r>
      <w:r w:rsidR="00630108" w:rsidRPr="00E062BF">
        <w:rPr>
          <w:shd w:val="clear" w:color="auto" w:fill="FFFFFF"/>
        </w:rPr>
        <w:t>18 FCC Rcd 15964 (2003)</w:t>
      </w:r>
      <w:r w:rsidR="00630108" w:rsidRPr="00630108">
        <w:rPr>
          <w:rStyle w:val="apple-converted-space"/>
          <w:color w:val="000000"/>
          <w:shd w:val="clear" w:color="auto" w:fill="FFFFFF"/>
        </w:rPr>
        <w:t> </w:t>
      </w:r>
      <w:r w:rsidR="00630108" w:rsidRPr="00630108">
        <w:rPr>
          <w:color w:val="000000"/>
          <w:shd w:val="clear" w:color="auto" w:fill="FFFFFF"/>
        </w:rPr>
        <w:t>(reductions based on good faith efforts to comply generally involve situations where violators demonstrate that they initiated measures to correct or remedy violations prior to a Commission inspection or investigation)</w:t>
      </w:r>
      <w:r w:rsidR="002A1760">
        <w:rPr>
          <w:color w:val="000000"/>
          <w:shd w:val="clear" w:color="auto" w:fill="FFFFFF"/>
        </w:rPr>
        <w:t xml:space="preserve">; </w:t>
      </w:r>
      <w:r w:rsidR="002A1760" w:rsidRPr="005A6D93">
        <w:rPr>
          <w:i/>
        </w:rPr>
        <w:t>Catholic Radio Network of Loveland, Inc.</w:t>
      </w:r>
      <w:r w:rsidR="002A1760" w:rsidRPr="005A6D93">
        <w:t xml:space="preserve">, Forfeiture Order, 29 FCC Rcd 121, 122–23, para. 5 (Enf. Bur. 2014) (“The Commission will generally reduce an assessed forfeiture based on the good faith corrective efforts of a violator when those corrective efforts were taken </w:t>
      </w:r>
      <w:r w:rsidR="002A1760" w:rsidRPr="005A6D93">
        <w:rPr>
          <w:rStyle w:val="Emphasis"/>
        </w:rPr>
        <w:t>prior</w:t>
      </w:r>
      <w:r w:rsidR="002A1760" w:rsidRPr="005A6D93">
        <w:t xml:space="preserve"> to Commission notification of the violation</w:t>
      </w:r>
      <w:r w:rsidR="002A1760">
        <w:t>.</w:t>
      </w:r>
      <w:r w:rsidR="002A1760" w:rsidRPr="005A6D93">
        <w:t>”) (emphasis in original)</w:t>
      </w:r>
      <w:r w:rsidR="002A1760">
        <w:t xml:space="preserve">; </w:t>
      </w:r>
      <w:r w:rsidR="002A1760">
        <w:rPr>
          <w:i/>
          <w:color w:val="000000"/>
          <w:shd w:val="clear" w:color="auto" w:fill="FFFFFF"/>
        </w:rPr>
        <w:t>Bold Gold Media WBS, L.P.</w:t>
      </w:r>
      <w:r w:rsidR="002A1760">
        <w:rPr>
          <w:color w:val="000000"/>
          <w:shd w:val="clear" w:color="auto" w:fill="FFFFFF"/>
        </w:rPr>
        <w:t>, Forfeiture Order, 29 FCC Rcd 6016 (Enf. Bur. 2014) (granting a reduction based on good faith efforts to comply taken prior to inspection).</w:t>
      </w:r>
    </w:p>
  </w:footnote>
  <w:footnote w:id="24">
    <w:p w:rsidR="00676331" w:rsidRDefault="00676331">
      <w:pPr>
        <w:pStyle w:val="FootnoteText"/>
      </w:pPr>
      <w:r>
        <w:rPr>
          <w:rStyle w:val="FootnoteReference"/>
        </w:rPr>
        <w:footnoteRef/>
      </w:r>
      <w:r>
        <w:t xml:space="preserve"> 47 U.S.C. §§ 154(i), 405; 47 C.F.R. §§ 0.111, 0.311, 1.106.</w:t>
      </w:r>
    </w:p>
  </w:footnote>
  <w:footnote w:id="25">
    <w:p w:rsidR="00676331" w:rsidRDefault="00676331">
      <w:pPr>
        <w:pStyle w:val="FootnoteText"/>
      </w:pPr>
      <w:r>
        <w:rPr>
          <w:rStyle w:val="FootnoteReference"/>
        </w:rPr>
        <w:footnoteRef/>
      </w:r>
      <w:r w:rsidR="002841A7">
        <w:t xml:space="preserve"> 47 U.S.C. § 503(b); </w:t>
      </w:r>
      <w:r>
        <w:t>47 C.F.R. §§ 0.111, 0.311, 1.80(f)(4), 73.49.</w:t>
      </w:r>
    </w:p>
  </w:footnote>
  <w:footnote w:id="26">
    <w:p w:rsidR="001911E0" w:rsidRDefault="001911E0" w:rsidP="001911E0">
      <w:pPr>
        <w:pStyle w:val="FootnoteText"/>
      </w:pPr>
      <w:r>
        <w:rPr>
          <w:rStyle w:val="FootnoteReference"/>
        </w:rPr>
        <w:footnoteRef/>
      </w:r>
      <w:r>
        <w:t xml:space="preserve"> 47 C.F.R. § 1.80.</w:t>
      </w:r>
    </w:p>
  </w:footnote>
  <w:footnote w:id="27">
    <w:p w:rsidR="001911E0" w:rsidRDefault="001911E0" w:rsidP="001911E0">
      <w:pPr>
        <w:pStyle w:val="FootnoteText"/>
      </w:pPr>
      <w:r>
        <w:rPr>
          <w:rStyle w:val="FootnoteReference"/>
        </w:rPr>
        <w:footnoteRef/>
      </w:r>
      <w:r>
        <w:t xml:space="preserve"> 47 U.S.C. § 504(a).</w:t>
      </w:r>
    </w:p>
  </w:footnote>
  <w:footnote w:id="28">
    <w:p w:rsidR="001911E0" w:rsidRDefault="001911E0" w:rsidP="001911E0">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29">
    <w:p w:rsidR="001911E0" w:rsidRDefault="001911E0" w:rsidP="001911E0">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81" w:rsidRDefault="00223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93" w:rsidRDefault="00303F93">
    <w:pPr>
      <w:tabs>
        <w:tab w:val="center" w:pos="4680"/>
        <w:tab w:val="right" w:pos="9360"/>
      </w:tabs>
      <w:suppressAutoHyphens/>
      <w:spacing w:line="227" w:lineRule="auto"/>
      <w:jc w:val="both"/>
      <w:rPr>
        <w:spacing w:val="-2"/>
        <w:sz w:val="22"/>
        <w:szCs w:val="22"/>
      </w:rPr>
    </w:pPr>
    <w:r>
      <w:rPr>
        <w:sz w:val="22"/>
      </w:rPr>
      <w:tab/>
    </w:r>
    <w:r>
      <w:rPr>
        <w:b/>
        <w:spacing w:val="-2"/>
        <w:sz w:val="22"/>
        <w:szCs w:val="22"/>
      </w:rPr>
      <w:t>Federal C</w:t>
    </w:r>
    <w:r w:rsidR="00867F8D">
      <w:rPr>
        <w:b/>
        <w:spacing w:val="-2"/>
        <w:sz w:val="22"/>
        <w:szCs w:val="22"/>
      </w:rPr>
      <w:t>ommunications Commission</w:t>
    </w:r>
    <w:r w:rsidR="00867F8D">
      <w:rPr>
        <w:b/>
        <w:spacing w:val="-2"/>
        <w:sz w:val="22"/>
        <w:szCs w:val="22"/>
      </w:rPr>
      <w:tab/>
      <w:t>DA 14-</w:t>
    </w:r>
    <w:r w:rsidR="00BD7BEE">
      <w:rPr>
        <w:b/>
        <w:spacing w:val="-2"/>
        <w:sz w:val="22"/>
        <w:szCs w:val="22"/>
      </w:rPr>
      <w:t>1483</w:t>
    </w:r>
  </w:p>
  <w:p w:rsidR="00303F93" w:rsidRDefault="00992252">
    <w:pPr>
      <w:tabs>
        <w:tab w:val="left" w:pos="-1440"/>
        <w:tab w:val="left" w:pos="-720"/>
      </w:tabs>
      <w:suppressAutoHyphens/>
      <w:spacing w:line="19" w:lineRule="exact"/>
      <w:jc w:val="both"/>
      <w:rPr>
        <w:spacing w:val="-2"/>
        <w:sz w:val="22"/>
        <w:szCs w:val="22"/>
      </w:rPr>
    </w:pPr>
    <w:r>
      <w:rPr>
        <w:noProof/>
      </w:rPr>
      <w:pict>
        <v:rect id="_x0000_s2049" style="position:absolute;left:0;text-align:left;margin-left:0;margin-top:0;width:468pt;height:.95pt;z-index:-251658240;mso-position-horizontal-relative:margin" o:allowincell="f" fillcolor="black" stroked="f" strokeweight=".05pt">
          <v:fill color2="black"/>
          <v:textbox>
            <w:txbxContent>
              <w:p w:rsidR="00303F93" w:rsidRDefault="00303F93"/>
            </w:txbxContent>
          </v:textbox>
          <w10:wrap anchorx="margin"/>
        </v:rect>
      </w:pict>
    </w:r>
  </w:p>
  <w:p w:rsidR="00303F93" w:rsidRDefault="00303F93">
    <w:pPr>
      <w:pStyle w:val="Header"/>
      <w:pBdr>
        <w:between w:val="single" w:sz="4" w:space="1" w:color="auto"/>
      </w:pBd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93" w:rsidRDefault="00303F93">
    <w:pPr>
      <w:tabs>
        <w:tab w:val="center" w:pos="4680"/>
        <w:tab w:val="right" w:pos="9360"/>
      </w:tabs>
      <w:suppressAutoHyphens/>
      <w:spacing w:line="227" w:lineRule="auto"/>
      <w:jc w:val="both"/>
      <w:rPr>
        <w:spacing w:val="-2"/>
        <w:sz w:val="22"/>
        <w:szCs w:val="22"/>
      </w:rPr>
    </w:pPr>
    <w:r>
      <w:rPr>
        <w:b/>
        <w:spacing w:val="-2"/>
      </w:rPr>
      <w:tab/>
    </w:r>
    <w:r>
      <w:rPr>
        <w:b/>
        <w:spacing w:val="-2"/>
        <w:sz w:val="22"/>
        <w:szCs w:val="22"/>
      </w:rPr>
      <w:t xml:space="preserve">Federal </w:t>
    </w:r>
    <w:r w:rsidR="00867F8D">
      <w:rPr>
        <w:b/>
        <w:spacing w:val="-2"/>
        <w:sz w:val="22"/>
        <w:szCs w:val="22"/>
      </w:rPr>
      <w:t>Communications Commission</w:t>
    </w:r>
    <w:r w:rsidR="00867F8D">
      <w:rPr>
        <w:b/>
        <w:spacing w:val="-2"/>
        <w:sz w:val="22"/>
        <w:szCs w:val="22"/>
      </w:rPr>
      <w:tab/>
      <w:t>DA 14</w:t>
    </w:r>
    <w:r>
      <w:rPr>
        <w:b/>
        <w:spacing w:val="-2"/>
        <w:sz w:val="22"/>
        <w:szCs w:val="22"/>
      </w:rPr>
      <w:t>-</w:t>
    </w:r>
    <w:r w:rsidR="00FB5068">
      <w:rPr>
        <w:b/>
        <w:spacing w:val="-2"/>
        <w:sz w:val="22"/>
        <w:szCs w:val="22"/>
      </w:rPr>
      <w:t>1483</w:t>
    </w:r>
  </w:p>
  <w:p w:rsidR="00303F93" w:rsidRDefault="00992252">
    <w:pPr>
      <w:tabs>
        <w:tab w:val="left" w:pos="-1440"/>
        <w:tab w:val="left" w:pos="-720"/>
      </w:tabs>
      <w:suppressAutoHyphens/>
      <w:spacing w:line="19" w:lineRule="exact"/>
      <w:jc w:val="both"/>
      <w:rPr>
        <w:spacing w:val="-2"/>
        <w:sz w:val="22"/>
        <w:szCs w:val="22"/>
      </w:rPr>
    </w:pPr>
    <w:r>
      <w:rPr>
        <w:noProof/>
      </w:rPr>
      <w:pict>
        <v:rect id="_x0000_s2050" style="position:absolute;left:0;text-align:left;margin-left:0;margin-top:0;width:468pt;height:.95pt;z-index:-251659264;mso-position-horizontal-relative:margin" o:allowincell="f" fillcolor="black" stroked="f" strokeweight=".05pt">
          <v:fill color2="black"/>
          <v:textbox>
            <w:txbxContent>
              <w:p w:rsidR="00303F93" w:rsidRDefault="00303F93"/>
            </w:txbxContent>
          </v:textbox>
          <w10:wrap anchorx="margin"/>
        </v:rect>
      </w:pict>
    </w:r>
  </w:p>
  <w:p w:rsidR="00303F93" w:rsidRDefault="00303F93">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C5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94EB4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24EF9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A843E0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784A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6BF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AAC9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C19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4C7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46C8B8"/>
    <w:lvl w:ilvl="0">
      <w:start w:val="1"/>
      <w:numFmt w:val="bullet"/>
      <w:lvlText w:val=""/>
      <w:lvlJc w:val="left"/>
      <w:pPr>
        <w:tabs>
          <w:tab w:val="num" w:pos="360"/>
        </w:tabs>
        <w:ind w:left="360" w:hanging="360"/>
      </w:pPr>
      <w:rPr>
        <w:rFonts w:ascii="Symbol" w:hAnsi="Symbol" w:hint="default"/>
      </w:rPr>
    </w:lvl>
  </w:abstractNum>
  <w:abstractNum w:abstractNumId="10">
    <w:nsid w:val="00267042"/>
    <w:multiLevelType w:val="hybridMultilevel"/>
    <w:tmpl w:val="E9E6C302"/>
    <w:lvl w:ilvl="0" w:tplc="191484E0">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A7E437D"/>
    <w:multiLevelType w:val="hybridMultilevel"/>
    <w:tmpl w:val="AC0E2584"/>
    <w:lvl w:ilvl="0" w:tplc="03A88DA2">
      <w:start w:val="1"/>
      <w:numFmt w:val="decimal"/>
      <w:lvlText w:val="%1."/>
      <w:lvlJc w:val="left"/>
      <w:pPr>
        <w:tabs>
          <w:tab w:val="num" w:pos="720"/>
        </w:tabs>
        <w:ind w:firstLine="720"/>
      </w:pPr>
      <w:rPr>
        <w:rFonts w:cs="Times New Roman" w:hint="default"/>
        <w:b w:val="0"/>
      </w:rPr>
    </w:lvl>
    <w:lvl w:ilvl="1" w:tplc="98BC0160">
      <w:start w:val="2"/>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7070BBF"/>
    <w:multiLevelType w:val="singleLevel"/>
    <w:tmpl w:val="8A4E7E60"/>
    <w:lvl w:ilvl="0">
      <w:start w:val="1"/>
      <w:numFmt w:val="decimal"/>
      <w:lvlText w:val="%1."/>
      <w:lvlJc w:val="left"/>
      <w:pPr>
        <w:tabs>
          <w:tab w:val="num" w:pos="1515"/>
        </w:tabs>
        <w:ind w:left="1515" w:hanging="795"/>
      </w:pPr>
      <w:rPr>
        <w:rFonts w:cs="Times New Roman" w:hint="default"/>
        <w:b w:val="0"/>
      </w:rPr>
    </w:lvl>
  </w:abstractNum>
  <w:abstractNum w:abstractNumId="13">
    <w:nsid w:val="369124AB"/>
    <w:multiLevelType w:val="hybridMultilevel"/>
    <w:tmpl w:val="5B8A5538"/>
    <w:lvl w:ilvl="0" w:tplc="69543D24">
      <w:start w:val="5"/>
      <w:numFmt w:val="decimal"/>
      <w:lvlText w:val="%1."/>
      <w:lvlJc w:val="left"/>
      <w:pPr>
        <w:tabs>
          <w:tab w:val="num" w:pos="1080"/>
        </w:tabs>
        <w:ind w:left="1080" w:hanging="360"/>
      </w:pPr>
      <w:rPr>
        <w:rFonts w:cs="Times New Roman" w:hint="default"/>
      </w:rPr>
    </w:lvl>
    <w:lvl w:ilvl="1" w:tplc="1298D61C" w:tentative="1">
      <w:start w:val="1"/>
      <w:numFmt w:val="lowerLetter"/>
      <w:lvlText w:val="%2."/>
      <w:lvlJc w:val="left"/>
      <w:pPr>
        <w:tabs>
          <w:tab w:val="num" w:pos="1800"/>
        </w:tabs>
        <w:ind w:left="1800" w:hanging="360"/>
      </w:pPr>
      <w:rPr>
        <w:rFonts w:cs="Times New Roman"/>
      </w:rPr>
    </w:lvl>
    <w:lvl w:ilvl="2" w:tplc="9B4A0AAA" w:tentative="1">
      <w:start w:val="1"/>
      <w:numFmt w:val="lowerRoman"/>
      <w:lvlText w:val="%3."/>
      <w:lvlJc w:val="right"/>
      <w:pPr>
        <w:tabs>
          <w:tab w:val="num" w:pos="2520"/>
        </w:tabs>
        <w:ind w:left="2520" w:hanging="180"/>
      </w:pPr>
      <w:rPr>
        <w:rFonts w:cs="Times New Roman"/>
      </w:rPr>
    </w:lvl>
    <w:lvl w:ilvl="3" w:tplc="71BC9376" w:tentative="1">
      <w:start w:val="1"/>
      <w:numFmt w:val="decimal"/>
      <w:lvlText w:val="%4."/>
      <w:lvlJc w:val="left"/>
      <w:pPr>
        <w:tabs>
          <w:tab w:val="num" w:pos="3240"/>
        </w:tabs>
        <w:ind w:left="3240" w:hanging="360"/>
      </w:pPr>
      <w:rPr>
        <w:rFonts w:cs="Times New Roman"/>
      </w:rPr>
    </w:lvl>
    <w:lvl w:ilvl="4" w:tplc="A18E46E0" w:tentative="1">
      <w:start w:val="1"/>
      <w:numFmt w:val="lowerLetter"/>
      <w:lvlText w:val="%5."/>
      <w:lvlJc w:val="left"/>
      <w:pPr>
        <w:tabs>
          <w:tab w:val="num" w:pos="3960"/>
        </w:tabs>
        <w:ind w:left="3960" w:hanging="360"/>
      </w:pPr>
      <w:rPr>
        <w:rFonts w:cs="Times New Roman"/>
      </w:rPr>
    </w:lvl>
    <w:lvl w:ilvl="5" w:tplc="6EA63FD6" w:tentative="1">
      <w:start w:val="1"/>
      <w:numFmt w:val="lowerRoman"/>
      <w:lvlText w:val="%6."/>
      <w:lvlJc w:val="right"/>
      <w:pPr>
        <w:tabs>
          <w:tab w:val="num" w:pos="4680"/>
        </w:tabs>
        <w:ind w:left="4680" w:hanging="180"/>
      </w:pPr>
      <w:rPr>
        <w:rFonts w:cs="Times New Roman"/>
      </w:rPr>
    </w:lvl>
    <w:lvl w:ilvl="6" w:tplc="50FC3220" w:tentative="1">
      <w:start w:val="1"/>
      <w:numFmt w:val="decimal"/>
      <w:lvlText w:val="%7."/>
      <w:lvlJc w:val="left"/>
      <w:pPr>
        <w:tabs>
          <w:tab w:val="num" w:pos="5400"/>
        </w:tabs>
        <w:ind w:left="5400" w:hanging="360"/>
      </w:pPr>
      <w:rPr>
        <w:rFonts w:cs="Times New Roman"/>
      </w:rPr>
    </w:lvl>
    <w:lvl w:ilvl="7" w:tplc="79D44E06" w:tentative="1">
      <w:start w:val="1"/>
      <w:numFmt w:val="lowerLetter"/>
      <w:lvlText w:val="%8."/>
      <w:lvlJc w:val="left"/>
      <w:pPr>
        <w:tabs>
          <w:tab w:val="num" w:pos="6120"/>
        </w:tabs>
        <w:ind w:left="6120" w:hanging="360"/>
      </w:pPr>
      <w:rPr>
        <w:rFonts w:cs="Times New Roman"/>
      </w:rPr>
    </w:lvl>
    <w:lvl w:ilvl="8" w:tplc="C6AC70E4" w:tentative="1">
      <w:start w:val="1"/>
      <w:numFmt w:val="lowerRoman"/>
      <w:lvlText w:val="%9."/>
      <w:lvlJc w:val="right"/>
      <w:pPr>
        <w:tabs>
          <w:tab w:val="num" w:pos="6840"/>
        </w:tabs>
        <w:ind w:left="6840" w:hanging="180"/>
      </w:pPr>
      <w:rPr>
        <w:rFonts w:cs="Times New Roman"/>
      </w:rPr>
    </w:lvl>
  </w:abstractNum>
  <w:abstractNum w:abstractNumId="14">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6">
    <w:nsid w:val="413E2B54"/>
    <w:multiLevelType w:val="hybridMultilevel"/>
    <w:tmpl w:val="3D1A88C4"/>
    <w:lvl w:ilvl="0" w:tplc="FFFFFFFF">
      <w:start w:val="2"/>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32817C4"/>
    <w:multiLevelType w:val="singleLevel"/>
    <w:tmpl w:val="A8B6F512"/>
    <w:lvl w:ilvl="0">
      <w:start w:val="1"/>
      <w:numFmt w:val="decimal"/>
      <w:lvlText w:val="%1."/>
      <w:lvlJc w:val="left"/>
      <w:pPr>
        <w:tabs>
          <w:tab w:val="num" w:pos="1080"/>
        </w:tabs>
        <w:ind w:firstLine="720"/>
      </w:pPr>
      <w:rPr>
        <w:rFonts w:ascii="Times New Roman" w:hAnsi="Times New Roman" w:cs="Times New Roman" w:hint="default"/>
        <w:b w:val="0"/>
        <w:i w:val="0"/>
        <w:sz w:val="24"/>
      </w:rPr>
    </w:lvl>
  </w:abstractNum>
  <w:abstractNum w:abstractNumId="18">
    <w:nsid w:val="479F5FBA"/>
    <w:multiLevelType w:val="hybridMultilevel"/>
    <w:tmpl w:val="5770BD1C"/>
    <w:lvl w:ilvl="0" w:tplc="B95ED636">
      <w:start w:val="2"/>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32E5F9F"/>
    <w:multiLevelType w:val="hybridMultilevel"/>
    <w:tmpl w:val="72A2366E"/>
    <w:lvl w:ilvl="0" w:tplc="ABA43370">
      <w:start w:val="4"/>
      <w:numFmt w:val="decimal"/>
      <w:lvlText w:val="%1."/>
      <w:lvlJc w:val="left"/>
      <w:pPr>
        <w:tabs>
          <w:tab w:val="num" w:pos="1080"/>
        </w:tabs>
        <w:ind w:left="1080" w:hanging="360"/>
      </w:pPr>
      <w:rPr>
        <w:rFonts w:cs="Times New Roman" w:hint="default"/>
        <w:b w:val="0"/>
      </w:rPr>
    </w:lvl>
    <w:lvl w:ilvl="1" w:tplc="43429F42"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5AF6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5C2E3D"/>
    <w:multiLevelType w:val="singleLevel"/>
    <w:tmpl w:val="9D8455C4"/>
    <w:lvl w:ilvl="0">
      <w:start w:val="1"/>
      <w:numFmt w:val="upperRoman"/>
      <w:lvlText w:val="%1."/>
      <w:lvlJc w:val="left"/>
      <w:pPr>
        <w:tabs>
          <w:tab w:val="num" w:pos="720"/>
        </w:tabs>
        <w:ind w:left="720" w:hanging="720"/>
      </w:pPr>
      <w:rPr>
        <w:rFonts w:cs="Times New Roman" w:hint="default"/>
      </w:rPr>
    </w:lvl>
  </w:abstractNum>
  <w:abstractNum w:abstractNumId="22">
    <w:nsid w:val="5BC1533E"/>
    <w:multiLevelType w:val="hybridMultilevel"/>
    <w:tmpl w:val="D8DC3198"/>
    <w:lvl w:ilvl="0" w:tplc="A560E1AE">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1182925"/>
    <w:multiLevelType w:val="singleLevel"/>
    <w:tmpl w:val="ED08FABA"/>
    <w:lvl w:ilvl="0">
      <w:start w:val="1"/>
      <w:numFmt w:val="decimal"/>
      <w:lvlText w:val="%1."/>
      <w:lvlJc w:val="left"/>
      <w:pPr>
        <w:tabs>
          <w:tab w:val="num" w:pos="1080"/>
        </w:tabs>
        <w:ind w:firstLine="720"/>
      </w:pPr>
      <w:rPr>
        <w:rFonts w:cs="Times New Roman"/>
        <w:b w:val="0"/>
      </w:rPr>
    </w:lvl>
  </w:abstractNum>
  <w:abstractNum w:abstractNumId="24">
    <w:nsid w:val="6D2B48D2"/>
    <w:multiLevelType w:val="singleLevel"/>
    <w:tmpl w:val="C9C40FE0"/>
    <w:lvl w:ilvl="0">
      <w:start w:val="1"/>
      <w:numFmt w:val="decimal"/>
      <w:pStyle w:val="Paranum0"/>
      <w:lvlText w:val="%1."/>
      <w:lvlJc w:val="left"/>
      <w:pPr>
        <w:tabs>
          <w:tab w:val="num" w:pos="360"/>
        </w:tabs>
        <w:ind w:left="360" w:hanging="360"/>
      </w:pPr>
      <w:rPr>
        <w:rFonts w:cs="Times New Roman"/>
      </w:rPr>
    </w:lvl>
  </w:abstractNum>
  <w:abstractNum w:abstractNumId="25">
    <w:nsid w:val="70BE077F"/>
    <w:multiLevelType w:val="hybridMultilevel"/>
    <w:tmpl w:val="025E0D9A"/>
    <w:lvl w:ilvl="0" w:tplc="B2EA29E0">
      <w:start w:val="3"/>
      <w:numFmt w:val="upperRoman"/>
      <w:lvlText w:val="%1."/>
      <w:lvlJc w:val="left"/>
      <w:pPr>
        <w:tabs>
          <w:tab w:val="num" w:pos="1080"/>
        </w:tabs>
        <w:ind w:left="1080" w:hanging="720"/>
      </w:pPr>
      <w:rPr>
        <w:rFonts w:cs="Times New Roman" w:hint="default"/>
      </w:rPr>
    </w:lvl>
    <w:lvl w:ilvl="1" w:tplc="CB62E4CC" w:tentative="1">
      <w:start w:val="1"/>
      <w:numFmt w:val="lowerLetter"/>
      <w:lvlText w:val="%2."/>
      <w:lvlJc w:val="left"/>
      <w:pPr>
        <w:tabs>
          <w:tab w:val="num" w:pos="1440"/>
        </w:tabs>
        <w:ind w:left="1440" w:hanging="360"/>
      </w:pPr>
      <w:rPr>
        <w:rFonts w:cs="Times New Roman"/>
      </w:rPr>
    </w:lvl>
    <w:lvl w:ilvl="2" w:tplc="231E8022" w:tentative="1">
      <w:start w:val="1"/>
      <w:numFmt w:val="lowerRoman"/>
      <w:lvlText w:val="%3."/>
      <w:lvlJc w:val="right"/>
      <w:pPr>
        <w:tabs>
          <w:tab w:val="num" w:pos="2160"/>
        </w:tabs>
        <w:ind w:left="2160" w:hanging="180"/>
      </w:pPr>
      <w:rPr>
        <w:rFonts w:cs="Times New Roman"/>
      </w:rPr>
    </w:lvl>
    <w:lvl w:ilvl="3" w:tplc="1ED64DA6" w:tentative="1">
      <w:start w:val="1"/>
      <w:numFmt w:val="decimal"/>
      <w:lvlText w:val="%4."/>
      <w:lvlJc w:val="left"/>
      <w:pPr>
        <w:tabs>
          <w:tab w:val="num" w:pos="2880"/>
        </w:tabs>
        <w:ind w:left="2880" w:hanging="360"/>
      </w:pPr>
      <w:rPr>
        <w:rFonts w:cs="Times New Roman"/>
      </w:rPr>
    </w:lvl>
    <w:lvl w:ilvl="4" w:tplc="6FCC74C6" w:tentative="1">
      <w:start w:val="1"/>
      <w:numFmt w:val="lowerLetter"/>
      <w:lvlText w:val="%5."/>
      <w:lvlJc w:val="left"/>
      <w:pPr>
        <w:tabs>
          <w:tab w:val="num" w:pos="3600"/>
        </w:tabs>
        <w:ind w:left="3600" w:hanging="360"/>
      </w:pPr>
      <w:rPr>
        <w:rFonts w:cs="Times New Roman"/>
      </w:rPr>
    </w:lvl>
    <w:lvl w:ilvl="5" w:tplc="5DB43830" w:tentative="1">
      <w:start w:val="1"/>
      <w:numFmt w:val="lowerRoman"/>
      <w:lvlText w:val="%6."/>
      <w:lvlJc w:val="right"/>
      <w:pPr>
        <w:tabs>
          <w:tab w:val="num" w:pos="4320"/>
        </w:tabs>
        <w:ind w:left="4320" w:hanging="180"/>
      </w:pPr>
      <w:rPr>
        <w:rFonts w:cs="Times New Roman"/>
      </w:rPr>
    </w:lvl>
    <w:lvl w:ilvl="6" w:tplc="F420FD2E" w:tentative="1">
      <w:start w:val="1"/>
      <w:numFmt w:val="decimal"/>
      <w:lvlText w:val="%7."/>
      <w:lvlJc w:val="left"/>
      <w:pPr>
        <w:tabs>
          <w:tab w:val="num" w:pos="5040"/>
        </w:tabs>
        <w:ind w:left="5040" w:hanging="360"/>
      </w:pPr>
      <w:rPr>
        <w:rFonts w:cs="Times New Roman"/>
      </w:rPr>
    </w:lvl>
    <w:lvl w:ilvl="7" w:tplc="6B121442" w:tentative="1">
      <w:start w:val="1"/>
      <w:numFmt w:val="lowerLetter"/>
      <w:lvlText w:val="%8."/>
      <w:lvlJc w:val="left"/>
      <w:pPr>
        <w:tabs>
          <w:tab w:val="num" w:pos="5760"/>
        </w:tabs>
        <w:ind w:left="5760" w:hanging="360"/>
      </w:pPr>
      <w:rPr>
        <w:rFonts w:cs="Times New Roman"/>
      </w:rPr>
    </w:lvl>
    <w:lvl w:ilvl="8" w:tplc="7D7EAC9A"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12"/>
  </w:num>
  <w:num w:numId="4">
    <w:abstractNumId w:val="11"/>
  </w:num>
  <w:num w:numId="5">
    <w:abstractNumId w:val="14"/>
  </w:num>
  <w:num w:numId="6">
    <w:abstractNumId w:val="13"/>
  </w:num>
  <w:num w:numId="7">
    <w:abstractNumId w:val="19"/>
  </w:num>
  <w:num w:numId="8">
    <w:abstractNumId w:val="24"/>
    <w:lvlOverride w:ilvl="0">
      <w:startOverride w:val="1"/>
    </w:lvlOverride>
  </w:num>
  <w:num w:numId="9">
    <w:abstractNumId w:val="10"/>
  </w:num>
  <w:num w:numId="10">
    <w:abstractNumId w:val="2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8"/>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20"/>
  </w:num>
  <w:num w:numId="41">
    <w:abstractNumId w:val="14"/>
  </w:num>
  <w:num w:numId="42">
    <w:abstractNumId w:val="14"/>
  </w:num>
  <w:num w:numId="43">
    <w:abstractNumId w:val="25"/>
  </w:num>
  <w:num w:numId="44">
    <w:abstractNumId w:val="14"/>
  </w:num>
  <w:num w:numId="45">
    <w:abstractNumId w:val="16"/>
  </w:num>
  <w:num w:numId="46">
    <w:abstractNumId w:val="15"/>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2EA"/>
    <w:rsid w:val="000370C2"/>
    <w:rsid w:val="00040F50"/>
    <w:rsid w:val="00054D90"/>
    <w:rsid w:val="00060B86"/>
    <w:rsid w:val="0007180B"/>
    <w:rsid w:val="000F414D"/>
    <w:rsid w:val="000F56E7"/>
    <w:rsid w:val="00133373"/>
    <w:rsid w:val="00161D4D"/>
    <w:rsid w:val="001911E0"/>
    <w:rsid w:val="001A7816"/>
    <w:rsid w:val="001A7B73"/>
    <w:rsid w:val="001C240F"/>
    <w:rsid w:val="001D6935"/>
    <w:rsid w:val="001F6BCF"/>
    <w:rsid w:val="002016E8"/>
    <w:rsid w:val="00206E8D"/>
    <w:rsid w:val="00216DE9"/>
    <w:rsid w:val="00223381"/>
    <w:rsid w:val="002318A8"/>
    <w:rsid w:val="002468E1"/>
    <w:rsid w:val="002634E0"/>
    <w:rsid w:val="002835A3"/>
    <w:rsid w:val="002841A7"/>
    <w:rsid w:val="002A1760"/>
    <w:rsid w:val="002A42D5"/>
    <w:rsid w:val="002B5C2E"/>
    <w:rsid w:val="002C4A9D"/>
    <w:rsid w:val="002E0A21"/>
    <w:rsid w:val="002E687A"/>
    <w:rsid w:val="00303F93"/>
    <w:rsid w:val="003062AF"/>
    <w:rsid w:val="00347C07"/>
    <w:rsid w:val="00360ED3"/>
    <w:rsid w:val="003E0465"/>
    <w:rsid w:val="00407073"/>
    <w:rsid w:val="004874F3"/>
    <w:rsid w:val="004970A7"/>
    <w:rsid w:val="004A4147"/>
    <w:rsid w:val="004C7DD3"/>
    <w:rsid w:val="004F032B"/>
    <w:rsid w:val="004F0B4F"/>
    <w:rsid w:val="00502CEE"/>
    <w:rsid w:val="0051192D"/>
    <w:rsid w:val="00551428"/>
    <w:rsid w:val="00557094"/>
    <w:rsid w:val="00583B17"/>
    <w:rsid w:val="005A4A83"/>
    <w:rsid w:val="005E13F4"/>
    <w:rsid w:val="005F4515"/>
    <w:rsid w:val="0060624B"/>
    <w:rsid w:val="0061711E"/>
    <w:rsid w:val="0062570E"/>
    <w:rsid w:val="00630108"/>
    <w:rsid w:val="006345A9"/>
    <w:rsid w:val="00660B13"/>
    <w:rsid w:val="00676331"/>
    <w:rsid w:val="006C75D0"/>
    <w:rsid w:val="006E7B14"/>
    <w:rsid w:val="007352B6"/>
    <w:rsid w:val="00783AE2"/>
    <w:rsid w:val="0081331B"/>
    <w:rsid w:val="0081435B"/>
    <w:rsid w:val="0084172E"/>
    <w:rsid w:val="00862DA6"/>
    <w:rsid w:val="00867F8D"/>
    <w:rsid w:val="0088529B"/>
    <w:rsid w:val="008B13C1"/>
    <w:rsid w:val="008E3B66"/>
    <w:rsid w:val="00992252"/>
    <w:rsid w:val="009D0BA5"/>
    <w:rsid w:val="009F74E2"/>
    <w:rsid w:val="00A00659"/>
    <w:rsid w:val="00A412ED"/>
    <w:rsid w:val="00A60C65"/>
    <w:rsid w:val="00A66FBA"/>
    <w:rsid w:val="00AA01E2"/>
    <w:rsid w:val="00AA0D69"/>
    <w:rsid w:val="00AE019C"/>
    <w:rsid w:val="00B32CBC"/>
    <w:rsid w:val="00B51E53"/>
    <w:rsid w:val="00BA52EA"/>
    <w:rsid w:val="00BC0C54"/>
    <w:rsid w:val="00BC3E7D"/>
    <w:rsid w:val="00BD7BEE"/>
    <w:rsid w:val="00C4153B"/>
    <w:rsid w:val="00C43FC0"/>
    <w:rsid w:val="00C53F73"/>
    <w:rsid w:val="00C63C1C"/>
    <w:rsid w:val="00CB62F9"/>
    <w:rsid w:val="00CD48A9"/>
    <w:rsid w:val="00CE7EDA"/>
    <w:rsid w:val="00CF4E09"/>
    <w:rsid w:val="00D33968"/>
    <w:rsid w:val="00D84DA2"/>
    <w:rsid w:val="00DB03B0"/>
    <w:rsid w:val="00DE5AB7"/>
    <w:rsid w:val="00E062BF"/>
    <w:rsid w:val="00E812E2"/>
    <w:rsid w:val="00E87967"/>
    <w:rsid w:val="00E9095C"/>
    <w:rsid w:val="00E9154E"/>
    <w:rsid w:val="00EB77E3"/>
    <w:rsid w:val="00EC5BAA"/>
    <w:rsid w:val="00EC682F"/>
    <w:rsid w:val="00F209F2"/>
    <w:rsid w:val="00F40CC3"/>
    <w:rsid w:val="00F844C4"/>
    <w:rsid w:val="00FB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26" w:lineRule="auto"/>
      <w:jc w:val="both"/>
      <w:outlineLvl w:val="0"/>
    </w:pPr>
    <w:rPr>
      <w:b/>
      <w:sz w:val="22"/>
    </w:rPr>
  </w:style>
  <w:style w:type="paragraph" w:styleId="Heading2">
    <w:name w:val="heading 2"/>
    <w:basedOn w:val="Normal"/>
    <w:next w:val="Normal"/>
    <w:link w:val="Heading2Char"/>
    <w:qFormat/>
    <w:pPr>
      <w:keepNext/>
      <w:spacing w:line="226" w:lineRule="auto"/>
      <w:jc w:val="center"/>
      <w:outlineLvl w:val="1"/>
    </w:pPr>
    <w:rPr>
      <w:b/>
      <w:sz w:val="22"/>
    </w:rPr>
  </w:style>
  <w:style w:type="paragraph" w:styleId="Heading3">
    <w:name w:val="heading 3"/>
    <w:basedOn w:val="Normal"/>
    <w:next w:val="Normal"/>
    <w:link w:val="Heading3Char"/>
    <w:qFormat/>
    <w:pPr>
      <w:keepNext/>
      <w:tabs>
        <w:tab w:val="left" w:pos="0"/>
      </w:tabs>
      <w:suppressAutoHyphens/>
      <w:spacing w:line="240" w:lineRule="atLeast"/>
      <w:outlineLvl w:val="2"/>
    </w:pPr>
    <w:rPr>
      <w:b/>
      <w:sz w:val="22"/>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ParaNum"/>
    <w:link w:val="Heading5Char"/>
    <w:qFormat/>
    <w:pPr>
      <w:keepNext/>
      <w:widowControl w:val="0"/>
      <w:tabs>
        <w:tab w:val="left" w:pos="1800"/>
      </w:tabs>
      <w:suppressAutoHyphens/>
      <w:spacing w:after="220"/>
      <w:ind w:left="1800" w:hanging="360"/>
      <w:jc w:val="both"/>
      <w:outlineLvl w:val="4"/>
    </w:pPr>
    <w:rPr>
      <w:b/>
      <w:kern w:val="28"/>
      <w:sz w:val="22"/>
    </w:rPr>
  </w:style>
  <w:style w:type="paragraph" w:styleId="Heading6">
    <w:name w:val="heading 6"/>
    <w:basedOn w:val="Normal"/>
    <w:next w:val="ParaNum"/>
    <w:link w:val="Heading6Char"/>
    <w:qFormat/>
    <w:pPr>
      <w:widowControl w:val="0"/>
      <w:tabs>
        <w:tab w:val="left" w:pos="2160"/>
      </w:tabs>
      <w:spacing w:after="220"/>
      <w:ind w:left="2160" w:hanging="360"/>
      <w:jc w:val="both"/>
      <w:outlineLvl w:val="5"/>
    </w:pPr>
    <w:rPr>
      <w:b/>
      <w:kern w:val="28"/>
      <w:sz w:val="22"/>
    </w:rPr>
  </w:style>
  <w:style w:type="paragraph" w:styleId="Heading7">
    <w:name w:val="heading 7"/>
    <w:basedOn w:val="Normal"/>
    <w:next w:val="ParaNum"/>
    <w:link w:val="Heading7Char"/>
    <w:qFormat/>
    <w:pPr>
      <w:widowControl w:val="0"/>
      <w:tabs>
        <w:tab w:val="left" w:pos="2520"/>
      </w:tabs>
      <w:spacing w:after="240"/>
      <w:ind w:left="2520" w:hanging="360"/>
      <w:jc w:val="both"/>
      <w:outlineLvl w:val="6"/>
    </w:pPr>
    <w:rPr>
      <w:b/>
      <w:kern w:val="28"/>
      <w:sz w:val="22"/>
    </w:rPr>
  </w:style>
  <w:style w:type="paragraph" w:styleId="Heading8">
    <w:name w:val="heading 8"/>
    <w:basedOn w:val="Normal"/>
    <w:next w:val="ParaNum"/>
    <w:link w:val="Heading8Char"/>
    <w:qFormat/>
    <w:pPr>
      <w:widowControl w:val="0"/>
      <w:tabs>
        <w:tab w:val="left" w:pos="2880"/>
      </w:tabs>
      <w:spacing w:after="240"/>
      <w:ind w:left="2880" w:hanging="360"/>
      <w:jc w:val="both"/>
      <w:outlineLvl w:val="7"/>
    </w:pPr>
    <w:rPr>
      <w:b/>
      <w:kern w:val="28"/>
      <w:sz w:val="22"/>
    </w:rPr>
  </w:style>
  <w:style w:type="paragraph" w:styleId="Heading9">
    <w:name w:val="heading 9"/>
    <w:basedOn w:val="Normal"/>
    <w:next w:val="ParaNum"/>
    <w:link w:val="Heading9Char"/>
    <w:qFormat/>
    <w:pPr>
      <w:widowControl w:val="0"/>
      <w:tabs>
        <w:tab w:val="left" w:pos="3240"/>
      </w:tabs>
      <w:spacing w:after="240"/>
      <w:ind w:left="3240" w:hanging="360"/>
      <w:jc w:val="both"/>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styleId="FootnoteReference">
    <w:name w:val="footnote reference"/>
    <w:aliases w:val="Style 4,Appel note de bas de p,Style 12,(NECG) Footnote Reference,Style 124,Style 13,o,fr,Style 3"/>
    <w:semiHidden/>
    <w:rPr>
      <w:rFonts w:ascii="Times New Roman" w:hAnsi="Times New Roman" w:cs="Times New Roman"/>
      <w:color w:val="auto"/>
      <w:sz w:val="20"/>
      <w:vertAlign w:val="superscript"/>
    </w:rPr>
  </w:style>
  <w:style w:type="paragraph" w:styleId="FootnoteText">
    <w:name w:val="footnote text"/>
    <w:aliases w:val="rrfootnote,Footnote Text Char1,Footnote Text Char Char,rrfootnote Char Char,rrfootnote Char1,Footnote Text Char,rrfootnote Char1 Char,Footnote Text Char1 Char Char Char,rrfootnote Char Char Char Char,Footnote Text Char Char Char Char,f,fn"/>
    <w:basedOn w:val="Normal"/>
    <w:link w:val="FootnoteTextChar2"/>
    <w:autoRedefine/>
    <w:pPr>
      <w:suppressAutoHyphens/>
      <w:autoSpaceDE w:val="0"/>
      <w:autoSpaceDN w:val="0"/>
      <w:adjustRightInd w:val="0"/>
      <w:spacing w:after="120"/>
    </w:pPr>
    <w:rPr>
      <w:spacing w:val="-2"/>
    </w:rPr>
  </w:style>
  <w:style w:type="character" w:customStyle="1" w:styleId="FootnoteTextChar2">
    <w:name w:val="Footnote Text Char2"/>
    <w:aliases w:val="rrfootnote Char,Footnote Text Char1 Char,Footnote Text Char Char Char,rrfootnote Char Char Char,rrfootnote Char1 Char1,Footnote Text Char Char1,rrfootnote Char1 Char Char,Footnote Text Char1 Char Char Char Char,f Char,fn Char"/>
    <w:link w:val="FootnoteText"/>
    <w:locked/>
    <w:rPr>
      <w:rFonts w:cs="Times New Roman"/>
      <w:spacing w:val="-2"/>
      <w:lang w:val="en-US" w:eastAsia="en-US"/>
    </w:rPr>
  </w:style>
  <w:style w:type="paragraph" w:styleId="BodyText">
    <w:name w:val="Body Text"/>
    <w:basedOn w:val="Normal"/>
    <w:link w:val="BodyTextChar"/>
    <w:pPr>
      <w:widowControl w:val="0"/>
    </w:pPr>
    <w:rPr>
      <w:sz w:val="22"/>
    </w:rPr>
  </w:style>
  <w:style w:type="character" w:customStyle="1" w:styleId="BodyTextChar">
    <w:name w:val="Body Text Char"/>
    <w:link w:val="BodyText"/>
    <w:semiHidden/>
    <w:locked/>
    <w:rPr>
      <w:rFonts w:cs="Times New Roman"/>
      <w:sz w:val="20"/>
      <w:szCs w:val="20"/>
    </w:rPr>
  </w:style>
  <w:style w:type="paragraph" w:styleId="Title">
    <w:name w:val="Title"/>
    <w:basedOn w:val="Normal"/>
    <w:link w:val="TitleChar"/>
    <w:qFormat/>
    <w:pPr>
      <w:tabs>
        <w:tab w:val="center" w:pos="4770"/>
      </w:tabs>
      <w:spacing w:line="226" w:lineRule="auto"/>
      <w:jc w:val="center"/>
    </w:pPr>
    <w:rPr>
      <w:b/>
      <w:sz w:val="22"/>
    </w:rPr>
  </w:style>
  <w:style w:type="character" w:customStyle="1" w:styleId="TitleChar">
    <w:name w:val="Title Char"/>
    <w:link w:val="Title"/>
    <w:locked/>
    <w:rPr>
      <w:rFonts w:ascii="Cambria" w:hAnsi="Cambria" w:cs="Times New Roman"/>
      <w:b/>
      <w:bCs/>
      <w:kern w:val="28"/>
      <w:sz w:val="32"/>
      <w:szCs w:val="32"/>
    </w:rPr>
  </w:style>
  <w:style w:type="paragraph" w:styleId="EndnoteText">
    <w:name w:val="endnote text"/>
    <w:basedOn w:val="Normal"/>
    <w:link w:val="EndnoteTextChar"/>
    <w:semiHidden/>
  </w:style>
  <w:style w:type="character" w:customStyle="1" w:styleId="EndnoteTextChar">
    <w:name w:val="Endnote Text Char"/>
    <w:link w:val="EndnoteText"/>
    <w:semiHidden/>
    <w:locked/>
    <w:rPr>
      <w:rFonts w:cs="Times New Roman"/>
      <w:sz w:val="20"/>
      <w:szCs w:val="20"/>
    </w:rPr>
  </w:style>
  <w:style w:type="character" w:styleId="EndnoteReference">
    <w:name w:val="endnote reference"/>
    <w:semiHidden/>
    <w:rPr>
      <w:rFonts w:cs="Times New Roman"/>
      <w:vertAlign w:val="superscript"/>
    </w:rPr>
  </w:style>
  <w:style w:type="character" w:customStyle="1" w:styleId="Footnote">
    <w:name w:val="Footnote"/>
    <w:rPr>
      <w:rFonts w:ascii="Times New Roman" w:hAnsi="Times New Roman"/>
      <w:sz w:val="20"/>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firstLine="720"/>
      <w:jc w:val="both"/>
    </w:pPr>
    <w:rPr>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HTMLPreformattedChar">
    <w:name w:val="HTML Preformatted Char"/>
    <w:link w:val="HTMLPreformatted"/>
    <w:semiHidden/>
    <w:locked/>
    <w:rPr>
      <w:rFonts w:ascii="Courier New" w:hAnsi="Courier New" w:cs="Courier New"/>
      <w:sz w:val="20"/>
      <w:szCs w:val="20"/>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semiHidden/>
    <w:locked/>
    <w:rPr>
      <w:rFonts w:cs="Times New Roman"/>
      <w:sz w:val="20"/>
      <w:szCs w:val="20"/>
    </w:rPr>
  </w:style>
  <w:style w:type="character" w:styleId="Emphasis">
    <w:name w:val="Emphasis"/>
    <w:qFormat/>
    <w:rPr>
      <w:rFonts w:cs="Times New Roman"/>
      <w:i/>
    </w:rPr>
  </w:style>
  <w:style w:type="paragraph" w:styleId="TOC1">
    <w:name w:val="toc 1"/>
    <w:basedOn w:val="Normal"/>
    <w:next w:val="Normal"/>
    <w:semiHidden/>
    <w:pPr>
      <w:widowControl w:val="0"/>
      <w:tabs>
        <w:tab w:val="left" w:pos="360"/>
        <w:tab w:val="right" w:leader="dot" w:pos="9360"/>
      </w:tabs>
      <w:suppressAutoHyphens/>
      <w:ind w:left="360" w:right="720" w:hanging="360"/>
      <w:jc w:val="both"/>
    </w:pPr>
    <w:rPr>
      <w:caps/>
      <w:noProof/>
      <w:kern w:val="28"/>
      <w:sz w:val="22"/>
    </w:rPr>
  </w:style>
  <w:style w:type="character" w:customStyle="1" w:styleId="documentbody1">
    <w:name w:val="documentbody1"/>
    <w:rPr>
      <w:rFonts w:ascii="Verdana" w:hAnsi="Verdana"/>
      <w:sz w:val="19"/>
    </w:rPr>
  </w:style>
  <w:style w:type="character" w:customStyle="1" w:styleId="documentbody">
    <w:name w:val="documentbody"/>
    <w:rPr>
      <w:rFonts w:cs="Times New Roman"/>
    </w:rPr>
  </w:style>
  <w:style w:type="character" w:customStyle="1" w:styleId="starpage">
    <w:name w:val="starpage"/>
    <w:rPr>
      <w:rFonts w:cs="Times New Roman"/>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TOC7">
    <w:name w:val="toc 7"/>
    <w:basedOn w:val="Normal"/>
    <w:next w:val="Normal"/>
    <w:autoRedefine/>
    <w:semiHidden/>
    <w:pPr>
      <w:ind w:left="1200"/>
    </w:pPr>
  </w:style>
  <w:style w:type="character" w:styleId="Hyperlink">
    <w:name w:val="Hyperlink"/>
    <w:rPr>
      <w:rFonts w:cs="Times New Roman"/>
      <w:color w:val="0000FF"/>
      <w:u w:val="single"/>
    </w:rPr>
  </w:style>
  <w:style w:type="character" w:customStyle="1" w:styleId="searchterm">
    <w:name w:val="searchterm"/>
    <w:rPr>
      <w:rFonts w:cs="Times New Roman"/>
    </w:rPr>
  </w:style>
  <w:style w:type="character" w:customStyle="1" w:styleId="ParaNumChar">
    <w:name w:val="ParaNum Char"/>
    <w:link w:val="ParaNum"/>
    <w:locked/>
    <w:rPr>
      <w:sz w:val="22"/>
    </w:rPr>
  </w:style>
  <w:style w:type="character" w:customStyle="1" w:styleId="apple-converted-space">
    <w:name w:val="apple-converted-space"/>
    <w:rsid w:val="005E13F4"/>
  </w:style>
  <w:style w:type="character" w:styleId="Strong">
    <w:name w:val="Strong"/>
    <w:uiPriority w:val="22"/>
    <w:qFormat/>
    <w:locked/>
    <w:rsid w:val="00551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26" w:lineRule="auto"/>
      <w:jc w:val="both"/>
      <w:outlineLvl w:val="0"/>
    </w:pPr>
    <w:rPr>
      <w:b/>
      <w:sz w:val="22"/>
    </w:rPr>
  </w:style>
  <w:style w:type="paragraph" w:styleId="Heading2">
    <w:name w:val="heading 2"/>
    <w:basedOn w:val="Normal"/>
    <w:next w:val="Normal"/>
    <w:link w:val="Heading2Char"/>
    <w:qFormat/>
    <w:pPr>
      <w:keepNext/>
      <w:spacing w:line="226" w:lineRule="auto"/>
      <w:jc w:val="center"/>
      <w:outlineLvl w:val="1"/>
    </w:pPr>
    <w:rPr>
      <w:b/>
      <w:sz w:val="22"/>
    </w:rPr>
  </w:style>
  <w:style w:type="paragraph" w:styleId="Heading3">
    <w:name w:val="heading 3"/>
    <w:basedOn w:val="Normal"/>
    <w:next w:val="Normal"/>
    <w:link w:val="Heading3Char"/>
    <w:qFormat/>
    <w:pPr>
      <w:keepNext/>
      <w:tabs>
        <w:tab w:val="left" w:pos="0"/>
      </w:tabs>
      <w:suppressAutoHyphens/>
      <w:spacing w:line="240" w:lineRule="atLeast"/>
      <w:outlineLvl w:val="2"/>
    </w:pPr>
    <w:rPr>
      <w:b/>
      <w:sz w:val="22"/>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ParaNum"/>
    <w:link w:val="Heading5Char"/>
    <w:qFormat/>
    <w:pPr>
      <w:keepNext/>
      <w:widowControl w:val="0"/>
      <w:tabs>
        <w:tab w:val="left" w:pos="1800"/>
      </w:tabs>
      <w:suppressAutoHyphens/>
      <w:spacing w:after="220"/>
      <w:ind w:left="1800" w:hanging="360"/>
      <w:jc w:val="both"/>
      <w:outlineLvl w:val="4"/>
    </w:pPr>
    <w:rPr>
      <w:b/>
      <w:kern w:val="28"/>
      <w:sz w:val="22"/>
    </w:rPr>
  </w:style>
  <w:style w:type="paragraph" w:styleId="Heading6">
    <w:name w:val="heading 6"/>
    <w:basedOn w:val="Normal"/>
    <w:next w:val="ParaNum"/>
    <w:link w:val="Heading6Char"/>
    <w:qFormat/>
    <w:pPr>
      <w:widowControl w:val="0"/>
      <w:tabs>
        <w:tab w:val="left" w:pos="2160"/>
      </w:tabs>
      <w:spacing w:after="220"/>
      <w:ind w:left="2160" w:hanging="360"/>
      <w:jc w:val="both"/>
      <w:outlineLvl w:val="5"/>
    </w:pPr>
    <w:rPr>
      <w:b/>
      <w:kern w:val="28"/>
      <w:sz w:val="22"/>
    </w:rPr>
  </w:style>
  <w:style w:type="paragraph" w:styleId="Heading7">
    <w:name w:val="heading 7"/>
    <w:basedOn w:val="Normal"/>
    <w:next w:val="ParaNum"/>
    <w:link w:val="Heading7Char"/>
    <w:qFormat/>
    <w:pPr>
      <w:widowControl w:val="0"/>
      <w:tabs>
        <w:tab w:val="left" w:pos="2520"/>
      </w:tabs>
      <w:spacing w:after="240"/>
      <w:ind w:left="2520" w:hanging="360"/>
      <w:jc w:val="both"/>
      <w:outlineLvl w:val="6"/>
    </w:pPr>
    <w:rPr>
      <w:b/>
      <w:kern w:val="28"/>
      <w:sz w:val="22"/>
    </w:rPr>
  </w:style>
  <w:style w:type="paragraph" w:styleId="Heading8">
    <w:name w:val="heading 8"/>
    <w:basedOn w:val="Normal"/>
    <w:next w:val="ParaNum"/>
    <w:link w:val="Heading8Char"/>
    <w:qFormat/>
    <w:pPr>
      <w:widowControl w:val="0"/>
      <w:tabs>
        <w:tab w:val="left" w:pos="2880"/>
      </w:tabs>
      <w:spacing w:after="240"/>
      <w:ind w:left="2880" w:hanging="360"/>
      <w:jc w:val="both"/>
      <w:outlineLvl w:val="7"/>
    </w:pPr>
    <w:rPr>
      <w:b/>
      <w:kern w:val="28"/>
      <w:sz w:val="22"/>
    </w:rPr>
  </w:style>
  <w:style w:type="paragraph" w:styleId="Heading9">
    <w:name w:val="heading 9"/>
    <w:basedOn w:val="Normal"/>
    <w:next w:val="ParaNum"/>
    <w:link w:val="Heading9Char"/>
    <w:qFormat/>
    <w:pPr>
      <w:widowControl w:val="0"/>
      <w:tabs>
        <w:tab w:val="left" w:pos="3240"/>
      </w:tabs>
      <w:spacing w:after="240"/>
      <w:ind w:left="3240" w:hanging="360"/>
      <w:jc w:val="both"/>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styleId="FootnoteReference">
    <w:name w:val="footnote reference"/>
    <w:aliases w:val="Style 4,Appel note de bas de p,Style 12,(NECG) Footnote Reference,Style 124,Style 13,o,fr,Style 3"/>
    <w:semiHidden/>
    <w:rPr>
      <w:rFonts w:ascii="Times New Roman" w:hAnsi="Times New Roman" w:cs="Times New Roman"/>
      <w:color w:val="auto"/>
      <w:sz w:val="20"/>
      <w:vertAlign w:val="superscript"/>
    </w:rPr>
  </w:style>
  <w:style w:type="paragraph" w:styleId="FootnoteText">
    <w:name w:val="footnote text"/>
    <w:aliases w:val="rrfootnote,Footnote Text Char1,Footnote Text Char Char,rrfootnote Char Char,rrfootnote Char1,Footnote Text Char,rrfootnote Char1 Char,Footnote Text Char1 Char Char Char,rrfootnote Char Char Char Char,Footnote Text Char Char Char Char,f,fn"/>
    <w:basedOn w:val="Normal"/>
    <w:link w:val="FootnoteTextChar2"/>
    <w:autoRedefine/>
    <w:pPr>
      <w:suppressAutoHyphens/>
      <w:autoSpaceDE w:val="0"/>
      <w:autoSpaceDN w:val="0"/>
      <w:adjustRightInd w:val="0"/>
      <w:spacing w:after="120"/>
    </w:pPr>
    <w:rPr>
      <w:spacing w:val="-2"/>
    </w:rPr>
  </w:style>
  <w:style w:type="character" w:customStyle="1" w:styleId="FootnoteTextChar2">
    <w:name w:val="Footnote Text Char2"/>
    <w:aliases w:val="rrfootnote Char,Footnote Text Char1 Char,Footnote Text Char Char Char,rrfootnote Char Char Char,rrfootnote Char1 Char1,Footnote Text Char Char1,rrfootnote Char1 Char Char,Footnote Text Char1 Char Char Char Char,f Char,fn Char"/>
    <w:link w:val="FootnoteText"/>
    <w:locked/>
    <w:rPr>
      <w:rFonts w:cs="Times New Roman"/>
      <w:spacing w:val="-2"/>
      <w:lang w:val="en-US" w:eastAsia="en-US"/>
    </w:rPr>
  </w:style>
  <w:style w:type="paragraph" w:styleId="BodyText">
    <w:name w:val="Body Text"/>
    <w:basedOn w:val="Normal"/>
    <w:link w:val="BodyTextChar"/>
    <w:pPr>
      <w:widowControl w:val="0"/>
    </w:pPr>
    <w:rPr>
      <w:sz w:val="22"/>
    </w:rPr>
  </w:style>
  <w:style w:type="character" w:customStyle="1" w:styleId="BodyTextChar">
    <w:name w:val="Body Text Char"/>
    <w:link w:val="BodyText"/>
    <w:semiHidden/>
    <w:locked/>
    <w:rPr>
      <w:rFonts w:cs="Times New Roman"/>
      <w:sz w:val="20"/>
      <w:szCs w:val="20"/>
    </w:rPr>
  </w:style>
  <w:style w:type="paragraph" w:styleId="Title">
    <w:name w:val="Title"/>
    <w:basedOn w:val="Normal"/>
    <w:link w:val="TitleChar"/>
    <w:qFormat/>
    <w:pPr>
      <w:tabs>
        <w:tab w:val="center" w:pos="4770"/>
      </w:tabs>
      <w:spacing w:line="226" w:lineRule="auto"/>
      <w:jc w:val="center"/>
    </w:pPr>
    <w:rPr>
      <w:b/>
      <w:sz w:val="22"/>
    </w:rPr>
  </w:style>
  <w:style w:type="character" w:customStyle="1" w:styleId="TitleChar">
    <w:name w:val="Title Char"/>
    <w:link w:val="Title"/>
    <w:locked/>
    <w:rPr>
      <w:rFonts w:ascii="Cambria" w:hAnsi="Cambria" w:cs="Times New Roman"/>
      <w:b/>
      <w:bCs/>
      <w:kern w:val="28"/>
      <w:sz w:val="32"/>
      <w:szCs w:val="32"/>
    </w:rPr>
  </w:style>
  <w:style w:type="paragraph" w:styleId="EndnoteText">
    <w:name w:val="endnote text"/>
    <w:basedOn w:val="Normal"/>
    <w:link w:val="EndnoteTextChar"/>
    <w:semiHidden/>
  </w:style>
  <w:style w:type="character" w:customStyle="1" w:styleId="EndnoteTextChar">
    <w:name w:val="Endnote Text Char"/>
    <w:link w:val="EndnoteText"/>
    <w:semiHidden/>
    <w:locked/>
    <w:rPr>
      <w:rFonts w:cs="Times New Roman"/>
      <w:sz w:val="20"/>
      <w:szCs w:val="20"/>
    </w:rPr>
  </w:style>
  <w:style w:type="character" w:styleId="EndnoteReference">
    <w:name w:val="endnote reference"/>
    <w:semiHidden/>
    <w:rPr>
      <w:rFonts w:cs="Times New Roman"/>
      <w:vertAlign w:val="superscript"/>
    </w:rPr>
  </w:style>
  <w:style w:type="character" w:customStyle="1" w:styleId="Footnote">
    <w:name w:val="Footnote"/>
    <w:rPr>
      <w:rFonts w:ascii="Times New Roman" w:hAnsi="Times New Roman"/>
      <w:sz w:val="20"/>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firstLine="720"/>
      <w:jc w:val="both"/>
    </w:pPr>
    <w:rPr>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HTMLPreformattedChar">
    <w:name w:val="HTML Preformatted Char"/>
    <w:link w:val="HTMLPreformatted"/>
    <w:semiHidden/>
    <w:locked/>
    <w:rPr>
      <w:rFonts w:ascii="Courier New" w:hAnsi="Courier New" w:cs="Courier New"/>
      <w:sz w:val="20"/>
      <w:szCs w:val="20"/>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semiHidden/>
    <w:locked/>
    <w:rPr>
      <w:rFonts w:cs="Times New Roman"/>
      <w:sz w:val="20"/>
      <w:szCs w:val="20"/>
    </w:rPr>
  </w:style>
  <w:style w:type="character" w:styleId="Emphasis">
    <w:name w:val="Emphasis"/>
    <w:qFormat/>
    <w:rPr>
      <w:rFonts w:cs="Times New Roman"/>
      <w:i/>
    </w:rPr>
  </w:style>
  <w:style w:type="paragraph" w:styleId="TOC1">
    <w:name w:val="toc 1"/>
    <w:basedOn w:val="Normal"/>
    <w:next w:val="Normal"/>
    <w:semiHidden/>
    <w:pPr>
      <w:widowControl w:val="0"/>
      <w:tabs>
        <w:tab w:val="left" w:pos="360"/>
        <w:tab w:val="right" w:leader="dot" w:pos="9360"/>
      </w:tabs>
      <w:suppressAutoHyphens/>
      <w:ind w:left="360" w:right="720" w:hanging="360"/>
      <w:jc w:val="both"/>
    </w:pPr>
    <w:rPr>
      <w:caps/>
      <w:noProof/>
      <w:kern w:val="28"/>
      <w:sz w:val="22"/>
    </w:rPr>
  </w:style>
  <w:style w:type="character" w:customStyle="1" w:styleId="documentbody1">
    <w:name w:val="documentbody1"/>
    <w:rPr>
      <w:rFonts w:ascii="Verdana" w:hAnsi="Verdana"/>
      <w:sz w:val="19"/>
    </w:rPr>
  </w:style>
  <w:style w:type="character" w:customStyle="1" w:styleId="documentbody">
    <w:name w:val="documentbody"/>
    <w:rPr>
      <w:rFonts w:cs="Times New Roman"/>
    </w:rPr>
  </w:style>
  <w:style w:type="character" w:customStyle="1" w:styleId="starpage">
    <w:name w:val="starpage"/>
    <w:rPr>
      <w:rFonts w:cs="Times New Roman"/>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TOC7">
    <w:name w:val="toc 7"/>
    <w:basedOn w:val="Normal"/>
    <w:next w:val="Normal"/>
    <w:autoRedefine/>
    <w:semiHidden/>
    <w:pPr>
      <w:ind w:left="1200"/>
    </w:pPr>
  </w:style>
  <w:style w:type="character" w:styleId="Hyperlink">
    <w:name w:val="Hyperlink"/>
    <w:rPr>
      <w:rFonts w:cs="Times New Roman"/>
      <w:color w:val="0000FF"/>
      <w:u w:val="single"/>
    </w:rPr>
  </w:style>
  <w:style w:type="character" w:customStyle="1" w:styleId="searchterm">
    <w:name w:val="searchterm"/>
    <w:rPr>
      <w:rFonts w:cs="Times New Roman"/>
    </w:rPr>
  </w:style>
  <w:style w:type="character" w:customStyle="1" w:styleId="ParaNumChar">
    <w:name w:val="ParaNum Char"/>
    <w:link w:val="ParaNum"/>
    <w:locked/>
    <w:rPr>
      <w:sz w:val="22"/>
    </w:rPr>
  </w:style>
  <w:style w:type="character" w:customStyle="1" w:styleId="apple-converted-space">
    <w:name w:val="apple-converted-space"/>
    <w:rsid w:val="005E13F4"/>
  </w:style>
  <w:style w:type="character" w:styleId="Strong">
    <w:name w:val="Strong"/>
    <w:uiPriority w:val="22"/>
    <w:qFormat/>
    <w:locked/>
    <w:rsid w:val="00551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9591</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2013-04-24T15:43:00Z</cp:lastPrinted>
  <dcterms:created xsi:type="dcterms:W3CDTF">2014-10-14T13:56:00Z</dcterms:created>
  <dcterms:modified xsi:type="dcterms:W3CDTF">2014-10-14T13:56:00Z</dcterms:modified>
  <cp:category> </cp:category>
  <cp:contentStatus> </cp:contentStatus>
</cp:coreProperties>
</file>