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A32A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The Effect of Foreign Mobile Termination Rates</w:t>
            </w:r>
          </w:p>
          <w:p w:rsidR="00A32A5F" w:rsidRPr="007115F7" w:rsidRDefault="00A32A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On U.S. Customers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43A34" w:rsidRDefault="00E43A3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A32A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IB Docket No. 04-398</w:t>
            </w:r>
          </w:p>
          <w:p w:rsidR="005070AE" w:rsidRDefault="005070A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(Terminated)</w:t>
            </w:r>
          </w:p>
          <w:p w:rsidR="00E43A34" w:rsidRDefault="00E43A3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A32A5F" w:rsidP="00F021FA">
      <w:pPr>
        <w:pStyle w:val="StyleBoldCentered"/>
      </w:pPr>
      <w:r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BE43C9">
        <w:rPr>
          <w:b/>
          <w:spacing w:val="-2"/>
        </w:rPr>
        <w:t>October 14, 2014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BE43C9">
        <w:rPr>
          <w:b/>
          <w:spacing w:val="-2"/>
        </w:rPr>
        <w:t>October 14,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845D9">
        <w:rPr>
          <w:spacing w:val="-2"/>
        </w:rPr>
        <w:t>Chief, International Bureau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412FC5" w:rsidRDefault="00412FC5" w:rsidP="00412FC5"/>
    <w:p w:rsidR="00492AA3" w:rsidRPr="0061208A" w:rsidRDefault="008565DC" w:rsidP="0034357C">
      <w:pPr>
        <w:pStyle w:val="ParaNum"/>
      </w:pPr>
      <w:r>
        <w:t>In 2004, the</w:t>
      </w:r>
      <w:r w:rsidR="004A7CF5">
        <w:t xml:space="preserve"> Commission </w:t>
      </w:r>
      <w:r>
        <w:t xml:space="preserve">released </w:t>
      </w:r>
      <w:r w:rsidR="0034357C">
        <w:t xml:space="preserve">a </w:t>
      </w:r>
      <w:r w:rsidR="00333AFB">
        <w:t>Notice of Inquiry</w:t>
      </w:r>
      <w:r>
        <w:t>,</w:t>
      </w:r>
      <w:r w:rsidR="00A32A5F">
        <w:t xml:space="preserve"> </w:t>
      </w:r>
      <w:r>
        <w:t xml:space="preserve">initiating this docket, seeking data and analysis </w:t>
      </w:r>
      <w:r w:rsidR="006238B3">
        <w:t>on</w:t>
      </w:r>
      <w:r w:rsidR="00A32A5F">
        <w:t xml:space="preserve"> the effect of foreign mobile termination rates on U.S. customers</w:t>
      </w:r>
      <w:r w:rsidR="00DB4EF2">
        <w:t>.</w:t>
      </w:r>
      <w:r w:rsidR="00DB4EF2">
        <w:rPr>
          <w:rStyle w:val="FootnoteReference"/>
        </w:rPr>
        <w:footnoteReference w:id="2"/>
      </w:r>
      <w:r w:rsidR="004A7CF5">
        <w:t xml:space="preserve"> </w:t>
      </w:r>
      <w:r w:rsidR="00DB4EF2">
        <w:t xml:space="preserve"> </w:t>
      </w:r>
      <w:r w:rsidR="00253B79">
        <w:t>We find that with the passage of time, th</w:t>
      </w:r>
      <w:r w:rsidR="00F75234">
        <w:t>is</w:t>
      </w:r>
      <w:r w:rsidR="00253B79">
        <w:t xml:space="preserve"> </w:t>
      </w:r>
      <w:r w:rsidR="00253B79" w:rsidRPr="001421F8">
        <w:rPr>
          <w:i/>
        </w:rPr>
        <w:t>Notice</w:t>
      </w:r>
      <w:r w:rsidR="00253B79">
        <w:t xml:space="preserve"> and the record in this proceeding have become outdated.  </w:t>
      </w:r>
      <w:r w:rsidR="0035148D" w:rsidRPr="0035148D">
        <w:t xml:space="preserve">We </w:t>
      </w:r>
      <w:r w:rsidR="0035148D">
        <w:t xml:space="preserve">also </w:t>
      </w:r>
      <w:r w:rsidR="0035148D" w:rsidRPr="0035148D">
        <w:t>note that the Commission has recently revised its reporting requirements to track more effectively the different settlement rates for fixed and mobile networks.</w:t>
      </w:r>
      <w:r w:rsidR="0035148D" w:rsidRPr="0035148D">
        <w:rPr>
          <w:vertAlign w:val="superscript"/>
        </w:rPr>
        <w:footnoteReference w:id="3"/>
      </w:r>
      <w:r w:rsidR="0035148D" w:rsidRPr="0035148D">
        <w:t xml:space="preserve"> </w:t>
      </w:r>
      <w:r w:rsidR="0035148D">
        <w:t xml:space="preserve"> </w:t>
      </w:r>
      <w:r w:rsidR="00253B79">
        <w:t xml:space="preserve">Accordingly, we are terminating this </w:t>
      </w:r>
      <w:r w:rsidR="001C6241">
        <w:t>proceeding</w:t>
      </w:r>
      <w:r w:rsidR="00253B79">
        <w:t xml:space="preserve"> without prejudice to its substantive merits.  </w:t>
      </w:r>
      <w:r w:rsidR="00555179">
        <w:t>W</w:t>
      </w:r>
      <w:r w:rsidR="004A7CF5">
        <w:t>e will</w:t>
      </w:r>
      <w:r w:rsidR="00555179">
        <w:t>, however,</w:t>
      </w:r>
      <w:r w:rsidR="004A7CF5">
        <w:t xml:space="preserve"> continue to monitor</w:t>
      </w:r>
      <w:r w:rsidR="00492AA3">
        <w:t xml:space="preserve"> international</w:t>
      </w:r>
      <w:r w:rsidR="00115B11">
        <w:t xml:space="preserve"> termination rates</w:t>
      </w:r>
      <w:r w:rsidR="00130515">
        <w:t xml:space="preserve"> to determine whether there are changes in the international mobile termination market</w:t>
      </w:r>
      <w:r w:rsidR="005070AE">
        <w:t>place</w:t>
      </w:r>
      <w:r w:rsidR="00130515">
        <w:t xml:space="preserve"> that might raise consumer issues</w:t>
      </w:r>
      <w:r w:rsidR="004F4598">
        <w:t xml:space="preserve"> in today’s marketplace</w:t>
      </w:r>
      <w:r w:rsidR="00130515">
        <w:t>.</w:t>
      </w:r>
      <w:r w:rsidR="00253B79">
        <w:rPr>
          <w:rStyle w:val="FootnoteReference"/>
        </w:rPr>
        <w:footnoteReference w:id="4"/>
      </w:r>
      <w:r w:rsidR="00AF6C18">
        <w:t xml:space="preserve">  </w:t>
      </w:r>
      <w:r w:rsidR="0035148D">
        <w:t>I</w:t>
      </w:r>
      <w:r w:rsidR="003A2215">
        <w:t>t is not necessary</w:t>
      </w:r>
      <w:r w:rsidR="00492AA3">
        <w:t xml:space="preserve"> to maintain </w:t>
      </w:r>
      <w:r w:rsidR="0058760C">
        <w:t xml:space="preserve">this </w:t>
      </w:r>
      <w:r w:rsidR="00492AA3">
        <w:t>docket</w:t>
      </w:r>
      <w:r w:rsidR="00242B21">
        <w:t>ed</w:t>
      </w:r>
      <w:r w:rsidR="00492AA3">
        <w:t xml:space="preserve"> proceeding </w:t>
      </w:r>
      <w:r w:rsidR="00115B11">
        <w:t xml:space="preserve">for </w:t>
      </w:r>
      <w:r w:rsidR="00F75234">
        <w:t xml:space="preserve">monitoring </w:t>
      </w:r>
      <w:r w:rsidR="00115B11">
        <w:t>purpose</w:t>
      </w:r>
      <w:r w:rsidR="003B78DF">
        <w:t>s</w:t>
      </w:r>
      <w:r w:rsidR="005070AE">
        <w:t>,</w:t>
      </w:r>
      <w:r w:rsidR="00115B11">
        <w:t xml:space="preserve"> </w:t>
      </w:r>
      <w:r w:rsidR="00492AA3">
        <w:t xml:space="preserve">and we therefore terminate </w:t>
      </w:r>
      <w:r w:rsidR="009641EE">
        <w:t xml:space="preserve">the </w:t>
      </w:r>
      <w:r w:rsidR="0034357C">
        <w:t xml:space="preserve">above-captioned </w:t>
      </w:r>
      <w:r w:rsidR="009641EE">
        <w:t>docket</w:t>
      </w:r>
      <w:r w:rsidR="008B33F7">
        <w:t>.</w:t>
      </w:r>
    </w:p>
    <w:p w:rsidR="0061208A" w:rsidRPr="0061208A" w:rsidRDefault="00A13AB1" w:rsidP="0061208A">
      <w:pPr>
        <w:pStyle w:val="ParaNum"/>
      </w:pPr>
      <w:r>
        <w:t>Accordingly</w:t>
      </w:r>
      <w:r w:rsidR="0061208A">
        <w:t>, IT IS ORDERED</w:t>
      </w:r>
      <w:r w:rsidR="00F15D61">
        <w:t xml:space="preserve">, pursuant to the authority contained in sections 4(i), 4(j), and 403, 47 U.S.C. </w:t>
      </w:r>
      <w:r w:rsidR="00F15D61" w:rsidRPr="009953A5">
        <w:t>§§</w:t>
      </w:r>
      <w:r w:rsidR="00F15D61">
        <w:t xml:space="preserve"> 154(i), 154(j), 403, and authority delegated under </w:t>
      </w:r>
      <w:r w:rsidR="00F15D61" w:rsidRPr="009953A5">
        <w:t>sections 0.51 and 0.261of the Commission’s Rules, 47 C.F.R. §§ 0.51, 0.261</w:t>
      </w:r>
      <w:r w:rsidR="00F15D61">
        <w:t>,</w:t>
      </w:r>
      <w:r w:rsidR="00E43A34">
        <w:t xml:space="preserve"> </w:t>
      </w:r>
      <w:r w:rsidR="0061208A">
        <w:t>that IB Docket No. 04-398 is HEREBY TERMINATED</w:t>
      </w:r>
      <w:r w:rsidR="00816DFF">
        <w:t>.</w:t>
      </w:r>
      <w:r w:rsidR="009953A5" w:rsidRPr="009953A5">
        <w:t xml:space="preserve"> </w:t>
      </w:r>
      <w:r w:rsidR="00E43A34">
        <w:t xml:space="preserve"> </w:t>
      </w:r>
    </w:p>
    <w:p w:rsidR="007C6C17" w:rsidRDefault="007C6C17" w:rsidP="00F15D61">
      <w:pPr>
        <w:pStyle w:val="ParaNum"/>
        <w:numPr>
          <w:ilvl w:val="0"/>
          <w:numId w:val="0"/>
        </w:numPr>
      </w:pPr>
    </w:p>
    <w:p w:rsidR="007C6C17" w:rsidRDefault="007C6C17" w:rsidP="00A87E6D">
      <w:pPr>
        <w:pStyle w:val="ParaNum"/>
        <w:numPr>
          <w:ilvl w:val="0"/>
          <w:numId w:val="0"/>
        </w:numPr>
        <w:spacing w:after="0"/>
        <w:ind w:left="4320"/>
      </w:pPr>
      <w:r>
        <w:t>FEDERAL COMMUNICATIONS COMMISSION</w:t>
      </w:r>
    </w:p>
    <w:p w:rsidR="007C6C17" w:rsidRDefault="007C6C17" w:rsidP="00A87E6D">
      <w:pPr>
        <w:pStyle w:val="ParaNum"/>
        <w:numPr>
          <w:ilvl w:val="0"/>
          <w:numId w:val="0"/>
        </w:numPr>
        <w:spacing w:after="0"/>
        <w:ind w:left="4320"/>
      </w:pPr>
    </w:p>
    <w:p w:rsidR="007C6C17" w:rsidRDefault="007C6C17" w:rsidP="00A87E6D">
      <w:pPr>
        <w:pStyle w:val="ParaNum"/>
        <w:numPr>
          <w:ilvl w:val="0"/>
          <w:numId w:val="0"/>
        </w:numPr>
        <w:spacing w:after="0"/>
        <w:ind w:left="4320"/>
      </w:pPr>
    </w:p>
    <w:p w:rsidR="007C6C17" w:rsidRDefault="007C6C17" w:rsidP="00A87E6D">
      <w:pPr>
        <w:pStyle w:val="ParaNum"/>
        <w:numPr>
          <w:ilvl w:val="0"/>
          <w:numId w:val="0"/>
        </w:numPr>
        <w:spacing w:after="0"/>
        <w:ind w:left="4320"/>
      </w:pPr>
    </w:p>
    <w:p w:rsidR="009D4B02" w:rsidRDefault="009D4B02" w:rsidP="00A87E6D">
      <w:pPr>
        <w:pStyle w:val="ParaNum"/>
        <w:numPr>
          <w:ilvl w:val="0"/>
          <w:numId w:val="0"/>
        </w:numPr>
        <w:spacing w:after="0"/>
        <w:ind w:left="4320"/>
      </w:pPr>
    </w:p>
    <w:p w:rsidR="008845D9" w:rsidRDefault="008845D9" w:rsidP="008845D9">
      <w:pPr>
        <w:pStyle w:val="ParaNum"/>
        <w:numPr>
          <w:ilvl w:val="0"/>
          <w:numId w:val="0"/>
        </w:numPr>
        <w:spacing w:after="0"/>
        <w:ind w:left="4320"/>
      </w:pPr>
      <w:r>
        <w:t>Mindel De La Torre</w:t>
      </w:r>
    </w:p>
    <w:p w:rsidR="007C6C17" w:rsidRPr="007C6C17" w:rsidRDefault="008845D9" w:rsidP="004E077A">
      <w:pPr>
        <w:pStyle w:val="ParaNum"/>
        <w:numPr>
          <w:ilvl w:val="0"/>
          <w:numId w:val="0"/>
        </w:numPr>
        <w:ind w:left="4320"/>
      </w:pPr>
      <w:r>
        <w:t>Chief, International Bureau</w:t>
      </w:r>
    </w:p>
    <w:sectPr w:rsidR="007C6C17" w:rsidRPr="007C6C17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3" w:rsidRDefault="009216E3">
      <w:pPr>
        <w:spacing w:line="20" w:lineRule="exact"/>
      </w:pPr>
    </w:p>
  </w:endnote>
  <w:endnote w:type="continuationSeparator" w:id="0">
    <w:p w:rsidR="009216E3" w:rsidRDefault="009216E3">
      <w:r>
        <w:t xml:space="preserve"> </w:t>
      </w:r>
    </w:p>
  </w:endnote>
  <w:endnote w:type="continuationNotice" w:id="1">
    <w:p w:rsidR="009216E3" w:rsidRDefault="009216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5148D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3" w:rsidRDefault="009216E3">
      <w:r>
        <w:separator/>
      </w:r>
    </w:p>
  </w:footnote>
  <w:footnote w:type="continuationSeparator" w:id="0">
    <w:p w:rsidR="009216E3" w:rsidRDefault="009216E3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9216E3" w:rsidRDefault="009216E3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DB4EF2" w:rsidRDefault="00DB4EF2" w:rsidP="00DB4E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52C4">
        <w:rPr>
          <w:i/>
        </w:rPr>
        <w:t>The Effect of Foreign Mobile Termination Rates on U.S. Customers</w:t>
      </w:r>
      <w:r>
        <w:t>, IB Docket No. 04-398, Notice of Inquiry, FCC 0</w:t>
      </w:r>
      <w:r w:rsidR="00333AFB">
        <w:t>4-247, 19 FCC Rcd 21395 (2004)</w:t>
      </w:r>
      <w:r w:rsidR="00A07ECC">
        <w:t xml:space="preserve"> (</w:t>
      </w:r>
      <w:r w:rsidR="00A07ECC" w:rsidRPr="001421F8">
        <w:rPr>
          <w:i/>
        </w:rPr>
        <w:t>Notice</w:t>
      </w:r>
      <w:r w:rsidR="00A07ECC">
        <w:t>)</w:t>
      </w:r>
      <w:r>
        <w:t>.</w:t>
      </w:r>
    </w:p>
  </w:footnote>
  <w:footnote w:id="3">
    <w:p w:rsidR="0035148D" w:rsidRDefault="0035148D" w:rsidP="00351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Reporting Requirements for U.S. Providers of International Telecommunications Services</w:t>
      </w:r>
      <w:r>
        <w:t xml:space="preserve">, </w:t>
      </w:r>
      <w:r w:rsidRPr="00BD6A29">
        <w:rPr>
          <w:iCs/>
        </w:rPr>
        <w:t>Second Report and Order</w:t>
      </w:r>
      <w:r>
        <w:t>, IB Docket No. 04-112, 28 FCC Rcd 575, 587</w:t>
      </w:r>
      <w:r>
        <w:rPr>
          <w:b/>
          <w:bCs/>
        </w:rPr>
        <w:t xml:space="preserve"> </w:t>
      </w:r>
      <w:r>
        <w:t>(paras. 43-44) (2013).</w:t>
      </w:r>
      <w:r w:rsidRPr="0035148D">
        <w:rPr>
          <w:snapToGrid w:val="0"/>
          <w:kern w:val="28"/>
          <w:sz w:val="22"/>
        </w:rPr>
        <w:t xml:space="preserve"> </w:t>
      </w:r>
      <w:r>
        <w:rPr>
          <w:snapToGrid w:val="0"/>
          <w:kern w:val="28"/>
          <w:sz w:val="22"/>
        </w:rPr>
        <w:t xml:space="preserve"> </w:t>
      </w:r>
      <w:r w:rsidRPr="0035148D">
        <w:t>The expanded reporting requirements will permit closer monitoring of settlement rates associated with foreign mobile networks, and will enable the Commission to take appropriate action when necessary</w:t>
      </w:r>
      <w:r>
        <w:t>.</w:t>
      </w:r>
    </w:p>
  </w:footnote>
  <w:footnote w:id="4">
    <w:p w:rsidR="00253B79" w:rsidRPr="001421F8" w:rsidRDefault="00253B7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485B86">
        <w:t xml:space="preserve">We note that the Commission has </w:t>
      </w:r>
      <w:r w:rsidR="00F75234">
        <w:t xml:space="preserve">the full authority and power to institute an updated inquiry at any time if needed.  </w:t>
      </w:r>
      <w:r w:rsidR="00F75234">
        <w:rPr>
          <w:i/>
        </w:rPr>
        <w:t xml:space="preserve">See </w:t>
      </w:r>
      <w:r w:rsidR="00F75234" w:rsidRPr="001421F8">
        <w:t xml:space="preserve">47 U.S.C </w:t>
      </w:r>
      <w:r w:rsidR="001C6241" w:rsidRPr="001C6241">
        <w:t>§</w:t>
      </w:r>
      <w:r w:rsidR="001C6241">
        <w:t xml:space="preserve"> </w:t>
      </w:r>
      <w:r w:rsidR="00F75234" w:rsidRPr="001421F8">
        <w:t>403.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66" w:rsidRDefault="00E94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7C6C1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7C6C17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E43A34">
      <w:rPr>
        <w:spacing w:val="-2"/>
      </w:rPr>
      <w:t xml:space="preserve">DA </w:t>
    </w:r>
    <w:r w:rsidR="00A07ECC">
      <w:rPr>
        <w:spacing w:val="-2"/>
      </w:rPr>
      <w:t>14-</w:t>
    </w:r>
    <w:r w:rsidR="00A1338E">
      <w:rPr>
        <w:spacing w:val="-2"/>
      </w:rPr>
      <w:t>1490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5F"/>
    <w:rsid w:val="00023E4D"/>
    <w:rsid w:val="00036039"/>
    <w:rsid w:val="00037F90"/>
    <w:rsid w:val="00055BC9"/>
    <w:rsid w:val="000604C7"/>
    <w:rsid w:val="000875BF"/>
    <w:rsid w:val="00096D8C"/>
    <w:rsid w:val="000A2DF4"/>
    <w:rsid w:val="000C0B65"/>
    <w:rsid w:val="000E05FE"/>
    <w:rsid w:val="000E3D42"/>
    <w:rsid w:val="000E6535"/>
    <w:rsid w:val="000F3A5F"/>
    <w:rsid w:val="000F7728"/>
    <w:rsid w:val="001024C0"/>
    <w:rsid w:val="00115B11"/>
    <w:rsid w:val="00122BD5"/>
    <w:rsid w:val="00130515"/>
    <w:rsid w:val="00133F79"/>
    <w:rsid w:val="001421F8"/>
    <w:rsid w:val="001502C6"/>
    <w:rsid w:val="00161F4F"/>
    <w:rsid w:val="00181154"/>
    <w:rsid w:val="0018373B"/>
    <w:rsid w:val="00194A66"/>
    <w:rsid w:val="001A27F6"/>
    <w:rsid w:val="001C6241"/>
    <w:rsid w:val="001D6BCF"/>
    <w:rsid w:val="001E01CA"/>
    <w:rsid w:val="001F34BD"/>
    <w:rsid w:val="002105EE"/>
    <w:rsid w:val="00242B21"/>
    <w:rsid w:val="002501CC"/>
    <w:rsid w:val="00253B79"/>
    <w:rsid w:val="00275CF5"/>
    <w:rsid w:val="0028301F"/>
    <w:rsid w:val="00285017"/>
    <w:rsid w:val="00292627"/>
    <w:rsid w:val="002A2D2E"/>
    <w:rsid w:val="002B0BBB"/>
    <w:rsid w:val="002B6139"/>
    <w:rsid w:val="002C00E8"/>
    <w:rsid w:val="002C52C4"/>
    <w:rsid w:val="002D0562"/>
    <w:rsid w:val="002D0638"/>
    <w:rsid w:val="003118D5"/>
    <w:rsid w:val="003271F2"/>
    <w:rsid w:val="00333AFB"/>
    <w:rsid w:val="0034357C"/>
    <w:rsid w:val="00343749"/>
    <w:rsid w:val="0035148D"/>
    <w:rsid w:val="003660ED"/>
    <w:rsid w:val="003746DA"/>
    <w:rsid w:val="003A2215"/>
    <w:rsid w:val="003B0550"/>
    <w:rsid w:val="003B694F"/>
    <w:rsid w:val="003B78DF"/>
    <w:rsid w:val="003F171C"/>
    <w:rsid w:val="00412FC5"/>
    <w:rsid w:val="00422276"/>
    <w:rsid w:val="004242F1"/>
    <w:rsid w:val="00424CEF"/>
    <w:rsid w:val="004361F7"/>
    <w:rsid w:val="00445A00"/>
    <w:rsid w:val="00451B0F"/>
    <w:rsid w:val="00485B86"/>
    <w:rsid w:val="00492AA3"/>
    <w:rsid w:val="004A7CF5"/>
    <w:rsid w:val="004C2EE3"/>
    <w:rsid w:val="004C68DA"/>
    <w:rsid w:val="004D4C4A"/>
    <w:rsid w:val="004E077A"/>
    <w:rsid w:val="004E4A22"/>
    <w:rsid w:val="004F4598"/>
    <w:rsid w:val="005070AE"/>
    <w:rsid w:val="00511968"/>
    <w:rsid w:val="00512CC3"/>
    <w:rsid w:val="00540BC4"/>
    <w:rsid w:val="00542067"/>
    <w:rsid w:val="00553850"/>
    <w:rsid w:val="00555179"/>
    <w:rsid w:val="0055614C"/>
    <w:rsid w:val="00575AD2"/>
    <w:rsid w:val="0058760C"/>
    <w:rsid w:val="005A4565"/>
    <w:rsid w:val="005E14C2"/>
    <w:rsid w:val="00607BA5"/>
    <w:rsid w:val="0061180A"/>
    <w:rsid w:val="0061208A"/>
    <w:rsid w:val="00613CB9"/>
    <w:rsid w:val="006238B3"/>
    <w:rsid w:val="00626EB6"/>
    <w:rsid w:val="0064333D"/>
    <w:rsid w:val="00655D03"/>
    <w:rsid w:val="00657FFB"/>
    <w:rsid w:val="00671ED7"/>
    <w:rsid w:val="00683388"/>
    <w:rsid w:val="00683F84"/>
    <w:rsid w:val="006A6A81"/>
    <w:rsid w:val="006C5A79"/>
    <w:rsid w:val="006C749E"/>
    <w:rsid w:val="006D2956"/>
    <w:rsid w:val="006D7AFE"/>
    <w:rsid w:val="006F008F"/>
    <w:rsid w:val="006F7393"/>
    <w:rsid w:val="0070224F"/>
    <w:rsid w:val="00710FA9"/>
    <w:rsid w:val="007115F7"/>
    <w:rsid w:val="00735612"/>
    <w:rsid w:val="00776B6F"/>
    <w:rsid w:val="00785689"/>
    <w:rsid w:val="0079754B"/>
    <w:rsid w:val="007A0B39"/>
    <w:rsid w:val="007A1E6D"/>
    <w:rsid w:val="007B0EB2"/>
    <w:rsid w:val="007C6C17"/>
    <w:rsid w:val="007F1D0F"/>
    <w:rsid w:val="00810B6F"/>
    <w:rsid w:val="00813FB0"/>
    <w:rsid w:val="00816DFF"/>
    <w:rsid w:val="00822CE0"/>
    <w:rsid w:val="00825D34"/>
    <w:rsid w:val="00841AB1"/>
    <w:rsid w:val="008565DC"/>
    <w:rsid w:val="008845D9"/>
    <w:rsid w:val="00892ABD"/>
    <w:rsid w:val="00897922"/>
    <w:rsid w:val="008B33F7"/>
    <w:rsid w:val="008C68F1"/>
    <w:rsid w:val="009216E3"/>
    <w:rsid w:val="00921803"/>
    <w:rsid w:val="00926503"/>
    <w:rsid w:val="00936730"/>
    <w:rsid w:val="00936DF8"/>
    <w:rsid w:val="0095139C"/>
    <w:rsid w:val="009641EE"/>
    <w:rsid w:val="009726D8"/>
    <w:rsid w:val="00986349"/>
    <w:rsid w:val="00990564"/>
    <w:rsid w:val="009953A5"/>
    <w:rsid w:val="009D4B02"/>
    <w:rsid w:val="009F76DB"/>
    <w:rsid w:val="00A07ECC"/>
    <w:rsid w:val="00A1338E"/>
    <w:rsid w:val="00A13AB1"/>
    <w:rsid w:val="00A16563"/>
    <w:rsid w:val="00A32A5F"/>
    <w:rsid w:val="00A32C3B"/>
    <w:rsid w:val="00A44309"/>
    <w:rsid w:val="00A45F4F"/>
    <w:rsid w:val="00A5552A"/>
    <w:rsid w:val="00A600A9"/>
    <w:rsid w:val="00A87E6D"/>
    <w:rsid w:val="00AA270F"/>
    <w:rsid w:val="00AA4DB5"/>
    <w:rsid w:val="00AA55B7"/>
    <w:rsid w:val="00AA5B9E"/>
    <w:rsid w:val="00AB2407"/>
    <w:rsid w:val="00AB53DF"/>
    <w:rsid w:val="00AE1322"/>
    <w:rsid w:val="00AF1D44"/>
    <w:rsid w:val="00AF6C18"/>
    <w:rsid w:val="00AF7D6D"/>
    <w:rsid w:val="00B07E5C"/>
    <w:rsid w:val="00B159AA"/>
    <w:rsid w:val="00B236CF"/>
    <w:rsid w:val="00B44401"/>
    <w:rsid w:val="00B602A7"/>
    <w:rsid w:val="00B647D2"/>
    <w:rsid w:val="00B811F7"/>
    <w:rsid w:val="00BA36EF"/>
    <w:rsid w:val="00BA5DC6"/>
    <w:rsid w:val="00BA6196"/>
    <w:rsid w:val="00BB1D27"/>
    <w:rsid w:val="00BC4962"/>
    <w:rsid w:val="00BC6D8C"/>
    <w:rsid w:val="00BD42F4"/>
    <w:rsid w:val="00BD6A29"/>
    <w:rsid w:val="00BE43C9"/>
    <w:rsid w:val="00C1013F"/>
    <w:rsid w:val="00C34006"/>
    <w:rsid w:val="00C411A6"/>
    <w:rsid w:val="00C426B1"/>
    <w:rsid w:val="00C446F0"/>
    <w:rsid w:val="00C66160"/>
    <w:rsid w:val="00C721AC"/>
    <w:rsid w:val="00C90D6A"/>
    <w:rsid w:val="00CA247E"/>
    <w:rsid w:val="00CC72B6"/>
    <w:rsid w:val="00CE1D09"/>
    <w:rsid w:val="00CF4F93"/>
    <w:rsid w:val="00D0218D"/>
    <w:rsid w:val="00D25FB5"/>
    <w:rsid w:val="00D3785C"/>
    <w:rsid w:val="00D44223"/>
    <w:rsid w:val="00D621A9"/>
    <w:rsid w:val="00DA05D5"/>
    <w:rsid w:val="00DA2529"/>
    <w:rsid w:val="00DA714D"/>
    <w:rsid w:val="00DB130A"/>
    <w:rsid w:val="00DB2EBB"/>
    <w:rsid w:val="00DB4EF2"/>
    <w:rsid w:val="00DC10A1"/>
    <w:rsid w:val="00DC3FF4"/>
    <w:rsid w:val="00DC655F"/>
    <w:rsid w:val="00DD0B59"/>
    <w:rsid w:val="00DD7EBD"/>
    <w:rsid w:val="00DF166E"/>
    <w:rsid w:val="00DF189C"/>
    <w:rsid w:val="00DF62B6"/>
    <w:rsid w:val="00E07225"/>
    <w:rsid w:val="00E323BB"/>
    <w:rsid w:val="00E43A34"/>
    <w:rsid w:val="00E5409F"/>
    <w:rsid w:val="00E737FD"/>
    <w:rsid w:val="00E94A66"/>
    <w:rsid w:val="00EC5DDF"/>
    <w:rsid w:val="00ED09F0"/>
    <w:rsid w:val="00EE6488"/>
    <w:rsid w:val="00EF4F23"/>
    <w:rsid w:val="00F021FA"/>
    <w:rsid w:val="00F15793"/>
    <w:rsid w:val="00F15D61"/>
    <w:rsid w:val="00F20FD4"/>
    <w:rsid w:val="00F62E97"/>
    <w:rsid w:val="00F64209"/>
    <w:rsid w:val="00F75234"/>
    <w:rsid w:val="00F76C07"/>
    <w:rsid w:val="00F93BF5"/>
    <w:rsid w:val="00FB7E0C"/>
    <w:rsid w:val="00FD38E4"/>
    <w:rsid w:val="00FE402D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70F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5070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0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70A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0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70AE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070AE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70F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5070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0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70A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0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70AE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070A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ciau\Download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233</Words>
  <Characters>1326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2014-09-25T17:14:00Z</cp:lastPrinted>
  <dcterms:created xsi:type="dcterms:W3CDTF">2014-10-14T19:43:00Z</dcterms:created>
  <dcterms:modified xsi:type="dcterms:W3CDTF">2014-10-14T19:43:00Z</dcterms:modified>
  <cp:category> </cp:category>
  <cp:contentStatus> </cp:contentStatus>
</cp:coreProperties>
</file>