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FA2911" w:rsidRDefault="00FA2911">
      <w:pPr>
        <w:jc w:val="right"/>
        <w:rPr>
          <w:b/>
          <w:szCs w:val="22"/>
        </w:rPr>
      </w:pPr>
    </w:p>
    <w:p w:rsidR="00FA2911" w:rsidRPr="00FA2911" w:rsidRDefault="00FA2911" w:rsidP="00FA2911">
      <w:pPr>
        <w:suppressAutoHyphens/>
        <w:ind w:left="7920"/>
        <w:jc w:val="right"/>
        <w:rPr>
          <w:b/>
          <w:szCs w:val="22"/>
        </w:rPr>
      </w:pPr>
      <w:r w:rsidRPr="00FA2911">
        <w:rPr>
          <w:b/>
          <w:szCs w:val="22"/>
        </w:rPr>
        <w:t>DA 14-</w:t>
      </w:r>
      <w:r w:rsidR="008B4F9F">
        <w:rPr>
          <w:b/>
          <w:szCs w:val="22"/>
        </w:rPr>
        <w:t>1496</w:t>
      </w:r>
    </w:p>
    <w:p w:rsidR="00FA2911" w:rsidRPr="00FA2911" w:rsidRDefault="008F575E" w:rsidP="00FA2911">
      <w:pPr>
        <w:suppressAutoHyphens/>
        <w:spacing w:after="240"/>
        <w:ind w:left="720"/>
        <w:jc w:val="right"/>
        <w:rPr>
          <w:b/>
          <w:szCs w:val="22"/>
        </w:rPr>
      </w:pPr>
      <w:r>
        <w:rPr>
          <w:b/>
          <w:szCs w:val="22"/>
        </w:rPr>
        <w:t xml:space="preserve">Released:  </w:t>
      </w:r>
      <w:r w:rsidR="004F1A30">
        <w:rPr>
          <w:b/>
          <w:szCs w:val="22"/>
        </w:rPr>
        <w:t xml:space="preserve">October </w:t>
      </w:r>
      <w:r w:rsidR="00AB3D61">
        <w:rPr>
          <w:b/>
          <w:szCs w:val="22"/>
        </w:rPr>
        <w:t>16</w:t>
      </w:r>
      <w:r w:rsidR="00FA2911" w:rsidRPr="00FA2911">
        <w:rPr>
          <w:b/>
          <w:szCs w:val="22"/>
        </w:rPr>
        <w:t>, 2014</w:t>
      </w:r>
    </w:p>
    <w:p w:rsidR="00531279" w:rsidRDefault="00FA2911" w:rsidP="004F1A30">
      <w:pPr>
        <w:autoSpaceDE w:val="0"/>
        <w:autoSpaceDN w:val="0"/>
        <w:adjustRightInd w:val="0"/>
        <w:jc w:val="center"/>
        <w:rPr>
          <w:b/>
          <w:szCs w:val="22"/>
        </w:rPr>
      </w:pPr>
      <w:r w:rsidRPr="00FA2911">
        <w:rPr>
          <w:b/>
          <w:szCs w:val="22"/>
        </w:rPr>
        <w:t xml:space="preserve">DOMESTIC SECTION 214 APPLICATION FILED FOR </w:t>
      </w:r>
    </w:p>
    <w:p w:rsidR="00531279" w:rsidRDefault="00FA2911" w:rsidP="004F1A30">
      <w:pPr>
        <w:autoSpaceDE w:val="0"/>
        <w:autoSpaceDN w:val="0"/>
        <w:adjustRightInd w:val="0"/>
        <w:jc w:val="center"/>
        <w:rPr>
          <w:b/>
          <w:szCs w:val="22"/>
        </w:rPr>
      </w:pPr>
      <w:r w:rsidRPr="00FA2911">
        <w:rPr>
          <w:b/>
          <w:szCs w:val="22"/>
        </w:rPr>
        <w:t xml:space="preserve">THE </w:t>
      </w:r>
      <w:r w:rsidR="00F21301">
        <w:rPr>
          <w:b/>
          <w:szCs w:val="22"/>
        </w:rPr>
        <w:t xml:space="preserve">ACQUISITION OF </w:t>
      </w:r>
      <w:r w:rsidR="00531279">
        <w:rPr>
          <w:b/>
          <w:szCs w:val="22"/>
        </w:rPr>
        <w:t xml:space="preserve">CERTAIN </w:t>
      </w:r>
      <w:r w:rsidR="00F21301">
        <w:rPr>
          <w:b/>
          <w:szCs w:val="22"/>
        </w:rPr>
        <w:t>ASSETS</w:t>
      </w:r>
      <w:r w:rsidRPr="00FA2911">
        <w:rPr>
          <w:b/>
          <w:szCs w:val="22"/>
        </w:rPr>
        <w:t xml:space="preserve"> OF </w:t>
      </w:r>
      <w:r w:rsidR="004F1A30">
        <w:rPr>
          <w:b/>
          <w:szCs w:val="22"/>
        </w:rPr>
        <w:t xml:space="preserve">MEGAPATH CORPORATION </w:t>
      </w:r>
      <w:r w:rsidR="00531279">
        <w:rPr>
          <w:b/>
          <w:szCs w:val="22"/>
        </w:rPr>
        <w:t xml:space="preserve"> </w:t>
      </w:r>
    </w:p>
    <w:p w:rsidR="00FA2911" w:rsidRPr="00FA2911" w:rsidRDefault="00531279" w:rsidP="004F1A30">
      <w:pPr>
        <w:autoSpaceDE w:val="0"/>
        <w:autoSpaceDN w:val="0"/>
        <w:adjustRightInd w:val="0"/>
        <w:jc w:val="center"/>
        <w:rPr>
          <w:b/>
          <w:szCs w:val="22"/>
        </w:rPr>
      </w:pPr>
      <w:r>
        <w:rPr>
          <w:b/>
          <w:szCs w:val="22"/>
        </w:rPr>
        <w:t xml:space="preserve">BY GC PIVOTAL, LLC D/B/A </w:t>
      </w:r>
      <w:r w:rsidR="004F1A30">
        <w:rPr>
          <w:b/>
          <w:szCs w:val="22"/>
        </w:rPr>
        <w:t>GLOBAL CAPACITY</w:t>
      </w:r>
    </w:p>
    <w:p w:rsidR="00FA2911" w:rsidRPr="00FA2911" w:rsidRDefault="006079FB" w:rsidP="00FA2911">
      <w:pPr>
        <w:autoSpaceDE w:val="0"/>
        <w:autoSpaceDN w:val="0"/>
        <w:adjustRightInd w:val="0"/>
        <w:jc w:val="center"/>
        <w:rPr>
          <w:b/>
          <w:szCs w:val="22"/>
        </w:rPr>
      </w:pPr>
      <w:r>
        <w:rPr>
          <w:b/>
          <w:szCs w:val="22"/>
        </w:rPr>
        <w:t xml:space="preserve"> </w:t>
      </w:r>
    </w:p>
    <w:p w:rsidR="00FA2911" w:rsidRPr="00FA2911" w:rsidRDefault="00FA2911" w:rsidP="00FA2911">
      <w:pPr>
        <w:suppressAutoHyphens/>
        <w:spacing w:after="240"/>
        <w:jc w:val="center"/>
        <w:rPr>
          <w:b/>
          <w:caps/>
          <w:szCs w:val="22"/>
        </w:rPr>
      </w:pPr>
      <w:r w:rsidRPr="00FA2911">
        <w:rPr>
          <w:b/>
          <w:caps/>
          <w:szCs w:val="22"/>
        </w:rPr>
        <w:t>STREAMLINED Pleading Cycle Established</w:t>
      </w:r>
    </w:p>
    <w:p w:rsidR="00FA2911" w:rsidRPr="00FA2911" w:rsidRDefault="00FA2911" w:rsidP="00FA2911">
      <w:pPr>
        <w:suppressAutoHyphens/>
        <w:spacing w:after="240"/>
        <w:jc w:val="center"/>
        <w:rPr>
          <w:b/>
          <w:szCs w:val="22"/>
        </w:rPr>
      </w:pPr>
      <w:r w:rsidRPr="00FA2911">
        <w:rPr>
          <w:b/>
          <w:szCs w:val="22"/>
        </w:rPr>
        <w:t>WC Docket No. 14-</w:t>
      </w:r>
      <w:r w:rsidR="003B221F">
        <w:rPr>
          <w:b/>
          <w:szCs w:val="22"/>
        </w:rPr>
        <w:t>173</w:t>
      </w:r>
    </w:p>
    <w:p w:rsidR="00FA2911" w:rsidRPr="00FA2911" w:rsidRDefault="00FA2911" w:rsidP="00FA2911">
      <w:pPr>
        <w:suppressAutoHyphens/>
        <w:rPr>
          <w:b/>
          <w:szCs w:val="22"/>
        </w:rPr>
      </w:pPr>
      <w:r w:rsidRPr="00FA2911">
        <w:rPr>
          <w:b/>
          <w:szCs w:val="22"/>
        </w:rPr>
        <w:t xml:space="preserve">Comments Due:  </w:t>
      </w:r>
      <w:r w:rsidR="004F1A30">
        <w:rPr>
          <w:b/>
          <w:szCs w:val="22"/>
        </w:rPr>
        <w:t>October</w:t>
      </w:r>
      <w:r w:rsidR="008F575E">
        <w:rPr>
          <w:b/>
          <w:szCs w:val="22"/>
        </w:rPr>
        <w:t xml:space="preserve"> </w:t>
      </w:r>
      <w:r w:rsidR="00577217">
        <w:rPr>
          <w:b/>
          <w:szCs w:val="22"/>
        </w:rPr>
        <w:t>30</w:t>
      </w:r>
      <w:r w:rsidRPr="00FA2911">
        <w:rPr>
          <w:b/>
          <w:szCs w:val="22"/>
        </w:rPr>
        <w:t>, 2014</w:t>
      </w:r>
    </w:p>
    <w:p w:rsidR="00FA2911" w:rsidRPr="00FA2911" w:rsidRDefault="008F575E" w:rsidP="00FA2911">
      <w:pPr>
        <w:suppressAutoHyphens/>
        <w:rPr>
          <w:b/>
          <w:szCs w:val="22"/>
        </w:rPr>
      </w:pPr>
      <w:r>
        <w:rPr>
          <w:b/>
          <w:szCs w:val="22"/>
        </w:rPr>
        <w:t xml:space="preserve">Reply Comments Due:  </w:t>
      </w:r>
      <w:r w:rsidR="004F1A30">
        <w:rPr>
          <w:b/>
          <w:szCs w:val="22"/>
        </w:rPr>
        <w:t>November</w:t>
      </w:r>
      <w:r w:rsidR="00FA2911" w:rsidRPr="00FA2911">
        <w:rPr>
          <w:b/>
          <w:szCs w:val="22"/>
        </w:rPr>
        <w:t xml:space="preserve"> </w:t>
      </w:r>
      <w:r w:rsidR="00577217">
        <w:rPr>
          <w:b/>
          <w:szCs w:val="22"/>
        </w:rPr>
        <w:t>6</w:t>
      </w:r>
      <w:r w:rsidR="00FA2911" w:rsidRPr="00FA2911">
        <w:rPr>
          <w:b/>
          <w:szCs w:val="22"/>
        </w:rPr>
        <w:t>, 2014</w:t>
      </w:r>
    </w:p>
    <w:p w:rsidR="00FA2911" w:rsidRPr="00FA2911" w:rsidRDefault="00FA2911" w:rsidP="00FA2911">
      <w:pPr>
        <w:autoSpaceDE w:val="0"/>
        <w:autoSpaceDN w:val="0"/>
        <w:adjustRightInd w:val="0"/>
        <w:rPr>
          <w:rFonts w:ascii="Arial" w:hAnsi="Arial" w:cs="Arial"/>
          <w:szCs w:val="22"/>
        </w:rPr>
      </w:pPr>
    </w:p>
    <w:p w:rsidR="00FA2911" w:rsidRPr="00FA2911" w:rsidRDefault="00FA2911" w:rsidP="00FA2911">
      <w:pPr>
        <w:autoSpaceDE w:val="0"/>
        <w:autoSpaceDN w:val="0"/>
        <w:adjustRightInd w:val="0"/>
        <w:ind w:firstLine="720"/>
        <w:rPr>
          <w:szCs w:val="22"/>
        </w:rPr>
      </w:pPr>
      <w:r w:rsidRPr="00FA2911">
        <w:rPr>
          <w:szCs w:val="22"/>
        </w:rPr>
        <w:t xml:space="preserve">On </w:t>
      </w:r>
      <w:r w:rsidR="004F1A30">
        <w:rPr>
          <w:szCs w:val="22"/>
        </w:rPr>
        <w:t>October</w:t>
      </w:r>
      <w:r w:rsidRPr="00FA2911">
        <w:rPr>
          <w:szCs w:val="22"/>
        </w:rPr>
        <w:t xml:space="preserve"> </w:t>
      </w:r>
      <w:r w:rsidR="004F1A30">
        <w:rPr>
          <w:szCs w:val="22"/>
        </w:rPr>
        <w:t>2</w:t>
      </w:r>
      <w:r w:rsidRPr="00FA2911">
        <w:rPr>
          <w:szCs w:val="22"/>
        </w:rPr>
        <w:t xml:space="preserve">, 2014, </w:t>
      </w:r>
      <w:r w:rsidR="00F21301">
        <w:rPr>
          <w:szCs w:val="22"/>
        </w:rPr>
        <w:t xml:space="preserve">MegaPath Corporation </w:t>
      </w:r>
      <w:r w:rsidR="00B72FE2">
        <w:rPr>
          <w:szCs w:val="22"/>
        </w:rPr>
        <w:t>(</w:t>
      </w:r>
      <w:r w:rsidR="00F21301">
        <w:rPr>
          <w:szCs w:val="22"/>
        </w:rPr>
        <w:t>MegaPath</w:t>
      </w:r>
      <w:r w:rsidRPr="00FA2911">
        <w:rPr>
          <w:szCs w:val="22"/>
        </w:rPr>
        <w:t xml:space="preserve">) and </w:t>
      </w:r>
      <w:r w:rsidR="00F21301">
        <w:rPr>
          <w:szCs w:val="22"/>
        </w:rPr>
        <w:t xml:space="preserve">GC Pivotal, LLC d/b/a Global Capacity </w:t>
      </w:r>
      <w:r w:rsidR="00B72FE2">
        <w:rPr>
          <w:szCs w:val="22"/>
        </w:rPr>
        <w:t>(</w:t>
      </w:r>
      <w:r w:rsidR="00F21301">
        <w:rPr>
          <w:szCs w:val="22"/>
        </w:rPr>
        <w:t>Global Capacity</w:t>
      </w:r>
      <w:r w:rsidRPr="00FA2911">
        <w:rPr>
          <w:szCs w:val="22"/>
        </w:rPr>
        <w:t xml:space="preserve">) (together, Applicants) filed an application pursuant to section 63.03 of the Commission’s rules to transfer </w:t>
      </w:r>
      <w:r w:rsidR="00F21301">
        <w:rPr>
          <w:szCs w:val="22"/>
        </w:rPr>
        <w:t xml:space="preserve">certain assets from </w:t>
      </w:r>
      <w:r w:rsidR="0010126C">
        <w:rPr>
          <w:szCs w:val="22"/>
        </w:rPr>
        <w:t>MegaPath to Global Capacity.</w:t>
      </w:r>
      <w:r w:rsidR="00531279" w:rsidRPr="00FA2911">
        <w:rPr>
          <w:szCs w:val="22"/>
          <w:vertAlign w:val="superscript"/>
        </w:rPr>
        <w:footnoteReference w:id="1"/>
      </w:r>
    </w:p>
    <w:p w:rsidR="00FA2911" w:rsidRPr="00FA2911" w:rsidRDefault="00FA2911" w:rsidP="00FA2911">
      <w:pPr>
        <w:autoSpaceDE w:val="0"/>
        <w:autoSpaceDN w:val="0"/>
        <w:adjustRightInd w:val="0"/>
        <w:rPr>
          <w:szCs w:val="22"/>
        </w:rPr>
      </w:pPr>
    </w:p>
    <w:p w:rsidR="00CE4471" w:rsidRDefault="007A1C59" w:rsidP="00531279">
      <w:pPr>
        <w:autoSpaceDE w:val="0"/>
        <w:autoSpaceDN w:val="0"/>
        <w:adjustRightInd w:val="0"/>
        <w:ind w:firstLine="720"/>
        <w:rPr>
          <w:szCs w:val="22"/>
        </w:rPr>
      </w:pPr>
      <w:r w:rsidRPr="007A1C59">
        <w:rPr>
          <w:szCs w:val="22"/>
        </w:rPr>
        <w:t>MegaPath</w:t>
      </w:r>
      <w:r w:rsidR="00531279">
        <w:rPr>
          <w:szCs w:val="22"/>
        </w:rPr>
        <w:t xml:space="preserve">, </w:t>
      </w:r>
      <w:r w:rsidRPr="007A1C59">
        <w:rPr>
          <w:szCs w:val="22"/>
        </w:rPr>
        <w:t>a Virginia corporation</w:t>
      </w:r>
      <w:r>
        <w:rPr>
          <w:szCs w:val="22"/>
        </w:rPr>
        <w:t>,</w:t>
      </w:r>
      <w:r w:rsidR="007B6019">
        <w:t xml:space="preserve"> </w:t>
      </w:r>
      <w:r w:rsidR="00531279">
        <w:t>offer</w:t>
      </w:r>
      <w:r w:rsidR="0055168B">
        <w:t>s</w:t>
      </w:r>
      <w:r w:rsidR="00531279">
        <w:t xml:space="preserve"> competitive telecommunications services and other services to business customers in multiple states.  </w:t>
      </w:r>
      <w:r w:rsidR="00CE4471">
        <w:rPr>
          <w:szCs w:val="22"/>
        </w:rPr>
        <w:t>Global Capacity</w:t>
      </w:r>
      <w:r w:rsidR="00531279">
        <w:rPr>
          <w:szCs w:val="22"/>
        </w:rPr>
        <w:t>,</w:t>
      </w:r>
      <w:r w:rsidR="00CE4471" w:rsidRPr="00CE4471">
        <w:rPr>
          <w:szCs w:val="22"/>
        </w:rPr>
        <w:t xml:space="preserve"> a Delaware limited liability</w:t>
      </w:r>
      <w:r w:rsidR="00CE4471">
        <w:rPr>
          <w:szCs w:val="22"/>
        </w:rPr>
        <w:t xml:space="preserve"> </w:t>
      </w:r>
      <w:r w:rsidR="00CE4471" w:rsidRPr="00CE4471">
        <w:rPr>
          <w:szCs w:val="22"/>
        </w:rPr>
        <w:t>company</w:t>
      </w:r>
      <w:r w:rsidR="00531279">
        <w:rPr>
          <w:szCs w:val="22"/>
        </w:rPr>
        <w:t xml:space="preserve">, provides competitive telecommunications services in multiple states.  </w:t>
      </w:r>
      <w:r w:rsidR="00577217">
        <w:rPr>
          <w:szCs w:val="22"/>
        </w:rPr>
        <w:t xml:space="preserve">Applicants state that </w:t>
      </w:r>
      <w:r w:rsidR="00531279">
        <w:rPr>
          <w:szCs w:val="22"/>
        </w:rPr>
        <w:t xml:space="preserve">Pivotal Global Capacity, LLC, an Arizona limited liability company, does </w:t>
      </w:r>
      <w:r w:rsidR="00AB3D61">
        <w:rPr>
          <w:szCs w:val="22"/>
        </w:rPr>
        <w:t>n</w:t>
      </w:r>
      <w:r w:rsidR="00531279">
        <w:rPr>
          <w:szCs w:val="22"/>
        </w:rPr>
        <w:t>ot provide teleco</w:t>
      </w:r>
      <w:r w:rsidR="00AB3D61">
        <w:rPr>
          <w:szCs w:val="22"/>
        </w:rPr>
        <w:t xml:space="preserve">mmunications services and owns </w:t>
      </w:r>
      <w:r w:rsidR="00531279">
        <w:rPr>
          <w:szCs w:val="22"/>
        </w:rPr>
        <w:t>100 p</w:t>
      </w:r>
      <w:r w:rsidR="00577217">
        <w:rPr>
          <w:szCs w:val="22"/>
        </w:rPr>
        <w:t>ercent of Global C</w:t>
      </w:r>
      <w:r w:rsidR="00531279">
        <w:rPr>
          <w:szCs w:val="22"/>
        </w:rPr>
        <w:t>apacity.  Applicants</w:t>
      </w:r>
      <w:r w:rsidR="00577217">
        <w:rPr>
          <w:szCs w:val="22"/>
        </w:rPr>
        <w:t xml:space="preserve"> further</w:t>
      </w:r>
      <w:r w:rsidR="00531279">
        <w:rPr>
          <w:szCs w:val="22"/>
        </w:rPr>
        <w:t xml:space="preserve"> state that FFN Investments, </w:t>
      </w:r>
      <w:r w:rsidR="00AB3D61">
        <w:rPr>
          <w:szCs w:val="22"/>
        </w:rPr>
        <w:t xml:space="preserve">LLC (FFN), </w:t>
      </w:r>
      <w:r w:rsidR="00531279">
        <w:rPr>
          <w:szCs w:val="22"/>
        </w:rPr>
        <w:t>an Arizona limited liability company, owns 100 percent of Pivotal Global Capacity, LLC.  Th</w:t>
      </w:r>
      <w:r w:rsidR="00AB3D61">
        <w:rPr>
          <w:szCs w:val="22"/>
        </w:rPr>
        <w:t>ey</w:t>
      </w:r>
      <w:r w:rsidR="00531279">
        <w:rPr>
          <w:szCs w:val="22"/>
        </w:rPr>
        <w:t xml:space="preserve"> state that </w:t>
      </w:r>
      <w:r w:rsidR="00AB3D61">
        <w:rPr>
          <w:szCs w:val="22"/>
        </w:rPr>
        <w:t xml:space="preserve">the </w:t>
      </w:r>
      <w:r w:rsidR="00531279">
        <w:rPr>
          <w:szCs w:val="22"/>
        </w:rPr>
        <w:t>Najafi 2006 I</w:t>
      </w:r>
      <w:r w:rsidR="00AB3D61">
        <w:rPr>
          <w:szCs w:val="22"/>
        </w:rPr>
        <w:t>r</w:t>
      </w:r>
      <w:r w:rsidR="00531279">
        <w:rPr>
          <w:szCs w:val="22"/>
        </w:rPr>
        <w:t>re</w:t>
      </w:r>
      <w:r w:rsidR="00AB3D61">
        <w:rPr>
          <w:szCs w:val="22"/>
        </w:rPr>
        <w:t>vocable</w:t>
      </w:r>
      <w:r w:rsidR="00531279">
        <w:rPr>
          <w:szCs w:val="22"/>
        </w:rPr>
        <w:t xml:space="preserve"> Trust owns 60 percent of FFN</w:t>
      </w:r>
      <w:r w:rsidR="00577217">
        <w:rPr>
          <w:szCs w:val="22"/>
        </w:rPr>
        <w:t>,</w:t>
      </w:r>
      <w:r w:rsidR="00AB3D61">
        <w:rPr>
          <w:szCs w:val="22"/>
        </w:rPr>
        <w:t xml:space="preserve"> an</w:t>
      </w:r>
      <w:r w:rsidR="00577217">
        <w:rPr>
          <w:szCs w:val="22"/>
        </w:rPr>
        <w:t>d the F. Francis Najafi Family T</w:t>
      </w:r>
      <w:r w:rsidR="00AB3D61">
        <w:rPr>
          <w:szCs w:val="22"/>
        </w:rPr>
        <w:t>rust owns 40 percen</w:t>
      </w:r>
      <w:r w:rsidR="00577217">
        <w:rPr>
          <w:szCs w:val="22"/>
        </w:rPr>
        <w:t xml:space="preserve">t </w:t>
      </w:r>
      <w:r w:rsidR="00AB3D61">
        <w:rPr>
          <w:szCs w:val="22"/>
        </w:rPr>
        <w:t>of Globa</w:t>
      </w:r>
      <w:r w:rsidR="00577217">
        <w:rPr>
          <w:szCs w:val="22"/>
        </w:rPr>
        <w:t>l C</w:t>
      </w:r>
      <w:r w:rsidR="00AB3D61">
        <w:rPr>
          <w:szCs w:val="22"/>
        </w:rPr>
        <w:t>ap</w:t>
      </w:r>
      <w:r w:rsidR="00577217">
        <w:rPr>
          <w:szCs w:val="22"/>
        </w:rPr>
        <w:t>a</w:t>
      </w:r>
      <w:r w:rsidR="00AB3D61">
        <w:rPr>
          <w:szCs w:val="22"/>
        </w:rPr>
        <w:t>city as a 30 percent direct owner of FFN and a 10 percent indirect owner of FFN through Pivotal Capital</w:t>
      </w:r>
      <w:r w:rsidR="00577217">
        <w:rPr>
          <w:szCs w:val="22"/>
        </w:rPr>
        <w:t xml:space="preserve"> Corporation.  Pivotal C</w:t>
      </w:r>
      <w:r w:rsidR="00AB3D61">
        <w:rPr>
          <w:szCs w:val="22"/>
        </w:rPr>
        <w:t>apital Corporation owns 10 percent of FFN and is wholly owned by the F. Francis Najafi Family Trust.  Applicants state that all entities are U.S.-based and that no othe</w:t>
      </w:r>
      <w:r w:rsidR="00577217">
        <w:rPr>
          <w:szCs w:val="22"/>
        </w:rPr>
        <w:t xml:space="preserve">r </w:t>
      </w:r>
      <w:r w:rsidR="00AB3D61">
        <w:rPr>
          <w:szCs w:val="22"/>
        </w:rPr>
        <w:t>in</w:t>
      </w:r>
      <w:r w:rsidR="00577217">
        <w:rPr>
          <w:szCs w:val="22"/>
        </w:rPr>
        <w:t>divid</w:t>
      </w:r>
      <w:r w:rsidR="00AB3D61">
        <w:rPr>
          <w:szCs w:val="22"/>
        </w:rPr>
        <w:t>ual or entity holds a 10 percent or greater direct</w:t>
      </w:r>
      <w:r w:rsidR="00577217">
        <w:rPr>
          <w:szCs w:val="22"/>
        </w:rPr>
        <w:t xml:space="preserve"> </w:t>
      </w:r>
      <w:r w:rsidR="00AB3D61">
        <w:rPr>
          <w:szCs w:val="22"/>
        </w:rPr>
        <w:t xml:space="preserve">or indirect ownership interest in Global Capacity.  </w:t>
      </w:r>
      <w:r w:rsidR="00C76D3B">
        <w:rPr>
          <w:szCs w:val="22"/>
        </w:rPr>
        <w:t xml:space="preserve">  </w:t>
      </w:r>
    </w:p>
    <w:p w:rsidR="007A1C59" w:rsidRDefault="007A1C59" w:rsidP="00FA2911">
      <w:pPr>
        <w:autoSpaceDE w:val="0"/>
        <w:autoSpaceDN w:val="0"/>
        <w:adjustRightInd w:val="0"/>
        <w:ind w:firstLine="720"/>
        <w:rPr>
          <w:szCs w:val="22"/>
        </w:rPr>
      </w:pPr>
    </w:p>
    <w:p w:rsidR="00FA2911" w:rsidRPr="00FA2911" w:rsidRDefault="007A1C59" w:rsidP="00FA2911">
      <w:pPr>
        <w:autoSpaceDE w:val="0"/>
        <w:autoSpaceDN w:val="0"/>
        <w:adjustRightInd w:val="0"/>
        <w:ind w:firstLine="720"/>
        <w:rPr>
          <w:szCs w:val="22"/>
        </w:rPr>
      </w:pPr>
      <w:r w:rsidRPr="007A1C59">
        <w:rPr>
          <w:szCs w:val="22"/>
        </w:rPr>
        <w:t xml:space="preserve"> </w:t>
      </w:r>
      <w:r w:rsidR="00FA2911" w:rsidRPr="00FA2911">
        <w:rPr>
          <w:szCs w:val="22"/>
        </w:rPr>
        <w:t>Pursuant to the term</w:t>
      </w:r>
      <w:r w:rsidR="006F0C8B">
        <w:rPr>
          <w:szCs w:val="22"/>
        </w:rPr>
        <w:t xml:space="preserve">s of the proposed transaction, </w:t>
      </w:r>
      <w:r w:rsidR="00C94145" w:rsidRPr="00C94145">
        <w:rPr>
          <w:szCs w:val="22"/>
        </w:rPr>
        <w:t xml:space="preserve">Global Capacity </w:t>
      </w:r>
      <w:r w:rsidR="00AB3D61">
        <w:rPr>
          <w:szCs w:val="22"/>
        </w:rPr>
        <w:t xml:space="preserve">will acquire </w:t>
      </w:r>
      <w:r w:rsidR="00577217">
        <w:rPr>
          <w:szCs w:val="22"/>
        </w:rPr>
        <w:t>assets from MegaP</w:t>
      </w:r>
      <w:r w:rsidR="00AB3D61">
        <w:rPr>
          <w:szCs w:val="22"/>
        </w:rPr>
        <w:t xml:space="preserve">ath, including customer accounts and equipment.  Applicants state that </w:t>
      </w:r>
      <w:r w:rsidR="00C94145" w:rsidRPr="00C94145">
        <w:rPr>
          <w:szCs w:val="22"/>
        </w:rPr>
        <w:t xml:space="preserve">MegaPath does </w:t>
      </w:r>
      <w:r w:rsidR="00C94145">
        <w:rPr>
          <w:szCs w:val="22"/>
        </w:rPr>
        <w:t>not intend to transfer its certi</w:t>
      </w:r>
      <w:r w:rsidR="00C94145" w:rsidRPr="00C94145">
        <w:rPr>
          <w:szCs w:val="22"/>
        </w:rPr>
        <w:t>fications and other authority to provide telecommunications se</w:t>
      </w:r>
      <w:r w:rsidR="00C94145">
        <w:rPr>
          <w:szCs w:val="22"/>
        </w:rPr>
        <w:t xml:space="preserve">rvices to Global Capacity; nor </w:t>
      </w:r>
      <w:r w:rsidR="00C94145" w:rsidRPr="00C94145">
        <w:rPr>
          <w:szCs w:val="22"/>
        </w:rPr>
        <w:t>will it undergo a transfer of control as a result of th</w:t>
      </w:r>
      <w:r w:rsidR="00577217">
        <w:rPr>
          <w:szCs w:val="22"/>
        </w:rPr>
        <w:t>e proposed tr</w:t>
      </w:r>
      <w:r w:rsidR="00C94145" w:rsidRPr="00C94145">
        <w:rPr>
          <w:szCs w:val="22"/>
        </w:rPr>
        <w:t>ansaction.</w:t>
      </w:r>
      <w:r w:rsidR="00C94145">
        <w:rPr>
          <w:szCs w:val="22"/>
        </w:rPr>
        <w:t xml:space="preserve">  </w:t>
      </w:r>
      <w:r w:rsidR="00FA2911" w:rsidRPr="00FA2911">
        <w:rPr>
          <w:szCs w:val="22"/>
        </w:rPr>
        <w:t xml:space="preserve">Applicants assert that the proposed transaction is entitled to presumptive streamlined treatment under section </w:t>
      </w:r>
      <w:r w:rsidR="00FA2911" w:rsidRPr="00FA2911">
        <w:rPr>
          <w:szCs w:val="22"/>
        </w:rPr>
        <w:lastRenderedPageBreak/>
        <w:t>63.03(b)(2)(i) of the Commission’s rules and that a grant of the application will serve the public interest, convenience, and necessity.</w:t>
      </w:r>
      <w:r w:rsidR="00FA2911" w:rsidRPr="00FA2911">
        <w:rPr>
          <w:szCs w:val="22"/>
          <w:vertAlign w:val="superscript"/>
        </w:rPr>
        <w:footnoteReference w:id="2"/>
      </w:r>
    </w:p>
    <w:p w:rsidR="00FA2911" w:rsidRPr="00FA2911" w:rsidRDefault="00FA2911" w:rsidP="00FA2911">
      <w:pPr>
        <w:rPr>
          <w:szCs w:val="22"/>
        </w:rPr>
      </w:pPr>
    </w:p>
    <w:p w:rsidR="00FA2911" w:rsidRPr="00FA2911" w:rsidRDefault="00FA2911" w:rsidP="00FA2911">
      <w:pPr>
        <w:ind w:left="720" w:right="720"/>
        <w:rPr>
          <w:szCs w:val="22"/>
        </w:rPr>
      </w:pPr>
      <w:r w:rsidRPr="00FA2911">
        <w:rPr>
          <w:szCs w:val="22"/>
        </w:rPr>
        <w:t>Domestic Sectio</w:t>
      </w:r>
      <w:r w:rsidR="00C017A7">
        <w:rPr>
          <w:szCs w:val="22"/>
        </w:rPr>
        <w:t xml:space="preserve">n 214 Application Filed for the Acquisition of </w:t>
      </w:r>
      <w:r w:rsidR="00AB3D61">
        <w:rPr>
          <w:szCs w:val="22"/>
        </w:rPr>
        <w:t xml:space="preserve">Certain </w:t>
      </w:r>
      <w:r w:rsidR="00C017A7">
        <w:rPr>
          <w:szCs w:val="22"/>
        </w:rPr>
        <w:t>Assets o</w:t>
      </w:r>
      <w:r w:rsidR="00C017A7" w:rsidRPr="00C017A7">
        <w:rPr>
          <w:szCs w:val="22"/>
        </w:rPr>
        <w:t>f Mega</w:t>
      </w:r>
      <w:r w:rsidR="00C017A7">
        <w:rPr>
          <w:szCs w:val="22"/>
        </w:rPr>
        <w:t>P</w:t>
      </w:r>
      <w:r w:rsidR="00C017A7" w:rsidRPr="00C017A7">
        <w:rPr>
          <w:szCs w:val="22"/>
        </w:rPr>
        <w:t>ath Corpora</w:t>
      </w:r>
      <w:r w:rsidR="00C017A7">
        <w:rPr>
          <w:szCs w:val="22"/>
        </w:rPr>
        <w:t xml:space="preserve">tion </w:t>
      </w:r>
      <w:r w:rsidR="00AB3D61">
        <w:rPr>
          <w:szCs w:val="22"/>
        </w:rPr>
        <w:t>by GC Pivotal, LLC d/b/a Global Capacity</w:t>
      </w:r>
      <w:r w:rsidR="0008774F">
        <w:rPr>
          <w:szCs w:val="22"/>
        </w:rPr>
        <w:t>, WC Docket No. 14-1</w:t>
      </w:r>
      <w:r w:rsidR="00C017A7">
        <w:rPr>
          <w:szCs w:val="22"/>
        </w:rPr>
        <w:t>73 (filed Oct. 2</w:t>
      </w:r>
      <w:r w:rsidRPr="00FA2911">
        <w:rPr>
          <w:szCs w:val="22"/>
        </w:rPr>
        <w:t>, 2014).</w:t>
      </w:r>
    </w:p>
    <w:p w:rsidR="00FA2911" w:rsidRPr="00FA2911" w:rsidRDefault="00FA2911" w:rsidP="00FA2911">
      <w:pPr>
        <w:autoSpaceDE w:val="0"/>
        <w:autoSpaceDN w:val="0"/>
        <w:adjustRightInd w:val="0"/>
        <w:ind w:firstLine="720"/>
        <w:rPr>
          <w:szCs w:val="22"/>
        </w:rPr>
      </w:pPr>
    </w:p>
    <w:p w:rsidR="00DB5ACE" w:rsidRDefault="00DB5ACE" w:rsidP="00DB5ACE">
      <w:pPr>
        <w:ind w:right="720"/>
        <w:rPr>
          <w:szCs w:val="22"/>
        </w:rPr>
      </w:pPr>
      <w:r>
        <w:rPr>
          <w:b/>
          <w:szCs w:val="22"/>
          <w:u w:val="single"/>
        </w:rPr>
        <w:t>GENERAL INFORMATION</w:t>
      </w:r>
    </w:p>
    <w:p w:rsidR="00DB5ACE" w:rsidRDefault="00DB5ACE" w:rsidP="00DB5ACE">
      <w:pPr>
        <w:ind w:right="720"/>
        <w:rPr>
          <w:szCs w:val="22"/>
        </w:rPr>
      </w:pPr>
    </w:p>
    <w:p w:rsidR="00577217" w:rsidRDefault="00DB5ACE" w:rsidP="00DB5ACE">
      <w:pPr>
        <w:ind w:firstLine="720"/>
        <w:rPr>
          <w:szCs w:val="22"/>
        </w:rPr>
      </w:pPr>
      <w:r>
        <w:rPr>
          <w:szCs w:val="22"/>
        </w:rPr>
        <w:t xml:space="preserve">The transfer of </w:t>
      </w:r>
      <w:r w:rsidR="00AB3D61">
        <w:rPr>
          <w:szCs w:val="22"/>
        </w:rPr>
        <w:t>assets</w:t>
      </w:r>
      <w:r>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w:t>
      </w:r>
    </w:p>
    <w:p w:rsidR="00DB5ACE" w:rsidRDefault="00DB5ACE" w:rsidP="00577217">
      <w:pPr>
        <w:rPr>
          <w:szCs w:val="22"/>
        </w:rPr>
      </w:pPr>
      <w:r>
        <w:rPr>
          <w:szCs w:val="22"/>
        </w:rPr>
        <w:t xml:space="preserve">§ 63.03(a), interested parties may file comments </w:t>
      </w:r>
      <w:r w:rsidR="008F575E">
        <w:rPr>
          <w:b/>
          <w:szCs w:val="22"/>
        </w:rPr>
        <w:t xml:space="preserve">on or before </w:t>
      </w:r>
      <w:r w:rsidR="008E1769">
        <w:rPr>
          <w:b/>
          <w:szCs w:val="22"/>
        </w:rPr>
        <w:t xml:space="preserve">October </w:t>
      </w:r>
      <w:r w:rsidR="00577217">
        <w:rPr>
          <w:b/>
          <w:szCs w:val="22"/>
        </w:rPr>
        <w:t>30</w:t>
      </w:r>
      <w:r>
        <w:rPr>
          <w:b/>
          <w:szCs w:val="22"/>
        </w:rPr>
        <w:t>, 2014</w:t>
      </w:r>
      <w:r>
        <w:rPr>
          <w:szCs w:val="22"/>
        </w:rPr>
        <w:t xml:space="preserve">, and reply comments </w:t>
      </w:r>
      <w:r w:rsidR="008F575E">
        <w:rPr>
          <w:b/>
          <w:szCs w:val="22"/>
        </w:rPr>
        <w:t xml:space="preserve">on or before </w:t>
      </w:r>
      <w:r w:rsidR="008E1769">
        <w:rPr>
          <w:b/>
          <w:szCs w:val="22"/>
        </w:rPr>
        <w:t>November</w:t>
      </w:r>
      <w:r w:rsidR="008F575E">
        <w:rPr>
          <w:b/>
          <w:szCs w:val="22"/>
        </w:rPr>
        <w:t xml:space="preserve"> </w:t>
      </w:r>
      <w:r w:rsidR="00577217">
        <w:rPr>
          <w:b/>
          <w:szCs w:val="22"/>
        </w:rPr>
        <w:t>6</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B5ACE" w:rsidRDefault="00DB5ACE" w:rsidP="00DB5ACE">
      <w:pPr>
        <w:rPr>
          <w:szCs w:val="22"/>
        </w:rPr>
      </w:pPr>
    </w:p>
    <w:p w:rsidR="00DB5ACE" w:rsidRDefault="00DB5ACE" w:rsidP="00DB5ACE">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DB5ACE" w:rsidRDefault="00DB5ACE" w:rsidP="00DB5ACE">
      <w:pPr>
        <w:rPr>
          <w:szCs w:val="22"/>
        </w:rPr>
      </w:pPr>
    </w:p>
    <w:p w:rsidR="00DB5ACE" w:rsidRDefault="00DB5ACE" w:rsidP="00DB5ACE">
      <w:pPr>
        <w:rPr>
          <w:b/>
          <w:szCs w:val="22"/>
        </w:rPr>
      </w:pPr>
      <w:r>
        <w:rPr>
          <w:b/>
          <w:szCs w:val="22"/>
        </w:rPr>
        <w:t>In addition, e-mail one copy of each pleading to each of the following:</w:t>
      </w:r>
    </w:p>
    <w:p w:rsidR="00DB5ACE" w:rsidRDefault="00DB5ACE" w:rsidP="00DB5ACE">
      <w:pPr>
        <w:rPr>
          <w:szCs w:val="22"/>
        </w:rPr>
      </w:pPr>
    </w:p>
    <w:p w:rsidR="00DB5ACE" w:rsidRDefault="008E1769" w:rsidP="00DB5ACE">
      <w:pPr>
        <w:numPr>
          <w:ilvl w:val="0"/>
          <w:numId w:val="13"/>
        </w:numPr>
        <w:rPr>
          <w:szCs w:val="22"/>
        </w:rPr>
      </w:pPr>
      <w:r>
        <w:rPr>
          <w:szCs w:val="22"/>
        </w:rPr>
        <w:t>Myrva Freeman</w:t>
      </w:r>
      <w:r w:rsidR="00DB5ACE">
        <w:rPr>
          <w:szCs w:val="22"/>
        </w:rPr>
        <w:t>, Competition Policy Division, Wireline C</w:t>
      </w:r>
      <w:r>
        <w:rPr>
          <w:szCs w:val="22"/>
        </w:rPr>
        <w:t xml:space="preserve">ompetition Bureau, </w:t>
      </w:r>
      <w:hyperlink r:id="rId15" w:history="1">
        <w:r w:rsidR="00AB3D61" w:rsidRPr="00A2705B">
          <w:rPr>
            <w:rStyle w:val="Hyperlink"/>
            <w:szCs w:val="22"/>
          </w:rPr>
          <w:t>myrva.freeman@fcc.gov</w:t>
        </w:r>
      </w:hyperlink>
      <w:r w:rsidR="00DB5ACE">
        <w:rPr>
          <w:szCs w:val="22"/>
        </w:rPr>
        <w:t>;</w:t>
      </w:r>
    </w:p>
    <w:p w:rsidR="00AB3D61" w:rsidRDefault="00AB3D61" w:rsidP="00AB3D61">
      <w:pPr>
        <w:ind w:left="720"/>
        <w:rPr>
          <w:szCs w:val="22"/>
        </w:rPr>
      </w:pPr>
    </w:p>
    <w:p w:rsidR="00AB3D61" w:rsidRDefault="00AB3D61" w:rsidP="00DB5ACE">
      <w:pPr>
        <w:numPr>
          <w:ilvl w:val="0"/>
          <w:numId w:val="13"/>
        </w:numPr>
        <w:rPr>
          <w:szCs w:val="22"/>
        </w:rPr>
      </w:pPr>
      <w:r>
        <w:rPr>
          <w:szCs w:val="22"/>
        </w:rPr>
        <w:t>David Krech, Policy Division, International Bureau, david.krech@fcc.gov;</w:t>
      </w:r>
    </w:p>
    <w:p w:rsidR="00DB5ACE" w:rsidRDefault="00DB5ACE" w:rsidP="00DB5ACE">
      <w:pPr>
        <w:rPr>
          <w:szCs w:val="22"/>
        </w:rPr>
      </w:pPr>
    </w:p>
    <w:p w:rsidR="00DB5ACE" w:rsidRPr="006E22DA" w:rsidRDefault="008E1769" w:rsidP="00DB5ACE">
      <w:pPr>
        <w:numPr>
          <w:ilvl w:val="0"/>
          <w:numId w:val="13"/>
        </w:numPr>
        <w:rPr>
          <w:szCs w:val="22"/>
        </w:rPr>
      </w:pPr>
      <w:r>
        <w:rPr>
          <w:szCs w:val="22"/>
        </w:rPr>
        <w:t>Jodie May</w:t>
      </w:r>
      <w:r w:rsidR="00DB5ACE">
        <w:rPr>
          <w:szCs w:val="22"/>
        </w:rPr>
        <w:t xml:space="preserve">, Competition Policy Division, Wireline Competition Bureau, </w:t>
      </w:r>
      <w:r>
        <w:rPr>
          <w:szCs w:val="22"/>
        </w:rPr>
        <w:t>jodie.may</w:t>
      </w:r>
      <w:r w:rsidR="00DB5ACE">
        <w:rPr>
          <w:szCs w:val="22"/>
        </w:rPr>
        <w:t>@fcc.gov;</w:t>
      </w:r>
    </w:p>
    <w:p w:rsidR="00DB5ACE" w:rsidRDefault="00DB5ACE" w:rsidP="00DB5ACE">
      <w:pPr>
        <w:rPr>
          <w:szCs w:val="22"/>
        </w:rPr>
      </w:pPr>
    </w:p>
    <w:p w:rsidR="00DB5ACE" w:rsidRDefault="00DB5ACE" w:rsidP="00DB5ACE">
      <w:pPr>
        <w:numPr>
          <w:ilvl w:val="0"/>
          <w:numId w:val="13"/>
        </w:numPr>
        <w:rPr>
          <w:szCs w:val="22"/>
        </w:rPr>
      </w:pPr>
      <w:r>
        <w:rPr>
          <w:szCs w:val="22"/>
        </w:rPr>
        <w:t xml:space="preserve">Jim Bird, Office of General Counsel, </w:t>
      </w:r>
      <w:hyperlink r:id="rId16" w:history="1">
        <w:r w:rsidRPr="00FF2E8A">
          <w:rPr>
            <w:rStyle w:val="Hyperlink"/>
            <w:szCs w:val="22"/>
          </w:rPr>
          <w:t>jim.bird@fcc.gov</w:t>
        </w:r>
      </w:hyperlink>
      <w:r>
        <w:rPr>
          <w:szCs w:val="22"/>
        </w:rPr>
        <w:t>.</w:t>
      </w:r>
    </w:p>
    <w:p w:rsidR="00DB5ACE" w:rsidRDefault="00DB5ACE" w:rsidP="00DB5ACE">
      <w:pPr>
        <w:rPr>
          <w:szCs w:val="22"/>
        </w:rPr>
      </w:pPr>
    </w:p>
    <w:p w:rsidR="00DB5ACE" w:rsidRDefault="00DB5ACE" w:rsidP="00DB5ACE">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DB5ACE" w:rsidRDefault="00DB5ACE" w:rsidP="00DB5ACE">
      <w:pPr>
        <w:rPr>
          <w:szCs w:val="22"/>
        </w:rPr>
      </w:pPr>
    </w:p>
    <w:p w:rsidR="00DB5ACE" w:rsidRDefault="00DB5ACE" w:rsidP="00DB5ACE">
      <w:pPr>
        <w:ind w:firstLine="360"/>
        <w:rPr>
          <w:szCs w:val="22"/>
        </w:rPr>
      </w:pPr>
      <w:r>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rPr>
          <w:szCs w:val="22"/>
        </w:rPr>
        <w:lastRenderedPageBreak/>
        <w:t>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DB5ACE" w:rsidRDefault="00DB5ACE" w:rsidP="00DB5ACE">
      <w:pPr>
        <w:rPr>
          <w:szCs w:val="22"/>
        </w:rPr>
      </w:pPr>
    </w:p>
    <w:p w:rsidR="00DB5ACE" w:rsidRDefault="00DB5ACE" w:rsidP="00DB5ACE">
      <w:pPr>
        <w:rPr>
          <w:szCs w:val="22"/>
        </w:rPr>
      </w:pPr>
      <w:r>
        <w:rPr>
          <w:szCs w:val="22"/>
        </w:rPr>
        <w:tab/>
        <w:t xml:space="preserve">For further information, please contact Myrva </w:t>
      </w:r>
      <w:r w:rsidR="008E1769">
        <w:rPr>
          <w:szCs w:val="22"/>
        </w:rPr>
        <w:t>Freeman</w:t>
      </w:r>
      <w:r>
        <w:rPr>
          <w:szCs w:val="22"/>
        </w:rPr>
        <w:t xml:space="preserve"> at (202) 418-1506 or </w:t>
      </w:r>
      <w:r w:rsidR="008E1769">
        <w:rPr>
          <w:szCs w:val="22"/>
        </w:rPr>
        <w:t>Jodie May</w:t>
      </w:r>
      <w:r>
        <w:rPr>
          <w:szCs w:val="22"/>
        </w:rPr>
        <w:t xml:space="preserve"> at 202-418-09</w:t>
      </w:r>
      <w:r w:rsidR="008E1769">
        <w:rPr>
          <w:szCs w:val="22"/>
        </w:rPr>
        <w:t>13</w:t>
      </w:r>
      <w:r>
        <w:rPr>
          <w:szCs w:val="22"/>
        </w:rPr>
        <w:t>.</w:t>
      </w:r>
    </w:p>
    <w:p w:rsidR="00DB5ACE" w:rsidRDefault="00DB5ACE" w:rsidP="00DB5ACE">
      <w:pPr>
        <w:ind w:left="720" w:right="720"/>
        <w:rPr>
          <w:szCs w:val="22"/>
        </w:rPr>
      </w:pPr>
    </w:p>
    <w:p w:rsidR="00DB5ACE" w:rsidRDefault="00DB5ACE" w:rsidP="00DB5ACE">
      <w:pPr>
        <w:jc w:val="center"/>
        <w:rPr>
          <w:szCs w:val="22"/>
        </w:rPr>
      </w:pPr>
      <w:r>
        <w:rPr>
          <w:b/>
          <w:szCs w:val="22"/>
        </w:rPr>
        <w:t>- FCC -</w:t>
      </w:r>
    </w:p>
    <w:p w:rsidR="00DB5ACE" w:rsidRDefault="00DB5ACE" w:rsidP="00FA2911">
      <w:pPr>
        <w:ind w:right="720"/>
        <w:rPr>
          <w:b/>
          <w:szCs w:val="22"/>
          <w:u w:val="single"/>
        </w:rPr>
      </w:pPr>
    </w:p>
    <w:sectPr w:rsidR="00DB5ACE"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40" w:rsidRDefault="00FA6340">
      <w:r>
        <w:separator/>
      </w:r>
    </w:p>
  </w:endnote>
  <w:endnote w:type="continuationSeparator" w:id="0">
    <w:p w:rsidR="00FA6340" w:rsidRDefault="00FA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0C" w:rsidRDefault="00170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65958"/>
      <w:docPartObj>
        <w:docPartGallery w:val="Page Numbers (Bottom of Page)"/>
        <w:docPartUnique/>
      </w:docPartObj>
    </w:sdtPr>
    <w:sdtEndPr>
      <w:rPr>
        <w:noProof/>
      </w:rPr>
    </w:sdtEndPr>
    <w:sdtContent>
      <w:p w:rsidR="008B4F9F" w:rsidRDefault="008B4F9F">
        <w:pPr>
          <w:pStyle w:val="Footer"/>
          <w:jc w:val="center"/>
        </w:pPr>
        <w:r>
          <w:fldChar w:fldCharType="begin"/>
        </w:r>
        <w:r>
          <w:instrText xml:space="preserve"> PAGE   \* MERGEFORMAT </w:instrText>
        </w:r>
        <w:r>
          <w:fldChar w:fldCharType="separate"/>
        </w:r>
        <w:r w:rsidR="00F17F9A">
          <w:rPr>
            <w:noProof/>
          </w:rPr>
          <w:t>2</w:t>
        </w:r>
        <w:r>
          <w:rPr>
            <w:noProof/>
          </w:rPr>
          <w:fldChar w:fldCharType="end"/>
        </w:r>
      </w:p>
    </w:sdtContent>
  </w:sdt>
  <w:p w:rsidR="008B4F9F" w:rsidRDefault="008B4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0C" w:rsidRDefault="0017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40" w:rsidRDefault="00FA6340">
      <w:r>
        <w:separator/>
      </w:r>
    </w:p>
  </w:footnote>
  <w:footnote w:type="continuationSeparator" w:id="0">
    <w:p w:rsidR="00FA6340" w:rsidRDefault="00FA6340">
      <w:r>
        <w:continuationSeparator/>
      </w:r>
    </w:p>
  </w:footnote>
  <w:footnote w:id="1">
    <w:p w:rsidR="00531279" w:rsidRPr="006079FB" w:rsidRDefault="00531279" w:rsidP="00531279">
      <w:pPr>
        <w:pStyle w:val="FootnoteText"/>
        <w:rPr>
          <w:sz w:val="20"/>
        </w:rPr>
      </w:pPr>
      <w:r w:rsidRPr="006079FB">
        <w:rPr>
          <w:rStyle w:val="FootnoteReference"/>
          <w:sz w:val="20"/>
        </w:rPr>
        <w:footnoteRef/>
      </w:r>
      <w:r w:rsidRPr="006079FB">
        <w:rPr>
          <w:sz w:val="20"/>
        </w:rPr>
        <w:t xml:space="preserve">  47 C.F.R § 63.03; </w:t>
      </w:r>
      <w:r w:rsidRPr="006079FB">
        <w:rPr>
          <w:i/>
          <w:sz w:val="20"/>
        </w:rPr>
        <w:t xml:space="preserve">see </w:t>
      </w:r>
      <w:r w:rsidRPr="006079FB">
        <w:rPr>
          <w:sz w:val="20"/>
        </w:rPr>
        <w:t xml:space="preserve">47 U.S.C. § 214.  Applicants are also filing applications for transfer of control associated with authorization for international services.  Any action on this domestic section 214 application is without prejudice to Commission action on other related, pending applications.         </w:t>
      </w:r>
    </w:p>
  </w:footnote>
  <w:footnote w:id="2">
    <w:p w:rsidR="00C62A71" w:rsidRPr="006079FB" w:rsidRDefault="00C62A71" w:rsidP="00FA2911">
      <w:pPr>
        <w:pStyle w:val="FootnoteText"/>
        <w:rPr>
          <w:sz w:val="20"/>
        </w:rPr>
      </w:pPr>
      <w:r w:rsidRPr="006079FB">
        <w:rPr>
          <w:rStyle w:val="FootnoteReference"/>
          <w:sz w:val="20"/>
        </w:rPr>
        <w:footnoteRef/>
      </w:r>
      <w:r w:rsidR="00AB3D61">
        <w:rPr>
          <w:sz w:val="20"/>
        </w:rPr>
        <w:t xml:space="preserve"> 47 C.F.R. § 63.03(b)(2)(i</w:t>
      </w:r>
      <w:r w:rsidRPr="006079F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0C" w:rsidRDefault="00170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0C" w:rsidRDefault="00170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71" w:rsidRPr="0062688A" w:rsidRDefault="00C62A7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C62A71" w:rsidRDefault="00C62A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A667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A71" w:rsidRDefault="00C62A71">
                          <w:pPr>
                            <w:rPr>
                              <w:rFonts w:ascii="Arial" w:hAnsi="Arial"/>
                              <w:b/>
                            </w:rPr>
                          </w:pPr>
                          <w:r>
                            <w:rPr>
                              <w:rFonts w:ascii="Arial" w:hAnsi="Arial"/>
                              <w:b/>
                            </w:rPr>
                            <w:t>Federal Communications Commission</w:t>
                          </w:r>
                        </w:p>
                        <w:p w:rsidR="00C62A71" w:rsidRDefault="00C62A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A71" w:rsidRDefault="00C62A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C62A71" w:rsidRDefault="00C62A71">
                    <w:pPr>
                      <w:rPr>
                        <w:rFonts w:ascii="Arial" w:hAnsi="Arial"/>
                        <w:b/>
                      </w:rPr>
                    </w:pPr>
                    <w:r>
                      <w:rPr>
                        <w:rFonts w:ascii="Arial" w:hAnsi="Arial"/>
                        <w:b/>
                      </w:rPr>
                      <w:t>Federal Communications Commission</w:t>
                    </w:r>
                  </w:p>
                  <w:p w:rsidR="00C62A71" w:rsidRDefault="00C62A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2A71" w:rsidRDefault="00C62A7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A71" w:rsidRDefault="00C62A71">
                          <w:pPr>
                            <w:spacing w:before="40"/>
                            <w:jc w:val="right"/>
                            <w:rPr>
                              <w:rFonts w:ascii="Arial" w:hAnsi="Arial"/>
                              <w:b/>
                              <w:sz w:val="16"/>
                            </w:rPr>
                          </w:pPr>
                          <w:r>
                            <w:rPr>
                              <w:rFonts w:ascii="Arial" w:hAnsi="Arial"/>
                              <w:b/>
                              <w:sz w:val="16"/>
                            </w:rPr>
                            <w:t>News Media Information 202 / 418-0500</w:t>
                          </w:r>
                        </w:p>
                        <w:p w:rsidR="00C62A71" w:rsidRDefault="00C62A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62A71" w:rsidRDefault="00C62A71">
                          <w:pPr>
                            <w:jc w:val="right"/>
                            <w:rPr>
                              <w:rFonts w:ascii="Arial" w:hAnsi="Arial"/>
                              <w:b/>
                              <w:sz w:val="16"/>
                            </w:rPr>
                          </w:pPr>
                          <w:r>
                            <w:rPr>
                              <w:rFonts w:ascii="Arial" w:hAnsi="Arial"/>
                              <w:b/>
                              <w:sz w:val="16"/>
                            </w:rPr>
                            <w:t>TTY: 1-888-835-5322</w:t>
                          </w:r>
                        </w:p>
                        <w:p w:rsidR="00C62A71" w:rsidRDefault="00C62A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62A71" w:rsidRDefault="00C62A71">
                    <w:pPr>
                      <w:spacing w:before="40"/>
                      <w:jc w:val="right"/>
                      <w:rPr>
                        <w:rFonts w:ascii="Arial" w:hAnsi="Arial"/>
                        <w:b/>
                        <w:sz w:val="16"/>
                      </w:rPr>
                    </w:pPr>
                    <w:r>
                      <w:rPr>
                        <w:rFonts w:ascii="Arial" w:hAnsi="Arial"/>
                        <w:b/>
                        <w:sz w:val="16"/>
                      </w:rPr>
                      <w:t>News Media Information 202 / 418-0500</w:t>
                    </w:r>
                  </w:p>
                  <w:p w:rsidR="00C62A71" w:rsidRDefault="00C62A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2A71" w:rsidRDefault="00C62A71">
                    <w:pPr>
                      <w:jc w:val="right"/>
                      <w:rPr>
                        <w:rFonts w:ascii="Arial" w:hAnsi="Arial"/>
                        <w:b/>
                        <w:sz w:val="16"/>
                      </w:rPr>
                    </w:pPr>
                    <w:r>
                      <w:rPr>
                        <w:rFonts w:ascii="Arial" w:hAnsi="Arial"/>
                        <w:b/>
                        <w:sz w:val="16"/>
                      </w:rPr>
                      <w:t>TTY: 1-888-835-5322</w:t>
                    </w:r>
                  </w:p>
                  <w:p w:rsidR="00C62A71" w:rsidRDefault="00C62A71">
                    <w:pPr>
                      <w:jc w:val="right"/>
                    </w:pPr>
                  </w:p>
                </w:txbxContent>
              </v:textbox>
            </v:shape>
          </w:pict>
        </mc:Fallback>
      </mc:AlternateContent>
    </w:r>
  </w:p>
  <w:p w:rsidR="00C62A71" w:rsidRDefault="00C62A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10EEF"/>
    <w:rsid w:val="000129E3"/>
    <w:rsid w:val="000265AE"/>
    <w:rsid w:val="00051AAF"/>
    <w:rsid w:val="00080A4C"/>
    <w:rsid w:val="00084963"/>
    <w:rsid w:val="00084D89"/>
    <w:rsid w:val="0008774F"/>
    <w:rsid w:val="000A152D"/>
    <w:rsid w:val="000C42D7"/>
    <w:rsid w:val="000C6015"/>
    <w:rsid w:val="000F7574"/>
    <w:rsid w:val="0010126C"/>
    <w:rsid w:val="001177A9"/>
    <w:rsid w:val="00122330"/>
    <w:rsid w:val="00130438"/>
    <w:rsid w:val="00151AC7"/>
    <w:rsid w:val="00167B6B"/>
    <w:rsid w:val="0017000C"/>
    <w:rsid w:val="0017070D"/>
    <w:rsid w:val="00174D80"/>
    <w:rsid w:val="0018053D"/>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4A1A"/>
    <w:rsid w:val="002778C9"/>
    <w:rsid w:val="002B74A3"/>
    <w:rsid w:val="002E5335"/>
    <w:rsid w:val="003008BC"/>
    <w:rsid w:val="00315E4E"/>
    <w:rsid w:val="00330BF8"/>
    <w:rsid w:val="00340870"/>
    <w:rsid w:val="00340CFA"/>
    <w:rsid w:val="00346144"/>
    <w:rsid w:val="003644C6"/>
    <w:rsid w:val="00395D16"/>
    <w:rsid w:val="003B221F"/>
    <w:rsid w:val="003C34F5"/>
    <w:rsid w:val="003E72CB"/>
    <w:rsid w:val="003F1866"/>
    <w:rsid w:val="00402026"/>
    <w:rsid w:val="00406BBD"/>
    <w:rsid w:val="00413BBF"/>
    <w:rsid w:val="0041449F"/>
    <w:rsid w:val="00416121"/>
    <w:rsid w:val="00437686"/>
    <w:rsid w:val="00437B61"/>
    <w:rsid w:val="00451A21"/>
    <w:rsid w:val="00452C95"/>
    <w:rsid w:val="004A301A"/>
    <w:rsid w:val="004D56B5"/>
    <w:rsid w:val="004D7CB2"/>
    <w:rsid w:val="004E4BFC"/>
    <w:rsid w:val="004F1A30"/>
    <w:rsid w:val="004F4BBA"/>
    <w:rsid w:val="00510384"/>
    <w:rsid w:val="00512D0A"/>
    <w:rsid w:val="0052047F"/>
    <w:rsid w:val="00530C5B"/>
    <w:rsid w:val="00531279"/>
    <w:rsid w:val="00531532"/>
    <w:rsid w:val="00537860"/>
    <w:rsid w:val="0055168B"/>
    <w:rsid w:val="00556C54"/>
    <w:rsid w:val="00577217"/>
    <w:rsid w:val="00577FF5"/>
    <w:rsid w:val="00581E20"/>
    <w:rsid w:val="00592203"/>
    <w:rsid w:val="005A644E"/>
    <w:rsid w:val="005B0120"/>
    <w:rsid w:val="005D1CB4"/>
    <w:rsid w:val="005E791C"/>
    <w:rsid w:val="005F1271"/>
    <w:rsid w:val="005F12B3"/>
    <w:rsid w:val="00602577"/>
    <w:rsid w:val="006074C0"/>
    <w:rsid w:val="006079FB"/>
    <w:rsid w:val="00625B2D"/>
    <w:rsid w:val="0062688A"/>
    <w:rsid w:val="00645AC9"/>
    <w:rsid w:val="00646332"/>
    <w:rsid w:val="00666823"/>
    <w:rsid w:val="0066717B"/>
    <w:rsid w:val="006757DF"/>
    <w:rsid w:val="006A19D5"/>
    <w:rsid w:val="006B6005"/>
    <w:rsid w:val="006C1355"/>
    <w:rsid w:val="006C37D4"/>
    <w:rsid w:val="006C4BCD"/>
    <w:rsid w:val="006E7A75"/>
    <w:rsid w:val="006F0C8B"/>
    <w:rsid w:val="00707A29"/>
    <w:rsid w:val="00721BB7"/>
    <w:rsid w:val="0072205D"/>
    <w:rsid w:val="00735014"/>
    <w:rsid w:val="00747174"/>
    <w:rsid w:val="007472DF"/>
    <w:rsid w:val="00772E13"/>
    <w:rsid w:val="007858DC"/>
    <w:rsid w:val="007A1C59"/>
    <w:rsid w:val="007A47D3"/>
    <w:rsid w:val="007B6019"/>
    <w:rsid w:val="007C1DF7"/>
    <w:rsid w:val="007C75B2"/>
    <w:rsid w:val="007D28B2"/>
    <w:rsid w:val="007D4C89"/>
    <w:rsid w:val="007D643D"/>
    <w:rsid w:val="007E09AD"/>
    <w:rsid w:val="007E72D0"/>
    <w:rsid w:val="007F0731"/>
    <w:rsid w:val="007F08BF"/>
    <w:rsid w:val="007F2DDD"/>
    <w:rsid w:val="007F3431"/>
    <w:rsid w:val="008010B7"/>
    <w:rsid w:val="008327D8"/>
    <w:rsid w:val="00845133"/>
    <w:rsid w:val="00853F41"/>
    <w:rsid w:val="0086180A"/>
    <w:rsid w:val="00866AEA"/>
    <w:rsid w:val="00874A64"/>
    <w:rsid w:val="00880FA3"/>
    <w:rsid w:val="008B4F9F"/>
    <w:rsid w:val="008E1769"/>
    <w:rsid w:val="008E5F80"/>
    <w:rsid w:val="008E6756"/>
    <w:rsid w:val="008F14B9"/>
    <w:rsid w:val="008F3F01"/>
    <w:rsid w:val="008F575E"/>
    <w:rsid w:val="00911349"/>
    <w:rsid w:val="00911E0A"/>
    <w:rsid w:val="00934565"/>
    <w:rsid w:val="00935F87"/>
    <w:rsid w:val="009764D9"/>
    <w:rsid w:val="009915A0"/>
    <w:rsid w:val="00995E9F"/>
    <w:rsid w:val="009A065C"/>
    <w:rsid w:val="009C022F"/>
    <w:rsid w:val="009C4D87"/>
    <w:rsid w:val="009C528C"/>
    <w:rsid w:val="009F28FB"/>
    <w:rsid w:val="00A00D66"/>
    <w:rsid w:val="00A03F62"/>
    <w:rsid w:val="00A26D3A"/>
    <w:rsid w:val="00A32B91"/>
    <w:rsid w:val="00A5200F"/>
    <w:rsid w:val="00A937DD"/>
    <w:rsid w:val="00A96899"/>
    <w:rsid w:val="00AA4C1F"/>
    <w:rsid w:val="00AA532B"/>
    <w:rsid w:val="00AB3D61"/>
    <w:rsid w:val="00AC7C4F"/>
    <w:rsid w:val="00AD04AD"/>
    <w:rsid w:val="00AF708F"/>
    <w:rsid w:val="00B011C1"/>
    <w:rsid w:val="00B01AFE"/>
    <w:rsid w:val="00B50A75"/>
    <w:rsid w:val="00B6415E"/>
    <w:rsid w:val="00B72FE2"/>
    <w:rsid w:val="00B85D41"/>
    <w:rsid w:val="00B93D30"/>
    <w:rsid w:val="00B974C8"/>
    <w:rsid w:val="00BB2CB8"/>
    <w:rsid w:val="00BC17E7"/>
    <w:rsid w:val="00BD694C"/>
    <w:rsid w:val="00C00B92"/>
    <w:rsid w:val="00C017A7"/>
    <w:rsid w:val="00C33DBE"/>
    <w:rsid w:val="00C37512"/>
    <w:rsid w:val="00C468F0"/>
    <w:rsid w:val="00C62A71"/>
    <w:rsid w:val="00C66498"/>
    <w:rsid w:val="00C67F99"/>
    <w:rsid w:val="00C76D3B"/>
    <w:rsid w:val="00C77815"/>
    <w:rsid w:val="00C94145"/>
    <w:rsid w:val="00C96D5A"/>
    <w:rsid w:val="00CA0D98"/>
    <w:rsid w:val="00CA68A2"/>
    <w:rsid w:val="00CE4471"/>
    <w:rsid w:val="00D0711A"/>
    <w:rsid w:val="00D141AA"/>
    <w:rsid w:val="00D17DC0"/>
    <w:rsid w:val="00D40906"/>
    <w:rsid w:val="00D5049A"/>
    <w:rsid w:val="00D5306E"/>
    <w:rsid w:val="00D53FD0"/>
    <w:rsid w:val="00D60EFF"/>
    <w:rsid w:val="00D650D2"/>
    <w:rsid w:val="00D82247"/>
    <w:rsid w:val="00D90E56"/>
    <w:rsid w:val="00D90FF2"/>
    <w:rsid w:val="00D95DBD"/>
    <w:rsid w:val="00DA1AAA"/>
    <w:rsid w:val="00DB5ACE"/>
    <w:rsid w:val="00DD7DB2"/>
    <w:rsid w:val="00DE0F34"/>
    <w:rsid w:val="00DE6B07"/>
    <w:rsid w:val="00DF4680"/>
    <w:rsid w:val="00DF6EED"/>
    <w:rsid w:val="00E02EF1"/>
    <w:rsid w:val="00E0470F"/>
    <w:rsid w:val="00E140E9"/>
    <w:rsid w:val="00E30F2B"/>
    <w:rsid w:val="00E30F3E"/>
    <w:rsid w:val="00E3249E"/>
    <w:rsid w:val="00E672BE"/>
    <w:rsid w:val="00E754E8"/>
    <w:rsid w:val="00E75E2F"/>
    <w:rsid w:val="00EB1D71"/>
    <w:rsid w:val="00EC736E"/>
    <w:rsid w:val="00EE7091"/>
    <w:rsid w:val="00F13727"/>
    <w:rsid w:val="00F14958"/>
    <w:rsid w:val="00F17F9A"/>
    <w:rsid w:val="00F21301"/>
    <w:rsid w:val="00F22945"/>
    <w:rsid w:val="00F26D90"/>
    <w:rsid w:val="00F27256"/>
    <w:rsid w:val="00F47AAA"/>
    <w:rsid w:val="00F52C01"/>
    <w:rsid w:val="00F61010"/>
    <w:rsid w:val="00F65676"/>
    <w:rsid w:val="00F67CF9"/>
    <w:rsid w:val="00FA033E"/>
    <w:rsid w:val="00FA1FD0"/>
    <w:rsid w:val="00FA2791"/>
    <w:rsid w:val="00FA2911"/>
    <w:rsid w:val="00FA6340"/>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character" w:customStyle="1" w:styleId="FooterChar">
    <w:name w:val="Footer Char"/>
    <w:basedOn w:val="DefaultParagraphFont"/>
    <w:link w:val="Footer"/>
    <w:uiPriority w:val="99"/>
    <w:rsid w:val="008B4F9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character" w:customStyle="1" w:styleId="FooterChar">
    <w:name w:val="Footer Char"/>
    <w:basedOn w:val="DefaultParagraphFont"/>
    <w:link w:val="Footer"/>
    <w:uiPriority w:val="99"/>
    <w:rsid w:val="008B4F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m.bird@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yrva.freeman@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2014-10-10T14:46:00Z</cp:lastPrinted>
  <dcterms:created xsi:type="dcterms:W3CDTF">2014-10-16T14:05:00Z</dcterms:created>
  <dcterms:modified xsi:type="dcterms:W3CDTF">2014-10-16T14:05:00Z</dcterms:modified>
  <cp:category> </cp:category>
  <cp:contentStatus> </cp:contentStatus>
</cp:coreProperties>
</file>