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6B" w:rsidRPr="0031442D" w:rsidRDefault="00820307" w:rsidP="00C82B6B">
      <w:pPr>
        <w:jc w:val="right"/>
        <w:rPr>
          <w:b/>
          <w:sz w:val="24"/>
        </w:rPr>
      </w:pPr>
      <w:bookmarkStart w:id="0" w:name="_GoBack"/>
      <w:bookmarkEnd w:id="0"/>
      <w:r w:rsidRPr="0031442D">
        <w:rPr>
          <w:b/>
          <w:sz w:val="24"/>
        </w:rPr>
        <w:t>DA 14-</w:t>
      </w:r>
      <w:r w:rsidR="007C347F">
        <w:rPr>
          <w:b/>
          <w:sz w:val="24"/>
        </w:rPr>
        <w:t>1499</w:t>
      </w:r>
    </w:p>
    <w:p w:rsidR="00C82B6B" w:rsidRPr="0031442D" w:rsidRDefault="00820307" w:rsidP="00C82B6B">
      <w:pPr>
        <w:spacing w:before="60"/>
        <w:jc w:val="right"/>
        <w:rPr>
          <w:b/>
          <w:sz w:val="24"/>
        </w:rPr>
      </w:pPr>
      <w:r w:rsidRPr="0031442D">
        <w:rPr>
          <w:b/>
          <w:sz w:val="24"/>
        </w:rPr>
        <w:t>Release: October 16, 2014</w:t>
      </w:r>
    </w:p>
    <w:p w:rsidR="00C82B6B" w:rsidRDefault="00C82B6B" w:rsidP="00C82B6B">
      <w:pPr>
        <w:jc w:val="right"/>
        <w:rPr>
          <w:sz w:val="24"/>
        </w:rPr>
      </w:pPr>
    </w:p>
    <w:p w:rsidR="00EB0D2E" w:rsidRDefault="00EB0D2E" w:rsidP="00F95ABE">
      <w:pPr>
        <w:widowControl/>
        <w:jc w:val="center"/>
        <w:rPr>
          <w:b/>
        </w:rPr>
      </w:pPr>
      <w:r w:rsidRPr="00A2522B">
        <w:rPr>
          <w:b/>
          <w:bCs/>
        </w:rPr>
        <w:t>WIRELINE COMPETITION BUREAU</w:t>
      </w:r>
      <w:r>
        <w:rPr>
          <w:b/>
          <w:bCs/>
        </w:rPr>
        <w:t xml:space="preserve">, WIRELESS TELECOMMUNICATIONS BUREAU, AND THE OFFICE OF ENGINEERING AND TECHNOLOGY </w:t>
      </w:r>
      <w:r w:rsidRPr="00A2522B">
        <w:rPr>
          <w:b/>
          <w:bCs/>
        </w:rPr>
        <w:t xml:space="preserve">SEEK COMMENT ON PROPOSED </w:t>
      </w:r>
      <w:r w:rsidRPr="00A2522B">
        <w:rPr>
          <w:b/>
        </w:rPr>
        <w:t xml:space="preserve">METHODOLOGY FOR </w:t>
      </w:r>
      <w:r>
        <w:rPr>
          <w:b/>
        </w:rPr>
        <w:t xml:space="preserve">CONNECT AMERICA </w:t>
      </w:r>
      <w:r w:rsidRPr="00A2522B">
        <w:rPr>
          <w:b/>
        </w:rPr>
        <w:t>HIGH-COST UNIVERSAL SERVICE SUPPORT RECIPIENTS TO MEASURE AND REPORT SPEED</w:t>
      </w:r>
      <w:r>
        <w:rPr>
          <w:b/>
        </w:rPr>
        <w:t xml:space="preserve"> AND</w:t>
      </w:r>
    </w:p>
    <w:p w:rsidR="00F95ABE" w:rsidRDefault="00EB0D2E" w:rsidP="00F95ABE">
      <w:pPr>
        <w:widowControl/>
        <w:jc w:val="center"/>
        <w:rPr>
          <w:b/>
        </w:rPr>
      </w:pPr>
      <w:r w:rsidRPr="00A2522B">
        <w:rPr>
          <w:b/>
        </w:rPr>
        <w:t xml:space="preserve">LATENCY PERFORMANCE </w:t>
      </w:r>
      <w:r>
        <w:rPr>
          <w:b/>
        </w:rPr>
        <w:t>TO</w:t>
      </w:r>
      <w:r w:rsidRPr="00A2522B">
        <w:rPr>
          <w:b/>
        </w:rPr>
        <w:t xml:space="preserve"> </w:t>
      </w:r>
      <w:r>
        <w:rPr>
          <w:b/>
        </w:rPr>
        <w:t>FIXED LOCATIONS</w:t>
      </w:r>
    </w:p>
    <w:p w:rsidR="00ED6F01" w:rsidRDefault="00ED6F01" w:rsidP="00F95ABE">
      <w:pPr>
        <w:widowControl/>
        <w:jc w:val="center"/>
        <w:rPr>
          <w:b/>
        </w:rPr>
      </w:pPr>
    </w:p>
    <w:p w:rsidR="00ED6F01" w:rsidRPr="00AE0EC1" w:rsidRDefault="00ED6F01" w:rsidP="00F95ABE">
      <w:pPr>
        <w:widowControl/>
        <w:jc w:val="center"/>
        <w:rPr>
          <w:b/>
          <w:bCs/>
        </w:rPr>
      </w:pPr>
      <w:r>
        <w:rPr>
          <w:b/>
        </w:rPr>
        <w:t>WC Docket No. 10-90</w:t>
      </w:r>
    </w:p>
    <w:p w:rsidR="00820307" w:rsidRPr="0031442D" w:rsidRDefault="00820307" w:rsidP="0031442D">
      <w:pPr>
        <w:pStyle w:val="CommentText"/>
      </w:pPr>
    </w:p>
    <w:p w:rsidR="00914173" w:rsidRPr="00AE0EC1" w:rsidRDefault="00914173" w:rsidP="00914173">
      <w:pPr>
        <w:pStyle w:val="Paranum0"/>
        <w:ind w:firstLine="0"/>
        <w:jc w:val="left"/>
        <w:rPr>
          <w:b/>
          <w:bCs/>
        </w:rPr>
      </w:pPr>
      <w:bookmarkStart w:id="1" w:name="TOChere"/>
      <w:r w:rsidRPr="00AE0EC1">
        <w:rPr>
          <w:b/>
          <w:bCs/>
        </w:rPr>
        <w:t xml:space="preserve">Comments: </w:t>
      </w:r>
      <w:r w:rsidR="00C41C57">
        <w:rPr>
          <w:b/>
          <w:bCs/>
        </w:rPr>
        <w:t>(</w:t>
      </w:r>
      <w:bookmarkStart w:id="2" w:name="_DV_M6"/>
      <w:bookmarkEnd w:id="2"/>
      <w:r w:rsidR="005458E9">
        <w:rPr>
          <w:b/>
          <w:bCs/>
        </w:rPr>
        <w:t xml:space="preserve">30 </w:t>
      </w:r>
      <w:r w:rsidRPr="00AE0EC1">
        <w:rPr>
          <w:b/>
          <w:bCs/>
        </w:rPr>
        <w:t xml:space="preserve">days after </w:t>
      </w:r>
      <w:r w:rsidR="00FC5375">
        <w:rPr>
          <w:b/>
          <w:bCs/>
        </w:rPr>
        <w:t xml:space="preserve">date of </w:t>
      </w:r>
      <w:r w:rsidRPr="00AE0EC1">
        <w:rPr>
          <w:b/>
          <w:bCs/>
        </w:rPr>
        <w:t>publication in the Federal Register</w:t>
      </w:r>
      <w:r w:rsidR="00C41C57">
        <w:rPr>
          <w:b/>
          <w:bCs/>
        </w:rPr>
        <w:t>)</w:t>
      </w:r>
    </w:p>
    <w:bookmarkEnd w:id="1"/>
    <w:p w:rsidR="003416DF" w:rsidRDefault="003416DF" w:rsidP="00412FC5">
      <w:pPr>
        <w:pStyle w:val="Heading1"/>
      </w:pPr>
      <w:r>
        <w:t>introduction</w:t>
      </w:r>
    </w:p>
    <w:p w:rsidR="00862A9D" w:rsidRDefault="00862A9D" w:rsidP="0082646C">
      <w:pPr>
        <w:pStyle w:val="ParaNum"/>
      </w:pPr>
      <w:r>
        <w:rPr>
          <w:szCs w:val="22"/>
        </w:rPr>
        <w:t>In this Public Notice, the Wireline Competition Bureau</w:t>
      </w:r>
      <w:r w:rsidR="002C78B0">
        <w:rPr>
          <w:szCs w:val="22"/>
        </w:rPr>
        <w:t xml:space="preserve"> (WCB)</w:t>
      </w:r>
      <w:r w:rsidR="00EB0D2E">
        <w:rPr>
          <w:szCs w:val="22"/>
        </w:rPr>
        <w:t>, the Wireless Telecommunications Bureau (</w:t>
      </w:r>
      <w:r w:rsidR="002C78B0">
        <w:rPr>
          <w:szCs w:val="22"/>
        </w:rPr>
        <w:t xml:space="preserve">together, the </w:t>
      </w:r>
      <w:r w:rsidR="00EB0D2E">
        <w:rPr>
          <w:szCs w:val="22"/>
        </w:rPr>
        <w:t>Bureaus),</w:t>
      </w:r>
      <w:r>
        <w:rPr>
          <w:szCs w:val="22"/>
        </w:rPr>
        <w:t xml:space="preserve"> </w:t>
      </w:r>
      <w:r>
        <w:t>and the Office of Engineering and Technology</w:t>
      </w:r>
      <w:r>
        <w:rPr>
          <w:szCs w:val="22"/>
        </w:rPr>
        <w:t xml:space="preserve"> </w:t>
      </w:r>
      <w:r w:rsidR="00B66340">
        <w:rPr>
          <w:szCs w:val="22"/>
        </w:rPr>
        <w:t xml:space="preserve">(OET) </w:t>
      </w:r>
      <w:r>
        <w:rPr>
          <w:szCs w:val="22"/>
        </w:rPr>
        <w:t xml:space="preserve">seek </w:t>
      </w:r>
      <w:r w:rsidR="00B66340">
        <w:rPr>
          <w:szCs w:val="22"/>
        </w:rPr>
        <w:t xml:space="preserve">to further develop the record </w:t>
      </w:r>
      <w:r>
        <w:rPr>
          <w:szCs w:val="22"/>
        </w:rPr>
        <w:t xml:space="preserve">on how compliance with speed (also referred to as bandwidth) obligations should be determined for </w:t>
      </w:r>
      <w:r w:rsidR="00B66340">
        <w:rPr>
          <w:szCs w:val="22"/>
        </w:rPr>
        <w:t xml:space="preserve">recipients of </w:t>
      </w:r>
      <w:r w:rsidR="00481D88">
        <w:rPr>
          <w:szCs w:val="22"/>
        </w:rPr>
        <w:t>high-cost support that deploy broadband networks</w:t>
      </w:r>
      <w:r w:rsidR="009B1765">
        <w:rPr>
          <w:szCs w:val="22"/>
        </w:rPr>
        <w:t xml:space="preserve"> to serve fixed locations</w:t>
      </w:r>
      <w:r w:rsidR="00481D88">
        <w:rPr>
          <w:szCs w:val="22"/>
        </w:rPr>
        <w:t xml:space="preserve">.  </w:t>
      </w:r>
      <w:r>
        <w:rPr>
          <w:szCs w:val="22"/>
        </w:rPr>
        <w:t xml:space="preserve"> </w:t>
      </w:r>
      <w:r w:rsidR="009962BC">
        <w:rPr>
          <w:szCs w:val="22"/>
        </w:rPr>
        <w:t xml:space="preserve">In addition, </w:t>
      </w:r>
      <w:r w:rsidR="00C1513D">
        <w:rPr>
          <w:szCs w:val="22"/>
        </w:rPr>
        <w:t xml:space="preserve">we </w:t>
      </w:r>
      <w:r w:rsidR="009962BC">
        <w:rPr>
          <w:szCs w:val="22"/>
        </w:rPr>
        <w:t xml:space="preserve">seek comment on whether the same testing methodologies adopted for price cap carriers </w:t>
      </w:r>
      <w:r w:rsidR="003155A8">
        <w:rPr>
          <w:szCs w:val="22"/>
        </w:rPr>
        <w:t xml:space="preserve">accepting model-based Phase II support </w:t>
      </w:r>
      <w:r w:rsidR="009962BC">
        <w:rPr>
          <w:szCs w:val="22"/>
        </w:rPr>
        <w:t xml:space="preserve">should be applied to </w:t>
      </w:r>
      <w:r w:rsidR="00C1513D">
        <w:rPr>
          <w:szCs w:val="22"/>
        </w:rPr>
        <w:t>other recipients of support</w:t>
      </w:r>
      <w:r w:rsidR="009B1765">
        <w:rPr>
          <w:szCs w:val="22"/>
        </w:rPr>
        <w:t xml:space="preserve"> to serve fixed locations</w:t>
      </w:r>
      <w:r w:rsidR="00C1513D">
        <w:rPr>
          <w:szCs w:val="22"/>
        </w:rPr>
        <w:t xml:space="preserve">, such as </w:t>
      </w:r>
      <w:r w:rsidR="009962BC">
        <w:rPr>
          <w:szCs w:val="22"/>
        </w:rPr>
        <w:t xml:space="preserve">rate-of-return </w:t>
      </w:r>
      <w:r w:rsidR="00C1513D">
        <w:rPr>
          <w:szCs w:val="22"/>
        </w:rPr>
        <w:t xml:space="preserve">providers and those that are awarded </w:t>
      </w:r>
      <w:r w:rsidR="00640EC5">
        <w:rPr>
          <w:szCs w:val="22"/>
        </w:rPr>
        <w:t xml:space="preserve">Connect America </w:t>
      </w:r>
      <w:r w:rsidR="00C1513D">
        <w:rPr>
          <w:szCs w:val="22"/>
        </w:rPr>
        <w:t xml:space="preserve">support through a </w:t>
      </w:r>
      <w:r w:rsidR="009962BC">
        <w:rPr>
          <w:szCs w:val="22"/>
        </w:rPr>
        <w:t>competitive bidding pro</w:t>
      </w:r>
      <w:r w:rsidR="00C1513D">
        <w:rPr>
          <w:szCs w:val="22"/>
        </w:rPr>
        <w:t>cess</w:t>
      </w:r>
      <w:r w:rsidR="009962BC">
        <w:rPr>
          <w:szCs w:val="22"/>
        </w:rPr>
        <w:t>.</w:t>
      </w:r>
      <w:r w:rsidR="009B1765">
        <w:rPr>
          <w:rStyle w:val="FootnoteReference"/>
          <w:szCs w:val="22"/>
        </w:rPr>
        <w:footnoteReference w:id="2"/>
      </w:r>
      <w:r w:rsidR="009962BC">
        <w:rPr>
          <w:szCs w:val="22"/>
        </w:rPr>
        <w:t xml:space="preserve">  Finally, </w:t>
      </w:r>
      <w:r w:rsidR="003155A8">
        <w:rPr>
          <w:szCs w:val="22"/>
        </w:rPr>
        <w:t>we</w:t>
      </w:r>
      <w:r>
        <w:rPr>
          <w:szCs w:val="22"/>
        </w:rPr>
        <w:t xml:space="preserve"> seek comment on </w:t>
      </w:r>
      <w:r w:rsidR="003155A8">
        <w:rPr>
          <w:szCs w:val="22"/>
        </w:rPr>
        <w:t xml:space="preserve">the circumstances that would trigger an audit of the speed and latency metrics.  </w:t>
      </w:r>
    </w:p>
    <w:p w:rsidR="00862A9D" w:rsidRDefault="00862A9D" w:rsidP="00862A9D">
      <w:pPr>
        <w:pStyle w:val="Heading1"/>
      </w:pPr>
      <w:r>
        <w:t>background</w:t>
      </w:r>
    </w:p>
    <w:p w:rsidR="00494A12" w:rsidRPr="00494A12" w:rsidRDefault="0082646C" w:rsidP="0031442D">
      <w:pPr>
        <w:pStyle w:val="ParaNum"/>
      </w:pPr>
      <w:r w:rsidRPr="000845B5">
        <w:t xml:space="preserve">In the </w:t>
      </w:r>
      <w:r w:rsidRPr="003155A8">
        <w:rPr>
          <w:i/>
        </w:rPr>
        <w:t>USF/ICC Transformation Order</w:t>
      </w:r>
      <w:r w:rsidRPr="000845B5">
        <w:t xml:space="preserve">, </w:t>
      </w:r>
      <w:r>
        <w:t>the Commission required that as a condition of receiving high-cost universal service support, eligible telecommunications carriers (ETCs) offer broadband service in their supported areas that meets certain basic performance requirements</w:t>
      </w:r>
      <w:r w:rsidR="00FC570E">
        <w:t>.</w:t>
      </w:r>
      <w:r w:rsidR="00FC570E" w:rsidRPr="002D45EB">
        <w:rPr>
          <w:color w:val="000000"/>
          <w:szCs w:val="22"/>
          <w:vertAlign w:val="superscript"/>
        </w:rPr>
        <w:footnoteReference w:id="3"/>
      </w:r>
      <w:r w:rsidR="00FC570E">
        <w:t xml:space="preserve">  </w:t>
      </w:r>
      <w:r w:rsidR="003155A8">
        <w:t xml:space="preserve">In general, as </w:t>
      </w:r>
      <w:r w:rsidR="003155A8" w:rsidRPr="000C4480">
        <w:t xml:space="preserve">a condition of receiving support for voice telephony, </w:t>
      </w:r>
      <w:r w:rsidR="003155A8">
        <w:t>ETCs subject to broadband performance obligations currently are</w:t>
      </w:r>
      <w:r w:rsidR="003155A8" w:rsidRPr="000C4480">
        <w:t xml:space="preserve"> required to “offer broadband at actual speeds of at least 4 Mbps downstream and 1 Mbps upstream, with latency suitable for real-time applications, such as VoIP, and with usage capacity </w:t>
      </w:r>
      <w:r w:rsidR="003155A8" w:rsidRPr="000C4480">
        <w:lastRenderedPageBreak/>
        <w:t>reasonably comparable to that available in comparable offerings in urban areas.”</w:t>
      </w:r>
      <w:r w:rsidR="003155A8" w:rsidRPr="00C85096">
        <w:rPr>
          <w:rStyle w:val="FootnoteReference"/>
          <w:szCs w:val="22"/>
        </w:rPr>
        <w:footnoteReference w:id="4"/>
      </w:r>
      <w:r w:rsidR="003155A8" w:rsidRPr="000C4480">
        <w:t xml:space="preserve">  </w:t>
      </w:r>
      <w:r w:rsidR="005770CF">
        <w:t xml:space="preserve">In addition, the </w:t>
      </w:r>
      <w:r w:rsidR="005770CF" w:rsidRPr="000845B5">
        <w:t xml:space="preserve">Commission </w:t>
      </w:r>
      <w:r w:rsidR="005770CF">
        <w:t>required</w:t>
      </w:r>
      <w:r w:rsidR="005770CF" w:rsidRPr="000845B5">
        <w:t xml:space="preserve"> that recipients of </w:t>
      </w:r>
      <w:r w:rsidR="005770CF">
        <w:t xml:space="preserve">high-cost </w:t>
      </w:r>
      <w:r w:rsidR="005770CF" w:rsidRPr="000845B5">
        <w:t xml:space="preserve">universal service </w:t>
      </w:r>
      <w:r w:rsidR="005770CF">
        <w:t>support</w:t>
      </w:r>
      <w:r w:rsidR="005770CF" w:rsidRPr="000845B5">
        <w:t xml:space="preserve"> test their broadband networks for compliance with speed and latency metrics</w:t>
      </w:r>
      <w:r w:rsidR="00B66340">
        <w:t xml:space="preserve">, </w:t>
      </w:r>
      <w:r w:rsidR="005770CF" w:rsidRPr="000845B5">
        <w:t xml:space="preserve">certify and report the results to the Universal Service Administrative Company </w:t>
      </w:r>
      <w:r w:rsidR="005770CF">
        <w:t xml:space="preserve">(USAC) and the relevant state or tribal government </w:t>
      </w:r>
      <w:r w:rsidR="005770CF" w:rsidRPr="000845B5">
        <w:t>on an annual basis</w:t>
      </w:r>
      <w:r w:rsidR="00B66340">
        <w:t>, with those results subject to audit</w:t>
      </w:r>
      <w:r w:rsidR="005770CF" w:rsidRPr="000845B5">
        <w:t>.</w:t>
      </w:r>
      <w:r w:rsidR="005770CF" w:rsidRPr="00607482">
        <w:rPr>
          <w:vertAlign w:val="superscript"/>
        </w:rPr>
        <w:footnoteReference w:id="5"/>
      </w:r>
      <w:r w:rsidR="005770CF" w:rsidRPr="000845B5">
        <w:t xml:space="preserve"> </w:t>
      </w:r>
      <w:r w:rsidR="005770CF">
        <w:t xml:space="preserve"> In the </w:t>
      </w:r>
      <w:r w:rsidR="00B66340">
        <w:t xml:space="preserve">2011 </w:t>
      </w:r>
      <w:r w:rsidR="005770CF" w:rsidRPr="003155A8">
        <w:rPr>
          <w:i/>
        </w:rPr>
        <w:t>USF/ICC Transformation FNPRM</w:t>
      </w:r>
      <w:r w:rsidR="005770CF">
        <w:t xml:space="preserve">, the Commission sought comment on the specific methodology ETCs should use to measure the performance of their </w:t>
      </w:r>
      <w:r w:rsidR="005770CF" w:rsidRPr="000845B5">
        <w:t>broadband services subject to these general guidelines, and the format</w:t>
      </w:r>
      <w:r w:rsidR="005770CF">
        <w:t xml:space="preserve"> in which </w:t>
      </w:r>
      <w:r w:rsidR="005770CF" w:rsidRPr="000845B5">
        <w:t>funding recipients should report their results.</w:t>
      </w:r>
      <w:r w:rsidR="005770CF" w:rsidRPr="00607482">
        <w:rPr>
          <w:vertAlign w:val="superscript"/>
        </w:rPr>
        <w:footnoteReference w:id="6"/>
      </w:r>
      <w:r w:rsidR="005770CF">
        <w:t xml:space="preserve">  </w:t>
      </w:r>
      <w:r w:rsidR="00481D88">
        <w:t>It directed the Bureau</w:t>
      </w:r>
      <w:r w:rsidR="002C78B0">
        <w:t xml:space="preserve">s </w:t>
      </w:r>
      <w:r w:rsidR="00481D88">
        <w:t>and OET to work together to refine the methodology for implementation.</w:t>
      </w:r>
      <w:r w:rsidR="00820307">
        <w:rPr>
          <w:rStyle w:val="FootnoteReference"/>
        </w:rPr>
        <w:footnoteReference w:id="7"/>
      </w:r>
      <w:r w:rsidR="00481D88">
        <w:t xml:space="preserve">  </w:t>
      </w:r>
    </w:p>
    <w:p w:rsidR="00FA184D" w:rsidRPr="005770CF" w:rsidRDefault="003155A8" w:rsidP="00B95109">
      <w:pPr>
        <w:pStyle w:val="ParaNum"/>
      </w:pPr>
      <w:r>
        <w:t xml:space="preserve">Subsequently, in </w:t>
      </w:r>
      <w:r w:rsidR="002E29D4">
        <w:rPr>
          <w:szCs w:val="22"/>
        </w:rPr>
        <w:t>October 2013</w:t>
      </w:r>
      <w:r w:rsidR="00DD5FBA">
        <w:rPr>
          <w:szCs w:val="22"/>
        </w:rPr>
        <w:t xml:space="preserve">, </w:t>
      </w:r>
      <w:r w:rsidR="002C78B0">
        <w:rPr>
          <w:szCs w:val="22"/>
        </w:rPr>
        <w:t>WC</w:t>
      </w:r>
      <w:r w:rsidR="002C78B0" w:rsidRPr="002C78B0">
        <w:rPr>
          <w:szCs w:val="22"/>
        </w:rPr>
        <w:t>B</w:t>
      </w:r>
      <w:r w:rsidR="00DD5FBA">
        <w:rPr>
          <w:szCs w:val="22"/>
        </w:rPr>
        <w:t xml:space="preserve"> </w:t>
      </w:r>
      <w:r w:rsidR="00E10F55">
        <w:rPr>
          <w:szCs w:val="22"/>
        </w:rPr>
        <w:t>further defin</w:t>
      </w:r>
      <w:r w:rsidR="00640EC5">
        <w:rPr>
          <w:szCs w:val="22"/>
        </w:rPr>
        <w:t>ed</w:t>
      </w:r>
      <w:r w:rsidR="00B95109" w:rsidRPr="002D45EB">
        <w:rPr>
          <w:szCs w:val="22"/>
        </w:rPr>
        <w:t xml:space="preserve"> </w:t>
      </w:r>
      <w:r w:rsidR="00B95109">
        <w:rPr>
          <w:szCs w:val="22"/>
        </w:rPr>
        <w:t xml:space="preserve">the service obligations of price cap carriers that </w:t>
      </w:r>
      <w:r w:rsidR="00B95109" w:rsidRPr="002D45EB">
        <w:rPr>
          <w:szCs w:val="22"/>
        </w:rPr>
        <w:t>accept Phase II model-based support through the state-level commitment process.</w:t>
      </w:r>
      <w:r w:rsidR="00B95109" w:rsidRPr="00C85096">
        <w:rPr>
          <w:rStyle w:val="FootnoteReference"/>
          <w:szCs w:val="22"/>
        </w:rPr>
        <w:footnoteReference w:id="8"/>
      </w:r>
      <w:r w:rsidR="00B95109" w:rsidRPr="002D45EB">
        <w:rPr>
          <w:szCs w:val="22"/>
        </w:rPr>
        <w:t xml:space="preserve"> </w:t>
      </w:r>
      <w:r w:rsidR="00C67F1E">
        <w:rPr>
          <w:szCs w:val="22"/>
        </w:rPr>
        <w:t xml:space="preserve"> </w:t>
      </w:r>
      <w:r w:rsidR="00E10F55">
        <w:rPr>
          <w:szCs w:val="22"/>
        </w:rPr>
        <w:t>I</w:t>
      </w:r>
      <w:r>
        <w:rPr>
          <w:szCs w:val="22"/>
        </w:rPr>
        <w:t>t concluded that p</w:t>
      </w:r>
      <w:r w:rsidR="009B64AC">
        <w:rPr>
          <w:szCs w:val="22"/>
        </w:rPr>
        <w:t xml:space="preserve">rice cap carriers </w:t>
      </w:r>
      <w:r w:rsidR="00C67F1E">
        <w:rPr>
          <w:szCs w:val="22"/>
        </w:rPr>
        <w:t xml:space="preserve">must </w:t>
      </w:r>
      <w:r>
        <w:rPr>
          <w:szCs w:val="22"/>
        </w:rPr>
        <w:t xml:space="preserve">be prepared to demonstrate </w:t>
      </w:r>
      <w:r w:rsidR="00C67F1E">
        <w:rPr>
          <w:szCs w:val="22"/>
        </w:rPr>
        <w:t xml:space="preserve">a provider </w:t>
      </w:r>
      <w:r w:rsidR="00B17E52">
        <w:rPr>
          <w:szCs w:val="22"/>
        </w:rPr>
        <w:t>round-</w:t>
      </w:r>
      <w:r w:rsidR="00C67F1E">
        <w:rPr>
          <w:szCs w:val="22"/>
        </w:rPr>
        <w:t>trip latency o</w:t>
      </w:r>
      <w:r w:rsidR="002E29D4">
        <w:rPr>
          <w:szCs w:val="22"/>
        </w:rPr>
        <w:t>f 100 milliseconds (ms) or less</w:t>
      </w:r>
      <w:r>
        <w:rPr>
          <w:szCs w:val="22"/>
        </w:rPr>
        <w:t xml:space="preserve"> to meet the Commission’s latency requirement</w:t>
      </w:r>
      <w:r w:rsidR="002E29D4">
        <w:rPr>
          <w:szCs w:val="22"/>
        </w:rPr>
        <w:t>.</w:t>
      </w:r>
      <w:r w:rsidR="002E5385">
        <w:rPr>
          <w:szCs w:val="22"/>
        </w:rPr>
        <w:t xml:space="preserve">  </w:t>
      </w:r>
      <w:r w:rsidR="00ED73F7">
        <w:rPr>
          <w:szCs w:val="22"/>
        </w:rPr>
        <w:t xml:space="preserve">To show compliance with latency obligations, a price cap provider must certify that 95 percent or more of all peak period measurements (also referred to as observations) of network round trip latency are at or below 100 ms when measured during the peak period between the customer premises and the </w:t>
      </w:r>
      <w:r w:rsidR="00E24225">
        <w:rPr>
          <w:szCs w:val="22"/>
        </w:rPr>
        <w:t xml:space="preserve">nearest </w:t>
      </w:r>
      <w:r w:rsidR="00ED73F7">
        <w:rPr>
          <w:szCs w:val="22"/>
        </w:rPr>
        <w:t xml:space="preserve">designated Internet core peering interconnection point (IXP).  The measurements </w:t>
      </w:r>
      <w:r w:rsidR="00A52E21">
        <w:rPr>
          <w:szCs w:val="22"/>
        </w:rPr>
        <w:t>must be</w:t>
      </w:r>
      <w:r w:rsidR="00ED73F7">
        <w:rPr>
          <w:szCs w:val="22"/>
        </w:rPr>
        <w:t xml:space="preserve"> conducted over a minimum of two consecutive weeks during peak hours for at least 50 randomly-selected customer locations within the census blocks of each state for which the provider is receiving model-based support using existing network management systems, ping tests, or other commonly available network measurement tools.  </w:t>
      </w:r>
      <w:r w:rsidR="00A52E21">
        <w:rPr>
          <w:szCs w:val="22"/>
        </w:rPr>
        <w:t xml:space="preserve">Alternatively, carriers participating in the </w:t>
      </w:r>
      <w:r w:rsidR="0073168D">
        <w:rPr>
          <w:szCs w:val="22"/>
        </w:rPr>
        <w:t>Measuring Broadband America (</w:t>
      </w:r>
      <w:r w:rsidR="00A52E21">
        <w:rPr>
          <w:szCs w:val="22"/>
        </w:rPr>
        <w:t>MBA</w:t>
      </w:r>
      <w:r w:rsidR="00AB2012">
        <w:rPr>
          <w:szCs w:val="22"/>
        </w:rPr>
        <w:t xml:space="preserve">) </w:t>
      </w:r>
      <w:r w:rsidR="00A52E21">
        <w:rPr>
          <w:szCs w:val="22"/>
        </w:rPr>
        <w:t xml:space="preserve">program may use the results from that testing to support </w:t>
      </w:r>
      <w:r>
        <w:rPr>
          <w:szCs w:val="22"/>
        </w:rPr>
        <w:t xml:space="preserve">their </w:t>
      </w:r>
      <w:r w:rsidR="00A52E21">
        <w:rPr>
          <w:szCs w:val="22"/>
        </w:rPr>
        <w:t>certification that they meet the latency requirement</w:t>
      </w:r>
      <w:r>
        <w:rPr>
          <w:szCs w:val="22"/>
        </w:rPr>
        <w:t xml:space="preserve">, so long as they </w:t>
      </w:r>
      <w:r w:rsidR="00A52E21">
        <w:rPr>
          <w:szCs w:val="22"/>
        </w:rPr>
        <w:t>dep</w:t>
      </w:r>
      <w:r w:rsidR="00F95ABE">
        <w:rPr>
          <w:szCs w:val="22"/>
        </w:rPr>
        <w:t>loy at least 50 white</w:t>
      </w:r>
      <w:r w:rsidR="00A52E21">
        <w:rPr>
          <w:szCs w:val="22"/>
        </w:rPr>
        <w:t>boxes to customers within the Phase II-funded areas within each state and certify that 95 percent or more of the measurements taken during peak periods for a period of two weeks were at or below 100 ms.</w:t>
      </w:r>
      <w:r w:rsidR="00A5038E">
        <w:rPr>
          <w:szCs w:val="22"/>
        </w:rPr>
        <w:t xml:space="preserve">  The </w:t>
      </w:r>
      <w:r w:rsidR="0093356F">
        <w:rPr>
          <w:szCs w:val="22"/>
        </w:rPr>
        <w:t xml:space="preserve">provider is responsible for the </w:t>
      </w:r>
      <w:r w:rsidR="00A5038E">
        <w:rPr>
          <w:szCs w:val="22"/>
        </w:rPr>
        <w:t>hardware and administrative costs of these whiteboxes</w:t>
      </w:r>
      <w:r w:rsidR="00596DB0">
        <w:rPr>
          <w:szCs w:val="22"/>
        </w:rPr>
        <w:t xml:space="preserve"> to the extent such whiteboxes are in addition to </w:t>
      </w:r>
      <w:r w:rsidR="00EE2094">
        <w:rPr>
          <w:szCs w:val="22"/>
        </w:rPr>
        <w:t>those</w:t>
      </w:r>
      <w:r w:rsidR="00596DB0">
        <w:rPr>
          <w:szCs w:val="22"/>
        </w:rPr>
        <w:t xml:space="preserve"> deployed as part of the MBA testing</w:t>
      </w:r>
      <w:r w:rsidR="00A5038E">
        <w:rPr>
          <w:szCs w:val="22"/>
        </w:rPr>
        <w:t>.</w:t>
      </w:r>
      <w:r w:rsidR="005770CF">
        <w:rPr>
          <w:szCs w:val="22"/>
        </w:rPr>
        <w:t xml:space="preserve">  </w:t>
      </w:r>
    </w:p>
    <w:p w:rsidR="005770CF" w:rsidRDefault="004B0A47" w:rsidP="00B95109">
      <w:pPr>
        <w:pStyle w:val="ParaNum"/>
      </w:pPr>
      <w:r>
        <w:rPr>
          <w:szCs w:val="22"/>
        </w:rPr>
        <w:t xml:space="preserve">In its recent </w:t>
      </w:r>
      <w:r w:rsidRPr="006C168A">
        <w:rPr>
          <w:i/>
          <w:szCs w:val="22"/>
        </w:rPr>
        <w:t>Connect America Fund Further Notice of Proposed Rulemaking</w:t>
      </w:r>
      <w:r>
        <w:rPr>
          <w:szCs w:val="22"/>
        </w:rPr>
        <w:t xml:space="preserve">, the Commission </w:t>
      </w:r>
      <w:r w:rsidR="009A2A41">
        <w:rPr>
          <w:szCs w:val="22"/>
        </w:rPr>
        <w:t xml:space="preserve">sought comment on </w:t>
      </w:r>
      <w:r w:rsidR="003155A8">
        <w:rPr>
          <w:szCs w:val="22"/>
        </w:rPr>
        <w:t xml:space="preserve">a number of proposals regarding </w:t>
      </w:r>
      <w:r w:rsidR="009A2A41">
        <w:rPr>
          <w:szCs w:val="22"/>
        </w:rPr>
        <w:t xml:space="preserve">broadband providers’ service obligations.  </w:t>
      </w:r>
      <w:r w:rsidR="006C168A">
        <w:rPr>
          <w:szCs w:val="22"/>
        </w:rPr>
        <w:t>T</w:t>
      </w:r>
      <w:r w:rsidR="009A2A41">
        <w:rPr>
          <w:szCs w:val="22"/>
        </w:rPr>
        <w:t>he Commission proposed that the downstream speed requirement be increased from 4 Mbps to 10 Mbps</w:t>
      </w:r>
      <w:r w:rsidR="00474DBF">
        <w:rPr>
          <w:szCs w:val="22"/>
        </w:rPr>
        <w:t xml:space="preserve"> for the Connect America Fund</w:t>
      </w:r>
      <w:r w:rsidR="009A2A41">
        <w:rPr>
          <w:szCs w:val="22"/>
        </w:rPr>
        <w:t>.</w:t>
      </w:r>
      <w:r w:rsidR="009A2A41">
        <w:rPr>
          <w:rStyle w:val="FootnoteReference"/>
          <w:szCs w:val="22"/>
        </w:rPr>
        <w:footnoteReference w:id="9"/>
      </w:r>
      <w:r w:rsidR="009A2A41">
        <w:rPr>
          <w:szCs w:val="22"/>
        </w:rPr>
        <w:t xml:space="preserve">  The Commission also proposed extending the latency standards </w:t>
      </w:r>
      <w:r w:rsidR="00C1513D">
        <w:rPr>
          <w:szCs w:val="22"/>
        </w:rPr>
        <w:t xml:space="preserve">previously </w:t>
      </w:r>
      <w:r w:rsidR="003155A8">
        <w:rPr>
          <w:szCs w:val="22"/>
        </w:rPr>
        <w:t xml:space="preserve">implemented </w:t>
      </w:r>
      <w:r w:rsidR="009A2A41">
        <w:rPr>
          <w:szCs w:val="22"/>
        </w:rPr>
        <w:t xml:space="preserve">for price cap carriers </w:t>
      </w:r>
      <w:r w:rsidR="00C1513D">
        <w:rPr>
          <w:szCs w:val="22"/>
        </w:rPr>
        <w:t xml:space="preserve">accepting Phase II model-based support </w:t>
      </w:r>
      <w:r w:rsidR="009A2A41">
        <w:rPr>
          <w:szCs w:val="22"/>
        </w:rPr>
        <w:t xml:space="preserve">to rate-of-return </w:t>
      </w:r>
      <w:r w:rsidR="00C1513D">
        <w:rPr>
          <w:szCs w:val="22"/>
        </w:rPr>
        <w:t xml:space="preserve">carriers </w:t>
      </w:r>
      <w:r w:rsidR="009A2A41">
        <w:rPr>
          <w:szCs w:val="22"/>
        </w:rPr>
        <w:t xml:space="preserve">and </w:t>
      </w:r>
      <w:r w:rsidR="00C1513D">
        <w:rPr>
          <w:szCs w:val="22"/>
        </w:rPr>
        <w:t>ETCs that receive Connect America support through a competitive bidding process</w:t>
      </w:r>
      <w:r w:rsidR="009A2A41">
        <w:rPr>
          <w:szCs w:val="22"/>
        </w:rPr>
        <w:t>.</w:t>
      </w:r>
      <w:r w:rsidR="009A2A41">
        <w:rPr>
          <w:rStyle w:val="FootnoteReference"/>
          <w:szCs w:val="22"/>
        </w:rPr>
        <w:footnoteReference w:id="10"/>
      </w:r>
      <w:r w:rsidR="009A2A41">
        <w:rPr>
          <w:szCs w:val="22"/>
        </w:rPr>
        <w:t xml:space="preserve"> </w:t>
      </w:r>
      <w:r>
        <w:rPr>
          <w:szCs w:val="22"/>
        </w:rPr>
        <w:t xml:space="preserve"> </w:t>
      </w:r>
    </w:p>
    <w:p w:rsidR="005A042F" w:rsidRPr="00036AF5" w:rsidRDefault="00D40DA1" w:rsidP="005A042F">
      <w:pPr>
        <w:pStyle w:val="Heading1"/>
      </w:pPr>
      <w:r>
        <w:t>measuring compliance with service obligations</w:t>
      </w:r>
    </w:p>
    <w:p w:rsidR="00036AF5" w:rsidRDefault="00077CF7" w:rsidP="00077CF7">
      <w:pPr>
        <w:pStyle w:val="Heading2"/>
      </w:pPr>
      <w:r>
        <w:t>Speed Performance Measurement</w:t>
      </w:r>
    </w:p>
    <w:p w:rsidR="00077CF7" w:rsidRPr="00877A2C" w:rsidRDefault="00103EE7" w:rsidP="00077CF7">
      <w:pPr>
        <w:pStyle w:val="ParaNum"/>
      </w:pPr>
      <w:r>
        <w:t xml:space="preserve">The record received in response to the 2011 </w:t>
      </w:r>
      <w:r w:rsidRPr="002F5939">
        <w:rPr>
          <w:i/>
          <w:szCs w:val="22"/>
        </w:rPr>
        <w:t>USF/ICC Transformation Order FNPRM</w:t>
      </w:r>
      <w:r>
        <w:t xml:space="preserve"> on the methodology to be implemented for testing compliance with service obligations was not well developed.  We now seek to refresh the record on the methodology to be used for demonstrating </w:t>
      </w:r>
      <w:r w:rsidR="00EF221C">
        <w:t xml:space="preserve">compliance with the </w:t>
      </w:r>
      <w:r>
        <w:t xml:space="preserve">speed </w:t>
      </w:r>
      <w:r w:rsidR="00EF221C">
        <w:t>obligation</w:t>
      </w:r>
      <w:r>
        <w:t xml:space="preserve"> for </w:t>
      </w:r>
      <w:r w:rsidR="00640EC5">
        <w:t>ETCs</w:t>
      </w:r>
      <w:r w:rsidR="00F74F18">
        <w:t xml:space="preserve"> that </w:t>
      </w:r>
      <w:r w:rsidR="00D37608">
        <w:t xml:space="preserve">receive high cost support to </w:t>
      </w:r>
      <w:r w:rsidR="00F74F18">
        <w:t>deploy broadband networks</w:t>
      </w:r>
      <w:r w:rsidR="00D37608">
        <w:t xml:space="preserve"> to fixed locations</w:t>
      </w:r>
      <w:r w:rsidR="00EF221C">
        <w:rPr>
          <w:szCs w:val="22"/>
        </w:rPr>
        <w:t>.</w:t>
      </w:r>
      <w:r w:rsidR="009F619F">
        <w:rPr>
          <w:rStyle w:val="FootnoteReference"/>
          <w:szCs w:val="22"/>
        </w:rPr>
        <w:footnoteReference w:id="11"/>
      </w:r>
      <w:r w:rsidR="00EF221C">
        <w:rPr>
          <w:szCs w:val="22"/>
        </w:rPr>
        <w:t xml:space="preserve">  </w:t>
      </w:r>
      <w:r w:rsidR="00B10960">
        <w:rPr>
          <w:szCs w:val="22"/>
        </w:rPr>
        <w:t>Should internal network management system (NMS) tools be used to measure speed performance?</w:t>
      </w:r>
      <w:r w:rsidR="00E67664">
        <w:rPr>
          <w:szCs w:val="22"/>
        </w:rPr>
        <w:t xml:space="preserve">  </w:t>
      </w:r>
      <w:r w:rsidR="00B10960">
        <w:rPr>
          <w:szCs w:val="22"/>
        </w:rPr>
        <w:t>Alternatively, should external measurement tools such as Speedtest/Ook</w:t>
      </w:r>
      <w:r w:rsidR="00DC7653">
        <w:rPr>
          <w:szCs w:val="22"/>
        </w:rPr>
        <w:t>l</w:t>
      </w:r>
      <w:r w:rsidR="00B10960">
        <w:rPr>
          <w:szCs w:val="22"/>
        </w:rPr>
        <w:t>a or Network Diagnostic Tests (NDT) by M-Labs?  Are there better and more reliable methods</w:t>
      </w:r>
      <w:r w:rsidR="00E67664">
        <w:rPr>
          <w:szCs w:val="22"/>
        </w:rPr>
        <w:t xml:space="preserve"> of measuring speed?  </w:t>
      </w:r>
    </w:p>
    <w:p w:rsidR="00447944" w:rsidRPr="00447944" w:rsidRDefault="00877A2C" w:rsidP="00077CF7">
      <w:pPr>
        <w:pStyle w:val="ParaNum"/>
      </w:pPr>
      <w:r w:rsidRPr="00447944">
        <w:rPr>
          <w:szCs w:val="22"/>
        </w:rPr>
        <w:t xml:space="preserve">Internal NMS tools vary among providers.  How can the Commission ensure that internal NMS tool measurements are valid?  Will </w:t>
      </w:r>
      <w:r w:rsidR="00447944" w:rsidRPr="00447944">
        <w:rPr>
          <w:szCs w:val="22"/>
        </w:rPr>
        <w:t>such</w:t>
      </w:r>
      <w:r w:rsidRPr="00447944">
        <w:rPr>
          <w:szCs w:val="22"/>
        </w:rPr>
        <w:t xml:space="preserve"> tools account for multiple </w:t>
      </w:r>
      <w:r w:rsidR="00447944" w:rsidRPr="00447944">
        <w:rPr>
          <w:szCs w:val="22"/>
        </w:rPr>
        <w:t>transmission control protocol (</w:t>
      </w:r>
      <w:r w:rsidRPr="00447944">
        <w:rPr>
          <w:szCs w:val="22"/>
        </w:rPr>
        <w:t>TCP</w:t>
      </w:r>
      <w:r w:rsidR="00447944" w:rsidRPr="00447944">
        <w:rPr>
          <w:szCs w:val="22"/>
        </w:rPr>
        <w:t>)</w:t>
      </w:r>
      <w:r w:rsidRPr="00447944">
        <w:rPr>
          <w:szCs w:val="22"/>
        </w:rPr>
        <w:t xml:space="preserve"> streams, TCP window sizes, </w:t>
      </w:r>
      <w:r w:rsidR="00AC6739">
        <w:rPr>
          <w:szCs w:val="22"/>
        </w:rPr>
        <w:t xml:space="preserve">TCP slow start, </w:t>
      </w:r>
      <w:r w:rsidRPr="00447944">
        <w:rPr>
          <w:szCs w:val="22"/>
        </w:rPr>
        <w:t xml:space="preserve">and </w:t>
      </w:r>
      <w:r w:rsidR="00AC6739">
        <w:rPr>
          <w:szCs w:val="22"/>
        </w:rPr>
        <w:t xml:space="preserve">other </w:t>
      </w:r>
      <w:r w:rsidRPr="00447944">
        <w:rPr>
          <w:szCs w:val="22"/>
        </w:rPr>
        <w:t xml:space="preserve">factors in speed measurement?  </w:t>
      </w:r>
      <w:r w:rsidR="00447944" w:rsidRPr="00447944">
        <w:rPr>
          <w:szCs w:val="22"/>
        </w:rPr>
        <w:t xml:space="preserve">How would measurements from such tools be verified?  </w:t>
      </w:r>
      <w:r w:rsidRPr="00447944">
        <w:rPr>
          <w:szCs w:val="22"/>
        </w:rPr>
        <w:t>Are these types of tools to</w:t>
      </w:r>
      <w:r w:rsidR="00447944" w:rsidRPr="00447944">
        <w:rPr>
          <w:szCs w:val="22"/>
        </w:rPr>
        <w:t>o</w:t>
      </w:r>
      <w:r w:rsidRPr="00447944">
        <w:rPr>
          <w:szCs w:val="22"/>
        </w:rPr>
        <w:t xml:space="preserve"> burdensome</w:t>
      </w:r>
      <w:r w:rsidR="00447944" w:rsidRPr="00447944">
        <w:rPr>
          <w:szCs w:val="22"/>
        </w:rPr>
        <w:t xml:space="preserve"> or </w:t>
      </w:r>
      <w:r w:rsidRPr="00447944">
        <w:rPr>
          <w:szCs w:val="22"/>
        </w:rPr>
        <w:t xml:space="preserve">complex </w:t>
      </w:r>
      <w:r w:rsidR="00447944" w:rsidRPr="00447944">
        <w:rPr>
          <w:szCs w:val="22"/>
        </w:rPr>
        <w:t>for speed measurements</w:t>
      </w:r>
      <w:r w:rsidRPr="00447944">
        <w:rPr>
          <w:szCs w:val="22"/>
        </w:rPr>
        <w:t>?</w:t>
      </w:r>
      <w:r w:rsidR="00447944" w:rsidRPr="00447944">
        <w:rPr>
          <w:szCs w:val="22"/>
        </w:rPr>
        <w:t xml:space="preserve">  </w:t>
      </w:r>
      <w:r w:rsidR="00AC6739">
        <w:rPr>
          <w:szCs w:val="22"/>
        </w:rPr>
        <w:t xml:space="preserve">Would such tools have any effect on customer service if used during peak periods?  </w:t>
      </w:r>
      <w:r w:rsidR="00447944">
        <w:t>If external testing is adopted, how would measurements be verified?  Are there better external measurement tools than those identified above?</w:t>
      </w:r>
    </w:p>
    <w:p w:rsidR="00F74F18" w:rsidRPr="00EB0D2E" w:rsidRDefault="00447944" w:rsidP="00077CF7">
      <w:pPr>
        <w:pStyle w:val="ParaNum"/>
      </w:pPr>
      <w:r w:rsidRPr="00565765">
        <w:rPr>
          <w:szCs w:val="22"/>
        </w:rPr>
        <w:t>What testing parameters should be used for speed testing</w:t>
      </w:r>
      <w:r w:rsidR="00D66DD2" w:rsidRPr="00565765">
        <w:rPr>
          <w:szCs w:val="22"/>
        </w:rPr>
        <w:t xml:space="preserve">? </w:t>
      </w:r>
      <w:r w:rsidRPr="00565765">
        <w:rPr>
          <w:szCs w:val="22"/>
        </w:rPr>
        <w:t xml:space="preserve"> Should they be different for internal and external testing?  </w:t>
      </w:r>
    </w:p>
    <w:p w:rsidR="00EB0D2E" w:rsidRPr="00F74F18" w:rsidRDefault="00EB0D2E" w:rsidP="00077CF7">
      <w:pPr>
        <w:pStyle w:val="ParaNum"/>
      </w:pPr>
      <w:r w:rsidRPr="00342B8A">
        <w:rPr>
          <w:szCs w:val="22"/>
        </w:rPr>
        <w:t>What testing parameters should be used to measure broadband performance for wireless providers offering service at a given address?   Should the testing parameters be different if the service utilizes a fixed attachment to the building?</w:t>
      </w:r>
    </w:p>
    <w:p w:rsidR="00565765" w:rsidRPr="00565765" w:rsidRDefault="00F74F18" w:rsidP="00077CF7">
      <w:pPr>
        <w:pStyle w:val="ParaNum"/>
      </w:pPr>
      <w:r>
        <w:rPr>
          <w:szCs w:val="22"/>
        </w:rPr>
        <w:t>W</w:t>
      </w:r>
      <w:r w:rsidR="00447944" w:rsidRPr="00565765">
        <w:rPr>
          <w:szCs w:val="22"/>
        </w:rPr>
        <w:t xml:space="preserve">e </w:t>
      </w:r>
      <w:r w:rsidR="00565765" w:rsidRPr="00565765">
        <w:rPr>
          <w:szCs w:val="22"/>
        </w:rPr>
        <w:t xml:space="preserve">propose to require </w:t>
      </w:r>
      <w:r w:rsidR="00640EC5">
        <w:rPr>
          <w:szCs w:val="22"/>
        </w:rPr>
        <w:t xml:space="preserve">all </w:t>
      </w:r>
      <w:r w:rsidR="00565765" w:rsidRPr="00565765">
        <w:rPr>
          <w:szCs w:val="22"/>
        </w:rPr>
        <w:t xml:space="preserve">ETCs </w:t>
      </w:r>
      <w:r w:rsidR="00640EC5">
        <w:rPr>
          <w:szCs w:val="22"/>
        </w:rPr>
        <w:t xml:space="preserve">subject to broadband performance obligations </w:t>
      </w:r>
      <w:r w:rsidR="009F619F">
        <w:rPr>
          <w:szCs w:val="22"/>
        </w:rPr>
        <w:t xml:space="preserve">to serve fixed locations </w:t>
      </w:r>
      <w:r w:rsidR="00565765" w:rsidRPr="00565765">
        <w:rPr>
          <w:szCs w:val="22"/>
        </w:rPr>
        <w:t xml:space="preserve">to utilize </w:t>
      </w:r>
      <w:r w:rsidR="00447944" w:rsidRPr="00565765">
        <w:rPr>
          <w:szCs w:val="22"/>
        </w:rPr>
        <w:t xml:space="preserve">testing parameters </w:t>
      </w:r>
      <w:r w:rsidR="00565765" w:rsidRPr="00565765">
        <w:rPr>
          <w:szCs w:val="22"/>
        </w:rPr>
        <w:t xml:space="preserve">for speed similar to those already adopted for latency for price cap carriers.  Specifically, we propose to adopt a methodology that would require measurements to be made </w:t>
      </w:r>
      <w:r w:rsidR="00D17542">
        <w:rPr>
          <w:szCs w:val="22"/>
        </w:rPr>
        <w:t xml:space="preserve">once hourly during peak periods, 7:00 </w:t>
      </w:r>
      <w:r w:rsidR="00323DD4">
        <w:rPr>
          <w:szCs w:val="22"/>
        </w:rPr>
        <w:t xml:space="preserve">pm </w:t>
      </w:r>
      <w:r w:rsidR="00D17542">
        <w:rPr>
          <w:szCs w:val="22"/>
        </w:rPr>
        <w:t>to 11:00 pm daily</w:t>
      </w:r>
      <w:r w:rsidR="00323DD4">
        <w:rPr>
          <w:szCs w:val="22"/>
        </w:rPr>
        <w:t xml:space="preserve"> local time</w:t>
      </w:r>
      <w:r w:rsidR="00D17542">
        <w:rPr>
          <w:szCs w:val="22"/>
        </w:rPr>
        <w:t xml:space="preserve">, </w:t>
      </w:r>
      <w:r w:rsidR="00D17542" w:rsidRPr="00565765">
        <w:rPr>
          <w:szCs w:val="22"/>
        </w:rPr>
        <w:t xml:space="preserve">over </w:t>
      </w:r>
      <w:r w:rsidR="00D17542">
        <w:rPr>
          <w:szCs w:val="22"/>
        </w:rPr>
        <w:t>four</w:t>
      </w:r>
      <w:r w:rsidR="00D17542" w:rsidRPr="00565765">
        <w:rPr>
          <w:szCs w:val="22"/>
        </w:rPr>
        <w:t xml:space="preserve"> </w:t>
      </w:r>
      <w:r w:rsidR="009632F5" w:rsidRPr="00565765">
        <w:rPr>
          <w:szCs w:val="22"/>
        </w:rPr>
        <w:t>consecutive weeks</w:t>
      </w:r>
      <w:r w:rsidR="00447944" w:rsidRPr="00565765">
        <w:rPr>
          <w:szCs w:val="22"/>
        </w:rPr>
        <w:t xml:space="preserve">, </w:t>
      </w:r>
      <w:r w:rsidR="00565765" w:rsidRPr="00565765">
        <w:rPr>
          <w:szCs w:val="22"/>
        </w:rPr>
        <w:t xml:space="preserve">require </w:t>
      </w:r>
      <w:r w:rsidR="009632F5" w:rsidRPr="00565765">
        <w:rPr>
          <w:szCs w:val="22"/>
        </w:rPr>
        <w:t xml:space="preserve">95 percent of the </w:t>
      </w:r>
      <w:r w:rsidR="00A37FFB" w:rsidRPr="00565765">
        <w:rPr>
          <w:szCs w:val="22"/>
        </w:rPr>
        <w:t>observations</w:t>
      </w:r>
      <w:r w:rsidR="00565765" w:rsidRPr="00565765">
        <w:rPr>
          <w:szCs w:val="22"/>
        </w:rPr>
        <w:t xml:space="preserve"> to be</w:t>
      </w:r>
      <w:r w:rsidR="00A37FFB" w:rsidRPr="00565765">
        <w:rPr>
          <w:szCs w:val="22"/>
        </w:rPr>
        <w:t xml:space="preserve"> </w:t>
      </w:r>
      <w:r w:rsidR="009632F5" w:rsidRPr="00565765">
        <w:rPr>
          <w:szCs w:val="22"/>
        </w:rPr>
        <w:t xml:space="preserve">at or above the </w:t>
      </w:r>
      <w:r w:rsidR="00103EE7" w:rsidRPr="00565765">
        <w:rPr>
          <w:szCs w:val="22"/>
        </w:rPr>
        <w:t>specified minimum speed</w:t>
      </w:r>
      <w:r w:rsidR="009632F5" w:rsidRPr="00565765">
        <w:rPr>
          <w:szCs w:val="22"/>
        </w:rPr>
        <w:t xml:space="preserve">, </w:t>
      </w:r>
      <w:r w:rsidR="00565765" w:rsidRPr="00565765">
        <w:rPr>
          <w:szCs w:val="22"/>
        </w:rPr>
        <w:t xml:space="preserve">define the </w:t>
      </w:r>
      <w:r w:rsidR="009632F5" w:rsidRPr="00565765">
        <w:rPr>
          <w:szCs w:val="22"/>
        </w:rPr>
        <w:t xml:space="preserve">endpoints for the measurement as the customer premises to </w:t>
      </w:r>
      <w:r w:rsidR="00D17542">
        <w:rPr>
          <w:szCs w:val="22"/>
        </w:rPr>
        <w:t>Commission-</w:t>
      </w:r>
      <w:r w:rsidR="00B33983" w:rsidRPr="00565765">
        <w:rPr>
          <w:szCs w:val="22"/>
        </w:rPr>
        <w:t>designated</w:t>
      </w:r>
      <w:r w:rsidR="009632F5" w:rsidRPr="00565765">
        <w:rPr>
          <w:szCs w:val="22"/>
        </w:rPr>
        <w:t xml:space="preserve"> IXP</w:t>
      </w:r>
      <w:r w:rsidR="00D17542">
        <w:rPr>
          <w:szCs w:val="22"/>
        </w:rPr>
        <w:t xml:space="preserve"> locations</w:t>
      </w:r>
      <w:r w:rsidR="009632F5" w:rsidRPr="00565765">
        <w:rPr>
          <w:szCs w:val="22"/>
        </w:rPr>
        <w:t xml:space="preserve">, </w:t>
      </w:r>
      <w:r w:rsidR="00565765" w:rsidRPr="00565765">
        <w:rPr>
          <w:szCs w:val="22"/>
        </w:rPr>
        <w:t>require testing to occur at least annually</w:t>
      </w:r>
      <w:r w:rsidR="009632F5" w:rsidRPr="00565765">
        <w:rPr>
          <w:szCs w:val="22"/>
        </w:rPr>
        <w:t xml:space="preserve">, </w:t>
      </w:r>
      <w:r w:rsidR="00565765" w:rsidRPr="00565765">
        <w:rPr>
          <w:szCs w:val="22"/>
        </w:rPr>
        <w:t xml:space="preserve">and require a minimum of 50 randomly selected customers locations to be tested within </w:t>
      </w:r>
      <w:r w:rsidR="009632F5" w:rsidRPr="00565765">
        <w:rPr>
          <w:szCs w:val="22"/>
        </w:rPr>
        <w:t>the geographic area being funded</w:t>
      </w:r>
      <w:r w:rsidR="00565765" w:rsidRPr="00565765">
        <w:rPr>
          <w:szCs w:val="22"/>
        </w:rPr>
        <w:t xml:space="preserve"> in a given state</w:t>
      </w:r>
      <w:r w:rsidR="009632F5" w:rsidRPr="00565765">
        <w:rPr>
          <w:szCs w:val="22"/>
        </w:rPr>
        <w:t>.</w:t>
      </w:r>
      <w:r w:rsidR="00D17542">
        <w:rPr>
          <w:rStyle w:val="FootnoteReference"/>
          <w:szCs w:val="22"/>
        </w:rPr>
        <w:footnoteReference w:id="12"/>
      </w:r>
      <w:r w:rsidR="009632F5" w:rsidRPr="00565765">
        <w:rPr>
          <w:szCs w:val="22"/>
        </w:rPr>
        <w:t xml:space="preserve">  </w:t>
      </w:r>
      <w:r w:rsidR="00565765" w:rsidRPr="00565765">
        <w:rPr>
          <w:szCs w:val="22"/>
        </w:rPr>
        <w:t xml:space="preserve">To the extent parties argue that </w:t>
      </w:r>
      <w:r w:rsidR="009632F5" w:rsidRPr="00565765">
        <w:rPr>
          <w:szCs w:val="22"/>
        </w:rPr>
        <w:t xml:space="preserve">the </w:t>
      </w:r>
      <w:r w:rsidR="00640801">
        <w:rPr>
          <w:szCs w:val="22"/>
        </w:rPr>
        <w:t>process</w:t>
      </w:r>
      <w:r w:rsidR="00640801" w:rsidRPr="00565765">
        <w:rPr>
          <w:szCs w:val="22"/>
        </w:rPr>
        <w:t xml:space="preserve"> </w:t>
      </w:r>
      <w:r w:rsidR="009632F5" w:rsidRPr="00565765">
        <w:rPr>
          <w:szCs w:val="22"/>
        </w:rPr>
        <w:t>adopted for latency testing be adjusted and used for speed testing</w:t>
      </w:r>
      <w:r w:rsidR="00565765" w:rsidRPr="00565765">
        <w:rPr>
          <w:szCs w:val="22"/>
        </w:rPr>
        <w:t xml:space="preserve">, they should describe with specificity what changes should be made.  </w:t>
      </w:r>
      <w:r w:rsidR="00640801">
        <w:rPr>
          <w:szCs w:val="22"/>
        </w:rPr>
        <w:t>We also seek comment on whether the data usage in the proposed tests would have a significant effect on consumers and, if so, how such effects could be mitigated.  Should any data caps or monthly usage limits be adjusted to prevent the testing from affecting consumers?</w:t>
      </w:r>
    </w:p>
    <w:p w:rsidR="009632F5" w:rsidRPr="00D66DD2" w:rsidRDefault="009632F5" w:rsidP="00077CF7">
      <w:pPr>
        <w:pStyle w:val="ParaNum"/>
      </w:pPr>
      <w:r w:rsidRPr="00565765">
        <w:rPr>
          <w:szCs w:val="22"/>
        </w:rPr>
        <w:t xml:space="preserve">We </w:t>
      </w:r>
      <w:r w:rsidR="00103EE7" w:rsidRPr="00565765">
        <w:rPr>
          <w:szCs w:val="22"/>
        </w:rPr>
        <w:t>propose to</w:t>
      </w:r>
      <w:r w:rsidRPr="00565765">
        <w:rPr>
          <w:szCs w:val="22"/>
        </w:rPr>
        <w:t xml:space="preserve"> allow </w:t>
      </w:r>
      <w:r w:rsidR="00640EC5">
        <w:rPr>
          <w:szCs w:val="22"/>
        </w:rPr>
        <w:t xml:space="preserve">ETCs, including but not limited to price cap carriers, the option of </w:t>
      </w:r>
      <w:r w:rsidR="00BD165D" w:rsidRPr="00565765">
        <w:rPr>
          <w:szCs w:val="22"/>
        </w:rPr>
        <w:t>test</w:t>
      </w:r>
      <w:r w:rsidR="00640EC5">
        <w:rPr>
          <w:szCs w:val="22"/>
        </w:rPr>
        <w:t>ing</w:t>
      </w:r>
      <w:r w:rsidR="00BD165D" w:rsidRPr="00565765">
        <w:rPr>
          <w:szCs w:val="22"/>
        </w:rPr>
        <w:t xml:space="preserve"> compliance with speed requirements through </w:t>
      </w:r>
      <w:r w:rsidR="00FA4B8B" w:rsidRPr="00565765">
        <w:rPr>
          <w:szCs w:val="22"/>
        </w:rPr>
        <w:t>the MBA program</w:t>
      </w:r>
      <w:r w:rsidR="00103EE7" w:rsidRPr="00565765">
        <w:rPr>
          <w:szCs w:val="22"/>
        </w:rPr>
        <w:t xml:space="preserve">, similar to what </w:t>
      </w:r>
      <w:r w:rsidR="002C78B0">
        <w:rPr>
          <w:szCs w:val="22"/>
        </w:rPr>
        <w:t>WCB</w:t>
      </w:r>
      <w:r w:rsidR="00103EE7" w:rsidRPr="00565765">
        <w:rPr>
          <w:szCs w:val="22"/>
        </w:rPr>
        <w:t xml:space="preserve"> adopted</w:t>
      </w:r>
      <w:r w:rsidR="00FA4B8B" w:rsidRPr="00565765">
        <w:rPr>
          <w:szCs w:val="22"/>
        </w:rPr>
        <w:t xml:space="preserve"> for latency obligations.  </w:t>
      </w:r>
      <w:r w:rsidR="00C555FA" w:rsidRPr="00565765">
        <w:rPr>
          <w:szCs w:val="22"/>
        </w:rPr>
        <w:t xml:space="preserve">If we were to do so, could we apply the same conditions and parameters as adopted for latency testing?  Would any changes be needed?  </w:t>
      </w:r>
      <w:r w:rsidR="00BD165D" w:rsidRPr="00565765">
        <w:rPr>
          <w:szCs w:val="22"/>
        </w:rPr>
        <w:t xml:space="preserve"> </w:t>
      </w:r>
    </w:p>
    <w:p w:rsidR="00D66DD2" w:rsidRPr="00A70138" w:rsidRDefault="00C555FA" w:rsidP="00077CF7">
      <w:pPr>
        <w:pStyle w:val="ParaNum"/>
      </w:pPr>
      <w:r>
        <w:rPr>
          <w:szCs w:val="22"/>
        </w:rPr>
        <w:t>Should the testing options and parameters be</w:t>
      </w:r>
      <w:r w:rsidR="00D251CC">
        <w:rPr>
          <w:szCs w:val="22"/>
        </w:rPr>
        <w:t xml:space="preserve"> the same </w:t>
      </w:r>
      <w:r w:rsidR="00F74F18">
        <w:rPr>
          <w:szCs w:val="22"/>
        </w:rPr>
        <w:t xml:space="preserve">for rate-of-return carriers and providers awarded support through the Phase II competitive bidding process </w:t>
      </w:r>
      <w:r w:rsidR="00D251CC">
        <w:rPr>
          <w:szCs w:val="22"/>
        </w:rPr>
        <w:t xml:space="preserve">as </w:t>
      </w:r>
      <w:r>
        <w:rPr>
          <w:szCs w:val="22"/>
        </w:rPr>
        <w:t>for price cap carriers</w:t>
      </w:r>
      <w:r w:rsidR="00543CA7">
        <w:rPr>
          <w:szCs w:val="22"/>
        </w:rPr>
        <w:t>?  If not, what should they be and why?</w:t>
      </w:r>
    </w:p>
    <w:p w:rsidR="00A70138" w:rsidRPr="00A5038E" w:rsidRDefault="00A70138" w:rsidP="0031442D">
      <w:pPr>
        <w:pStyle w:val="ParaNum"/>
        <w:widowControl/>
      </w:pPr>
      <w:r>
        <w:rPr>
          <w:szCs w:val="22"/>
        </w:rPr>
        <w:t xml:space="preserve">We seek to augment the record </w:t>
      </w:r>
      <w:r w:rsidR="00103EE7">
        <w:rPr>
          <w:szCs w:val="22"/>
        </w:rPr>
        <w:t xml:space="preserve">received in response to the 2011 </w:t>
      </w:r>
      <w:r w:rsidR="00103EE7" w:rsidRPr="002F5939">
        <w:rPr>
          <w:i/>
          <w:szCs w:val="22"/>
        </w:rPr>
        <w:t xml:space="preserve">USF/ICC Transformation Order </w:t>
      </w:r>
      <w:r w:rsidR="00DC7653" w:rsidRPr="002F5939">
        <w:rPr>
          <w:i/>
          <w:szCs w:val="22"/>
        </w:rPr>
        <w:t>FNPRM</w:t>
      </w:r>
      <w:r w:rsidR="00DC7653">
        <w:rPr>
          <w:szCs w:val="22"/>
        </w:rPr>
        <w:t xml:space="preserve"> based</w:t>
      </w:r>
      <w:r>
        <w:rPr>
          <w:szCs w:val="22"/>
        </w:rPr>
        <w:t xml:space="preserve"> on the considerations outlined above.   Specifically, parties such as AT&amp;T</w:t>
      </w:r>
      <w:r>
        <w:rPr>
          <w:rStyle w:val="FootnoteReference"/>
          <w:szCs w:val="22"/>
        </w:rPr>
        <w:footnoteReference w:id="13"/>
      </w:r>
      <w:r>
        <w:rPr>
          <w:szCs w:val="22"/>
        </w:rPr>
        <w:t xml:space="preserve"> and Alaska Communications Systems</w:t>
      </w:r>
      <w:r>
        <w:rPr>
          <w:rStyle w:val="FootnoteReference"/>
          <w:szCs w:val="22"/>
        </w:rPr>
        <w:footnoteReference w:id="14"/>
      </w:r>
      <w:r>
        <w:rPr>
          <w:szCs w:val="22"/>
        </w:rPr>
        <w:t xml:space="preserve"> argued that the testing mechanism should not require measuring service at all end-user locations.  A testing mechanism for speed similar to that adopted for latency would only requir</w:t>
      </w:r>
      <w:r w:rsidR="00103EE7">
        <w:rPr>
          <w:szCs w:val="22"/>
        </w:rPr>
        <w:t>e</w:t>
      </w:r>
      <w:r>
        <w:rPr>
          <w:szCs w:val="22"/>
        </w:rPr>
        <w:t xml:space="preserve"> testing at a certain number of locations.  </w:t>
      </w:r>
      <w:r w:rsidR="00023DC2">
        <w:rPr>
          <w:szCs w:val="22"/>
        </w:rPr>
        <w:t>Frontier advocated that the Commission provide a choice of measurement test options.</w:t>
      </w:r>
      <w:r w:rsidR="00023DC2">
        <w:rPr>
          <w:rStyle w:val="FootnoteReference"/>
          <w:szCs w:val="22"/>
        </w:rPr>
        <w:footnoteReference w:id="15"/>
      </w:r>
      <w:r w:rsidR="00023DC2">
        <w:rPr>
          <w:szCs w:val="22"/>
        </w:rPr>
        <w:t xml:space="preserve"> </w:t>
      </w:r>
      <w:r>
        <w:rPr>
          <w:szCs w:val="22"/>
        </w:rPr>
        <w:t xml:space="preserve"> </w:t>
      </w:r>
      <w:r w:rsidR="00023DC2">
        <w:rPr>
          <w:szCs w:val="22"/>
        </w:rPr>
        <w:t>A speed-testing mechanism similar to that adopted for latency would provide two options for testing.  A number of rural associations stated that the Commission should not impose measurement requirements until technically feasible, less burdensome testing procedures were available.</w:t>
      </w:r>
      <w:r w:rsidR="00023DC2">
        <w:rPr>
          <w:rStyle w:val="FootnoteReference"/>
          <w:szCs w:val="22"/>
        </w:rPr>
        <w:footnoteReference w:id="16"/>
      </w:r>
      <w:r w:rsidR="00023DC2">
        <w:rPr>
          <w:szCs w:val="22"/>
        </w:rPr>
        <w:t xml:space="preserve">  A </w:t>
      </w:r>
      <w:r w:rsidR="00103EE7">
        <w:rPr>
          <w:szCs w:val="22"/>
        </w:rPr>
        <w:t xml:space="preserve">speed </w:t>
      </w:r>
      <w:r w:rsidR="00023DC2">
        <w:rPr>
          <w:szCs w:val="22"/>
        </w:rPr>
        <w:t xml:space="preserve">testing mechanism similar to that adopted for latency should be </w:t>
      </w:r>
      <w:r w:rsidR="007A5174">
        <w:rPr>
          <w:szCs w:val="22"/>
        </w:rPr>
        <w:t xml:space="preserve">easily manageable for even very small carriers.  We seek comment on these </w:t>
      </w:r>
      <w:r w:rsidR="00565765">
        <w:rPr>
          <w:szCs w:val="22"/>
        </w:rPr>
        <w:t xml:space="preserve">tentative conclusions.  </w:t>
      </w:r>
      <w:r w:rsidR="00023DC2">
        <w:rPr>
          <w:szCs w:val="22"/>
        </w:rPr>
        <w:t xml:space="preserve"> </w:t>
      </w:r>
    </w:p>
    <w:p w:rsidR="00A5038E" w:rsidRPr="00543CA7" w:rsidRDefault="00A5038E" w:rsidP="00A5038E">
      <w:pPr>
        <w:pStyle w:val="Heading2"/>
      </w:pPr>
      <w:r>
        <w:t xml:space="preserve">Latency Performance </w:t>
      </w:r>
      <w:r w:rsidR="009962BC">
        <w:t xml:space="preserve">Testing </w:t>
      </w:r>
      <w:r w:rsidR="00063B8F">
        <w:t xml:space="preserve">for Rate-of-Return </w:t>
      </w:r>
      <w:r w:rsidR="00935E8C">
        <w:t xml:space="preserve">Carriers and Providers Awarded Connect America Support Through </w:t>
      </w:r>
      <w:r w:rsidR="00856D71">
        <w:rPr>
          <w:szCs w:val="22"/>
        </w:rPr>
        <w:t xml:space="preserve">Competitive </w:t>
      </w:r>
      <w:r w:rsidR="009B1221">
        <w:rPr>
          <w:szCs w:val="22"/>
        </w:rPr>
        <w:t xml:space="preserve">Bidding </w:t>
      </w:r>
    </w:p>
    <w:p w:rsidR="007A5174" w:rsidRDefault="007460B4" w:rsidP="00077CF7">
      <w:pPr>
        <w:pStyle w:val="ParaNum"/>
      </w:pPr>
      <w:r>
        <w:t xml:space="preserve">We seek comment on </w:t>
      </w:r>
      <w:r w:rsidR="00807864">
        <w:t>whether the two methods adopted to test price cap carrier compliance with latency service obligations should als</w:t>
      </w:r>
      <w:r w:rsidR="005E6579">
        <w:t>o be used to test compliance with latency service obligations</w:t>
      </w:r>
      <w:r w:rsidR="00C1513D">
        <w:t xml:space="preserve"> for other recipients of high-cost support</w:t>
      </w:r>
      <w:r w:rsidR="009F619F">
        <w:t xml:space="preserve"> with a broadband public interest obligation to serve fixed locations</w:t>
      </w:r>
      <w:r w:rsidR="005E6579">
        <w:t xml:space="preserve">.  </w:t>
      </w:r>
      <w:r w:rsidR="00E20185">
        <w:t>If so, should the testing parameters be the same for rate</w:t>
      </w:r>
      <w:r w:rsidR="007A60AF">
        <w:t>-</w:t>
      </w:r>
      <w:r w:rsidR="00E20185">
        <w:t>of</w:t>
      </w:r>
      <w:r w:rsidR="007A60AF">
        <w:t>-</w:t>
      </w:r>
      <w:r w:rsidR="00E20185">
        <w:t xml:space="preserve">return </w:t>
      </w:r>
      <w:r w:rsidR="00C1513D">
        <w:t xml:space="preserve">providers and those that are awarded </w:t>
      </w:r>
      <w:r w:rsidR="00B4065B">
        <w:t xml:space="preserve">Phase II </w:t>
      </w:r>
      <w:r w:rsidR="00C1513D">
        <w:t xml:space="preserve">support through a </w:t>
      </w:r>
      <w:r w:rsidR="00856D71">
        <w:rPr>
          <w:szCs w:val="22"/>
        </w:rPr>
        <w:t xml:space="preserve">competitive </w:t>
      </w:r>
      <w:r w:rsidR="009B1221">
        <w:rPr>
          <w:szCs w:val="22"/>
        </w:rPr>
        <w:t xml:space="preserve">bidding </w:t>
      </w:r>
      <w:r w:rsidR="00E20185">
        <w:t>pro</w:t>
      </w:r>
      <w:r w:rsidR="00C1513D">
        <w:t>cess</w:t>
      </w:r>
      <w:r w:rsidR="00E20185">
        <w:t xml:space="preserve"> as </w:t>
      </w:r>
      <w:r w:rsidR="00B4065B">
        <w:t>adopted</w:t>
      </w:r>
      <w:r w:rsidR="00E20185">
        <w:t xml:space="preserve"> for price cap carriers?  If not, what should those parameters be and why?</w:t>
      </w:r>
    </w:p>
    <w:p w:rsidR="00543CA7" w:rsidRDefault="00601EC7" w:rsidP="00077CF7">
      <w:pPr>
        <w:pStyle w:val="ParaNum"/>
      </w:pPr>
      <w:r>
        <w:t>The latency-testing options adopted for price cap carriers should provide at least one readily achievable method suitable for small, rural carriers.</w:t>
      </w:r>
      <w:r w:rsidR="00DD53EF">
        <w:t xml:space="preserve"> </w:t>
      </w:r>
      <w:r>
        <w:t xml:space="preserve"> </w:t>
      </w:r>
      <w:r w:rsidR="006719D0">
        <w:t xml:space="preserve">We seek comment on this </w:t>
      </w:r>
      <w:r w:rsidR="00B4065B">
        <w:t xml:space="preserve">tentative </w:t>
      </w:r>
      <w:r w:rsidR="006719D0">
        <w:t xml:space="preserve">conclusion.  </w:t>
      </w:r>
      <w:r w:rsidR="00B4065B">
        <w:t xml:space="preserve">In response to the 2011 </w:t>
      </w:r>
      <w:r w:rsidR="00B4065B" w:rsidRPr="003928B6">
        <w:rPr>
          <w:i/>
        </w:rPr>
        <w:t>USF/ICC Transformation FNPRM</w:t>
      </w:r>
      <w:r w:rsidR="00B4065B">
        <w:t>, r</w:t>
      </w:r>
      <w:r>
        <w:t xml:space="preserve">ural carriers argued that </w:t>
      </w:r>
      <w:r w:rsidR="00C404EE">
        <w:t>broadband performance should only be measured for those portions of the network controlled by the provider or its commonly-controlled affiliates.</w:t>
      </w:r>
      <w:r w:rsidR="00C404EE">
        <w:rPr>
          <w:rStyle w:val="FootnoteReference"/>
        </w:rPr>
        <w:footnoteReference w:id="17"/>
      </w:r>
      <w:r w:rsidR="00C404EE">
        <w:t xml:space="preserve">  We note that in the </w:t>
      </w:r>
      <w:r w:rsidR="00C404EE" w:rsidRPr="003928B6">
        <w:rPr>
          <w:i/>
        </w:rPr>
        <w:t xml:space="preserve">Phase II </w:t>
      </w:r>
      <w:r w:rsidR="006719D0">
        <w:rPr>
          <w:i/>
        </w:rPr>
        <w:t>Price Cap</w:t>
      </w:r>
      <w:r w:rsidR="00C404EE" w:rsidRPr="003928B6">
        <w:rPr>
          <w:i/>
        </w:rPr>
        <w:t xml:space="preserve"> Order</w:t>
      </w:r>
      <w:r w:rsidR="00C404EE">
        <w:t xml:space="preserve">, </w:t>
      </w:r>
      <w:r w:rsidR="002C78B0">
        <w:t>WCB</w:t>
      </w:r>
      <w:r w:rsidR="00B4065B">
        <w:t xml:space="preserve"> </w:t>
      </w:r>
      <w:r w:rsidR="00C404EE">
        <w:t xml:space="preserve">rejected this argument for price cap carriers because (1) testing only part of </w:t>
      </w:r>
      <w:r w:rsidR="00F11148">
        <w:t xml:space="preserve">the </w:t>
      </w:r>
      <w:r w:rsidR="00C404EE">
        <w:t xml:space="preserve">network will not demonstrate the quality of service being provided to the end user and (2) carriers have a number of options to influence the quality of service from their </w:t>
      </w:r>
      <w:r w:rsidR="000751DC">
        <w:t xml:space="preserve">transit and/or peering </w:t>
      </w:r>
      <w:r w:rsidR="00C404EE">
        <w:t>providers.</w:t>
      </w:r>
      <w:r w:rsidR="00C404EE">
        <w:rPr>
          <w:rStyle w:val="FootnoteReference"/>
        </w:rPr>
        <w:footnoteReference w:id="18"/>
      </w:r>
      <w:r w:rsidR="00B4065B">
        <w:t xml:space="preserve">  Would that same reasoning be applicable to other providers, such as rate-of-return carriers and non-traditional providers that may receive support through a competitive bidding process?</w:t>
      </w:r>
    </w:p>
    <w:p w:rsidR="000948F3" w:rsidRDefault="00FD59AF" w:rsidP="000948F3">
      <w:pPr>
        <w:pStyle w:val="Heading2"/>
      </w:pPr>
      <w:r>
        <w:t>Use of</w:t>
      </w:r>
      <w:r w:rsidR="00875414">
        <w:t xml:space="preserve"> MBA Program</w:t>
      </w:r>
      <w:r>
        <w:t xml:space="preserve"> for Testing and </w:t>
      </w:r>
      <w:r w:rsidR="009B1221">
        <w:t>Reporting</w:t>
      </w:r>
      <w:r w:rsidR="00875414">
        <w:t xml:space="preserve"> </w:t>
      </w:r>
    </w:p>
    <w:p w:rsidR="00193FCA" w:rsidRDefault="00875414" w:rsidP="00875414">
      <w:pPr>
        <w:pStyle w:val="ParaNum"/>
      </w:pPr>
      <w:r w:rsidRPr="00875414">
        <w:rPr>
          <w:lang w:val="en"/>
        </w:rPr>
        <w:t xml:space="preserve">The MBA program developed out of a recommendation by the National Broadband Plan to improve the availability of information for consumers about their broadband service.  </w:t>
      </w:r>
      <w:r w:rsidRPr="006F5CAD">
        <w:t xml:space="preserve">The </w:t>
      </w:r>
      <w:r>
        <w:t>program</w:t>
      </w:r>
      <w:r w:rsidR="00193FCA">
        <w:t xml:space="preserve"> examines</w:t>
      </w:r>
      <w:r w:rsidRPr="006F5CAD">
        <w:t xml:space="preserve"> service offerings from</w:t>
      </w:r>
      <w:r>
        <w:t xml:space="preserve"> the</w:t>
      </w:r>
      <w:r w:rsidRPr="006F5CAD">
        <w:t xml:space="preserve"> largest broadband providers—which collectively account for </w:t>
      </w:r>
      <w:r>
        <w:t>over 80 percent of all U.S. wireline broadband connections—using automated, direct measurements of broadband performance delivered to the homes of thousands of volunteer broadband subscribers.</w:t>
      </w:r>
      <w:r>
        <w:rPr>
          <w:rStyle w:val="FootnoteReference"/>
        </w:rPr>
        <w:footnoteReference w:id="19"/>
      </w:r>
      <w:r>
        <w:t xml:space="preserve">  The </w:t>
      </w:r>
      <w:r w:rsidRPr="00D139FA">
        <w:t xml:space="preserve">methodology </w:t>
      </w:r>
      <w:r>
        <w:t>for the program</w:t>
      </w:r>
      <w:r w:rsidR="00193FCA">
        <w:t xml:space="preserve"> focuses</w:t>
      </w:r>
      <w:r w:rsidRPr="00D139FA">
        <w:t xml:space="preserve"> on </w:t>
      </w:r>
      <w:r>
        <w:t>measuring</w:t>
      </w:r>
      <w:r w:rsidRPr="00D139FA">
        <w:t xml:space="preserve"> broadband performance of an </w:t>
      </w:r>
      <w:r>
        <w:t xml:space="preserve">Internet service provider’s </w:t>
      </w:r>
      <w:r w:rsidRPr="00D139FA">
        <w:t>network, specifically performance from the consumer Internet access point, or consumer gateway, to a close major Internet gateway point.</w:t>
      </w:r>
      <w:r>
        <w:t xml:space="preserve">  </w:t>
      </w:r>
      <w:r w:rsidRPr="00151577">
        <w:t xml:space="preserve">A collaborative process </w:t>
      </w:r>
      <w:r>
        <w:t xml:space="preserve">involving Commission staff, industry representatives, and academics was </w:t>
      </w:r>
      <w:r w:rsidRPr="00151577">
        <w:t xml:space="preserve">used to determine </w:t>
      </w:r>
      <w:r>
        <w:t xml:space="preserve">the </w:t>
      </w:r>
      <w:r w:rsidRPr="00151577">
        <w:t xml:space="preserve">test suite and operations for the </w:t>
      </w:r>
      <w:r w:rsidRPr="00D31BDC">
        <w:t>MBA</w:t>
      </w:r>
      <w:r w:rsidRPr="00151577">
        <w:t xml:space="preserve"> program.  </w:t>
      </w:r>
    </w:p>
    <w:p w:rsidR="00875414" w:rsidRDefault="00C92318" w:rsidP="00875414">
      <w:pPr>
        <w:pStyle w:val="ParaNum"/>
      </w:pPr>
      <w:r>
        <w:t>The MBA program uses whiteboxes deployed to individual consumers, called panelists</w:t>
      </w:r>
      <w:r w:rsidR="00193FCA">
        <w:t>, to col</w:t>
      </w:r>
      <w:r w:rsidR="00105E03">
        <w:t>lect data on service levels</w:t>
      </w:r>
      <w:r>
        <w:t>.  These whiteboxes perform periodic tests to determine the speed and latency of the service at a particular panelist’s location</w:t>
      </w:r>
      <w:r w:rsidR="00B4065B">
        <w:t>,</w:t>
      </w:r>
      <w:r>
        <w:t xml:space="preserve"> and the results of the tests are automatically sent to and recorded by an independent vendor.</w:t>
      </w:r>
      <w:r w:rsidR="00875414">
        <w:t xml:space="preserve">  Panelists </w:t>
      </w:r>
      <w:r w:rsidR="00744FD5">
        <w:t>are</w:t>
      </w:r>
      <w:r w:rsidR="00875414">
        <w:t xml:space="preserve"> selected via a </w:t>
      </w:r>
      <w:r w:rsidR="00744FD5">
        <w:t>process that all</w:t>
      </w:r>
      <w:r w:rsidR="00BD165D">
        <w:t>ow</w:t>
      </w:r>
      <w:r w:rsidR="00BC73AE">
        <w:t>s</w:t>
      </w:r>
      <w:r w:rsidR="00875414" w:rsidRPr="00151577">
        <w:t xml:space="preserve"> for consumer registration</w:t>
      </w:r>
      <w:r w:rsidR="00875414">
        <w:t xml:space="preserve"> and</w:t>
      </w:r>
      <w:r w:rsidR="00875414" w:rsidRPr="00151577">
        <w:t xml:space="preserve"> verification by </w:t>
      </w:r>
      <w:r w:rsidR="00875414">
        <w:t xml:space="preserve">the </w:t>
      </w:r>
      <w:r w:rsidR="00875414" w:rsidRPr="00151577">
        <w:t>service provider</w:t>
      </w:r>
      <w:r w:rsidR="00875414">
        <w:t xml:space="preserve"> followed by </w:t>
      </w:r>
      <w:r w:rsidR="00875414" w:rsidRPr="00151577">
        <w:t xml:space="preserve">activation as a testing panelist.  </w:t>
      </w:r>
      <w:r w:rsidR="00875414">
        <w:t xml:space="preserve"> More than </w:t>
      </w:r>
      <w:r w:rsidR="00BC73AE">
        <w:t>13</w:t>
      </w:r>
      <w:r w:rsidR="00875414">
        <w:t>,000 whiteboxes have been shipped since the MBA program began.</w:t>
      </w:r>
      <w:r w:rsidR="00875414">
        <w:rPr>
          <w:rStyle w:val="FootnoteReference"/>
        </w:rPr>
        <w:footnoteReference w:id="20"/>
      </w:r>
    </w:p>
    <w:p w:rsidR="00FD364D" w:rsidRDefault="00875414" w:rsidP="00875414">
      <w:pPr>
        <w:pStyle w:val="ParaNum"/>
      </w:pPr>
      <w:r>
        <w:t>Currently, the MBA program tests wireline offerings of 15 large broadband providers</w:t>
      </w:r>
      <w:r w:rsidR="00BC73AE">
        <w:t xml:space="preserve"> and one satellite-based provider</w:t>
      </w:r>
      <w:r>
        <w:t xml:space="preserve">.  </w:t>
      </w:r>
      <w:r w:rsidR="00B4065B">
        <w:t xml:space="preserve">If we were to adopt a regime in which </w:t>
      </w:r>
      <w:r w:rsidR="00573AEC">
        <w:t xml:space="preserve">ETCs subject to broadband public interest obligations </w:t>
      </w:r>
      <w:r w:rsidR="00B4065B">
        <w:t>could demonstrate compliance with broadband testing requirements through their</w:t>
      </w:r>
      <w:r>
        <w:t xml:space="preserve"> MBA results</w:t>
      </w:r>
      <w:r w:rsidR="00B4065B">
        <w:t xml:space="preserve">, would that </w:t>
      </w:r>
      <w:r>
        <w:t xml:space="preserve"> encourage additional providers, including smaller providers, to seek to join the MBA</w:t>
      </w:r>
      <w:r w:rsidR="00B4065B">
        <w:t>?</w:t>
      </w:r>
      <w:r>
        <w:t xml:space="preserve">  Could the MBA accommodate a large number of additional participants?  Is it feasible for smaller providers to participate in the MBA, particularly if they must </w:t>
      </w:r>
      <w:r w:rsidR="006F4EEF">
        <w:t>pay</w:t>
      </w:r>
      <w:r>
        <w:t xml:space="preserve"> the administrative and hardware costs of the whiteboxes?  Are these costs likely to be greater or l</w:t>
      </w:r>
      <w:r w:rsidR="003C1097">
        <w:t>ess than the cost of performing</w:t>
      </w:r>
      <w:r>
        <w:t xml:space="preserve"> ping-type tests</w:t>
      </w:r>
      <w:r w:rsidR="00BC73AE">
        <w:t xml:space="preserve"> from 50 locations</w:t>
      </w:r>
      <w:r w:rsidR="00FD364D">
        <w:t xml:space="preserve"> for latency and the testing that will be required to verify speed</w:t>
      </w:r>
      <w:r>
        <w:t xml:space="preserve">?  </w:t>
      </w:r>
      <w:r w:rsidR="00B4065B">
        <w:t xml:space="preserve">Would allowing additional </w:t>
      </w:r>
      <w:r>
        <w:t xml:space="preserve">providers to join the MBA provide </w:t>
      </w:r>
      <w:r w:rsidR="00B6697B">
        <w:t>more detailed and more accurate</w:t>
      </w:r>
      <w:r>
        <w:t xml:space="preserve"> information on provider performance</w:t>
      </w:r>
      <w:r w:rsidR="00B91A1E">
        <w:t xml:space="preserve"> at lower total cost</w:t>
      </w:r>
      <w:r>
        <w:t xml:space="preserve">?  </w:t>
      </w:r>
    </w:p>
    <w:p w:rsidR="006F4EEF" w:rsidRDefault="009E2A25" w:rsidP="00875414">
      <w:pPr>
        <w:pStyle w:val="ParaNum"/>
      </w:pPr>
      <w:r>
        <w:t>If additional providers join the MBA program for performance testing, should their data be make public and reported in the annual MBA reports as is done for other MBA providers?  Should the MBA program consider creating a separate category of membership for providers that want to limit testing to C</w:t>
      </w:r>
      <w:r w:rsidR="00B4065B">
        <w:t>onnect America</w:t>
      </w:r>
      <w:r>
        <w:t>-supported areas?</w:t>
      </w:r>
    </w:p>
    <w:p w:rsidR="00CA6386" w:rsidRDefault="00EF50EB" w:rsidP="00875414">
      <w:pPr>
        <w:pStyle w:val="ParaNum"/>
      </w:pPr>
      <w:r>
        <w:t>We seek comment on these and any other issues surrounding additional provider participation in the MBA program.</w:t>
      </w:r>
    </w:p>
    <w:p w:rsidR="003D17CC" w:rsidRDefault="003D17CC" w:rsidP="003D17CC">
      <w:pPr>
        <w:pStyle w:val="Heading2"/>
      </w:pPr>
      <w:r>
        <w:t>Commission-Developed Testing Mechanism</w:t>
      </w:r>
    </w:p>
    <w:p w:rsidR="00743B8F" w:rsidRDefault="00D50794" w:rsidP="0031442D">
      <w:pPr>
        <w:pStyle w:val="ParaNum"/>
        <w:widowControl/>
      </w:pPr>
      <w:r>
        <w:t xml:space="preserve">In the event that </w:t>
      </w:r>
      <w:r w:rsidR="00573AEC">
        <w:t xml:space="preserve">joining </w:t>
      </w:r>
      <w:r>
        <w:t xml:space="preserve">the MBA program </w:t>
      </w:r>
      <w:r w:rsidR="00C404EE">
        <w:t>proves infeasible</w:t>
      </w:r>
      <w:r>
        <w:t xml:space="preserve"> for additional providers, </w:t>
      </w:r>
      <w:r w:rsidR="00B4065B">
        <w:t>we</w:t>
      </w:r>
      <w:r w:rsidR="00371BAA">
        <w:t xml:space="preserve"> seek</w:t>
      </w:r>
      <w:r w:rsidR="00F61DDE">
        <w:t xml:space="preserve"> comment on whether</w:t>
      </w:r>
      <w:r w:rsidR="00371BAA">
        <w:t xml:space="preserve"> the Commission should </w:t>
      </w:r>
      <w:r w:rsidR="00935E8C">
        <w:t>implement a</w:t>
      </w:r>
      <w:r w:rsidR="00371BAA">
        <w:t xml:space="preserve"> </w:t>
      </w:r>
      <w:r w:rsidR="00F61DDE">
        <w:t xml:space="preserve">performance testing </w:t>
      </w:r>
      <w:r w:rsidR="00B4065B">
        <w:t>platform</w:t>
      </w:r>
      <w:r w:rsidR="00F61DDE">
        <w:t xml:space="preserve"> </w:t>
      </w:r>
      <w:r w:rsidR="00935E8C">
        <w:t xml:space="preserve">specifically </w:t>
      </w:r>
      <w:r w:rsidR="00F61DDE">
        <w:t>for C</w:t>
      </w:r>
      <w:r w:rsidR="00B4065B">
        <w:t>onnect America</w:t>
      </w:r>
      <w:r w:rsidR="00F61DDE">
        <w:t>-supported broadband services.</w:t>
      </w:r>
      <w:r w:rsidR="00D82E8C">
        <w:rPr>
          <w:rStyle w:val="FootnoteReference"/>
        </w:rPr>
        <w:footnoteReference w:id="21"/>
      </w:r>
      <w:r w:rsidR="00F61DDE">
        <w:t xml:space="preserve">  </w:t>
      </w:r>
      <w:r w:rsidR="00371BAA">
        <w:t xml:space="preserve">One possibility is to </w:t>
      </w:r>
      <w:r w:rsidR="00935E8C">
        <w:t xml:space="preserve">implement an oversight </w:t>
      </w:r>
      <w:r w:rsidR="00371BAA">
        <w:t xml:space="preserve">mechanism </w:t>
      </w:r>
      <w:r w:rsidR="00935E8C">
        <w:t xml:space="preserve">that would be similar to </w:t>
      </w:r>
      <w:r w:rsidR="00371BAA">
        <w:t xml:space="preserve">the MBA program.  </w:t>
      </w:r>
      <w:r w:rsidR="00486402">
        <w:t xml:space="preserve"> Like the MBA program, this </w:t>
      </w:r>
      <w:r w:rsidR="000914ED">
        <w:t xml:space="preserve">could be a </w:t>
      </w:r>
      <w:r w:rsidR="00486402">
        <w:t xml:space="preserve">hardware-based test infrastructure administered by </w:t>
      </w:r>
      <w:r w:rsidR="00312A0F">
        <w:t>one or more</w:t>
      </w:r>
      <w:r w:rsidR="00486402">
        <w:t xml:space="preserve"> service vendor</w:t>
      </w:r>
      <w:r w:rsidR="00312A0F">
        <w:t>s</w:t>
      </w:r>
      <w:r w:rsidR="000E59A6">
        <w:t xml:space="preserve"> with whiteboxes deployed to consumer</w:t>
      </w:r>
      <w:r w:rsidR="00C53C0B">
        <w:t>s</w:t>
      </w:r>
      <w:r w:rsidR="000E59A6">
        <w:t xml:space="preserve"> throughout C</w:t>
      </w:r>
      <w:r w:rsidR="00B4065B">
        <w:t>onnect America</w:t>
      </w:r>
      <w:r w:rsidR="000E59A6">
        <w:t>-supported areas</w:t>
      </w:r>
      <w:r w:rsidR="00486402">
        <w:t xml:space="preserve">.  Having a single entity, </w:t>
      </w:r>
      <w:r w:rsidR="000914ED">
        <w:t xml:space="preserve">such as </w:t>
      </w:r>
      <w:r w:rsidR="00486402">
        <w:t xml:space="preserve">USAC, procure the necessary vendor and infrastructure to administer this program would minimize the overall cost of the program as well as the costs to </w:t>
      </w:r>
      <w:r w:rsidR="000914ED">
        <w:t>participating providers</w:t>
      </w:r>
      <w:r w:rsidR="00486402">
        <w:t xml:space="preserve">.  </w:t>
      </w:r>
      <w:r w:rsidR="000914ED">
        <w:t>We seek comment on whether su</w:t>
      </w:r>
      <w:r w:rsidR="00411062">
        <w:t xml:space="preserve">ch a program would be feasible. </w:t>
      </w:r>
      <w:r w:rsidR="000914ED">
        <w:t xml:space="preserve"> If so, should it be similar to the MBA program</w:t>
      </w:r>
      <w:r w:rsidR="00640EC5">
        <w:t>,</w:t>
      </w:r>
      <w:r w:rsidR="000914ED">
        <w:t xml:space="preserve"> or is there a better </w:t>
      </w:r>
      <w:r w:rsidR="00573AEC">
        <w:t xml:space="preserve">way </w:t>
      </w:r>
      <w:r w:rsidR="000914ED">
        <w:t>to measure broadband performance?</w:t>
      </w:r>
    </w:p>
    <w:p w:rsidR="0063346B" w:rsidRDefault="0063346B" w:rsidP="0063346B">
      <w:pPr>
        <w:pStyle w:val="ParaNum"/>
      </w:pPr>
      <w:r>
        <w:t xml:space="preserve">If the </w:t>
      </w:r>
      <w:r w:rsidR="00932D5F">
        <w:t>Commission</w:t>
      </w:r>
      <w:r>
        <w:t xml:space="preserve"> were to </w:t>
      </w:r>
      <w:r w:rsidR="00236CB4">
        <w:t xml:space="preserve">implement </w:t>
      </w:r>
      <w:r>
        <w:t xml:space="preserve">such a testing mechanism, should </w:t>
      </w:r>
      <w:r w:rsidR="00236CB4">
        <w:t xml:space="preserve">all </w:t>
      </w:r>
      <w:r w:rsidR="00640EC5">
        <w:t>ETCs</w:t>
      </w:r>
      <w:r>
        <w:t xml:space="preserve"> </w:t>
      </w:r>
      <w:r w:rsidR="00573AEC">
        <w:t xml:space="preserve">subject to broadband public interest obligations </w:t>
      </w:r>
      <w:r w:rsidR="009F619F">
        <w:t xml:space="preserve">to serve fixed locations </w:t>
      </w:r>
      <w:r>
        <w:t xml:space="preserve">be required to participate?  </w:t>
      </w:r>
      <w:r w:rsidR="00236CB4">
        <w:t xml:space="preserve">To the extent commenters argue that any ETCs should be exempt, they should identify with specificity the costs and benefits of requiring them to participate, and identify alternative means of achieving the Commission’s oversight objectives.  </w:t>
      </w:r>
    </w:p>
    <w:p w:rsidR="008A5E8B" w:rsidRDefault="00947C81" w:rsidP="00486402">
      <w:pPr>
        <w:pStyle w:val="ParaNum"/>
      </w:pPr>
      <w:r>
        <w:t>We</w:t>
      </w:r>
      <w:r w:rsidR="00DF1DFC">
        <w:t xml:space="preserve"> </w:t>
      </w:r>
      <w:r w:rsidR="00104206">
        <w:t>estimate</w:t>
      </w:r>
      <w:r w:rsidR="00DF1DFC">
        <w:t xml:space="preserve"> that </w:t>
      </w:r>
      <w:r w:rsidR="00DF1DFC" w:rsidRPr="00880B1E">
        <w:t xml:space="preserve">the total </w:t>
      </w:r>
      <w:r>
        <w:t>cost</w:t>
      </w:r>
      <w:r w:rsidR="001861B1">
        <w:t>s</w:t>
      </w:r>
      <w:r>
        <w:t xml:space="preserve"> for an MBA-type </w:t>
      </w:r>
      <w:r w:rsidR="00236CB4">
        <w:t xml:space="preserve">performance oversight </w:t>
      </w:r>
      <w:r>
        <w:t>program</w:t>
      </w:r>
      <w:r w:rsidR="00DF1DFC" w:rsidRPr="00880B1E">
        <w:t xml:space="preserve"> </w:t>
      </w:r>
      <w:r w:rsidR="00640EC5">
        <w:t xml:space="preserve">for ETCs receiving high-cost support </w:t>
      </w:r>
      <w:r w:rsidR="009B1765">
        <w:t>to serve</w:t>
      </w:r>
      <w:r w:rsidR="00640EC5">
        <w:t xml:space="preserve"> fixed </w:t>
      </w:r>
      <w:r w:rsidR="009B1765">
        <w:t xml:space="preserve">locations </w:t>
      </w:r>
      <w:r w:rsidR="00640EC5">
        <w:t xml:space="preserve"> </w:t>
      </w:r>
      <w:r w:rsidR="00DF1DFC" w:rsidRPr="00880B1E">
        <w:t>would be approximately $</w:t>
      </w:r>
      <w:r w:rsidR="00BC73AE">
        <w:t>4</w:t>
      </w:r>
      <w:r w:rsidR="00DF1DFC" w:rsidRPr="00880B1E">
        <w:t>.2 million, which would include the necessary hardware and software as well as an initial allocation of 5,000 whiteboxes, in the first year and approximately $5.9 million each year thereafter</w:t>
      </w:r>
      <w:r w:rsidR="00104206">
        <w:t xml:space="preserve"> (which incorporates an additional 5000 whiteboxes per year)</w:t>
      </w:r>
      <w:r w:rsidR="00DF1DFC" w:rsidRPr="00880B1E">
        <w:t xml:space="preserve">.  </w:t>
      </w:r>
      <w:r w:rsidR="00104206">
        <w:t xml:space="preserve">Our </w:t>
      </w:r>
      <w:r w:rsidR="008A5E8B">
        <w:t>total cost calculation was based on the following estimates</w:t>
      </w:r>
      <w:r w:rsidR="00BC73AE">
        <w:rPr>
          <w:rStyle w:val="FootnoteReference"/>
        </w:rPr>
        <w:footnoteReference w:id="22"/>
      </w:r>
      <w:r w:rsidR="008A5E8B">
        <w:t>:</w:t>
      </w:r>
    </w:p>
    <w:tbl>
      <w:tblPr>
        <w:tblStyle w:val="TableGrid"/>
        <w:tblW w:w="0" w:type="auto"/>
        <w:tblInd w:w="918" w:type="dxa"/>
        <w:tblLook w:val="04A0" w:firstRow="1" w:lastRow="0" w:firstColumn="1" w:lastColumn="0" w:noHBand="0" w:noVBand="1"/>
      </w:tblPr>
      <w:tblGrid>
        <w:gridCol w:w="3330"/>
        <w:gridCol w:w="1710"/>
        <w:gridCol w:w="2700"/>
      </w:tblGrid>
      <w:tr w:rsidR="00D03348" w:rsidRPr="00C8337D" w:rsidTr="00D03348">
        <w:tc>
          <w:tcPr>
            <w:tcW w:w="3330" w:type="dxa"/>
          </w:tcPr>
          <w:p w:rsidR="00D03348" w:rsidRPr="00FF145F" w:rsidRDefault="00D03348" w:rsidP="00C9257D">
            <w:pPr>
              <w:rPr>
                <w:rFonts w:ascii="Times New Roman" w:hAnsi="Times New Roman" w:cs="Times New Roman"/>
                <w:b/>
              </w:rPr>
            </w:pPr>
          </w:p>
        </w:tc>
        <w:tc>
          <w:tcPr>
            <w:tcW w:w="1710" w:type="dxa"/>
          </w:tcPr>
          <w:p w:rsidR="00D03348" w:rsidRPr="00FF145F" w:rsidRDefault="00D03348" w:rsidP="00D03348">
            <w:pPr>
              <w:jc w:val="center"/>
              <w:rPr>
                <w:rFonts w:ascii="Times New Roman" w:hAnsi="Times New Roman" w:cs="Times New Roman"/>
                <w:b/>
              </w:rPr>
            </w:pPr>
            <w:r w:rsidRPr="00FF145F">
              <w:rPr>
                <w:rFonts w:ascii="Times New Roman" w:hAnsi="Times New Roman" w:cs="Times New Roman"/>
                <w:b/>
              </w:rPr>
              <w:t>Year 1 Expenses</w:t>
            </w:r>
          </w:p>
        </w:tc>
        <w:tc>
          <w:tcPr>
            <w:tcW w:w="2700" w:type="dxa"/>
          </w:tcPr>
          <w:p w:rsidR="00D03348" w:rsidRPr="00FF145F" w:rsidRDefault="00D03348" w:rsidP="00D03348">
            <w:pPr>
              <w:jc w:val="center"/>
              <w:rPr>
                <w:rFonts w:ascii="Times New Roman" w:hAnsi="Times New Roman" w:cs="Times New Roman"/>
                <w:b/>
              </w:rPr>
            </w:pPr>
            <w:r w:rsidRPr="00FF145F">
              <w:rPr>
                <w:rFonts w:ascii="Times New Roman" w:hAnsi="Times New Roman" w:cs="Times New Roman"/>
                <w:b/>
              </w:rPr>
              <w:t>Annual Expenses After Year 1</w:t>
            </w:r>
          </w:p>
        </w:tc>
      </w:tr>
      <w:tr w:rsidR="00D03348" w:rsidTr="00D03348">
        <w:tc>
          <w:tcPr>
            <w:tcW w:w="3330" w:type="dxa"/>
          </w:tcPr>
          <w:p w:rsidR="00D03348" w:rsidRPr="00FF145F" w:rsidRDefault="00FF145F" w:rsidP="00C9257D">
            <w:pPr>
              <w:rPr>
                <w:rFonts w:ascii="Times New Roman" w:hAnsi="Times New Roman" w:cs="Times New Roman"/>
              </w:rPr>
            </w:pPr>
            <w:r>
              <w:rPr>
                <w:rFonts w:ascii="Times New Roman" w:hAnsi="Times New Roman" w:cs="Times New Roman"/>
              </w:rPr>
              <w:t>Whiteboxes (client testing devices)</w:t>
            </w:r>
          </w:p>
        </w:tc>
        <w:tc>
          <w:tcPr>
            <w:tcW w:w="1710" w:type="dxa"/>
          </w:tcPr>
          <w:p w:rsidR="00D03348" w:rsidRPr="00FF145F" w:rsidRDefault="00D03348" w:rsidP="00D03348">
            <w:pPr>
              <w:jc w:val="center"/>
              <w:rPr>
                <w:rFonts w:ascii="Times New Roman" w:hAnsi="Times New Roman" w:cs="Times New Roman"/>
              </w:rPr>
            </w:pPr>
            <w:r w:rsidRPr="00FF145F">
              <w:rPr>
                <w:rFonts w:ascii="Times New Roman" w:hAnsi="Times New Roman" w:cs="Times New Roman"/>
              </w:rPr>
              <w:t>$1.2 million</w:t>
            </w:r>
          </w:p>
        </w:tc>
        <w:tc>
          <w:tcPr>
            <w:tcW w:w="2700" w:type="dxa"/>
          </w:tcPr>
          <w:p w:rsidR="00D03348" w:rsidRPr="00FF145F" w:rsidRDefault="00D03348" w:rsidP="00D03348">
            <w:pPr>
              <w:jc w:val="center"/>
              <w:rPr>
                <w:rFonts w:ascii="Times New Roman" w:hAnsi="Times New Roman" w:cs="Times New Roman"/>
              </w:rPr>
            </w:pPr>
            <w:r w:rsidRPr="00FF145F">
              <w:rPr>
                <w:rFonts w:ascii="Times New Roman" w:hAnsi="Times New Roman" w:cs="Times New Roman"/>
              </w:rPr>
              <w:t>$1 million</w:t>
            </w:r>
          </w:p>
        </w:tc>
      </w:tr>
      <w:tr w:rsidR="00D03348" w:rsidTr="00FF145F">
        <w:trPr>
          <w:trHeight w:val="278"/>
        </w:trPr>
        <w:tc>
          <w:tcPr>
            <w:tcW w:w="3330" w:type="dxa"/>
          </w:tcPr>
          <w:p w:rsidR="00D03348" w:rsidRPr="00FF145F" w:rsidRDefault="00D03348" w:rsidP="00C9257D">
            <w:pPr>
              <w:rPr>
                <w:rFonts w:ascii="Times New Roman" w:hAnsi="Times New Roman" w:cs="Times New Roman"/>
              </w:rPr>
            </w:pPr>
            <w:r w:rsidRPr="00FF145F">
              <w:rPr>
                <w:rFonts w:ascii="Times New Roman" w:hAnsi="Times New Roman" w:cs="Times New Roman"/>
              </w:rPr>
              <w:t>Core Servers</w:t>
            </w:r>
          </w:p>
        </w:tc>
        <w:tc>
          <w:tcPr>
            <w:tcW w:w="1710" w:type="dxa"/>
          </w:tcPr>
          <w:p w:rsidR="00D03348" w:rsidRPr="00FF145F" w:rsidRDefault="00D03348" w:rsidP="00D03348">
            <w:pPr>
              <w:jc w:val="center"/>
              <w:rPr>
                <w:rFonts w:ascii="Times New Roman" w:hAnsi="Times New Roman" w:cs="Times New Roman"/>
              </w:rPr>
            </w:pPr>
            <w:r w:rsidRPr="00FF145F">
              <w:rPr>
                <w:rFonts w:ascii="Times New Roman" w:hAnsi="Times New Roman" w:cs="Times New Roman"/>
              </w:rPr>
              <w:t>$1.7 million</w:t>
            </w:r>
          </w:p>
        </w:tc>
        <w:tc>
          <w:tcPr>
            <w:tcW w:w="2700" w:type="dxa"/>
          </w:tcPr>
          <w:p w:rsidR="00D03348" w:rsidRPr="00FF145F" w:rsidRDefault="00D03348" w:rsidP="00D03348">
            <w:pPr>
              <w:jc w:val="center"/>
              <w:rPr>
                <w:rFonts w:ascii="Times New Roman" w:hAnsi="Times New Roman" w:cs="Times New Roman"/>
              </w:rPr>
            </w:pPr>
            <w:r w:rsidRPr="00FF145F">
              <w:rPr>
                <w:rFonts w:ascii="Times New Roman" w:hAnsi="Times New Roman" w:cs="Times New Roman"/>
              </w:rPr>
              <w:t>$1.65 million</w:t>
            </w:r>
          </w:p>
        </w:tc>
      </w:tr>
      <w:tr w:rsidR="00D03348" w:rsidTr="00D03348">
        <w:tc>
          <w:tcPr>
            <w:tcW w:w="3330" w:type="dxa"/>
          </w:tcPr>
          <w:p w:rsidR="00D03348" w:rsidRPr="00FF145F" w:rsidRDefault="00640EC5" w:rsidP="00C9257D">
            <w:pPr>
              <w:rPr>
                <w:rFonts w:ascii="Times New Roman" w:hAnsi="Times New Roman" w:cs="Times New Roman"/>
              </w:rPr>
            </w:pPr>
            <w:r>
              <w:rPr>
                <w:rFonts w:ascii="Times New Roman" w:hAnsi="Times New Roman" w:cs="Times New Roman"/>
              </w:rPr>
              <w:t xml:space="preserve">Program </w:t>
            </w:r>
            <w:r w:rsidR="00D03348" w:rsidRPr="00FF145F">
              <w:rPr>
                <w:rFonts w:ascii="Times New Roman" w:hAnsi="Times New Roman" w:cs="Times New Roman"/>
              </w:rPr>
              <w:t>Administrative Expenses (could be performed by USAC)</w:t>
            </w:r>
          </w:p>
        </w:tc>
        <w:tc>
          <w:tcPr>
            <w:tcW w:w="1710" w:type="dxa"/>
          </w:tcPr>
          <w:p w:rsidR="00D03348" w:rsidRPr="00FF145F" w:rsidRDefault="00D03348" w:rsidP="00D03348">
            <w:pPr>
              <w:jc w:val="center"/>
              <w:rPr>
                <w:rFonts w:ascii="Times New Roman" w:hAnsi="Times New Roman" w:cs="Times New Roman"/>
              </w:rPr>
            </w:pPr>
            <w:r w:rsidRPr="00FF145F">
              <w:rPr>
                <w:rFonts w:ascii="Times New Roman" w:hAnsi="Times New Roman" w:cs="Times New Roman"/>
              </w:rPr>
              <w:t>$1.3 million</w:t>
            </w:r>
          </w:p>
        </w:tc>
        <w:tc>
          <w:tcPr>
            <w:tcW w:w="2700" w:type="dxa"/>
          </w:tcPr>
          <w:p w:rsidR="00D03348" w:rsidRPr="00FF145F" w:rsidRDefault="00D03348" w:rsidP="00D03348">
            <w:pPr>
              <w:jc w:val="center"/>
              <w:rPr>
                <w:rFonts w:ascii="Times New Roman" w:hAnsi="Times New Roman" w:cs="Times New Roman"/>
              </w:rPr>
            </w:pPr>
            <w:r w:rsidRPr="00FF145F">
              <w:rPr>
                <w:rFonts w:ascii="Times New Roman" w:hAnsi="Times New Roman" w:cs="Times New Roman"/>
              </w:rPr>
              <w:t>$1.3 million</w:t>
            </w:r>
          </w:p>
        </w:tc>
      </w:tr>
      <w:tr w:rsidR="00D03348" w:rsidTr="00FF145F">
        <w:trPr>
          <w:trHeight w:val="386"/>
        </w:trPr>
        <w:tc>
          <w:tcPr>
            <w:tcW w:w="3330" w:type="dxa"/>
          </w:tcPr>
          <w:p w:rsidR="00FF145F" w:rsidRDefault="00FF145F" w:rsidP="00C9257D">
            <w:pPr>
              <w:rPr>
                <w:rFonts w:ascii="Times New Roman" w:hAnsi="Times New Roman" w:cs="Times New Roman"/>
                <w:b/>
              </w:rPr>
            </w:pPr>
          </w:p>
          <w:p w:rsidR="00D03348" w:rsidRPr="00FF145F" w:rsidRDefault="00D03348" w:rsidP="00C9257D">
            <w:pPr>
              <w:rPr>
                <w:rFonts w:ascii="Times New Roman" w:hAnsi="Times New Roman" w:cs="Times New Roman"/>
              </w:rPr>
            </w:pPr>
            <w:r w:rsidRPr="00FF145F">
              <w:rPr>
                <w:rFonts w:ascii="Times New Roman" w:hAnsi="Times New Roman" w:cs="Times New Roman"/>
                <w:b/>
              </w:rPr>
              <w:t>Total Cost</w:t>
            </w:r>
          </w:p>
        </w:tc>
        <w:tc>
          <w:tcPr>
            <w:tcW w:w="1710" w:type="dxa"/>
          </w:tcPr>
          <w:p w:rsidR="00FF145F" w:rsidRDefault="00FF145F" w:rsidP="00D03348">
            <w:pPr>
              <w:jc w:val="center"/>
              <w:rPr>
                <w:rFonts w:ascii="Times New Roman" w:hAnsi="Times New Roman" w:cs="Times New Roman"/>
                <w:b/>
              </w:rPr>
            </w:pPr>
          </w:p>
          <w:p w:rsidR="00D03348" w:rsidRPr="00FF145F" w:rsidRDefault="00D03348" w:rsidP="0034017A">
            <w:pPr>
              <w:jc w:val="center"/>
              <w:rPr>
                <w:rFonts w:ascii="Times New Roman" w:hAnsi="Times New Roman" w:cs="Times New Roman"/>
                <w:b/>
              </w:rPr>
            </w:pPr>
            <w:r w:rsidRPr="00FF145F">
              <w:rPr>
                <w:rFonts w:ascii="Times New Roman" w:hAnsi="Times New Roman" w:cs="Times New Roman"/>
                <w:b/>
              </w:rPr>
              <w:t>$</w:t>
            </w:r>
            <w:r w:rsidR="0034017A">
              <w:rPr>
                <w:rFonts w:ascii="Times New Roman" w:hAnsi="Times New Roman" w:cs="Times New Roman"/>
                <w:b/>
              </w:rPr>
              <w:t>4</w:t>
            </w:r>
            <w:r w:rsidRPr="00FF145F">
              <w:rPr>
                <w:rFonts w:ascii="Times New Roman" w:hAnsi="Times New Roman" w:cs="Times New Roman"/>
                <w:b/>
              </w:rPr>
              <w:t>.2 million</w:t>
            </w:r>
          </w:p>
        </w:tc>
        <w:tc>
          <w:tcPr>
            <w:tcW w:w="2700" w:type="dxa"/>
          </w:tcPr>
          <w:p w:rsidR="00FF145F" w:rsidRDefault="00FF145F" w:rsidP="00D03348">
            <w:pPr>
              <w:jc w:val="center"/>
              <w:rPr>
                <w:rFonts w:ascii="Times New Roman" w:hAnsi="Times New Roman" w:cs="Times New Roman"/>
                <w:b/>
              </w:rPr>
            </w:pPr>
          </w:p>
          <w:p w:rsidR="00D03348" w:rsidRPr="00FF145F" w:rsidRDefault="00D03348" w:rsidP="0034017A">
            <w:pPr>
              <w:jc w:val="center"/>
              <w:rPr>
                <w:rFonts w:ascii="Times New Roman" w:hAnsi="Times New Roman" w:cs="Times New Roman"/>
                <w:b/>
              </w:rPr>
            </w:pPr>
            <w:r w:rsidRPr="00FF145F">
              <w:rPr>
                <w:rFonts w:ascii="Times New Roman" w:hAnsi="Times New Roman" w:cs="Times New Roman"/>
                <w:b/>
              </w:rPr>
              <w:t>$</w:t>
            </w:r>
            <w:r w:rsidR="0034017A">
              <w:rPr>
                <w:rFonts w:ascii="Times New Roman" w:hAnsi="Times New Roman" w:cs="Times New Roman"/>
                <w:b/>
              </w:rPr>
              <w:t>3</w:t>
            </w:r>
            <w:r w:rsidRPr="00FF145F">
              <w:rPr>
                <w:rFonts w:ascii="Times New Roman" w:hAnsi="Times New Roman" w:cs="Times New Roman"/>
                <w:b/>
              </w:rPr>
              <w:t>.9 million</w:t>
            </w:r>
          </w:p>
        </w:tc>
      </w:tr>
    </w:tbl>
    <w:p w:rsidR="00436228" w:rsidRDefault="00436228" w:rsidP="0031442D">
      <w:pPr>
        <w:pStyle w:val="ParaNum"/>
        <w:numPr>
          <w:ilvl w:val="0"/>
          <w:numId w:val="0"/>
        </w:numPr>
        <w:spacing w:after="0"/>
      </w:pPr>
    </w:p>
    <w:p w:rsidR="00486402" w:rsidRDefault="00FF145F" w:rsidP="008A5E8B">
      <w:pPr>
        <w:pStyle w:val="ParaNum"/>
        <w:numPr>
          <w:ilvl w:val="0"/>
          <w:numId w:val="0"/>
        </w:numPr>
      </w:pPr>
      <w:r>
        <w:t>The cost estimates above are based on h</w:t>
      </w:r>
      <w:r w:rsidR="000914ED">
        <w:t xml:space="preserve">aving a single entity contract for the necessary hardware and services </w:t>
      </w:r>
      <w:r>
        <w:t>to</w:t>
      </w:r>
      <w:r w:rsidR="000914ED">
        <w:t xml:space="preserve"> minimize costs through streamlined administration and bulk hardware purchases.  </w:t>
      </w:r>
      <w:r w:rsidR="00573AEC">
        <w:t>If the Commission were to implement</w:t>
      </w:r>
      <w:r w:rsidR="00236CB4">
        <w:t xml:space="preserve"> such a centralized testing </w:t>
      </w:r>
      <w:r w:rsidR="00573AEC">
        <w:t>program, s</w:t>
      </w:r>
      <w:r w:rsidR="000914ED">
        <w:t>hould the</w:t>
      </w:r>
      <w:r w:rsidR="00573AEC">
        <w:t>se</w:t>
      </w:r>
      <w:r w:rsidR="000914ED">
        <w:t xml:space="preserve"> costs be borne by particip</w:t>
      </w:r>
      <w:r w:rsidR="00744897">
        <w:t>ating providers or by USAC</w:t>
      </w:r>
      <w:r w:rsidR="00573AEC">
        <w:t xml:space="preserve"> as part of its oversight over the universal service fund</w:t>
      </w:r>
      <w:r w:rsidR="00744897">
        <w:t xml:space="preserve">?  </w:t>
      </w:r>
      <w:r w:rsidR="002F103F">
        <w:t xml:space="preserve">Should </w:t>
      </w:r>
      <w:r w:rsidR="00744897">
        <w:t xml:space="preserve">USAC pay the costs of the </w:t>
      </w:r>
      <w:r w:rsidR="00573AEC">
        <w:t xml:space="preserve">core </w:t>
      </w:r>
      <w:r w:rsidR="00744897">
        <w:t>servers</w:t>
      </w:r>
      <w:r w:rsidR="00573AEC">
        <w:t xml:space="preserve">, with </w:t>
      </w:r>
      <w:r>
        <w:t>participating providers</w:t>
      </w:r>
      <w:r w:rsidR="00744897">
        <w:t xml:space="preserve"> </w:t>
      </w:r>
      <w:r w:rsidR="002F103F">
        <w:t>pay</w:t>
      </w:r>
      <w:r w:rsidR="00BC73AE">
        <w:t>ing</w:t>
      </w:r>
      <w:r w:rsidR="00744897">
        <w:t xml:space="preserve"> the costs of the whiteboxes deployed in their service areas</w:t>
      </w:r>
      <w:r w:rsidR="00A34731">
        <w:t xml:space="preserve">?  </w:t>
      </w:r>
      <w:r w:rsidR="00E05F5C">
        <w:t xml:space="preserve">If USAC were to pay all of the </w:t>
      </w:r>
      <w:r w:rsidR="00573AEC">
        <w:t xml:space="preserve">equipment </w:t>
      </w:r>
      <w:r w:rsidR="00E05F5C">
        <w:t xml:space="preserve">costs, including the whiteboxes, we anticipate that </w:t>
      </w:r>
      <w:r w:rsidR="00573AEC">
        <w:t xml:space="preserve">the only cost for providers would be </w:t>
      </w:r>
      <w:r>
        <w:t xml:space="preserve">primarily </w:t>
      </w:r>
      <w:r w:rsidR="00573AEC">
        <w:t xml:space="preserve">to </w:t>
      </w:r>
      <w:r w:rsidR="005660EF">
        <w:t>verify the services of the panelists selected in a particular provider’s service territory.</w:t>
      </w:r>
      <w:r w:rsidR="00E05F5C">
        <w:t xml:space="preserve"> </w:t>
      </w:r>
    </w:p>
    <w:p w:rsidR="00486402" w:rsidRDefault="005764BA" w:rsidP="00486402">
      <w:pPr>
        <w:pStyle w:val="ParaNum"/>
      </w:pPr>
      <w:r>
        <w:t xml:space="preserve">If the </w:t>
      </w:r>
      <w:r w:rsidR="00932D5F">
        <w:t>Commission</w:t>
      </w:r>
      <w:r>
        <w:t xml:space="preserve"> </w:t>
      </w:r>
      <w:r w:rsidR="00236CB4">
        <w:t>were to adopt such an approach</w:t>
      </w:r>
      <w:r w:rsidR="009B315E">
        <w:t>, how many white</w:t>
      </w:r>
      <w:r>
        <w:t xml:space="preserve">boxes should be </w:t>
      </w:r>
      <w:r w:rsidR="00B97DE1">
        <w:t>deployed</w:t>
      </w:r>
      <w:r>
        <w:t xml:space="preserve"> in each supported area?  Should the number be the same for all providers, vary based on the number of customers in the supported area, or be based on some other calculation</w:t>
      </w:r>
      <w:r w:rsidR="00640EC5">
        <w:t>?</w:t>
      </w:r>
      <w:r>
        <w:t xml:space="preserve">  </w:t>
      </w:r>
      <w:r w:rsidR="009B315E">
        <w:t>Should individual consumers or consumer groups located in areas served by a C</w:t>
      </w:r>
      <w:r w:rsidR="00573AEC">
        <w:t>onnect America</w:t>
      </w:r>
      <w:r w:rsidR="009B315E">
        <w:t>-supported provider be allowed to participate in such an MBA-type mechanism by purchasing their own whiteboxes?  Such “</w:t>
      </w:r>
      <w:r w:rsidR="0046597F">
        <w:t>c</w:t>
      </w:r>
      <w:r w:rsidR="009B315E">
        <w:t xml:space="preserve">itizen </w:t>
      </w:r>
      <w:r w:rsidR="0046597F">
        <w:t>t</w:t>
      </w:r>
      <w:r w:rsidR="009B315E">
        <w:t>esting</w:t>
      </w:r>
      <w:r w:rsidR="00486402" w:rsidRPr="008E0C6D">
        <w:t xml:space="preserve">” </w:t>
      </w:r>
      <w:r w:rsidR="009B315E">
        <w:t xml:space="preserve">would allow </w:t>
      </w:r>
      <w:r w:rsidR="00674A27">
        <w:t>interested individuals to evaluate the quality of their services while providing additional testing data</w:t>
      </w:r>
      <w:r w:rsidR="00486402">
        <w:t>.</w:t>
      </w:r>
      <w:r w:rsidR="00486402" w:rsidRPr="00CC380A">
        <w:rPr>
          <w:rStyle w:val="FootnoteReference"/>
        </w:rPr>
        <w:t xml:space="preserve"> </w:t>
      </w:r>
      <w:r w:rsidR="00486402">
        <w:rPr>
          <w:rStyle w:val="FootnoteReference"/>
        </w:rPr>
        <w:footnoteReference w:id="23"/>
      </w:r>
    </w:p>
    <w:p w:rsidR="00486402" w:rsidRDefault="00674A27" w:rsidP="00486402">
      <w:pPr>
        <w:pStyle w:val="ParaNum"/>
      </w:pPr>
      <w:r>
        <w:t xml:space="preserve">We seek comment on the </w:t>
      </w:r>
      <w:r w:rsidR="00486402">
        <w:t xml:space="preserve">initial performance measurement test suite </w:t>
      </w:r>
      <w:r>
        <w:t>that should be used</w:t>
      </w:r>
      <w:r w:rsidR="00236CB4">
        <w:t>, if the Commission were to implement</w:t>
      </w:r>
      <w:r>
        <w:t xml:space="preserve"> an MBA-type testing mechanism.  The MBA’s current test suite includes 13 tests that measure various aspects of network performance with respect to speed and latency and was developed on a consensus basis by academics, regulators, and industry participants.</w:t>
      </w:r>
      <w:r w:rsidR="00486402">
        <w:rPr>
          <w:rStyle w:val="FootnoteReference"/>
        </w:rPr>
        <w:footnoteReference w:id="24"/>
      </w:r>
      <w:r w:rsidR="00486402">
        <w:t xml:space="preserve">  </w:t>
      </w:r>
      <w:r>
        <w:t xml:space="preserve"> Would the MBA’s test suite be an appropriate for a </w:t>
      </w:r>
      <w:r w:rsidR="00573AEC">
        <w:t>Connect America</w:t>
      </w:r>
      <w:r>
        <w:t xml:space="preserve"> testing mechanism</w:t>
      </w:r>
      <w:r w:rsidR="00573AEC">
        <w:t>, or could it be modified in some fashion</w:t>
      </w:r>
      <w:r>
        <w:t>?  W</w:t>
      </w:r>
      <w:r w:rsidR="003A4654">
        <w:t xml:space="preserve">hat aspects of </w:t>
      </w:r>
      <w:r>
        <w:t xml:space="preserve">the MBA test suite </w:t>
      </w:r>
      <w:r w:rsidR="003A4654">
        <w:t>are</w:t>
      </w:r>
      <w:r>
        <w:t xml:space="preserve"> necessary to meet the Commission’s objective</w:t>
      </w:r>
      <w:r w:rsidR="00236CB4">
        <w:t>s</w:t>
      </w:r>
      <w:r w:rsidR="003A4654">
        <w:t xml:space="preserve"> that ETCs meet their broadband public interest obligations</w:t>
      </w:r>
      <w:r>
        <w:t>?</w:t>
      </w:r>
    </w:p>
    <w:p w:rsidR="00486402" w:rsidRDefault="00486402" w:rsidP="00486402">
      <w:pPr>
        <w:pStyle w:val="ParaNum"/>
      </w:pPr>
      <w:r>
        <w:t xml:space="preserve">The MBA program </w:t>
      </w:r>
      <w:r w:rsidR="009359E9">
        <w:t xml:space="preserve">has </w:t>
      </w:r>
      <w:r>
        <w:t xml:space="preserve">found that allowing </w:t>
      </w:r>
      <w:r w:rsidR="009359E9">
        <w:t>consumers with whiteboxes (referred to as panelists)</w:t>
      </w:r>
      <w:r>
        <w:t xml:space="preserve"> access to their </w:t>
      </w:r>
      <w:r w:rsidR="009359E9">
        <w:t xml:space="preserve">testing </w:t>
      </w:r>
      <w:r>
        <w:t xml:space="preserve">data </w:t>
      </w:r>
      <w:r w:rsidR="009359E9">
        <w:t>is</w:t>
      </w:r>
      <w:r>
        <w:t xml:space="preserve"> an incentive to obtaining a high number of volunteers.  </w:t>
      </w:r>
      <w:r w:rsidR="009359E9">
        <w:t xml:space="preserve">Should a </w:t>
      </w:r>
      <w:r w:rsidR="00932D5F">
        <w:t>Commission</w:t>
      </w:r>
      <w:r w:rsidR="009359E9">
        <w:t xml:space="preserve">-designed testing mechanism </w:t>
      </w:r>
      <w:r w:rsidR="00236CB4">
        <w:t xml:space="preserve">for high-cost recipients </w:t>
      </w:r>
      <w:r w:rsidR="009359E9">
        <w:t xml:space="preserve">allow </w:t>
      </w:r>
      <w:r w:rsidR="00236CB4">
        <w:t xml:space="preserve">end user </w:t>
      </w:r>
      <w:r w:rsidR="009359E9">
        <w:t xml:space="preserve">participants access to their own testing data?  MBA results are currently made publically available via the Commission’s website.  Should </w:t>
      </w:r>
      <w:r w:rsidR="00236CB4">
        <w:t>the</w:t>
      </w:r>
      <w:r w:rsidR="009359E9">
        <w:t xml:space="preserve"> </w:t>
      </w:r>
      <w:r w:rsidR="00932D5F">
        <w:t>Commission</w:t>
      </w:r>
      <w:r w:rsidR="009359E9">
        <w:t xml:space="preserve"> publish test results?  Making such data public would allow consumers and policy makers to evaluate whether </w:t>
      </w:r>
      <w:r w:rsidR="00640EC5">
        <w:t>ETCs</w:t>
      </w:r>
      <w:r w:rsidR="009359E9">
        <w:t xml:space="preserve"> are meeting their service obligations and </w:t>
      </w:r>
      <w:r w:rsidR="00061E39">
        <w:t xml:space="preserve">allow comparisons of service quality among providers.  Is there any reason that such performance results should be </w:t>
      </w:r>
      <w:r w:rsidR="0046597F">
        <w:t>kept</w:t>
      </w:r>
      <w:r w:rsidR="00061E39">
        <w:t xml:space="preserve"> confidential?  If so, should </w:t>
      </w:r>
      <w:r w:rsidR="00DF1DFC">
        <w:t>the results</w:t>
      </w:r>
      <w:r w:rsidR="00061E39">
        <w:t xml:space="preserve"> be treated as confidential for a particular period of time?</w:t>
      </w:r>
    </w:p>
    <w:p w:rsidR="00486402" w:rsidRDefault="00486402" w:rsidP="00AC2B0C">
      <w:pPr>
        <w:pStyle w:val="Heading1"/>
      </w:pPr>
      <w:r>
        <w:t>Audi</w:t>
      </w:r>
      <w:r w:rsidR="00AC2B0C">
        <w:t>t</w:t>
      </w:r>
      <w:r w:rsidR="00935E8C">
        <w:t>ING SPEED AND LATENCY</w:t>
      </w:r>
    </w:p>
    <w:p w:rsidR="00486402" w:rsidRDefault="00486402" w:rsidP="003A4654">
      <w:pPr>
        <w:pStyle w:val="ParaNum"/>
      </w:pPr>
      <w:r>
        <w:t xml:space="preserve">In the </w:t>
      </w:r>
      <w:r w:rsidRPr="00FC5D74">
        <w:rPr>
          <w:i/>
        </w:rPr>
        <w:t>USF/ICC Transformation Order</w:t>
      </w:r>
      <w:r>
        <w:t>, the Commission concluded that the results of speed and latency metric testing “will be subject to audit.”</w:t>
      </w:r>
      <w:r>
        <w:rPr>
          <w:rStyle w:val="FootnoteReference"/>
        </w:rPr>
        <w:footnoteReference w:id="25"/>
      </w:r>
      <w:r>
        <w:t xml:space="preserve">  </w:t>
      </w:r>
      <w:r w:rsidR="00AC2B0C">
        <w:t>W</w:t>
      </w:r>
      <w:r>
        <w:t>e seek to further develop the record on procedures for implementing this requirement</w:t>
      </w:r>
      <w:r w:rsidR="00AC2B0C">
        <w:t xml:space="preserve"> for all recipients of C</w:t>
      </w:r>
      <w:r w:rsidR="003A4654">
        <w:t>onnect America</w:t>
      </w:r>
      <w:r w:rsidR="00AC2B0C">
        <w:t xml:space="preserve"> funding.  </w:t>
      </w:r>
      <w:r w:rsidR="003A4654">
        <w:t>In particular, we seek comment on how to incorporate this requirement into the existing Beneficiary Compliance Audit Program (BCAP), and whether</w:t>
      </w:r>
      <w:r w:rsidR="00236CB4">
        <w:t xml:space="preserve"> </w:t>
      </w:r>
      <w:r w:rsidR="003A4654">
        <w:t>additional audits specifically focused on broadband performance should be implemented</w:t>
      </w:r>
      <w:r w:rsidR="00236CB4">
        <w:t xml:space="preserve"> outside of BCAP</w:t>
      </w:r>
      <w:r w:rsidR="003A4654">
        <w:t>.</w:t>
      </w:r>
    </w:p>
    <w:p w:rsidR="002B34E6" w:rsidRDefault="003A4654" w:rsidP="00436A8C">
      <w:pPr>
        <w:pStyle w:val="ParaNum"/>
      </w:pPr>
      <w:r>
        <w:t xml:space="preserve">High-cost recipients today are subject to random and for-cause </w:t>
      </w:r>
      <w:r w:rsidR="00236CB4">
        <w:t>USAC</w:t>
      </w:r>
      <w:r>
        <w:t xml:space="preserve"> audits.  We seek comment on the circumstances that would warrant examining </w:t>
      </w:r>
      <w:r w:rsidR="00935E8C">
        <w:t xml:space="preserve">broadband performance for cause.  In particular, </w:t>
      </w:r>
      <w:r w:rsidR="00436A8C">
        <w:t>what events should trigger a</w:t>
      </w:r>
      <w:r w:rsidR="00935E8C">
        <w:t xml:space="preserve"> for cause</w:t>
      </w:r>
      <w:r w:rsidR="00436A8C">
        <w:t xml:space="preserve"> audit</w:t>
      </w:r>
      <w:r w:rsidR="003155A8">
        <w:t xml:space="preserve"> of speed and latency metrics</w:t>
      </w:r>
      <w:r w:rsidR="00935E8C">
        <w:t>?</w:t>
      </w:r>
      <w:r w:rsidR="00436A8C">
        <w:t xml:space="preserve">  For example, failure to file a certification </w:t>
      </w:r>
      <w:r w:rsidR="002B34E6">
        <w:t xml:space="preserve">that service obligations are being met or a certification that standards are not being met would likely require an immediate audit.  Similarly, because MBA results are publicly available, </w:t>
      </w:r>
      <w:r w:rsidR="00EA64C4">
        <w:t xml:space="preserve">should </w:t>
      </w:r>
      <w:r w:rsidR="00C4577B">
        <w:t xml:space="preserve">MBA test results </w:t>
      </w:r>
      <w:r w:rsidR="00EA64C4">
        <w:t>that</w:t>
      </w:r>
      <w:r w:rsidR="00C4577B">
        <w:t xml:space="preserve"> demonstrate a failure to meet service obligations trigger an audit?  </w:t>
      </w:r>
      <w:r w:rsidR="002B34E6">
        <w:t>Should consumer</w:t>
      </w:r>
      <w:r w:rsidR="00312A0F">
        <w:t xml:space="preserve"> or other credible</w:t>
      </w:r>
      <w:r w:rsidR="002B34E6">
        <w:t xml:space="preserve"> complaints regarding the quality of service </w:t>
      </w:r>
      <w:r>
        <w:t xml:space="preserve">result in </w:t>
      </w:r>
      <w:r w:rsidR="002B34E6">
        <w:t>an audit?  If customer complaints are used to initiate an audit, we seek comment on how this should be done.  Should complaints to state/local regulat</w:t>
      </w:r>
      <w:r w:rsidR="00EA64C4">
        <w:t>ory agencies, the Commission, and/or</w:t>
      </w:r>
      <w:r w:rsidR="002B34E6">
        <w:t xml:space="preserve"> public watchdog organizations trigger audits?  If so, how many complaints over what time period and what type of complaints should be triggering events for a performance audit?   Should requests from local, state, or tribal authorities be sufficient to trigger an audit?  Are there other events that should trigger an audit?  Proposed audit triggers should address both ensuring that performance standards are met and minimizing administrative costs.</w:t>
      </w:r>
    </w:p>
    <w:p w:rsidR="00486402" w:rsidRDefault="00385F58" w:rsidP="00486402">
      <w:pPr>
        <w:pStyle w:val="ParaNum"/>
      </w:pPr>
      <w:r>
        <w:t>In addition, we seek comment on whether</w:t>
      </w:r>
      <w:r w:rsidR="00486402">
        <w:t xml:space="preserve"> a provider whose audit demonstrates a need for ongoing monitoring be required to pay the costs of this additional monitoring</w:t>
      </w:r>
      <w:r>
        <w:t xml:space="preserve">.  </w:t>
      </w:r>
      <w:r w:rsidR="00441C93">
        <w:t xml:space="preserve"> Should results of audits be made publicly available?</w:t>
      </w:r>
      <w:r w:rsidR="00312A0F">
        <w:t xml:space="preserve">  If not, what justifications sup</w:t>
      </w:r>
      <w:r w:rsidR="00EB0D2E">
        <w:t>p</w:t>
      </w:r>
      <w:r w:rsidR="00312A0F">
        <w:t>ort keeping such results private and for how long?</w:t>
      </w:r>
    </w:p>
    <w:p w:rsidR="00A16A1D" w:rsidRDefault="00A16A1D" w:rsidP="00A16A1D">
      <w:pPr>
        <w:pStyle w:val="Heading1"/>
      </w:pPr>
      <w:r>
        <w:t>P</w:t>
      </w:r>
      <w:r w:rsidRPr="00A16A1D">
        <w:t>ROCEDURAL MATTERS</w:t>
      </w:r>
    </w:p>
    <w:p w:rsidR="00DF6B8E" w:rsidRDefault="00DF6B8E" w:rsidP="00A16A1D">
      <w:pPr>
        <w:pStyle w:val="ParaNum"/>
      </w:pPr>
      <w:r w:rsidRPr="00DF6B8E">
        <w:rPr>
          <w:u w:val="single"/>
        </w:rPr>
        <w:t>Initial Regulatory Flexibility Act Analysis</w:t>
      </w:r>
      <w:r>
        <w:t xml:space="preserve">.  The </w:t>
      </w:r>
      <w:r>
        <w:rPr>
          <w:i/>
          <w:iCs/>
        </w:rPr>
        <w:t xml:space="preserve">USF/ICC Transformation Order </w:t>
      </w:r>
      <w:r>
        <w:t>included an Initial Regulatory Flexibility Analysis (IRFA) pursuant to 5 U.S.C. § 603, exploring the potential impact on small entities of the Commission’s proposal.</w:t>
      </w:r>
      <w:r w:rsidR="00FD0888">
        <w:rPr>
          <w:rStyle w:val="FootnoteReference"/>
        </w:rPr>
        <w:footnoteReference w:id="26"/>
      </w:r>
      <w:r>
        <w:t>  We invite parties to file comments on the IRFA in light of this additional notice.</w:t>
      </w:r>
    </w:p>
    <w:p w:rsidR="00DF6B8E" w:rsidRPr="00DF6B8E" w:rsidRDefault="00DF6B8E" w:rsidP="00A16A1D">
      <w:pPr>
        <w:pStyle w:val="ParaNum"/>
      </w:pPr>
      <w:r w:rsidRPr="00DF6B8E">
        <w:rPr>
          <w:u w:val="single"/>
        </w:rPr>
        <w:t>Initial Paperwork Reduction Act of 1995 Analysis</w:t>
      </w:r>
      <w:r>
        <w:t xml:space="preserve">.  </w:t>
      </w:r>
      <w:r>
        <w:rPr>
          <w:rStyle w:val="apple-style-span"/>
          <w:color w:val="000000"/>
        </w:rPr>
        <w:t xml:space="preserve">This </w:t>
      </w:r>
      <w:r>
        <w:t>document</w:t>
      </w:r>
      <w:r>
        <w:rPr>
          <w:rStyle w:val="apple-style-span"/>
          <w:color w:val="000000"/>
        </w:rPr>
        <w:t xml:space="preserve"> seeks comment on a potential new or revised information collection requirement.  If the Commission adopts any new or revised information collection requirement, the Commission will publish a separate notice in the Federal Register inviting the public to comment on the requirement, as required by the Paperwork Reduction Act of 1995, Public Law 104-13 (44 U.S.C. §§ 3501-3520).  In addition, pursuant to the Small Business Paperwork Relief Act of 2002, Public Law 107-198, the Commission seeks specific comment on how it might “further reduce the information collection burden for small business concerns with fewer than 25 employees.”</w:t>
      </w:r>
      <w:r w:rsidR="00FD0888">
        <w:rPr>
          <w:rStyle w:val="FootnoteReference"/>
        </w:rPr>
        <w:footnoteReference w:id="27"/>
      </w:r>
    </w:p>
    <w:p w:rsidR="00A16A1D" w:rsidRPr="00AE0EC1" w:rsidRDefault="00A16A1D">
      <w:pPr>
        <w:pStyle w:val="ParaNum"/>
      </w:pPr>
      <w:r w:rsidRPr="00AE0EC1">
        <w:rPr>
          <w:u w:val="single"/>
        </w:rPr>
        <w:t>Filing Requirements.</w:t>
      </w:r>
      <w:r w:rsidRPr="00AE0EC1">
        <w:t xml:space="preserve">  Pursuant to sections 1.415 and 1.419 of the Commission’s rules, interested parties may file comments on or before the dates indicated on the first page of this document.</w:t>
      </w:r>
      <w:r w:rsidRPr="00AE0EC1">
        <w:rPr>
          <w:rStyle w:val="FootnoteReference"/>
        </w:rPr>
        <w:footnoteReference w:id="28"/>
      </w:r>
      <w:r w:rsidRPr="00AE0EC1">
        <w:t xml:space="preserve">  Comments may be filed using the Commission’s Electronic Comment Filing System (ECFS).</w:t>
      </w:r>
      <w:r w:rsidRPr="00AE0EC1">
        <w:rPr>
          <w:rStyle w:val="FootnoteReference"/>
        </w:rPr>
        <w:footnoteReference w:id="29"/>
      </w:r>
    </w:p>
    <w:p w:rsidR="00A16A1D" w:rsidRPr="00AE0EC1" w:rsidRDefault="00A16A1D">
      <w:pPr>
        <w:widowControl/>
        <w:numPr>
          <w:ilvl w:val="0"/>
          <w:numId w:val="10"/>
        </w:numPr>
        <w:spacing w:after="120"/>
      </w:pPr>
      <w:r w:rsidRPr="00AE0EC1">
        <w:t xml:space="preserve">Electronic Filers:  Comments may be filed electronically using the Internet by accessing the ECFS:  </w:t>
      </w:r>
      <w:r w:rsidR="00FC5375" w:rsidRPr="0031442D">
        <w:t>http://fjallfoss.fcc.gov/ecfs2/</w:t>
      </w:r>
      <w:r w:rsidRPr="00AE0EC1">
        <w:t xml:space="preserve">.  </w:t>
      </w:r>
    </w:p>
    <w:p w:rsidR="00A16A1D" w:rsidRPr="00AE0EC1" w:rsidRDefault="00A16A1D">
      <w:pPr>
        <w:widowControl/>
        <w:numPr>
          <w:ilvl w:val="0"/>
          <w:numId w:val="11"/>
        </w:numPr>
        <w:spacing w:after="120"/>
      </w:pPr>
      <w:r w:rsidRPr="00AE0EC1">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16A1D" w:rsidRPr="00AE0EC1" w:rsidRDefault="00A16A1D">
      <w:pPr>
        <w:pStyle w:val="ParaNum"/>
      </w:pPr>
      <w:r w:rsidRPr="00AE0EC1">
        <w:t>Filings can be sent by hand or messenger delivery, by commercial overnight courier, or by first-class or overnight U.S. Postal Service mail.  All filings must be addressed to the Commission’s Secretary, Office of the Secretary, Federal Communications Commission.</w:t>
      </w:r>
    </w:p>
    <w:p w:rsidR="00A16A1D" w:rsidRPr="00AE0EC1" w:rsidRDefault="00A16A1D">
      <w:pPr>
        <w:widowControl/>
        <w:numPr>
          <w:ilvl w:val="0"/>
          <w:numId w:val="11"/>
        </w:numPr>
        <w:spacing w:after="120"/>
      </w:pPr>
      <w:r w:rsidRPr="00AE0EC1">
        <w:t>All hand-delivered or messenger-delivered paper filings for the Commission’s Secretary must be delivered to FCC Headquarters at 445 12</w:t>
      </w:r>
      <w:r w:rsidRPr="00AE0EC1">
        <w:rPr>
          <w:vertAlign w:val="superscript"/>
        </w:rPr>
        <w:t>th</w:t>
      </w:r>
      <w:r w:rsidRPr="00AE0EC1">
        <w:t xml:space="preserve"> St., SW, Room TW-A325, Washington, DC 20554.  The filing hours are 8:00 a.m. to 7:00 p.m.  All hand deliveries must be held together with rubber bands or fasteners.  Any envelopes and boxes must be disposed of </w:t>
      </w:r>
      <w:r w:rsidRPr="00AE0EC1">
        <w:rPr>
          <w:u w:val="single"/>
        </w:rPr>
        <w:t>before</w:t>
      </w:r>
      <w:r w:rsidRPr="00AE0EC1">
        <w:t xml:space="preserve"> entering the building.  </w:t>
      </w:r>
    </w:p>
    <w:p w:rsidR="00A16A1D" w:rsidRPr="00AE0EC1" w:rsidRDefault="00A16A1D">
      <w:pPr>
        <w:widowControl/>
        <w:numPr>
          <w:ilvl w:val="0"/>
          <w:numId w:val="11"/>
        </w:numPr>
        <w:spacing w:after="120"/>
      </w:pPr>
      <w:r w:rsidRPr="00AE0EC1">
        <w:t>Commercial overnight mail (other than U.S. Postal Service Express Mail and Priority Mail) must be sent to 9300 East Hampton Drive, Capitol Heights, MD  20743.</w:t>
      </w:r>
    </w:p>
    <w:p w:rsidR="00A16A1D" w:rsidRPr="00AE0EC1" w:rsidRDefault="00A16A1D">
      <w:pPr>
        <w:widowControl/>
        <w:numPr>
          <w:ilvl w:val="0"/>
          <w:numId w:val="11"/>
        </w:numPr>
        <w:spacing w:after="120"/>
      </w:pPr>
      <w:r w:rsidRPr="00AE0EC1">
        <w:t>U.S. Postal Service first-class, Express, and Priority mail must be addressed to 445 12</w:t>
      </w:r>
      <w:r w:rsidRPr="00AE0EC1">
        <w:rPr>
          <w:vertAlign w:val="superscript"/>
        </w:rPr>
        <w:t>th</w:t>
      </w:r>
      <w:r w:rsidRPr="00AE0EC1">
        <w:t xml:space="preserve"> Street, SW, Washington DC  20554.</w:t>
      </w:r>
    </w:p>
    <w:p w:rsidR="00A16A1D" w:rsidRPr="00AE0EC1" w:rsidRDefault="00A16A1D">
      <w:pPr>
        <w:pStyle w:val="ParaNum"/>
      </w:pPr>
      <w:r w:rsidRPr="00AE0EC1">
        <w:t xml:space="preserve">People with Disabilities:  To request materials in accessible formats for people with disabilities (Braille, large print, electronic files, audio format), send an e-mail to </w:t>
      </w:r>
      <w:r w:rsidR="00FC5375" w:rsidRPr="0031442D">
        <w:t>fcc504@fcc.gov</w:t>
      </w:r>
      <w:r w:rsidRPr="00AE0EC1">
        <w:t xml:space="preserve"> or call the Consumer &amp; Governmental Affairs Bureau at (202) 418-0530 (voice), (202) 418-0432 (tty).</w:t>
      </w:r>
    </w:p>
    <w:p w:rsidR="00A16A1D" w:rsidRPr="00AE0EC1" w:rsidRDefault="00A16A1D" w:rsidP="0031442D">
      <w:pPr>
        <w:pStyle w:val="Paranum0"/>
        <w:tabs>
          <w:tab w:val="clear" w:pos="1080"/>
        </w:tabs>
        <w:spacing w:after="120"/>
        <w:ind w:left="720" w:firstLine="0"/>
        <w:jc w:val="left"/>
      </w:pPr>
      <w:r w:rsidRPr="00AE0EC1">
        <w:rPr>
          <w:b/>
        </w:rPr>
        <w:t>In addition, one copy of each pleading must be sent to each of the following:</w:t>
      </w:r>
      <w:r w:rsidRPr="00AE0EC1">
        <w:t xml:space="preserve">  </w:t>
      </w:r>
    </w:p>
    <w:p w:rsidR="00A16A1D" w:rsidRPr="00AE0EC1" w:rsidRDefault="00C4345D">
      <w:pPr>
        <w:widowControl/>
        <w:numPr>
          <w:ilvl w:val="0"/>
          <w:numId w:val="9"/>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pPr>
      <w:r>
        <w:t>Alexander Minard</w:t>
      </w:r>
      <w:r w:rsidR="00A16A1D" w:rsidRPr="00AE0EC1">
        <w:t xml:space="preserve">, </w:t>
      </w:r>
      <w:r w:rsidR="006D048C">
        <w:t xml:space="preserve">Telecommunications </w:t>
      </w:r>
      <w:r w:rsidR="00DC4254">
        <w:t>Access</w:t>
      </w:r>
      <w:r w:rsidR="006D048C">
        <w:t xml:space="preserve"> Policy</w:t>
      </w:r>
      <w:r w:rsidR="00A16A1D" w:rsidRPr="00AE0EC1">
        <w:t xml:space="preserve"> Division, Wireline Competition Bureau, 445 12th Street, S.W., </w:t>
      </w:r>
      <w:r w:rsidR="00DC4254">
        <w:t>5</w:t>
      </w:r>
      <w:r w:rsidR="00A16A1D" w:rsidRPr="00AE0EC1">
        <w:t>-</w:t>
      </w:r>
      <w:r w:rsidR="00DC4254">
        <w:t>B442</w:t>
      </w:r>
      <w:r w:rsidR="00A16A1D" w:rsidRPr="00AE0EC1">
        <w:t xml:space="preserve">, Washington, D.C. 20554; e-mail: </w:t>
      </w:r>
      <w:r w:rsidR="00FC5375" w:rsidRPr="0031442D">
        <w:t>alexander.minard@fcc.gov</w:t>
      </w:r>
      <w:r w:rsidR="00A16A1D" w:rsidRPr="00AE0EC1">
        <w:t xml:space="preserve">.  </w:t>
      </w:r>
    </w:p>
    <w:p w:rsidR="00A16A1D" w:rsidRDefault="00A16A1D" w:rsidP="0031442D">
      <w:pPr>
        <w:widowControl/>
        <w:numPr>
          <w:ilvl w:val="0"/>
          <w:numId w:val="9"/>
        </w:numPr>
        <w:tabs>
          <w:tab w:val="clear" w:pos="360"/>
        </w:tabs>
        <w:suppressAutoHyphens/>
        <w:spacing w:after="120"/>
      </w:pPr>
      <w:r>
        <w:t>Suzanne Yelen</w:t>
      </w:r>
      <w:r w:rsidRPr="00AE0EC1">
        <w:t xml:space="preserve">, Industry Analysis and Technology Division, Wireline Competition Bureau, 445 12th Street, S.W., </w:t>
      </w:r>
      <w:r>
        <w:t>6-B115</w:t>
      </w:r>
      <w:r w:rsidRPr="00AE0EC1">
        <w:t xml:space="preserve">, Washington, D.C. 20554; e-mail:  </w:t>
      </w:r>
      <w:r w:rsidR="00FC5375" w:rsidRPr="0031442D">
        <w:t>suzanne.yelen@fcc.gov</w:t>
      </w:r>
      <w:r w:rsidRPr="00AE0EC1">
        <w:t>.</w:t>
      </w:r>
    </w:p>
    <w:p w:rsidR="00A16A1D" w:rsidRDefault="00A16A1D">
      <w:pPr>
        <w:pStyle w:val="ParaNum"/>
      </w:pPr>
      <w:r w:rsidRPr="00AE0EC1">
        <w:t xml:space="preserve">The proceeding shall be treated as a “permit-but-disclose” proceeding in accordance with the Commission’s </w:t>
      </w:r>
      <w:r w:rsidRPr="00AE0EC1">
        <w:rPr>
          <w:i/>
          <w:iCs/>
        </w:rPr>
        <w:t xml:space="preserve">ex parte </w:t>
      </w:r>
      <w:r w:rsidRPr="00AE0EC1">
        <w:t>rules.</w:t>
      </w:r>
      <w:r>
        <w:rPr>
          <w:rStyle w:val="FootnoteReference"/>
        </w:rPr>
        <w:footnoteReference w:id="30"/>
      </w:r>
      <w:r w:rsidRPr="00AE0EC1">
        <w:t xml:space="preserve">  Persons making </w:t>
      </w:r>
      <w:r w:rsidRPr="00AE0EC1">
        <w:rPr>
          <w:i/>
        </w:rPr>
        <w:t xml:space="preserve">ex parte </w:t>
      </w:r>
      <w:r w:rsidRPr="00AE0EC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E0EC1">
        <w:rPr>
          <w:i/>
          <w:iCs/>
        </w:rPr>
        <w:t xml:space="preserve">ex parte </w:t>
      </w:r>
      <w:r w:rsidRPr="00AE0EC1">
        <w:t xml:space="preserve">presentations are reminded that memoranda summarizing the presentation must (1) list all persons attending or otherwise participating in the meeting at which the </w:t>
      </w:r>
      <w:r w:rsidRPr="00AE0EC1">
        <w:rPr>
          <w:i/>
          <w:iCs/>
        </w:rPr>
        <w:t xml:space="preserve">ex parte </w:t>
      </w:r>
      <w:r w:rsidRPr="00AE0EC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E0EC1">
        <w:rPr>
          <w:i/>
          <w:iCs/>
        </w:rPr>
        <w:t xml:space="preserve">ex parte </w:t>
      </w:r>
      <w:r w:rsidRPr="00AE0EC1">
        <w:t xml:space="preserve">meetings are deemed to be written </w:t>
      </w:r>
      <w:r w:rsidRPr="00AE0EC1">
        <w:rPr>
          <w:i/>
          <w:iCs/>
        </w:rPr>
        <w:t>ex parte</w:t>
      </w:r>
      <w:r w:rsidRPr="00AE0EC1">
        <w:t xml:space="preserve"> presentations and must be filed consistent with rule 1.1206(b).  In proceedings governed by rule 1.49(f) or for which the Commission has made available a method of electronic filing, written </w:t>
      </w:r>
      <w:r w:rsidRPr="00AE0EC1">
        <w:rPr>
          <w:i/>
          <w:iCs/>
        </w:rPr>
        <w:t xml:space="preserve">ex parte </w:t>
      </w:r>
      <w:r w:rsidRPr="00AE0EC1">
        <w:t xml:space="preserve">presentations and memoranda summarizing oral </w:t>
      </w:r>
      <w:r w:rsidRPr="00AE0EC1">
        <w:rPr>
          <w:i/>
          <w:iCs/>
        </w:rPr>
        <w:t xml:space="preserve">ex parte </w:t>
      </w:r>
      <w:r w:rsidRPr="00AE0EC1">
        <w:t>presentations, and all attachments thereto, must be filed through the electronic comment filing system available for that proceeding, and must be filed in their native format (</w:t>
      </w:r>
      <w:r w:rsidRPr="00AE0EC1">
        <w:rPr>
          <w:i/>
          <w:iCs/>
        </w:rPr>
        <w:t>e.g.</w:t>
      </w:r>
      <w:r w:rsidRPr="00AE0EC1">
        <w:t xml:space="preserve">, .doc, .xml, .ppt, searchable .pdf).  Participants in this proceeding should familiarize themselves with the Commission’s </w:t>
      </w:r>
      <w:r w:rsidRPr="00AE0EC1">
        <w:rPr>
          <w:i/>
          <w:iCs/>
        </w:rPr>
        <w:t xml:space="preserve">ex parte </w:t>
      </w:r>
      <w:r w:rsidRPr="00AE0EC1">
        <w:t>rules</w:t>
      </w:r>
      <w:r>
        <w:t>.</w:t>
      </w:r>
    </w:p>
    <w:p w:rsidR="00A16A1D" w:rsidRPr="00AE0EC1" w:rsidRDefault="00A16A1D" w:rsidP="00A16A1D">
      <w:pPr>
        <w:widowControl/>
        <w:rPr>
          <w:b/>
          <w:bCs/>
        </w:rPr>
      </w:pPr>
    </w:p>
    <w:p w:rsidR="00A16A1D" w:rsidRPr="00180A19" w:rsidRDefault="00A16A1D" w:rsidP="00A16A1D">
      <w:pPr>
        <w:widowControl/>
        <w:jc w:val="center"/>
        <w:rPr>
          <w:b/>
          <w:bCs/>
          <w:color w:val="010101"/>
        </w:rPr>
      </w:pPr>
      <w:bookmarkStart w:id="3" w:name="_DV_M59"/>
      <w:bookmarkEnd w:id="3"/>
      <w:r w:rsidRPr="00180A19">
        <w:rPr>
          <w:b/>
          <w:bCs/>
          <w:color w:val="010101"/>
        </w:rPr>
        <w:t>- FCC -</w:t>
      </w:r>
    </w:p>
    <w:p w:rsidR="00A16A1D" w:rsidRPr="00AE0EC1" w:rsidRDefault="00A16A1D" w:rsidP="00A16A1D">
      <w:pPr>
        <w:widowControl/>
        <w:jc w:val="center"/>
        <w:rPr>
          <w:b/>
          <w:bCs/>
          <w:color w:val="010101"/>
        </w:rPr>
      </w:pPr>
    </w:p>
    <w:p w:rsidR="00A16A1D" w:rsidRPr="00AE0EC1" w:rsidRDefault="00A16A1D" w:rsidP="00A16A1D">
      <w:pPr>
        <w:widowControl/>
        <w:jc w:val="center"/>
      </w:pPr>
      <w:bookmarkStart w:id="4" w:name="_DV_M60"/>
      <w:bookmarkStart w:id="5" w:name="_DV_M61"/>
      <w:bookmarkEnd w:id="4"/>
      <w:bookmarkEnd w:id="5"/>
    </w:p>
    <w:sectPr w:rsidR="00A16A1D" w:rsidRPr="00AE0EC1" w:rsidSect="000E58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F9" w:rsidRDefault="002434F9">
      <w:pPr>
        <w:spacing w:line="20" w:lineRule="exact"/>
      </w:pPr>
    </w:p>
  </w:endnote>
  <w:endnote w:type="continuationSeparator" w:id="0">
    <w:p w:rsidR="002434F9" w:rsidRDefault="002434F9">
      <w:r>
        <w:t xml:space="preserve"> </w:t>
      </w:r>
    </w:p>
  </w:endnote>
  <w:endnote w:type="continuationNotice" w:id="1">
    <w:p w:rsidR="002434F9" w:rsidRDefault="002434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7D" w:rsidRDefault="00C9257D" w:rsidP="0055614C">
    <w:pPr>
      <w:pStyle w:val="Footer"/>
      <w:framePr w:wrap="around" w:vAnchor="text" w:hAnchor="margin" w:xAlign="center" w:y="1"/>
    </w:pPr>
    <w:r>
      <w:fldChar w:fldCharType="begin"/>
    </w:r>
    <w:r>
      <w:instrText xml:space="preserve">PAGE  </w:instrText>
    </w:r>
    <w:r>
      <w:fldChar w:fldCharType="end"/>
    </w:r>
  </w:p>
  <w:p w:rsidR="00C9257D" w:rsidRDefault="00C92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7D" w:rsidRDefault="00C9257D" w:rsidP="0055614C">
    <w:pPr>
      <w:pStyle w:val="Footer"/>
      <w:framePr w:wrap="around" w:vAnchor="text" w:hAnchor="margin" w:xAlign="center" w:y="1"/>
    </w:pPr>
    <w:r>
      <w:fldChar w:fldCharType="begin"/>
    </w:r>
    <w:r>
      <w:instrText xml:space="preserve">PAGE  </w:instrText>
    </w:r>
    <w:r>
      <w:fldChar w:fldCharType="separate"/>
    </w:r>
    <w:r w:rsidR="00ED6F01">
      <w:rPr>
        <w:noProof/>
      </w:rPr>
      <w:t>2</w:t>
    </w:r>
    <w:r>
      <w:fldChar w:fldCharType="end"/>
    </w:r>
  </w:p>
  <w:p w:rsidR="00C9257D" w:rsidRDefault="00C9257D" w:rsidP="00180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7D" w:rsidRDefault="00C9257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F9" w:rsidRDefault="002434F9">
      <w:r>
        <w:separator/>
      </w:r>
    </w:p>
  </w:footnote>
  <w:footnote w:type="continuationSeparator" w:id="0">
    <w:p w:rsidR="002434F9" w:rsidRDefault="002434F9">
      <w:pPr>
        <w:rPr>
          <w:sz w:val="20"/>
        </w:rPr>
      </w:pPr>
      <w:r>
        <w:rPr>
          <w:sz w:val="20"/>
        </w:rPr>
        <w:t xml:space="preserve">(Continued from previous page)  </w:t>
      </w:r>
      <w:r>
        <w:rPr>
          <w:sz w:val="20"/>
        </w:rPr>
        <w:separator/>
      </w:r>
    </w:p>
  </w:footnote>
  <w:footnote w:type="continuationNotice" w:id="1">
    <w:p w:rsidR="002434F9" w:rsidRDefault="002434F9">
      <w:pPr>
        <w:rPr>
          <w:sz w:val="20"/>
        </w:rPr>
      </w:pPr>
      <w:r>
        <w:rPr>
          <w:sz w:val="20"/>
        </w:rPr>
        <w:t>(continued….)</w:t>
      </w:r>
    </w:p>
  </w:footnote>
  <w:footnote w:id="2">
    <w:p w:rsidR="009B1765" w:rsidRDefault="009B1765">
      <w:pPr>
        <w:pStyle w:val="FootnoteText"/>
      </w:pPr>
      <w:r>
        <w:rPr>
          <w:rStyle w:val="FootnoteReference"/>
        </w:rPr>
        <w:footnoteRef/>
      </w:r>
      <w:r>
        <w:t xml:space="preserve"> This would include entities that will receive Connect America funding through the rural broadband experiments.  </w:t>
      </w:r>
      <w:r w:rsidR="00CA383E" w:rsidRPr="00EB0D2E">
        <w:rPr>
          <w:i/>
        </w:rPr>
        <w:t>Connect America Fund, ETC Annual Reports and Certifications</w:t>
      </w:r>
      <w:r w:rsidR="00CA383E">
        <w:t>, WC Docket Nos. 10-90, 14-58, Report and Order and Further Notice of Proposed Rulemaking, 29 FCC Rcd 8769</w:t>
      </w:r>
      <w:r w:rsidR="00AC6739">
        <w:t>, 8779-80, paras. 24-29</w:t>
      </w:r>
      <w:r w:rsidR="00CA383E">
        <w:t xml:space="preserve"> (2014).</w:t>
      </w:r>
    </w:p>
  </w:footnote>
  <w:footnote w:id="3">
    <w:p w:rsidR="00C9257D" w:rsidRPr="00A5001A" w:rsidRDefault="00C9257D" w:rsidP="00486E9B">
      <w:pPr>
        <w:pStyle w:val="FootnoteText"/>
      </w:pPr>
      <w:r w:rsidRPr="00A5001A">
        <w:rPr>
          <w:rStyle w:val="FootnoteReference"/>
        </w:rPr>
        <w:footnoteRef/>
      </w:r>
      <w:r w:rsidRPr="00A5001A">
        <w:rPr>
          <w:i/>
        </w:rPr>
        <w:t xml:space="preserve"> See </w:t>
      </w:r>
      <w:r w:rsidRPr="004E0F60">
        <w:rPr>
          <w:i/>
        </w:rPr>
        <w:t>Connect America Fund</w:t>
      </w:r>
      <w:r w:rsidR="00084FD9">
        <w:rPr>
          <w:i/>
        </w:rPr>
        <w:t xml:space="preserve"> et al.</w:t>
      </w:r>
      <w:r w:rsidRPr="00B650AF">
        <w:t>,</w:t>
      </w:r>
      <w:r w:rsidRPr="004E0F60">
        <w:t xml:space="preserve"> WC Docket No. 10-90</w:t>
      </w:r>
      <w:r w:rsidR="00084FD9">
        <w:t xml:space="preserve"> et al.</w:t>
      </w:r>
      <w:r w:rsidRPr="004E0F60">
        <w:t>, Report and Order and Further Notice of Proposed Rulemaking, 26 FCC Rcd 17663</w:t>
      </w:r>
      <w:r w:rsidR="00084FD9">
        <w:t xml:space="preserve">, </w:t>
      </w:r>
      <w:r w:rsidR="0008345B" w:rsidRPr="004E0F60">
        <w:t>17705-06, para. 109</w:t>
      </w:r>
      <w:r w:rsidRPr="004E0F60">
        <w:t xml:space="preserve"> (2011) (</w:t>
      </w:r>
      <w:r w:rsidRPr="004E0F60">
        <w:rPr>
          <w:i/>
        </w:rPr>
        <w:t>USF/ICC Transformation Order and FNPRM</w:t>
      </w:r>
      <w:r w:rsidRPr="004E0F60">
        <w:t>)</w:t>
      </w:r>
      <w:r>
        <w:t xml:space="preserve">, </w:t>
      </w:r>
      <w:r w:rsidRPr="00B55D2D">
        <w:rPr>
          <w:i/>
        </w:rPr>
        <w:t>aff’d</w:t>
      </w:r>
      <w:r>
        <w:t xml:space="preserve"> 753 F.3d 1015 (10</w:t>
      </w:r>
      <w:r w:rsidRPr="00B55D2D">
        <w:rPr>
          <w:vertAlign w:val="superscript"/>
        </w:rPr>
        <w:t>th</w:t>
      </w:r>
      <w:r>
        <w:t xml:space="preserve"> Cir. 2014)</w:t>
      </w:r>
      <w:r w:rsidRPr="004E0F60">
        <w:t xml:space="preserve">.  </w:t>
      </w:r>
      <w:r>
        <w:t xml:space="preserve">As in the </w:t>
      </w:r>
      <w:r w:rsidRPr="00D63E70">
        <w:rPr>
          <w:i/>
        </w:rPr>
        <w:t>USF/ICC Transformation Order</w:t>
      </w:r>
      <w:r>
        <w:t xml:space="preserve">, we use the term high-cost support or high-cost funding to include </w:t>
      </w:r>
      <w:r w:rsidRPr="00D63E70">
        <w:t xml:space="preserve">all existing high-cost </w:t>
      </w:r>
      <w:r>
        <w:t xml:space="preserve">universal service </w:t>
      </w:r>
      <w:r w:rsidRPr="00D63E70">
        <w:t>mechanisms as well as the Connect America Fund</w:t>
      </w:r>
      <w:r>
        <w:t xml:space="preserve">.  </w:t>
      </w:r>
      <w:r w:rsidRPr="00D63E70">
        <w:rPr>
          <w:i/>
        </w:rPr>
        <w:t>See</w:t>
      </w:r>
      <w:r>
        <w:t xml:space="preserve"> </w:t>
      </w:r>
      <w:r>
        <w:rPr>
          <w:i/>
        </w:rPr>
        <w:t>i</w:t>
      </w:r>
      <w:r w:rsidRPr="00D63E70">
        <w:rPr>
          <w:i/>
        </w:rPr>
        <w:t>d</w:t>
      </w:r>
      <w:r>
        <w:t xml:space="preserve">. </w:t>
      </w:r>
      <w:r w:rsidR="00084FD9">
        <w:t xml:space="preserve">at </w:t>
      </w:r>
      <w:r w:rsidR="00180A19">
        <w:t>17695</w:t>
      </w:r>
      <w:r w:rsidR="00084FD9">
        <w:t xml:space="preserve"> </w:t>
      </w:r>
      <w:r>
        <w:t>n.126.  Competitive ETCs are not subject to broadband performance obligations</w:t>
      </w:r>
      <w:r w:rsidR="00486E9B">
        <w:t xml:space="preserve"> with the exception of those that receive Mobility Fund Phase I support.  For Mobility Fund Phase I and Tribal Mobility Fund Phase I, </w:t>
      </w:r>
      <w:r w:rsidR="00E05BBA">
        <w:t xml:space="preserve">high cost support </w:t>
      </w:r>
      <w:r w:rsidR="00486E9B">
        <w:t xml:space="preserve">mechanisms specifically </w:t>
      </w:r>
      <w:r w:rsidR="00E05BBA">
        <w:t>dedicated to mobile services</w:t>
      </w:r>
      <w:r w:rsidR="00486E9B">
        <w:t>,</w:t>
      </w:r>
      <w:r w:rsidR="00E05BBA">
        <w:t xml:space="preserve"> </w:t>
      </w:r>
      <w:r w:rsidR="00486E9B">
        <w:t xml:space="preserve">the Commission adopted different performance benchmarks.  </w:t>
      </w:r>
      <w:r w:rsidR="00486E9B" w:rsidRPr="00823BEC">
        <w:rPr>
          <w:i/>
        </w:rPr>
        <w:t>See</w:t>
      </w:r>
      <w:r w:rsidR="00486E9B">
        <w:t xml:space="preserve"> </w:t>
      </w:r>
      <w:r w:rsidR="00084FD9">
        <w:rPr>
          <w:i/>
        </w:rPr>
        <w:t>id.</w:t>
      </w:r>
      <w:r w:rsidR="00486E9B" w:rsidRPr="00A5001A">
        <w:t xml:space="preserve"> at</w:t>
      </w:r>
      <w:r w:rsidR="00486E9B">
        <w:t xml:space="preserve"> 17791-93, paras. 359-368.</w:t>
      </w:r>
    </w:p>
  </w:footnote>
  <w:footnote w:id="4">
    <w:p w:rsidR="00C9257D" w:rsidRPr="00A5001A" w:rsidRDefault="00C9257D" w:rsidP="003155A8">
      <w:pPr>
        <w:pStyle w:val="FootnoteText"/>
      </w:pPr>
      <w:r w:rsidRPr="00A5001A">
        <w:rPr>
          <w:rStyle w:val="FootnoteReference"/>
        </w:rPr>
        <w:footnoteRef/>
      </w:r>
      <w:r w:rsidRPr="00A5001A">
        <w:rPr>
          <w:i/>
        </w:rPr>
        <w:t xml:space="preserve"> USF/ICC Transformation Order</w:t>
      </w:r>
      <w:r w:rsidRPr="00A5001A">
        <w:t>, 26 FCC Rcd at 17726, para. 160.</w:t>
      </w:r>
      <w:r w:rsidR="009F619F">
        <w:t xml:space="preserve">  These requirements do not apply to Mobility Fund recipients.</w:t>
      </w:r>
    </w:p>
  </w:footnote>
  <w:footnote w:id="5">
    <w:p w:rsidR="00C9257D" w:rsidRPr="004E0F60" w:rsidRDefault="00C9257D" w:rsidP="005770CF">
      <w:pPr>
        <w:pStyle w:val="TOAHeading"/>
        <w:spacing w:after="120"/>
        <w:rPr>
          <w:sz w:val="20"/>
        </w:rPr>
      </w:pPr>
      <w:r w:rsidRPr="004E0F60">
        <w:rPr>
          <w:sz w:val="20"/>
          <w:vertAlign w:val="superscript"/>
        </w:rPr>
        <w:footnoteRef/>
      </w:r>
      <w:r w:rsidRPr="004E0F60">
        <w:rPr>
          <w:sz w:val="20"/>
        </w:rPr>
        <w:t xml:space="preserve"> </w:t>
      </w:r>
      <w:r w:rsidR="00084FD9">
        <w:rPr>
          <w:i/>
          <w:sz w:val="20"/>
        </w:rPr>
        <w:t>Id.</w:t>
      </w:r>
      <w:r w:rsidRPr="004E0F60">
        <w:rPr>
          <w:sz w:val="20"/>
        </w:rPr>
        <w:t xml:space="preserve"> at 17705-06, para. 109.</w:t>
      </w:r>
    </w:p>
  </w:footnote>
  <w:footnote w:id="6">
    <w:p w:rsidR="00C9257D" w:rsidRPr="004E0F60" w:rsidRDefault="00C9257D" w:rsidP="005770CF">
      <w:pPr>
        <w:pStyle w:val="TOAHeading"/>
        <w:spacing w:after="120"/>
        <w:rPr>
          <w:sz w:val="20"/>
        </w:rPr>
      </w:pPr>
      <w:r w:rsidRPr="004E0F60">
        <w:rPr>
          <w:sz w:val="20"/>
          <w:vertAlign w:val="superscript"/>
        </w:rPr>
        <w:footnoteRef/>
      </w:r>
      <w:r w:rsidRPr="004E0F60">
        <w:rPr>
          <w:sz w:val="20"/>
        </w:rPr>
        <w:t xml:space="preserve"> </w:t>
      </w:r>
      <w:r w:rsidRPr="004E0F60">
        <w:rPr>
          <w:i/>
          <w:sz w:val="20"/>
        </w:rPr>
        <w:t>Id.</w:t>
      </w:r>
      <w:r w:rsidRPr="004E0F60">
        <w:rPr>
          <w:sz w:val="20"/>
        </w:rPr>
        <w:t xml:space="preserve"> at 18045-46, paras. 1013-1017.</w:t>
      </w:r>
    </w:p>
  </w:footnote>
  <w:footnote w:id="7">
    <w:p w:rsidR="00820307" w:rsidRDefault="00820307">
      <w:pPr>
        <w:pStyle w:val="FootnoteText"/>
      </w:pPr>
      <w:r>
        <w:rPr>
          <w:rStyle w:val="FootnoteReference"/>
        </w:rPr>
        <w:footnoteRef/>
      </w:r>
      <w:r>
        <w:t xml:space="preserve"> </w:t>
      </w:r>
      <w:r w:rsidRPr="0031442D">
        <w:rPr>
          <w:i/>
        </w:rPr>
        <w:t>Id.</w:t>
      </w:r>
      <w:r>
        <w:t xml:space="preserve"> at 17708, para. 112; 47 C.F.R. § 54.313(a)(11).  </w:t>
      </w:r>
    </w:p>
  </w:footnote>
  <w:footnote w:id="8">
    <w:p w:rsidR="00C9257D" w:rsidRPr="00A5001A" w:rsidRDefault="00C9257D" w:rsidP="00B95109">
      <w:pPr>
        <w:pStyle w:val="FootnoteText"/>
      </w:pPr>
      <w:r w:rsidRPr="00A5001A">
        <w:rPr>
          <w:rStyle w:val="FootnoteReference"/>
        </w:rPr>
        <w:footnoteRef/>
      </w:r>
      <w:r>
        <w:rPr>
          <w:szCs w:val="22"/>
        </w:rPr>
        <w:t xml:space="preserve"> </w:t>
      </w:r>
      <w:r w:rsidRPr="004719E9">
        <w:rPr>
          <w:i/>
          <w:szCs w:val="22"/>
        </w:rPr>
        <w:t>Connect America Fund, Report and Order</w:t>
      </w:r>
      <w:r>
        <w:rPr>
          <w:szCs w:val="22"/>
        </w:rPr>
        <w:t>, WC Docket No. 10-90, Report and Order, 28 FCC Rcd 15060 (Wireline Comp. Bur. 2013) (</w:t>
      </w:r>
      <w:r w:rsidRPr="001417C3">
        <w:rPr>
          <w:i/>
          <w:szCs w:val="22"/>
        </w:rPr>
        <w:t xml:space="preserve">Phase II Price Cap </w:t>
      </w:r>
      <w:r>
        <w:rPr>
          <w:i/>
          <w:szCs w:val="22"/>
        </w:rPr>
        <w:t xml:space="preserve">Service Obligation </w:t>
      </w:r>
      <w:r w:rsidRPr="001417C3">
        <w:rPr>
          <w:i/>
          <w:szCs w:val="22"/>
        </w:rPr>
        <w:t>Order</w:t>
      </w:r>
      <w:r>
        <w:rPr>
          <w:szCs w:val="22"/>
        </w:rPr>
        <w:t>)</w:t>
      </w:r>
      <w:r w:rsidRPr="00A5001A">
        <w:rPr>
          <w:szCs w:val="22"/>
        </w:rPr>
        <w:t>.</w:t>
      </w:r>
      <w:r>
        <w:rPr>
          <w:szCs w:val="22"/>
        </w:rPr>
        <w:t xml:space="preserve">  </w:t>
      </w:r>
    </w:p>
  </w:footnote>
  <w:footnote w:id="9">
    <w:p w:rsidR="00C9257D" w:rsidRDefault="00C9257D">
      <w:pPr>
        <w:pStyle w:val="FootnoteText"/>
      </w:pPr>
      <w:r>
        <w:rPr>
          <w:rStyle w:val="FootnoteReference"/>
        </w:rPr>
        <w:footnoteRef/>
      </w:r>
      <w:r>
        <w:t xml:space="preserve"> </w:t>
      </w:r>
      <w:r w:rsidRPr="00B55D2D">
        <w:rPr>
          <w:i/>
        </w:rPr>
        <w:t>Connect America Fund, et al</w:t>
      </w:r>
      <w:r w:rsidRPr="00D4054D">
        <w:t>., WC Docket No. 10-90 et al.</w:t>
      </w:r>
      <w:r w:rsidR="00084FD9">
        <w:t>,</w:t>
      </w:r>
      <w:r w:rsidRPr="00D4054D">
        <w:t xml:space="preserve"> </w:t>
      </w:r>
      <w:r w:rsidRPr="00B55D2D">
        <w:rPr>
          <w:bCs/>
        </w:rPr>
        <w:t>Report and Order, Declaratory Ruling, Order, Memorandum Opinion and Order, Seventh Order on Reconsideration, and Further Notice of Proposed Rulemaking,</w:t>
      </w:r>
      <w:r w:rsidRPr="00D4054D">
        <w:t xml:space="preserve"> 29 FCC</w:t>
      </w:r>
      <w:r>
        <w:t xml:space="preserve"> Rcd 7051, 7100-03, paras. 138-148 (2014).</w:t>
      </w:r>
    </w:p>
  </w:footnote>
  <w:footnote w:id="10">
    <w:p w:rsidR="00C9257D" w:rsidRDefault="00C9257D">
      <w:pPr>
        <w:pStyle w:val="FootnoteText"/>
      </w:pPr>
      <w:r>
        <w:rPr>
          <w:rStyle w:val="FootnoteReference"/>
        </w:rPr>
        <w:footnoteRef/>
      </w:r>
      <w:r>
        <w:t xml:space="preserve"> </w:t>
      </w:r>
      <w:r w:rsidRPr="003928B6">
        <w:rPr>
          <w:i/>
        </w:rPr>
        <w:t>Id</w:t>
      </w:r>
      <w:r>
        <w:t>. at 7103-04, paras. 149-152.</w:t>
      </w:r>
      <w:r w:rsidR="009B1765">
        <w:t xml:space="preserve">  </w:t>
      </w:r>
    </w:p>
  </w:footnote>
  <w:footnote w:id="11">
    <w:p w:rsidR="009F619F" w:rsidRDefault="009F619F">
      <w:pPr>
        <w:pStyle w:val="FootnoteText"/>
      </w:pPr>
      <w:r>
        <w:rPr>
          <w:rStyle w:val="FootnoteReference"/>
        </w:rPr>
        <w:footnoteRef/>
      </w:r>
      <w:r>
        <w:t xml:space="preserve"> The discussion that follows does not address how to test compliance with relevant requirements for the Mobility Fund</w:t>
      </w:r>
      <w:r w:rsidR="00084FD9">
        <w:t>.</w:t>
      </w:r>
    </w:p>
  </w:footnote>
  <w:footnote w:id="12">
    <w:p w:rsidR="00D17542" w:rsidRDefault="00D17542" w:rsidP="00323DD4">
      <w:pPr>
        <w:pStyle w:val="FootnoteText"/>
      </w:pPr>
      <w:r>
        <w:rPr>
          <w:rStyle w:val="FootnoteReference"/>
        </w:rPr>
        <w:footnoteRef/>
      </w:r>
      <w:r>
        <w:t xml:space="preserve"> </w:t>
      </w:r>
      <w:r w:rsidR="00323DD4">
        <w:t xml:space="preserve">We propose that FCC-designated IXP locations will be same as those identified for purposes of latency testing.  </w:t>
      </w:r>
      <w:r w:rsidR="00323DD4" w:rsidRPr="00EB0D2E">
        <w:rPr>
          <w:i/>
        </w:rPr>
        <w:t>See</w:t>
      </w:r>
      <w:r w:rsidR="00323DD4">
        <w:t xml:space="preserve"> </w:t>
      </w:r>
      <w:r w:rsidR="007A7D6B" w:rsidRPr="001417C3">
        <w:rPr>
          <w:i/>
          <w:szCs w:val="22"/>
        </w:rPr>
        <w:t xml:space="preserve">Phase II Price Cap </w:t>
      </w:r>
      <w:r w:rsidR="007A7D6B">
        <w:rPr>
          <w:i/>
          <w:szCs w:val="22"/>
        </w:rPr>
        <w:t xml:space="preserve">Service Obligation </w:t>
      </w:r>
      <w:r w:rsidR="007A7D6B" w:rsidRPr="001417C3">
        <w:rPr>
          <w:i/>
          <w:szCs w:val="22"/>
        </w:rPr>
        <w:t>Order</w:t>
      </w:r>
      <w:r w:rsidR="00323DD4">
        <w:t xml:space="preserve">, 28 FCC Rcd </w:t>
      </w:r>
      <w:r w:rsidR="007A7D6B">
        <w:t xml:space="preserve">at </w:t>
      </w:r>
      <w:r w:rsidR="00323DD4">
        <w:t>15071 n.63.</w:t>
      </w:r>
    </w:p>
  </w:footnote>
  <w:footnote w:id="13">
    <w:p w:rsidR="00C9257D" w:rsidRDefault="00C9257D">
      <w:pPr>
        <w:pStyle w:val="FootnoteText"/>
      </w:pPr>
      <w:r>
        <w:rPr>
          <w:rStyle w:val="FootnoteReference"/>
        </w:rPr>
        <w:footnoteRef/>
      </w:r>
      <w:r>
        <w:t xml:space="preserve"> Comments of AT&amp;T, WC Docket No. 10-90 et al.</w:t>
      </w:r>
      <w:r w:rsidR="00084FD9">
        <w:t>,</w:t>
      </w:r>
      <w:r>
        <w:t xml:space="preserve"> at 20 (filed Jan. 18, 2012) (AT&amp;T Comments).</w:t>
      </w:r>
    </w:p>
  </w:footnote>
  <w:footnote w:id="14">
    <w:p w:rsidR="00C9257D" w:rsidRDefault="00C9257D">
      <w:pPr>
        <w:pStyle w:val="FootnoteText"/>
      </w:pPr>
      <w:r>
        <w:rPr>
          <w:rStyle w:val="FootnoteReference"/>
        </w:rPr>
        <w:footnoteRef/>
      </w:r>
      <w:r>
        <w:t xml:space="preserve"> Comments of Alaska Communications Systems Group, Inc., WC Docket No. 10-90 et al.</w:t>
      </w:r>
      <w:r w:rsidR="00084FD9">
        <w:t>,</w:t>
      </w:r>
      <w:r>
        <w:t xml:space="preserve"> at 4 (filed Jan. 18, 2012).</w:t>
      </w:r>
    </w:p>
  </w:footnote>
  <w:footnote w:id="15">
    <w:p w:rsidR="00C9257D" w:rsidRDefault="00C9257D">
      <w:pPr>
        <w:pStyle w:val="FootnoteText"/>
      </w:pPr>
      <w:r>
        <w:rPr>
          <w:rStyle w:val="FootnoteReference"/>
        </w:rPr>
        <w:footnoteRef/>
      </w:r>
      <w:r>
        <w:t xml:space="preserve"> Comments of Frontier Communications Corporation, WC Docket No. 10-90 et al.</w:t>
      </w:r>
      <w:r w:rsidR="00084FD9">
        <w:t>,</w:t>
      </w:r>
      <w:r>
        <w:t xml:space="preserve"> at 4-5 (filed Jan. 18, 2012).</w:t>
      </w:r>
    </w:p>
  </w:footnote>
  <w:footnote w:id="16">
    <w:p w:rsidR="00C9257D" w:rsidRDefault="00C9257D">
      <w:pPr>
        <w:pStyle w:val="FootnoteText"/>
      </w:pPr>
      <w:r>
        <w:rPr>
          <w:rStyle w:val="FootnoteReference"/>
        </w:rPr>
        <w:footnoteRef/>
      </w:r>
      <w:r>
        <w:t xml:space="preserve"> Initial Comments of the National Exchange Carrier Association, Inc.; National Telecommunications Cooperative Association; Organization for the Promotion and Advancement of Small Telecommunications Companies; and the Western Telecommunications Alliance, WC Docket No. 10-90 et al.</w:t>
      </w:r>
      <w:r w:rsidR="00084FD9">
        <w:t>,</w:t>
      </w:r>
      <w:r>
        <w:t xml:space="preserve"> at 33 (filed Jan. 18, 2012).  </w:t>
      </w:r>
    </w:p>
  </w:footnote>
  <w:footnote w:id="17">
    <w:p w:rsidR="00C9257D" w:rsidRDefault="00C9257D">
      <w:pPr>
        <w:pStyle w:val="FootnoteText"/>
      </w:pPr>
      <w:r>
        <w:rPr>
          <w:rStyle w:val="FootnoteReference"/>
        </w:rPr>
        <w:footnoteRef/>
      </w:r>
      <w:r>
        <w:t xml:space="preserve"> </w:t>
      </w:r>
      <w:r w:rsidRPr="003928B6">
        <w:rPr>
          <w:i/>
        </w:rPr>
        <w:t>Id</w:t>
      </w:r>
      <w:r>
        <w:t>. at 34</w:t>
      </w:r>
      <w:r w:rsidR="00084FD9">
        <w:t>.</w:t>
      </w:r>
    </w:p>
  </w:footnote>
  <w:footnote w:id="18">
    <w:p w:rsidR="00C9257D" w:rsidRDefault="00C9257D" w:rsidP="00F11148">
      <w:pPr>
        <w:pStyle w:val="FootnoteText"/>
      </w:pPr>
      <w:r>
        <w:rPr>
          <w:rStyle w:val="FootnoteReference"/>
        </w:rPr>
        <w:footnoteRef/>
      </w:r>
      <w:r>
        <w:t xml:space="preserve"> </w:t>
      </w:r>
      <w:r w:rsidRPr="003928B6">
        <w:rPr>
          <w:i/>
        </w:rPr>
        <w:t xml:space="preserve">Phase II Price Cap </w:t>
      </w:r>
      <w:r>
        <w:rPr>
          <w:i/>
        </w:rPr>
        <w:t xml:space="preserve">Service Obligations </w:t>
      </w:r>
      <w:r w:rsidRPr="003928B6">
        <w:rPr>
          <w:i/>
        </w:rPr>
        <w:t>Order</w:t>
      </w:r>
      <w:r>
        <w:t>, 28 FCC Rcd at 15073-74, paras. 31-32.</w:t>
      </w:r>
      <w:r w:rsidR="00F11148">
        <w:t xml:space="preserve">  In that Order, the Bureau specifically identified IXPs to be used for testing but allowed providers in noncontiguous areas of the United States to conduct their latency network testing from the customer location to a point at which traffic is consolidated for undersea cable transport to an IXP in the continental United States</w:t>
      </w:r>
      <w:r w:rsidR="00084FD9">
        <w:t>.</w:t>
      </w:r>
      <w:r w:rsidR="00F11148">
        <w:t xml:space="preserve">  </w:t>
      </w:r>
      <w:r w:rsidR="00F11148" w:rsidRPr="00EB0D2E">
        <w:rPr>
          <w:i/>
        </w:rPr>
        <w:t>Id</w:t>
      </w:r>
      <w:r w:rsidR="00F11148">
        <w:t>. at 15071 n.63, 15075, para. 35.</w:t>
      </w:r>
    </w:p>
  </w:footnote>
  <w:footnote w:id="19">
    <w:p w:rsidR="00C9257D" w:rsidRPr="00EA416F" w:rsidRDefault="00C9257D" w:rsidP="00875414">
      <w:pPr>
        <w:pStyle w:val="FootnoteText"/>
      </w:pPr>
      <w:r w:rsidRPr="00EA416F">
        <w:rPr>
          <w:rStyle w:val="FootnoteReference"/>
        </w:rPr>
        <w:footnoteRef/>
      </w:r>
      <w:r w:rsidRPr="00EA416F">
        <w:t xml:space="preserve"> The number of broadband providers and percentage of broadband connections has varied during the MBA program, with generally 12 to 13 providers and between 84 and 86 percent of connections.</w:t>
      </w:r>
      <w:r>
        <w:t xml:space="preserve">  </w:t>
      </w:r>
      <w:r w:rsidRPr="00C72E39">
        <w:rPr>
          <w:i/>
        </w:rPr>
        <w:t>See</w:t>
      </w:r>
      <w:r>
        <w:t xml:space="preserve"> </w:t>
      </w:r>
      <w:r w:rsidR="00BF207F" w:rsidRPr="00BF207F">
        <w:rPr>
          <w:rFonts w:ascii="TimesNewRomanPSMT" w:hAnsi="TimesNewRomanPSMT" w:cs="TimesNewRomanPSMT"/>
        </w:rPr>
        <w:t>Federal Communications Commission</w:t>
      </w:r>
      <w:r w:rsidR="00BF207F">
        <w:rPr>
          <w:rFonts w:ascii="TimesNewRomanPSMT" w:hAnsi="TimesNewRomanPSMT" w:cs="TimesNewRomanPSMT"/>
        </w:rPr>
        <w:t>,</w:t>
      </w:r>
      <w:r w:rsidR="00084FD9" w:rsidRPr="004E0F60">
        <w:rPr>
          <w:rFonts w:ascii="TimesNewRomanPSMT" w:hAnsi="TimesNewRomanPSMT" w:cs="TimesNewRomanPSMT"/>
        </w:rPr>
        <w:t xml:space="preserve"> Office of Engineering and Technology and Consumer and Governmental Affairs Bureau</w:t>
      </w:r>
      <w:r w:rsidR="00BF207F">
        <w:rPr>
          <w:rFonts w:ascii="TimesNewRomanPSMT" w:hAnsi="TimesNewRomanPSMT" w:cs="TimesNewRomanPSMT"/>
        </w:rPr>
        <w:t>,</w:t>
      </w:r>
      <w:r w:rsidR="00084FD9" w:rsidRPr="00084FD9">
        <w:rPr>
          <w:rFonts w:ascii="TimesNewRomanPSMT" w:hAnsi="TimesNewRomanPSMT" w:cs="TimesNewRomanPSMT"/>
          <w:i/>
        </w:rPr>
        <w:t xml:space="preserve"> </w:t>
      </w:r>
      <w:r w:rsidRPr="00B650AF">
        <w:rPr>
          <w:rFonts w:ascii="TimesNewRomanPSMT" w:hAnsi="TimesNewRomanPSMT" w:cs="TimesNewRomanPSMT"/>
          <w:i/>
        </w:rPr>
        <w:t>Measuring Broadband America, A Report on Consumer Wireline Broadband Performance in the U.S.</w:t>
      </w:r>
      <w:r w:rsidR="00BF207F">
        <w:rPr>
          <w:rFonts w:ascii="TimesNewRomanPSMT" w:hAnsi="TimesNewRomanPSMT" w:cs="TimesNewRomanPSMT"/>
          <w:i/>
        </w:rPr>
        <w:t xml:space="preserve"> </w:t>
      </w:r>
      <w:r>
        <w:rPr>
          <w:rFonts w:ascii="TimesNewRomanPSMT" w:hAnsi="TimesNewRomanPSMT" w:cs="TimesNewRomanPSMT"/>
        </w:rPr>
        <w:t xml:space="preserve">at 3 &amp; n.10 </w:t>
      </w:r>
      <w:r w:rsidRPr="004E0F60">
        <w:rPr>
          <w:rFonts w:ascii="TimesNewRomanPSMT" w:hAnsi="TimesNewRomanPSMT" w:cs="TimesNewRomanPSMT"/>
        </w:rPr>
        <w:t xml:space="preserve">(Aug. 2011), </w:t>
      </w:r>
      <w:r w:rsidR="00BF207F" w:rsidRPr="00B650AF">
        <w:t>http://transition.fcc.gov/cgb/measuringbroadbandreport/Measuring_U.S._-_Main_Report_Full.pdf</w:t>
      </w:r>
      <w:r w:rsidRPr="004E0F60">
        <w:rPr>
          <w:rFonts w:ascii="TimesNewRomanPSMT" w:hAnsi="TimesNewRomanPSMT" w:cs="TimesNewRomanPSMT"/>
        </w:rPr>
        <w:t xml:space="preserve"> (Measuring Broadband America 2011 Report)</w:t>
      </w:r>
      <w:r>
        <w:rPr>
          <w:rFonts w:ascii="TimesNewRomanPSMT" w:hAnsi="TimesNewRomanPSMT" w:cs="TimesNewRomanPSMT"/>
        </w:rPr>
        <w:t>;</w:t>
      </w:r>
      <w:r w:rsidRPr="00121187">
        <w:rPr>
          <w:rFonts w:ascii="TimesNewRomanPSMT" w:hAnsi="TimesNewRomanPSMT" w:cs="TimesNewRomanPSMT"/>
        </w:rPr>
        <w:t xml:space="preserve"> </w:t>
      </w:r>
      <w:r w:rsidR="00BF207F" w:rsidRPr="00BF207F">
        <w:rPr>
          <w:rFonts w:ascii="TimesNewRomanPSMT" w:hAnsi="TimesNewRomanPSMT" w:cs="TimesNewRomanPSMT"/>
        </w:rPr>
        <w:t>Federal Communications Commission</w:t>
      </w:r>
      <w:r w:rsidR="00BF207F">
        <w:rPr>
          <w:rFonts w:ascii="TimesNewRomanPSMT" w:hAnsi="TimesNewRomanPSMT" w:cs="TimesNewRomanPSMT"/>
        </w:rPr>
        <w:t>,</w:t>
      </w:r>
      <w:r w:rsidR="00BF207F" w:rsidRPr="004E0F60">
        <w:rPr>
          <w:rFonts w:ascii="TimesNewRomanPSMT" w:hAnsi="TimesNewRomanPSMT" w:cs="TimesNewRomanPSMT"/>
        </w:rPr>
        <w:t xml:space="preserve"> Office of Engineering and Technology and Consumer and Governmental Affairs Bureau</w:t>
      </w:r>
      <w:r w:rsidR="00BF207F">
        <w:rPr>
          <w:rFonts w:ascii="TimesNewRomanPSMT" w:hAnsi="TimesNewRomanPSMT" w:cs="TimesNewRomanPSMT"/>
        </w:rPr>
        <w:t xml:space="preserve">, </w:t>
      </w:r>
      <w:r w:rsidRPr="00B650AF">
        <w:rPr>
          <w:rFonts w:ascii="TimesNewRomanPSMT" w:hAnsi="TimesNewRomanPSMT" w:cs="TimesNewRomanPSMT"/>
          <w:i/>
        </w:rPr>
        <w:t>Measuring Broadband America, A Report on Consumer Wireline Broadband Performance in the U.S.</w:t>
      </w:r>
      <w:r w:rsidRPr="004E0F60">
        <w:rPr>
          <w:rFonts w:ascii="TimesNewRomanPSMT" w:hAnsi="TimesNewRomanPSMT" w:cs="TimesNewRomanPSMT"/>
        </w:rPr>
        <w:t xml:space="preserve"> </w:t>
      </w:r>
      <w:r>
        <w:rPr>
          <w:rFonts w:ascii="TimesNewRomanPSMT" w:hAnsi="TimesNewRomanPSMT" w:cs="TimesNewRomanPSMT"/>
        </w:rPr>
        <w:t>at 8 &amp; n.12</w:t>
      </w:r>
      <w:r w:rsidRPr="004E0F60">
        <w:rPr>
          <w:rFonts w:ascii="TimesNewRomanPSMT" w:hAnsi="TimesNewRomanPSMT" w:cs="TimesNewRomanPSMT"/>
        </w:rPr>
        <w:t xml:space="preserve"> (July 2012), </w:t>
      </w:r>
      <w:r w:rsidR="00BF207F" w:rsidRPr="00B650AF">
        <w:t>http://transition.fcc.gov/cgb/measuringbroadbandreport/2012/Measuring-Broadband-America.pdf</w:t>
      </w:r>
      <w:r w:rsidRPr="004E0F60">
        <w:rPr>
          <w:rFonts w:ascii="TimesNewRomanPSMT" w:hAnsi="TimesNewRomanPSMT" w:cs="TimesNewRomanPSMT"/>
        </w:rPr>
        <w:t xml:space="preserve">  (Measuring Broadband America 2012 Report</w:t>
      </w:r>
      <w:r w:rsidRPr="004E0F60">
        <w:t>)</w:t>
      </w:r>
      <w:r>
        <w:rPr>
          <w:rFonts w:ascii="TimesNewRomanPSMT" w:hAnsi="TimesNewRomanPSMT" w:cs="TimesNewRomanPSMT"/>
        </w:rPr>
        <w:t xml:space="preserve">; </w:t>
      </w:r>
      <w:r w:rsidR="00BF207F" w:rsidRPr="00BF207F">
        <w:rPr>
          <w:rFonts w:ascii="TimesNewRomanPSMT" w:hAnsi="TimesNewRomanPSMT" w:cs="TimesNewRomanPSMT"/>
        </w:rPr>
        <w:t>Federal Communications Commission</w:t>
      </w:r>
      <w:r w:rsidR="00BF207F">
        <w:rPr>
          <w:rFonts w:ascii="TimesNewRomanPSMT" w:hAnsi="TimesNewRomanPSMT" w:cs="TimesNewRomanPSMT"/>
        </w:rPr>
        <w:t>,</w:t>
      </w:r>
      <w:r w:rsidR="00BF207F" w:rsidRPr="004E0F60">
        <w:rPr>
          <w:rFonts w:ascii="TimesNewRomanPSMT" w:hAnsi="TimesNewRomanPSMT" w:cs="TimesNewRomanPSMT"/>
        </w:rPr>
        <w:t xml:space="preserve"> Office of Engineering and Technology and Consumer and Governmental Affairs Bureau</w:t>
      </w:r>
      <w:r w:rsidR="00BF207F">
        <w:rPr>
          <w:rFonts w:ascii="TimesNewRomanPSMT" w:hAnsi="TimesNewRomanPSMT" w:cs="TimesNewRomanPSMT"/>
        </w:rPr>
        <w:t xml:space="preserve">, </w:t>
      </w:r>
      <w:r w:rsidRPr="00B650AF">
        <w:rPr>
          <w:rFonts w:ascii="TimesNewRomanPSMT" w:hAnsi="TimesNewRomanPSMT" w:cs="TimesNewRomanPSMT"/>
          <w:i/>
        </w:rPr>
        <w:t>Measuring Broadband America, A Report on Consumer Wireline Broadband Performance in the U.S.</w:t>
      </w:r>
      <w:r>
        <w:rPr>
          <w:rFonts w:ascii="TimesNewRomanPSMT" w:hAnsi="TimesNewRomanPSMT" w:cs="TimesNewRomanPSMT"/>
        </w:rPr>
        <w:t xml:space="preserve"> at 8</w:t>
      </w:r>
      <w:r w:rsidRPr="004E0F60">
        <w:rPr>
          <w:rFonts w:ascii="TimesNewRomanPSMT" w:hAnsi="TimesNewRomanPSMT" w:cs="TimesNewRomanPSMT"/>
        </w:rPr>
        <w:t xml:space="preserve"> (</w:t>
      </w:r>
      <w:r>
        <w:rPr>
          <w:rFonts w:ascii="TimesNewRomanPSMT" w:hAnsi="TimesNewRomanPSMT" w:cs="TimesNewRomanPSMT"/>
        </w:rPr>
        <w:t>Feb. 2013</w:t>
      </w:r>
      <w:r w:rsidRPr="004E0F60">
        <w:rPr>
          <w:rFonts w:ascii="TimesNewRomanPSMT" w:hAnsi="TimesNewRomanPSMT" w:cs="TimesNewRomanPSMT"/>
        </w:rPr>
        <w:t xml:space="preserve">), </w:t>
      </w:r>
      <w:r w:rsidR="00BF207F" w:rsidRPr="00B650AF">
        <w:t>http://transition.fcc.gov/cgb/measuringbroadbandreport/2013/Measuring-Broadband-America-feb-2013.pdf</w:t>
      </w:r>
      <w:r>
        <w:t xml:space="preserve"> (Measuring Broadband America 2013 Report)</w:t>
      </w:r>
      <w:r w:rsidR="00BC73AE">
        <w:t xml:space="preserve">; </w:t>
      </w:r>
      <w:r w:rsidR="00BF207F" w:rsidRPr="00BF207F">
        <w:rPr>
          <w:rFonts w:ascii="TimesNewRomanPSMT" w:hAnsi="TimesNewRomanPSMT" w:cs="TimesNewRomanPSMT"/>
        </w:rPr>
        <w:t>Federal Communications Commission</w:t>
      </w:r>
      <w:r w:rsidR="00BF207F">
        <w:rPr>
          <w:rFonts w:ascii="TimesNewRomanPSMT" w:hAnsi="TimesNewRomanPSMT" w:cs="TimesNewRomanPSMT"/>
        </w:rPr>
        <w:t>,</w:t>
      </w:r>
      <w:r w:rsidR="00BF207F" w:rsidRPr="004E0F60">
        <w:rPr>
          <w:rFonts w:ascii="TimesNewRomanPSMT" w:hAnsi="TimesNewRomanPSMT" w:cs="TimesNewRomanPSMT"/>
        </w:rPr>
        <w:t xml:space="preserve"> Office of Engineering and Technology and Consumer and Governmental Affairs Bureau</w:t>
      </w:r>
      <w:r w:rsidR="00BF207F">
        <w:rPr>
          <w:rFonts w:ascii="TimesNewRomanPSMT" w:hAnsi="TimesNewRomanPSMT" w:cs="TimesNewRomanPSMT"/>
        </w:rPr>
        <w:t xml:space="preserve">, </w:t>
      </w:r>
      <w:r w:rsidR="00BC73AE" w:rsidRPr="00B650AF">
        <w:rPr>
          <w:rFonts w:ascii="TimesNewRomanPSMT" w:hAnsi="TimesNewRomanPSMT" w:cs="TimesNewRomanPSMT"/>
          <w:i/>
        </w:rPr>
        <w:t>Measuring Broadband America, A Report on Consumer Wireline Broadband Performance in the U.S.</w:t>
      </w:r>
      <w:r w:rsidR="00BC73AE">
        <w:rPr>
          <w:rFonts w:ascii="TimesNewRomanPSMT" w:hAnsi="TimesNewRomanPSMT" w:cs="TimesNewRomanPSMT"/>
        </w:rPr>
        <w:t xml:space="preserve"> at 8</w:t>
      </w:r>
      <w:r w:rsidR="00BC73AE" w:rsidRPr="004E0F60">
        <w:rPr>
          <w:rFonts w:ascii="TimesNewRomanPSMT" w:hAnsi="TimesNewRomanPSMT" w:cs="TimesNewRomanPSMT"/>
        </w:rPr>
        <w:t xml:space="preserve"> (</w:t>
      </w:r>
      <w:r w:rsidR="00BC73AE">
        <w:rPr>
          <w:rFonts w:ascii="TimesNewRomanPSMT" w:hAnsi="TimesNewRomanPSMT" w:cs="TimesNewRomanPSMT"/>
        </w:rPr>
        <w:t>Feb. 201</w:t>
      </w:r>
      <w:r w:rsidR="00806961">
        <w:rPr>
          <w:rFonts w:ascii="TimesNewRomanPSMT" w:hAnsi="TimesNewRomanPSMT" w:cs="TimesNewRomanPSMT"/>
        </w:rPr>
        <w:t>4</w:t>
      </w:r>
      <w:r w:rsidR="00BC73AE" w:rsidRPr="004E0F60">
        <w:rPr>
          <w:rFonts w:ascii="TimesNewRomanPSMT" w:hAnsi="TimesNewRomanPSMT" w:cs="TimesNewRomanPSMT"/>
        </w:rPr>
        <w:t xml:space="preserve">), </w:t>
      </w:r>
      <w:r w:rsidR="00BC73AE" w:rsidRPr="008E0804">
        <w:t>http://data.fcc.gov/download/measuring-broadband-america/2014/2014-Fixed-Measuring-Broadband-America-Report.pdf</w:t>
      </w:r>
      <w:r w:rsidR="00BC73AE">
        <w:t xml:space="preserve"> (Measuring Broadband America 201</w:t>
      </w:r>
      <w:r w:rsidR="00806961">
        <w:t>4</w:t>
      </w:r>
      <w:r w:rsidR="00BC73AE">
        <w:t xml:space="preserve"> Report)</w:t>
      </w:r>
      <w:r>
        <w:t>.</w:t>
      </w:r>
    </w:p>
  </w:footnote>
  <w:footnote w:id="20">
    <w:p w:rsidR="00C9257D" w:rsidRDefault="00C9257D" w:rsidP="00875414">
      <w:pPr>
        <w:pStyle w:val="FootnoteText"/>
      </w:pPr>
      <w:r>
        <w:rPr>
          <w:rStyle w:val="FootnoteReference"/>
        </w:rPr>
        <w:footnoteRef/>
      </w:r>
      <w:r>
        <w:t xml:space="preserve"> Measuring Broadband America 201</w:t>
      </w:r>
      <w:r w:rsidR="00BC73AE">
        <w:t>4</w:t>
      </w:r>
      <w:r>
        <w:t xml:space="preserve"> Report, Technical Appendix at </w:t>
      </w:r>
      <w:r w:rsidR="00BC73AE">
        <w:t xml:space="preserve">10 </w:t>
      </w:r>
      <w:r>
        <w:t>n.1</w:t>
      </w:r>
      <w:r w:rsidR="00BC73AE">
        <w:t>2</w:t>
      </w:r>
      <w:r>
        <w:t>.</w:t>
      </w:r>
    </w:p>
  </w:footnote>
  <w:footnote w:id="21">
    <w:p w:rsidR="00C9257D" w:rsidRDefault="00C9257D">
      <w:pPr>
        <w:pStyle w:val="FootnoteText"/>
      </w:pPr>
      <w:r>
        <w:rPr>
          <w:rStyle w:val="FootnoteReference"/>
        </w:rPr>
        <w:footnoteRef/>
      </w:r>
      <w:r>
        <w:t xml:space="preserve"> In prior comments, Verizon argued that the Commission should pattern the process for measuring performance on that developed for the MBA.  Comments of Verizon, WC Docket No. 10-90 et al.</w:t>
      </w:r>
      <w:r w:rsidR="00BF207F">
        <w:t>,</w:t>
      </w:r>
      <w:r>
        <w:t xml:space="preserve"> at 21-22 (filed Jan. 18, 2012).  However, AT&amp;T argued that creating such an independent mechanism would be costly and complex.  AT&amp;T Comments at 23.</w:t>
      </w:r>
    </w:p>
  </w:footnote>
  <w:footnote w:id="22">
    <w:p w:rsidR="00BC73AE" w:rsidRDefault="00BC73AE">
      <w:pPr>
        <w:pStyle w:val="FootnoteText"/>
      </w:pPr>
      <w:r>
        <w:rPr>
          <w:rStyle w:val="FootnoteReference"/>
        </w:rPr>
        <w:footnoteRef/>
      </w:r>
      <w:r>
        <w:t xml:space="preserve"> </w:t>
      </w:r>
      <w:r w:rsidR="00716A42">
        <w:t xml:space="preserve">The cost estimates are based upon a number of assumptions: (1) a whitebox costs $100; (2) 5,000 whiteboxes will be purchased each year, with a goal of deploying 20,000 operational whiteboxes </w:t>
      </w:r>
      <w:r w:rsidR="008A6FD8">
        <w:t>with</w:t>
      </w:r>
      <w:r w:rsidR="00716A42">
        <w:t xml:space="preserve"> additional whiteboxes for replacements as needed; (3) whiteboxes will be distributed based upon the number of supported lines and/or amount of funding received by the provider and the number of whiteboxes available; (4) administrative costs for deployed whiteboxes will be $500,000 per year; </w:t>
      </w:r>
      <w:r w:rsidR="006F2669">
        <w:t xml:space="preserve">(5) there will be </w:t>
      </w:r>
      <w:r w:rsidR="00716A42">
        <w:t xml:space="preserve">45 test nodes </w:t>
      </w:r>
      <w:r w:rsidR="006F2669">
        <w:t>(servers at the designated Internet Exchange Points) at</w:t>
      </w:r>
      <w:r w:rsidR="00716A42">
        <w:t xml:space="preserve"> a cost of $2,000</w:t>
      </w:r>
      <w:r w:rsidR="006F2669">
        <w:t xml:space="preserve"> per node</w:t>
      </w:r>
      <w:r w:rsidR="00716A42">
        <w:t xml:space="preserve"> for initial installation ($90,000 total) </w:t>
      </w:r>
      <w:r w:rsidR="008A6FD8">
        <w:t>plus</w:t>
      </w:r>
      <w:r w:rsidR="00716A42">
        <w:t xml:space="preserve"> $22,500</w:t>
      </w:r>
      <w:r w:rsidR="006F2669">
        <w:t xml:space="preserve"> per year</w:t>
      </w:r>
      <w:r w:rsidR="00716A42">
        <w:t xml:space="preserve"> for replacement, upgrade</w:t>
      </w:r>
      <w:r w:rsidR="006F2669">
        <w:t>,</w:t>
      </w:r>
      <w:r w:rsidR="00716A42">
        <w:t xml:space="preserve"> or update costs; </w:t>
      </w:r>
      <w:r w:rsidR="006F2669">
        <w:t xml:space="preserve">(6) </w:t>
      </w:r>
      <w:r w:rsidR="00716A42">
        <w:t xml:space="preserve">test node annual support costs </w:t>
      </w:r>
      <w:r w:rsidR="006F2669">
        <w:t>will be</w:t>
      </w:r>
      <w:r w:rsidR="00716A42">
        <w:t xml:space="preserve"> $36,000</w:t>
      </w:r>
      <w:r w:rsidR="006F2669">
        <w:t xml:space="preserve"> per node per year (this </w:t>
      </w:r>
      <w:r w:rsidR="00716A42">
        <w:t xml:space="preserve">includes system administration </w:t>
      </w:r>
      <w:r w:rsidR="006F2669">
        <w:t>and</w:t>
      </w:r>
      <w:r w:rsidR="00716A42">
        <w:t xml:space="preserve"> the significant data center bandwidth charges</w:t>
      </w:r>
      <w:r w:rsidR="006F2669">
        <w:t>)</w:t>
      </w:r>
      <w:r w:rsidR="00716A42">
        <w:t xml:space="preserve">; </w:t>
      </w:r>
      <w:r w:rsidR="006F2669">
        <w:t xml:space="preserve">(7) </w:t>
      </w:r>
      <w:r w:rsidR="00716A42">
        <w:t xml:space="preserve">USAC administrative costs </w:t>
      </w:r>
      <w:r w:rsidR="006F2669">
        <w:t xml:space="preserve">will total </w:t>
      </w:r>
      <w:r w:rsidR="00716A42">
        <w:t>$575,000 initially</w:t>
      </w:r>
      <w:r w:rsidR="006F2669">
        <w:t>,</w:t>
      </w:r>
      <w:r w:rsidR="00716A42">
        <w:t xml:space="preserve"> and $315,000</w:t>
      </w:r>
      <w:r w:rsidR="006F2669">
        <w:t xml:space="preserve"> per year thereafter</w:t>
      </w:r>
      <w:r w:rsidR="00716A42">
        <w:t xml:space="preserve">; and </w:t>
      </w:r>
      <w:r w:rsidR="006F2669">
        <w:t xml:space="preserve">(8) </w:t>
      </w:r>
      <w:r w:rsidR="00716A42">
        <w:t>$725,000</w:t>
      </w:r>
      <w:r w:rsidR="006F2669">
        <w:t xml:space="preserve"> per </w:t>
      </w:r>
      <w:r w:rsidR="00716A42">
        <w:t xml:space="preserve">year </w:t>
      </w:r>
      <w:r w:rsidR="006F2669">
        <w:t>will be needed for</w:t>
      </w:r>
      <w:r w:rsidR="00716A42">
        <w:t xml:space="preserve"> USAC audits</w:t>
      </w:r>
      <w:r w:rsidR="006F2669">
        <w:t xml:space="preserve"> (including</w:t>
      </w:r>
      <w:r w:rsidR="00716A42">
        <w:t xml:space="preserve"> additional whiteboxes</w:t>
      </w:r>
      <w:r w:rsidR="006F2669">
        <w:t xml:space="preserve"> needed for audit results and subsequent analysis)</w:t>
      </w:r>
      <w:r w:rsidR="00716A42">
        <w:t>.</w:t>
      </w:r>
    </w:p>
  </w:footnote>
  <w:footnote w:id="23">
    <w:p w:rsidR="00C9257D" w:rsidRPr="004E0F60" w:rsidRDefault="00C9257D" w:rsidP="00486402">
      <w:pPr>
        <w:pStyle w:val="FootnoteText"/>
      </w:pPr>
      <w:r w:rsidRPr="004E0F60">
        <w:rPr>
          <w:rStyle w:val="FootnoteReference"/>
        </w:rPr>
        <w:footnoteRef/>
      </w:r>
      <w:r w:rsidRPr="004E0F60">
        <w:t xml:space="preserve"> Citizen testing stakeholders could include individual consumers</w:t>
      </w:r>
      <w:r>
        <w:t>,</w:t>
      </w:r>
      <w:r w:rsidRPr="004E0F60">
        <w:t xml:space="preserve"> public interest groups</w:t>
      </w:r>
      <w:r>
        <w:t>,</w:t>
      </w:r>
      <w:r w:rsidRPr="004E0F60">
        <w:t xml:space="preserve"> academics and academic organizations</w:t>
      </w:r>
      <w:r>
        <w:t>,</w:t>
      </w:r>
      <w:r w:rsidRPr="004E0F60">
        <w:t xml:space="preserve"> research organizations</w:t>
      </w:r>
      <w:r>
        <w:t>,</w:t>
      </w:r>
      <w:r w:rsidRPr="004E0F60">
        <w:t xml:space="preserve"> standards organizations</w:t>
      </w:r>
      <w:r>
        <w:t>,</w:t>
      </w:r>
      <w:r w:rsidRPr="004E0F60">
        <w:t xml:space="preserve"> </w:t>
      </w:r>
      <w:r>
        <w:t>T</w:t>
      </w:r>
      <w:r w:rsidRPr="004E0F60">
        <w:t>ribal authorities</w:t>
      </w:r>
      <w:r>
        <w:t>,</w:t>
      </w:r>
      <w:r w:rsidRPr="004E0F60">
        <w:t xml:space="preserve"> state regulatory agencies</w:t>
      </w:r>
      <w:r>
        <w:t>,</w:t>
      </w:r>
      <w:r w:rsidRPr="004E0F60">
        <w:t xml:space="preserve"> and additional government organizations.  </w:t>
      </w:r>
    </w:p>
  </w:footnote>
  <w:footnote w:id="24">
    <w:p w:rsidR="00C9257D" w:rsidRDefault="00C9257D" w:rsidP="00486402">
      <w:pPr>
        <w:pStyle w:val="FootnoteText"/>
      </w:pPr>
      <w:r>
        <w:rPr>
          <w:rStyle w:val="FootnoteReference"/>
        </w:rPr>
        <w:footnoteRef/>
      </w:r>
      <w:r>
        <w:t xml:space="preserve"> A more detailed description of the test suite in the MBA program can be found in the MBA documentation.  </w:t>
      </w:r>
      <w:r w:rsidRPr="00880B1E">
        <w:rPr>
          <w:i/>
        </w:rPr>
        <w:t>See</w:t>
      </w:r>
      <w:r>
        <w:t xml:space="preserve"> Measuring Broadband America </w:t>
      </w:r>
      <w:r w:rsidR="00806961">
        <w:t xml:space="preserve">2014 </w:t>
      </w:r>
      <w:r>
        <w:t>Report</w:t>
      </w:r>
      <w:r>
        <w:rPr>
          <w:rFonts w:ascii="TimesNewRomanPSMT" w:hAnsi="TimesNewRomanPSMT" w:cs="TimesNewRomanPSMT"/>
        </w:rPr>
        <w:t>, Technical Appendix</w:t>
      </w:r>
      <w:r w:rsidR="00202EA4">
        <w:rPr>
          <w:rFonts w:ascii="TimesNewRomanPSMT" w:hAnsi="TimesNewRomanPSMT" w:cs="TimesNewRomanPSMT"/>
        </w:rPr>
        <w:t>,</w:t>
      </w:r>
      <w:r>
        <w:rPr>
          <w:rFonts w:ascii="TimesNewRomanPSMT" w:hAnsi="TimesNewRomanPSMT" w:cs="TimesNewRomanPSMT"/>
        </w:rPr>
        <w:t xml:space="preserve"> section 3.D</w:t>
      </w:r>
      <w:r>
        <w:t>.</w:t>
      </w:r>
    </w:p>
  </w:footnote>
  <w:footnote w:id="25">
    <w:p w:rsidR="00C9257D" w:rsidRPr="004E0F60" w:rsidRDefault="00C9257D" w:rsidP="00486402">
      <w:pPr>
        <w:pStyle w:val="FootnoteText"/>
      </w:pPr>
      <w:r w:rsidRPr="004E0F60">
        <w:rPr>
          <w:rStyle w:val="FootnoteReference"/>
        </w:rPr>
        <w:footnoteRef/>
      </w:r>
      <w:r w:rsidRPr="004E0F60">
        <w:t xml:space="preserve"> </w:t>
      </w:r>
      <w:r w:rsidRPr="004E0F60">
        <w:rPr>
          <w:i/>
        </w:rPr>
        <w:t>USF/ICC Transformation Order</w:t>
      </w:r>
      <w:r w:rsidRPr="004E0F60">
        <w:t>, 26 FCC Rcd at</w:t>
      </w:r>
      <w:r w:rsidRPr="004E0F60" w:rsidDel="00446353">
        <w:t xml:space="preserve"> </w:t>
      </w:r>
      <w:r w:rsidRPr="004E0F60">
        <w:t>17705-06, para. 109.</w:t>
      </w:r>
    </w:p>
  </w:footnote>
  <w:footnote w:id="26">
    <w:p w:rsidR="00FD0888" w:rsidRDefault="00FD0888" w:rsidP="000D749C">
      <w:pPr>
        <w:pStyle w:val="FootnoteText"/>
      </w:pPr>
      <w:r>
        <w:rPr>
          <w:rStyle w:val="FootnoteReference"/>
        </w:rPr>
        <w:footnoteRef/>
      </w:r>
      <w:r>
        <w:t xml:space="preserve"> </w:t>
      </w:r>
      <w:r>
        <w:rPr>
          <w:i/>
          <w:iCs/>
        </w:rPr>
        <w:t>USF/ICC Transformation Order</w:t>
      </w:r>
      <w:r>
        <w:t xml:space="preserve">, 26 FCC Rcd at 18364-95, App. P; Federal Communications Commission, </w:t>
      </w:r>
      <w:r w:rsidR="000D749C">
        <w:t xml:space="preserve">Connect America Fund; A National Broadband Plan for Our Future; Establishing Just and Reasonable Rates for Local Exchange Carriers; High-Cost Universal Service Support, </w:t>
      </w:r>
      <w:r>
        <w:t>76 Fed. Reg. 78384, 78430-42 (Dec. 16, 2011).</w:t>
      </w:r>
    </w:p>
  </w:footnote>
  <w:footnote w:id="27">
    <w:p w:rsidR="00FD0888" w:rsidRDefault="00FD0888">
      <w:pPr>
        <w:pStyle w:val="FootnoteText"/>
      </w:pPr>
      <w:r>
        <w:rPr>
          <w:rStyle w:val="FootnoteReference"/>
        </w:rPr>
        <w:footnoteRef/>
      </w:r>
      <w:r>
        <w:t xml:space="preserve"> </w:t>
      </w:r>
      <w:r>
        <w:rPr>
          <w:rStyle w:val="apple-style-span"/>
          <w:color w:val="000000"/>
        </w:rPr>
        <w:t>44 U.S.C. § 3506(c)(4).</w:t>
      </w:r>
    </w:p>
  </w:footnote>
  <w:footnote w:id="28">
    <w:p w:rsidR="00C9257D" w:rsidRPr="003E267E" w:rsidRDefault="00C9257D" w:rsidP="00A16A1D">
      <w:pPr>
        <w:pStyle w:val="FootnoteText"/>
      </w:pPr>
      <w:r w:rsidRPr="003E267E">
        <w:rPr>
          <w:rStyle w:val="FootnoteReference"/>
        </w:rPr>
        <w:footnoteRef/>
      </w:r>
      <w:r w:rsidRPr="003E267E">
        <w:t xml:space="preserve"> 47 C.F.R. §§ 1.415, 1.419.</w:t>
      </w:r>
    </w:p>
  </w:footnote>
  <w:footnote w:id="29">
    <w:p w:rsidR="00C9257D" w:rsidRPr="003E267E" w:rsidRDefault="00C9257D" w:rsidP="00A16A1D">
      <w:pPr>
        <w:pStyle w:val="FootnoteText"/>
      </w:pPr>
      <w:r w:rsidRPr="003E267E">
        <w:rPr>
          <w:rStyle w:val="FootnoteReference"/>
        </w:rPr>
        <w:footnoteRef/>
      </w:r>
      <w:r w:rsidRPr="003E267E">
        <w:t xml:space="preserve"> </w:t>
      </w:r>
      <w:r w:rsidRPr="003E267E">
        <w:rPr>
          <w:i/>
        </w:rPr>
        <w:t>See Electronic Filing of Documents in Rulemaking Proceedings</w:t>
      </w:r>
      <w:r w:rsidRPr="003E267E">
        <w:t>, GC Docket No. 97-113, Report and Order, 13 FCC Rcd 11322 (1998).</w:t>
      </w:r>
    </w:p>
  </w:footnote>
  <w:footnote w:id="30">
    <w:p w:rsidR="00C9257D" w:rsidRPr="00634ACD" w:rsidRDefault="00C9257D" w:rsidP="00A16A1D">
      <w:pPr>
        <w:pStyle w:val="FootnoteText"/>
      </w:pPr>
      <w:r w:rsidRPr="00634ACD">
        <w:rPr>
          <w:rStyle w:val="FootnoteReference"/>
        </w:rPr>
        <w:footnoteRef/>
      </w:r>
      <w:r w:rsidRPr="00634ACD">
        <w:t xml:space="preserve"> 47 C.F.R. §§ 1.200 </w:t>
      </w:r>
      <w:r w:rsidRPr="00634ACD">
        <w:rPr>
          <w:i/>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85" w:rsidRDefault="00A30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385" w:rsidRDefault="00A30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7D" w:rsidRPr="00473EF9" w:rsidRDefault="00C9257D" w:rsidP="00473EF9">
    <w:pPr>
      <w:pStyle w:val="Header"/>
    </w:pPr>
    <w:r w:rsidRPr="00473EF9">
      <w:rPr>
        <w:noProof/>
        <w:snapToGrid/>
      </w:rPr>
      <w:drawing>
        <wp:anchor distT="0" distB="0" distL="114300" distR="114300" simplePos="0" relativeHeight="251659264" behindDoc="0" locked="0" layoutInCell="1" allowOverlap="1" wp14:anchorId="3F08B869" wp14:editId="4C976272">
          <wp:simplePos x="0" y="0"/>
          <wp:positionH relativeFrom="column">
            <wp:posOffset>30480</wp:posOffset>
          </wp:positionH>
          <wp:positionV relativeFrom="paragraph">
            <wp:posOffset>107950</wp:posOffset>
          </wp:positionV>
          <wp:extent cx="530225" cy="530225"/>
          <wp:effectExtent l="0" t="0" r="3175" b="317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3EF9">
      <w:t>PUBLIC NOTICE</w:t>
    </w:r>
  </w:p>
  <w:p w:rsidR="00C9257D" w:rsidRDefault="00C9257D" w:rsidP="00473EF9">
    <w:pPr>
      <w:pStyle w:val="Header"/>
      <w:rPr>
        <w:rFonts w:ascii="Arial" w:hAnsi="Arial" w:cs="Arial"/>
        <w:sz w:val="28"/>
        <w:szCs w:val="28"/>
      </w:rPr>
    </w:pPr>
    <w:r>
      <w:rPr>
        <w:noProof/>
        <w:snapToGrid/>
      </w:rPr>
      <mc:AlternateContent>
        <mc:Choice Requires="wps">
          <w:drawing>
            <wp:anchor distT="0" distB="0" distL="114300" distR="114300" simplePos="0" relativeHeight="251660288" behindDoc="0" locked="0" layoutInCell="1" allowOverlap="1" wp14:anchorId="2E6B7F9B" wp14:editId="6D0B2FBA">
              <wp:simplePos x="0" y="0"/>
              <wp:positionH relativeFrom="column">
                <wp:posOffset>-488950</wp:posOffset>
              </wp:positionH>
              <wp:positionV relativeFrom="paragraph">
                <wp:posOffset>690880</wp:posOffset>
              </wp:positionV>
              <wp:extent cx="6858000" cy="254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4pt" to="501.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"/>
          </w:pict>
        </mc:Fallback>
      </mc:AlternateContent>
    </w:r>
    <w:r>
      <w:rPr>
        <w:noProof/>
        <w:snapToGrid/>
      </w:rPr>
      <mc:AlternateContent>
        <mc:Choice Requires="wps">
          <w:drawing>
            <wp:anchor distT="0" distB="0" distL="114300" distR="114300" simplePos="0" relativeHeight="251661312" behindDoc="0" locked="0" layoutInCell="1" allowOverlap="1" wp14:anchorId="6132EB47" wp14:editId="7978F49B">
              <wp:simplePos x="0" y="0"/>
              <wp:positionH relativeFrom="column">
                <wp:posOffset>3771900</wp:posOffset>
              </wp:positionH>
              <wp:positionV relativeFrom="paragraph">
                <wp:posOffset>119380</wp:posOffset>
              </wp:positionV>
              <wp:extent cx="2183130" cy="5486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7D" w:rsidRDefault="00C9257D" w:rsidP="002D5497">
                          <w:pPr>
                            <w:widowControl/>
                            <w:spacing w:before="40"/>
                            <w:jc w:val="right"/>
                            <w:rPr>
                              <w:rFonts w:ascii="Arial" w:hAnsi="Arial" w:cs="Arial"/>
                              <w:b/>
                              <w:bCs/>
                              <w:sz w:val="16"/>
                              <w:szCs w:val="16"/>
                            </w:rPr>
                          </w:pPr>
                          <w:r>
                            <w:rPr>
                              <w:rFonts w:ascii="Arial" w:hAnsi="Arial" w:cs="Arial"/>
                              <w:b/>
                              <w:bCs/>
                              <w:sz w:val="16"/>
                              <w:szCs w:val="16"/>
                            </w:rPr>
                            <w:t>News Media Information 202 / 418-0500</w:t>
                          </w:r>
                        </w:p>
                        <w:p w:rsidR="00C9257D" w:rsidRDefault="00C9257D" w:rsidP="002D5497">
                          <w:pPr>
                            <w:widowControl/>
                            <w:jc w:val="right"/>
                            <w:rPr>
                              <w:rFonts w:ascii="Arial" w:hAnsi="Arial" w:cs="Arial"/>
                              <w:b/>
                              <w:bCs/>
                              <w:sz w:val="16"/>
                              <w:szCs w:val="16"/>
                            </w:rPr>
                          </w:pPr>
                          <w:r>
                            <w:rPr>
                              <w:rFonts w:ascii="Arial" w:hAnsi="Arial" w:cs="Arial"/>
                              <w:b/>
                              <w:bCs/>
                              <w:sz w:val="16"/>
                              <w:szCs w:val="16"/>
                            </w:rPr>
                            <w:tab/>
                            <w:t xml:space="preserve">Internet: </w:t>
                          </w:r>
                          <w:bookmarkStart w:id="6" w:name="_Hlt233824"/>
                          <w:r>
                            <w:rPr>
                              <w:rStyle w:val="Hyperlink"/>
                              <w:rFonts w:ascii="Arial" w:hAnsi="Arial" w:cs="Arial"/>
                              <w:b/>
                              <w:bCs/>
                              <w:sz w:val="16"/>
                              <w:szCs w:val="16"/>
                            </w:rPr>
                            <w:t>http://www.fcc.gov</w:t>
                          </w:r>
                          <w:bookmarkEnd w:id="6"/>
                        </w:p>
                        <w:p w:rsidR="00C9257D" w:rsidRDefault="00C9257D" w:rsidP="002D5497">
                          <w:pPr>
                            <w:widowControl/>
                            <w:jc w:val="right"/>
                            <w:rPr>
                              <w:rFonts w:ascii="Arial" w:hAnsi="Arial" w:cs="Arial"/>
                              <w:b/>
                              <w:bCs/>
                              <w:sz w:val="16"/>
                              <w:szCs w:val="16"/>
                            </w:rPr>
                          </w:pPr>
                          <w:r>
                            <w:rPr>
                              <w:rFonts w:ascii="Arial" w:hAnsi="Arial" w:cs="Arial"/>
                              <w:b/>
                              <w:bCs/>
                              <w:sz w:val="16"/>
                              <w:szCs w:val="16"/>
                            </w:rPr>
                            <w:t>TTY: 1-888-835-5322</w:t>
                          </w:r>
                        </w:p>
                        <w:p w:rsidR="00C9257D" w:rsidRDefault="00C9257D" w:rsidP="002D5497">
                          <w:pPr>
                            <w:widowControl/>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7pt;margin-top:9.4pt;width:171.9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" stroked="f">
              <v:textbox inset=",0,,0">
                <w:txbxContent>
                  <w:p w:rsidR="00C9257D" w:rsidRDefault="00C9257D" w:rsidP="002D5497">
                    <w:pPr>
                      <w:widowControl/>
                      <w:spacing w:before="40"/>
                      <w:jc w:val="right"/>
                      <w:rPr>
                        <w:rFonts w:ascii="Arial" w:hAnsi="Arial" w:cs="Arial"/>
                        <w:b/>
                        <w:bCs/>
                        <w:sz w:val="16"/>
                        <w:szCs w:val="16"/>
                      </w:rPr>
                    </w:pPr>
                    <w:r>
                      <w:rPr>
                        <w:rFonts w:ascii="Arial" w:hAnsi="Arial" w:cs="Arial"/>
                        <w:b/>
                        <w:bCs/>
                        <w:sz w:val="16"/>
                        <w:szCs w:val="16"/>
                      </w:rPr>
                      <w:t>News Media Information 202 / 418-0500</w:t>
                    </w:r>
                  </w:p>
                  <w:p w:rsidR="00C9257D" w:rsidRDefault="00C9257D" w:rsidP="002D5497">
                    <w:pPr>
                      <w:widowControl/>
                      <w:jc w:val="right"/>
                      <w:rPr>
                        <w:rFonts w:ascii="Arial" w:hAnsi="Arial" w:cs="Arial"/>
                        <w:b/>
                        <w:bCs/>
                        <w:sz w:val="16"/>
                        <w:szCs w:val="16"/>
                      </w:rPr>
                    </w:pPr>
                    <w:r>
                      <w:rPr>
                        <w:rFonts w:ascii="Arial" w:hAnsi="Arial" w:cs="Arial"/>
                        <w:b/>
                        <w:bCs/>
                        <w:sz w:val="16"/>
                        <w:szCs w:val="16"/>
                      </w:rPr>
                      <w:tab/>
                      <w:t xml:space="preserve">Internet: </w:t>
                    </w:r>
                    <w:bookmarkStart w:id="109" w:name="_Hlt233824"/>
                    <w:r>
                      <w:rPr>
                        <w:rStyle w:val="Hyperlink"/>
                        <w:rFonts w:ascii="Arial" w:hAnsi="Arial" w:cs="Arial"/>
                        <w:b/>
                        <w:bCs/>
                        <w:sz w:val="16"/>
                        <w:szCs w:val="16"/>
                      </w:rPr>
                      <w:t>http://www.fcc.gov</w:t>
                    </w:r>
                    <w:bookmarkEnd w:id="109"/>
                  </w:p>
                  <w:p w:rsidR="00C9257D" w:rsidRDefault="00C9257D" w:rsidP="002D5497">
                    <w:pPr>
                      <w:widowControl/>
                      <w:jc w:val="right"/>
                      <w:rPr>
                        <w:rFonts w:ascii="Arial" w:hAnsi="Arial" w:cs="Arial"/>
                        <w:b/>
                        <w:bCs/>
                        <w:sz w:val="16"/>
                        <w:szCs w:val="16"/>
                      </w:rPr>
                    </w:pPr>
                    <w:r>
                      <w:rPr>
                        <w:rFonts w:ascii="Arial" w:hAnsi="Arial" w:cs="Arial"/>
                        <w:b/>
                        <w:bCs/>
                        <w:sz w:val="16"/>
                        <w:szCs w:val="16"/>
                      </w:rPr>
                      <w:t>TTY: 1-888-835-5322</w:t>
                    </w:r>
                  </w:p>
                  <w:p w:rsidR="00C9257D" w:rsidRDefault="00C9257D" w:rsidP="002D5497">
                    <w:pPr>
                      <w:widowControl/>
                      <w:jc w:val="right"/>
                    </w:pPr>
                  </w:p>
                </w:txbxContent>
              </v:textbox>
            </v:shape>
          </w:pict>
        </mc:Fallback>
      </mc:AlternateContent>
    </w:r>
    <w:r>
      <w:rPr>
        <w:noProof/>
        <w:snapToGrid/>
      </w:rPr>
      <mc:AlternateContent>
        <mc:Choice Requires="wps">
          <w:drawing>
            <wp:anchor distT="0" distB="0" distL="114300" distR="114300" simplePos="0" relativeHeight="251662336" behindDoc="0" locked="0" layoutInCell="1" allowOverlap="1" wp14:anchorId="304CDB24" wp14:editId="0F7FBF3C">
              <wp:simplePos x="0" y="0"/>
              <wp:positionH relativeFrom="column">
                <wp:posOffset>0</wp:posOffset>
              </wp:positionH>
              <wp:positionV relativeFrom="paragraph">
                <wp:posOffset>5080</wp:posOffset>
              </wp:positionV>
              <wp:extent cx="3108960" cy="6400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57D" w:rsidRDefault="00C9257D" w:rsidP="002D5497">
                          <w:pPr>
                            <w:widowControl/>
                            <w:jc w:val="both"/>
                            <w:rPr>
                              <w:rFonts w:ascii="Arial" w:hAnsi="Arial" w:cs="Arial"/>
                              <w:b/>
                              <w:bCs/>
                            </w:rPr>
                          </w:pPr>
                          <w:r>
                            <w:rPr>
                              <w:rFonts w:ascii="Arial" w:hAnsi="Arial" w:cs="Arial"/>
                              <w:b/>
                              <w:bCs/>
                            </w:rPr>
                            <w:t>Federal Communications Commission</w:t>
                          </w:r>
                        </w:p>
                        <w:p w:rsidR="00C9257D" w:rsidRDefault="00C9257D" w:rsidP="002D5497">
                          <w:pPr>
                            <w:widowControl/>
                            <w:rPr>
                              <w:rFonts w:ascii="Arial" w:hAnsi="Arial" w:cs="Arial"/>
                              <w:b/>
                              <w:bCs/>
                            </w:rPr>
                          </w:pPr>
                          <w:r>
                            <w:rPr>
                              <w:rFonts w:ascii="Arial" w:hAnsi="Arial" w:cs="Arial"/>
                              <w:b/>
                              <w:bCs/>
                            </w:rPr>
                            <w:t>445 12</w:t>
                          </w:r>
                          <w:r>
                            <w:rPr>
                              <w:rFonts w:ascii="Arial" w:hAnsi="Arial" w:cs="Arial"/>
                              <w:b/>
                              <w:bCs/>
                              <w:vertAlign w:val="superscript"/>
                            </w:rPr>
                            <w:t>th</w:t>
                          </w:r>
                          <w:r>
                            <w:rPr>
                              <w:rFonts w:ascii="Arial" w:hAnsi="Arial" w:cs="Arial"/>
                              <w:b/>
                              <w:bCs/>
                            </w:rPr>
                            <w:t xml:space="preserve"> Street, S.W.</w:t>
                          </w:r>
                        </w:p>
                        <w:p w:rsidR="00C9257D" w:rsidRDefault="00C9257D" w:rsidP="002D5497">
                          <w:pPr>
                            <w:widowControl/>
                            <w:rPr>
                              <w:rFonts w:ascii="Arial" w:hAnsi="Arial" w:cs="Arial"/>
                              <w:sz w:val="24"/>
                              <w:szCs w:val="24"/>
                            </w:rPr>
                          </w:pPr>
                          <w:r>
                            <w:rPr>
                              <w:rFonts w:ascii="Arial" w:hAnsi="Arial" w:cs="Arial"/>
                              <w:b/>
                              <w:bCs/>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0;margin-top:.4pt;width:244.8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9BhQIAABY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c&#10;Es06pOhBDp5cw0D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" stroked="f">
              <v:textbox>
                <w:txbxContent>
                  <w:p w:rsidR="00C9257D" w:rsidRDefault="00C9257D" w:rsidP="002D5497">
                    <w:pPr>
                      <w:widowControl/>
                      <w:jc w:val="both"/>
                      <w:rPr>
                        <w:rFonts w:ascii="Arial" w:hAnsi="Arial" w:cs="Arial"/>
                        <w:b/>
                        <w:bCs/>
                      </w:rPr>
                    </w:pPr>
                    <w:r>
                      <w:rPr>
                        <w:rFonts w:ascii="Arial" w:hAnsi="Arial" w:cs="Arial"/>
                        <w:b/>
                        <w:bCs/>
                      </w:rPr>
                      <w:t>Federal Communications Commission</w:t>
                    </w:r>
                  </w:p>
                  <w:p w:rsidR="00C9257D" w:rsidRDefault="00C9257D" w:rsidP="002D5497">
                    <w:pPr>
                      <w:widowControl/>
                      <w:rPr>
                        <w:rFonts w:ascii="Arial" w:hAnsi="Arial" w:cs="Arial"/>
                        <w:b/>
                        <w:bCs/>
                      </w:rPr>
                    </w:pPr>
                    <w:r>
                      <w:rPr>
                        <w:rFonts w:ascii="Arial" w:hAnsi="Arial" w:cs="Arial"/>
                        <w:b/>
                        <w:bCs/>
                      </w:rPr>
                      <w:t>445 12</w:t>
                    </w:r>
                    <w:r>
                      <w:rPr>
                        <w:rFonts w:ascii="Arial" w:hAnsi="Arial" w:cs="Arial"/>
                        <w:b/>
                        <w:bCs/>
                        <w:vertAlign w:val="superscript"/>
                      </w:rPr>
                      <w:t>th</w:t>
                    </w:r>
                    <w:r>
                      <w:rPr>
                        <w:rFonts w:ascii="Arial" w:hAnsi="Arial" w:cs="Arial"/>
                        <w:b/>
                        <w:bCs/>
                      </w:rPr>
                      <w:t xml:space="preserve"> Street, S.W.</w:t>
                    </w:r>
                  </w:p>
                  <w:p w:rsidR="00C9257D" w:rsidRDefault="00C9257D" w:rsidP="002D5497">
                    <w:pPr>
                      <w:widowControl/>
                      <w:rPr>
                        <w:rFonts w:ascii="Arial" w:hAnsi="Arial" w:cs="Arial"/>
                        <w:sz w:val="24"/>
                        <w:szCs w:val="24"/>
                      </w:rPr>
                    </w:pPr>
                    <w:r>
                      <w:rPr>
                        <w:rFonts w:ascii="Arial" w:hAnsi="Arial" w:cs="Arial"/>
                        <w:b/>
                        <w:bCs/>
                      </w:rPr>
                      <w:t>Washington, D.C. 20554</w:t>
                    </w:r>
                  </w:p>
                </w:txbxContent>
              </v:textbox>
            </v:shape>
          </w:pict>
        </mc:Fallback>
      </mc:AlternateContent>
    </w:r>
  </w:p>
  <w:p w:rsidR="00C9257D" w:rsidRPr="002D5497" w:rsidRDefault="00C9257D" w:rsidP="00473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902D07C"/>
    <w:lvl w:ilvl="0">
      <w:start w:val="1"/>
      <w:numFmt w:val="decimal"/>
      <w:lvlText w:val="%1."/>
      <w:lvlJc w:val="left"/>
      <w:pPr>
        <w:widowControl w:val="0"/>
        <w:tabs>
          <w:tab w:val="num" w:pos="1080"/>
        </w:tabs>
        <w:autoSpaceDE w:val="0"/>
        <w:autoSpaceDN w:val="0"/>
        <w:adjustRightInd w:val="0"/>
        <w:ind w:firstLine="720"/>
      </w:pPr>
      <w:rPr>
        <w:rFonts w:ascii="Times New Roman" w:hAnsi="Times New Roman" w:cs="Times New Roman"/>
        <w:b w:val="0"/>
        <w:bCs w:val="0"/>
        <w:i w:val="0"/>
        <w:iCs w:val="0"/>
        <w:caps w:val="0"/>
        <w:strike w:val="0"/>
        <w:dstrike w:val="0"/>
        <w:shadow w:val="0"/>
        <w:emboss w:val="0"/>
        <w:imprint w:val="0"/>
        <w:vanish w:val="0"/>
        <w:color w:val="000000"/>
        <w:spacing w:val="0"/>
        <w:sz w:val="22"/>
        <w:szCs w:val="22"/>
        <w:u w:val="none"/>
      </w:rPr>
    </w:lvl>
  </w:abstractNum>
  <w:abstractNum w:abstractNumId="1">
    <w:nsid w:val="0000000A"/>
    <w:multiLevelType w:val="multilevel"/>
    <w:tmpl w:val="9BCA1692"/>
    <w:lvl w:ilvl="0">
      <w:start w:val="1"/>
      <w:numFmt w:val="upperRoman"/>
      <w:lvlText w:val="%1."/>
      <w:lvlJc w:val="left"/>
      <w:pPr>
        <w:widowControl w:val="0"/>
        <w:tabs>
          <w:tab w:val="num" w:pos="720"/>
        </w:tabs>
        <w:autoSpaceDE w:val="0"/>
        <w:autoSpaceDN w:val="0"/>
        <w:adjustRightInd w:val="0"/>
        <w:ind w:left="720" w:hanging="720"/>
      </w:pPr>
      <w:rPr>
        <w:rFonts w:ascii="Times New Roman" w:hAnsi="Times New Roman" w:cs="Times New Roman"/>
        <w:b/>
        <w:bCs/>
        <w:i w:val="0"/>
        <w:iCs w:val="0"/>
        <w:caps w:val="0"/>
        <w:strike w:val="0"/>
        <w:dstrike w:val="0"/>
        <w:outline w:val="0"/>
        <w:shadow w:val="0"/>
        <w:emboss w:val="0"/>
        <w:imprint w:val="0"/>
        <w:vanish w:val="0"/>
        <w:spacing w:val="0"/>
        <w:sz w:val="22"/>
        <w:szCs w:val="22"/>
      </w:rPr>
    </w:lvl>
    <w:lvl w:ilvl="1">
      <w:start w:val="1"/>
      <w:numFmt w:val="upperLetter"/>
      <w:lvlText w:val="%2."/>
      <w:lvlJc w:val="left"/>
      <w:pPr>
        <w:widowControl w:val="0"/>
        <w:tabs>
          <w:tab w:val="num" w:pos="1440"/>
        </w:tabs>
        <w:autoSpaceDE w:val="0"/>
        <w:autoSpaceDN w:val="0"/>
        <w:adjustRightInd w:val="0"/>
        <w:ind w:left="1440" w:hanging="720"/>
      </w:pPr>
      <w:rPr>
        <w:rFonts w:ascii="Times New Roman" w:hAnsi="Times New Roman" w:cs="Times New Roman"/>
        <w:spacing w:val="0"/>
        <w:sz w:val="22"/>
        <w:szCs w:val="22"/>
      </w:rPr>
    </w:lvl>
    <w:lvl w:ilvl="2">
      <w:start w:val="1"/>
      <w:numFmt w:val="decimal"/>
      <w:lvlText w:val="%3."/>
      <w:lvlJc w:val="left"/>
      <w:pPr>
        <w:widowControl w:val="0"/>
        <w:tabs>
          <w:tab w:val="num" w:pos="2160"/>
        </w:tabs>
        <w:autoSpaceDE w:val="0"/>
        <w:autoSpaceDN w:val="0"/>
        <w:adjustRightInd w:val="0"/>
        <w:ind w:left="2160" w:hanging="720"/>
      </w:pPr>
      <w:rPr>
        <w:rFonts w:ascii="Times New Roman" w:hAnsi="Times New Roman" w:cs="Times New Roman"/>
        <w:spacing w:val="0"/>
        <w:sz w:val="22"/>
        <w:szCs w:val="22"/>
      </w:rPr>
    </w:lvl>
    <w:lvl w:ilvl="3">
      <w:start w:val="1"/>
      <w:numFmt w:val="lowerLetter"/>
      <w:lvlText w:val="%4."/>
      <w:lvlJc w:val="left"/>
      <w:pPr>
        <w:widowControl w:val="0"/>
        <w:tabs>
          <w:tab w:val="num" w:pos="2880"/>
        </w:tabs>
        <w:autoSpaceDE w:val="0"/>
        <w:autoSpaceDN w:val="0"/>
        <w:adjustRightInd w:val="0"/>
        <w:ind w:left="2880" w:hanging="720"/>
      </w:pPr>
      <w:rPr>
        <w:rFonts w:ascii="Times New Roman" w:hAnsi="Times New Roman" w:cs="Times New Roman"/>
        <w:spacing w:val="0"/>
        <w:sz w:val="22"/>
        <w:szCs w:val="22"/>
      </w:rPr>
    </w:lvl>
    <w:lvl w:ilvl="4">
      <w:start w:val="1"/>
      <w:numFmt w:val="lowerRoman"/>
      <w:lvlText w:val="(%5)"/>
      <w:lvlJc w:val="left"/>
      <w:pPr>
        <w:widowControl w:val="0"/>
        <w:tabs>
          <w:tab w:val="num" w:pos="3960"/>
        </w:tabs>
        <w:autoSpaceDE w:val="0"/>
        <w:autoSpaceDN w:val="0"/>
        <w:adjustRightInd w:val="0"/>
        <w:ind w:left="3600" w:hanging="720"/>
      </w:pPr>
      <w:rPr>
        <w:rFonts w:ascii="Tahoma" w:hAnsi="Tahoma" w:cs="Tahoma"/>
        <w:b/>
        <w:bCs/>
        <w:i w:val="0"/>
        <w:iCs w:val="0"/>
        <w:caps w:val="0"/>
        <w:strike w:val="0"/>
        <w:dstrike w:val="0"/>
        <w:shadow w:val="0"/>
        <w:emboss w:val="0"/>
        <w:imprint w:val="0"/>
        <w:vanish w:val="0"/>
        <w:color w:val="000000"/>
        <w:spacing w:val="0"/>
        <w:sz w:val="22"/>
        <w:szCs w:val="22"/>
      </w:rPr>
    </w:lvl>
    <w:lvl w:ilvl="5">
      <w:start w:val="1"/>
      <w:numFmt w:val="lowerLetter"/>
      <w:lvlText w:val="(%6)"/>
      <w:lvlJc w:val="left"/>
      <w:pPr>
        <w:widowControl w:val="0"/>
        <w:tabs>
          <w:tab w:val="num" w:pos="4320"/>
        </w:tabs>
        <w:autoSpaceDE w:val="0"/>
        <w:autoSpaceDN w:val="0"/>
        <w:adjustRightInd w:val="0"/>
        <w:ind w:left="4320" w:hanging="720"/>
      </w:pPr>
      <w:rPr>
        <w:rFonts w:ascii="Times New Roman" w:hAnsi="Times New Roman" w:cs="Times New Roman"/>
        <w:spacing w:val="0"/>
        <w:sz w:val="22"/>
        <w:szCs w:val="22"/>
      </w:rPr>
    </w:lvl>
    <w:lvl w:ilvl="6">
      <w:start w:val="1"/>
      <w:numFmt w:val="lowerRoman"/>
      <w:lvlText w:val="(%7)"/>
      <w:lvlJc w:val="left"/>
      <w:pPr>
        <w:widowControl w:val="0"/>
        <w:tabs>
          <w:tab w:val="num" w:pos="5040"/>
        </w:tabs>
        <w:autoSpaceDE w:val="0"/>
        <w:autoSpaceDN w:val="0"/>
        <w:adjustRightInd w:val="0"/>
        <w:ind w:left="4320"/>
      </w:pPr>
      <w:rPr>
        <w:rFonts w:ascii="Times New Roman" w:hAnsi="Times New Roman" w:cs="Times New Roman"/>
        <w:spacing w:val="0"/>
        <w:sz w:val="22"/>
        <w:szCs w:val="22"/>
      </w:rPr>
    </w:lvl>
    <w:lvl w:ilvl="7">
      <w:start w:val="1"/>
      <w:numFmt w:val="lowerLetter"/>
      <w:lvlText w:val="(%8)"/>
      <w:lvlJc w:val="left"/>
      <w:pPr>
        <w:widowControl w:val="0"/>
        <w:tabs>
          <w:tab w:val="num" w:pos="5400"/>
        </w:tabs>
        <w:autoSpaceDE w:val="0"/>
        <w:autoSpaceDN w:val="0"/>
        <w:adjustRightInd w:val="0"/>
        <w:ind w:left="5040"/>
      </w:pPr>
      <w:rPr>
        <w:rFonts w:ascii="Times New Roman" w:hAnsi="Times New Roman" w:cs="Times New Roman"/>
        <w:spacing w:val="0"/>
        <w:sz w:val="22"/>
        <w:szCs w:val="22"/>
      </w:rPr>
    </w:lvl>
    <w:lvl w:ilvl="8">
      <w:start w:val="1"/>
      <w:numFmt w:val="lowerRoman"/>
      <w:lvlText w:val="(%9)"/>
      <w:lvlJc w:val="left"/>
      <w:pPr>
        <w:widowControl w:val="0"/>
        <w:tabs>
          <w:tab w:val="num" w:pos="6480"/>
        </w:tabs>
        <w:autoSpaceDE w:val="0"/>
        <w:autoSpaceDN w:val="0"/>
        <w:adjustRightInd w:val="0"/>
        <w:ind w:left="5760"/>
      </w:pPr>
      <w:rPr>
        <w:rFonts w:ascii="Times New Roman" w:hAnsi="Times New Roman" w:cs="Times New Roman"/>
        <w:b/>
        <w:bCs/>
        <w:i w:val="0"/>
        <w:iCs w:val="0"/>
        <w:spacing w:val="0"/>
        <w:sz w:val="22"/>
        <w:szCs w:val="22"/>
      </w:rPr>
    </w:lvl>
  </w:abstractNum>
  <w:abstractNum w:abstractNumId="2">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Arial"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Arial"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8"/>
  </w:num>
  <w:num w:numId="5">
    <w:abstractNumId w:val="5"/>
  </w:num>
  <w:num w:numId="6">
    <w:abstractNumId w:val="3"/>
  </w:num>
  <w:num w:numId="7">
    <w:abstractNumId w:val="1"/>
  </w:num>
  <w:num w:numId="8">
    <w:abstractNumId w:val="0"/>
  </w:num>
  <w:num w:numId="9">
    <w:abstractNumId w:val="7"/>
  </w:num>
  <w:num w:numId="10">
    <w:abstractNumId w:val="9"/>
  </w:num>
  <w:num w:numId="11">
    <w:abstractNumId w:val="2"/>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4D"/>
    <w:rsid w:val="00023DC2"/>
    <w:rsid w:val="00036039"/>
    <w:rsid w:val="00036570"/>
    <w:rsid w:val="00036AF5"/>
    <w:rsid w:val="00037F90"/>
    <w:rsid w:val="00047C88"/>
    <w:rsid w:val="00061E39"/>
    <w:rsid w:val="00063B8F"/>
    <w:rsid w:val="00074215"/>
    <w:rsid w:val="000751DC"/>
    <w:rsid w:val="00077CF7"/>
    <w:rsid w:val="0008345B"/>
    <w:rsid w:val="00084FD9"/>
    <w:rsid w:val="00087212"/>
    <w:rsid w:val="000875BF"/>
    <w:rsid w:val="000914ED"/>
    <w:rsid w:val="000948F3"/>
    <w:rsid w:val="00096D8C"/>
    <w:rsid w:val="000C0B65"/>
    <w:rsid w:val="000C4480"/>
    <w:rsid w:val="000D749C"/>
    <w:rsid w:val="000E3D42"/>
    <w:rsid w:val="000E5884"/>
    <w:rsid w:val="000E59A6"/>
    <w:rsid w:val="00102DD5"/>
    <w:rsid w:val="00103EE7"/>
    <w:rsid w:val="00104206"/>
    <w:rsid w:val="00105E03"/>
    <w:rsid w:val="00110299"/>
    <w:rsid w:val="00112914"/>
    <w:rsid w:val="00122B2D"/>
    <w:rsid w:val="00122BD5"/>
    <w:rsid w:val="001417C3"/>
    <w:rsid w:val="00147FF0"/>
    <w:rsid w:val="00167F8F"/>
    <w:rsid w:val="00170C2F"/>
    <w:rsid w:val="00180A19"/>
    <w:rsid w:val="001861B1"/>
    <w:rsid w:val="00187168"/>
    <w:rsid w:val="00193FCA"/>
    <w:rsid w:val="00196BAA"/>
    <w:rsid w:val="001B0BB3"/>
    <w:rsid w:val="001B25A5"/>
    <w:rsid w:val="001D6BCF"/>
    <w:rsid w:val="001D7EFF"/>
    <w:rsid w:val="001E01CA"/>
    <w:rsid w:val="001E26EB"/>
    <w:rsid w:val="001E713C"/>
    <w:rsid w:val="001F203D"/>
    <w:rsid w:val="001F6ED0"/>
    <w:rsid w:val="00202EA4"/>
    <w:rsid w:val="00215277"/>
    <w:rsid w:val="00226822"/>
    <w:rsid w:val="002334C8"/>
    <w:rsid w:val="00236CB4"/>
    <w:rsid w:val="0024197A"/>
    <w:rsid w:val="002434F9"/>
    <w:rsid w:val="00250795"/>
    <w:rsid w:val="00255DFD"/>
    <w:rsid w:val="0026410B"/>
    <w:rsid w:val="00285017"/>
    <w:rsid w:val="00293D91"/>
    <w:rsid w:val="002A2D2E"/>
    <w:rsid w:val="002A65DA"/>
    <w:rsid w:val="002B34E6"/>
    <w:rsid w:val="002B70C5"/>
    <w:rsid w:val="002C78B0"/>
    <w:rsid w:val="002D546D"/>
    <w:rsid w:val="002D5497"/>
    <w:rsid w:val="002E29D4"/>
    <w:rsid w:val="002E3BF9"/>
    <w:rsid w:val="002E5385"/>
    <w:rsid w:val="002E68CA"/>
    <w:rsid w:val="002F103F"/>
    <w:rsid w:val="002F5939"/>
    <w:rsid w:val="00305981"/>
    <w:rsid w:val="00312A0F"/>
    <w:rsid w:val="0031442D"/>
    <w:rsid w:val="003155A8"/>
    <w:rsid w:val="00320EAB"/>
    <w:rsid w:val="00323DD4"/>
    <w:rsid w:val="00332D95"/>
    <w:rsid w:val="003364DF"/>
    <w:rsid w:val="0034017A"/>
    <w:rsid w:val="003416DF"/>
    <w:rsid w:val="00343749"/>
    <w:rsid w:val="00343D9D"/>
    <w:rsid w:val="0035471C"/>
    <w:rsid w:val="003570EF"/>
    <w:rsid w:val="003604CA"/>
    <w:rsid w:val="003632EA"/>
    <w:rsid w:val="00371BAA"/>
    <w:rsid w:val="00385EA2"/>
    <w:rsid w:val="00385F58"/>
    <w:rsid w:val="003928B6"/>
    <w:rsid w:val="00397CB0"/>
    <w:rsid w:val="003A01EE"/>
    <w:rsid w:val="003A08EA"/>
    <w:rsid w:val="003A4654"/>
    <w:rsid w:val="003A632A"/>
    <w:rsid w:val="003B0550"/>
    <w:rsid w:val="003B694F"/>
    <w:rsid w:val="003C0A5D"/>
    <w:rsid w:val="003C1097"/>
    <w:rsid w:val="003C31F0"/>
    <w:rsid w:val="003C4366"/>
    <w:rsid w:val="003D17CC"/>
    <w:rsid w:val="003E01B9"/>
    <w:rsid w:val="003F171C"/>
    <w:rsid w:val="00411062"/>
    <w:rsid w:val="00412FC5"/>
    <w:rsid w:val="00422276"/>
    <w:rsid w:val="00422964"/>
    <w:rsid w:val="004242F1"/>
    <w:rsid w:val="00436228"/>
    <w:rsid w:val="00436A8C"/>
    <w:rsid w:val="00441C93"/>
    <w:rsid w:val="00445A00"/>
    <w:rsid w:val="00447944"/>
    <w:rsid w:val="00451B0F"/>
    <w:rsid w:val="0046597F"/>
    <w:rsid w:val="004719E9"/>
    <w:rsid w:val="00473EF9"/>
    <w:rsid w:val="004748E2"/>
    <w:rsid w:val="00474DBF"/>
    <w:rsid w:val="0047723D"/>
    <w:rsid w:val="00481D88"/>
    <w:rsid w:val="00486402"/>
    <w:rsid w:val="00486E9B"/>
    <w:rsid w:val="00494A12"/>
    <w:rsid w:val="004A1E83"/>
    <w:rsid w:val="004B0A47"/>
    <w:rsid w:val="004C2EE3"/>
    <w:rsid w:val="004C37CF"/>
    <w:rsid w:val="004C7AAC"/>
    <w:rsid w:val="004E0823"/>
    <w:rsid w:val="004E41DE"/>
    <w:rsid w:val="004E4A22"/>
    <w:rsid w:val="004F5011"/>
    <w:rsid w:val="0050064D"/>
    <w:rsid w:val="00500FF6"/>
    <w:rsid w:val="00505D5F"/>
    <w:rsid w:val="00505F91"/>
    <w:rsid w:val="00511968"/>
    <w:rsid w:val="00527DAE"/>
    <w:rsid w:val="00533A65"/>
    <w:rsid w:val="00543CA7"/>
    <w:rsid w:val="005458E9"/>
    <w:rsid w:val="00552D0A"/>
    <w:rsid w:val="0055614C"/>
    <w:rsid w:val="005563E8"/>
    <w:rsid w:val="00565765"/>
    <w:rsid w:val="005660EF"/>
    <w:rsid w:val="00573AEC"/>
    <w:rsid w:val="005764BA"/>
    <w:rsid w:val="005770CF"/>
    <w:rsid w:val="00591461"/>
    <w:rsid w:val="0059599C"/>
    <w:rsid w:val="00596DB0"/>
    <w:rsid w:val="005A042F"/>
    <w:rsid w:val="005A78AF"/>
    <w:rsid w:val="005B2A2B"/>
    <w:rsid w:val="005D2D9D"/>
    <w:rsid w:val="005D6A29"/>
    <w:rsid w:val="005E01A5"/>
    <w:rsid w:val="005E6579"/>
    <w:rsid w:val="005F1244"/>
    <w:rsid w:val="005F621A"/>
    <w:rsid w:val="00601EC7"/>
    <w:rsid w:val="00604255"/>
    <w:rsid w:val="00607BA5"/>
    <w:rsid w:val="00610BC6"/>
    <w:rsid w:val="00611359"/>
    <w:rsid w:val="00626EB6"/>
    <w:rsid w:val="00630855"/>
    <w:rsid w:val="0063346B"/>
    <w:rsid w:val="00640801"/>
    <w:rsid w:val="00640EC5"/>
    <w:rsid w:val="00647235"/>
    <w:rsid w:val="00647721"/>
    <w:rsid w:val="00655D03"/>
    <w:rsid w:val="006719D0"/>
    <w:rsid w:val="00674A27"/>
    <w:rsid w:val="00675691"/>
    <w:rsid w:val="006764AC"/>
    <w:rsid w:val="00683B36"/>
    <w:rsid w:val="00683F84"/>
    <w:rsid w:val="00696FFD"/>
    <w:rsid w:val="006971F3"/>
    <w:rsid w:val="006A6A81"/>
    <w:rsid w:val="006B0EFE"/>
    <w:rsid w:val="006B30FA"/>
    <w:rsid w:val="006B42E9"/>
    <w:rsid w:val="006C162D"/>
    <w:rsid w:val="006C168A"/>
    <w:rsid w:val="006C576A"/>
    <w:rsid w:val="006D048C"/>
    <w:rsid w:val="006F2669"/>
    <w:rsid w:val="006F4EEF"/>
    <w:rsid w:val="006F7393"/>
    <w:rsid w:val="0070224F"/>
    <w:rsid w:val="00704BA2"/>
    <w:rsid w:val="007115F7"/>
    <w:rsid w:val="00716A42"/>
    <w:rsid w:val="0073168D"/>
    <w:rsid w:val="00743B8F"/>
    <w:rsid w:val="00744897"/>
    <w:rsid w:val="00744FD5"/>
    <w:rsid w:val="007460B4"/>
    <w:rsid w:val="007478A2"/>
    <w:rsid w:val="00764FBF"/>
    <w:rsid w:val="00785594"/>
    <w:rsid w:val="00785689"/>
    <w:rsid w:val="00790090"/>
    <w:rsid w:val="00792533"/>
    <w:rsid w:val="00794B6D"/>
    <w:rsid w:val="00795D43"/>
    <w:rsid w:val="0079754B"/>
    <w:rsid w:val="007A1E6D"/>
    <w:rsid w:val="007A5174"/>
    <w:rsid w:val="007A60AF"/>
    <w:rsid w:val="007A7D6B"/>
    <w:rsid w:val="007B3503"/>
    <w:rsid w:val="007C347F"/>
    <w:rsid w:val="007E3F36"/>
    <w:rsid w:val="00802ECB"/>
    <w:rsid w:val="00803F84"/>
    <w:rsid w:val="00806961"/>
    <w:rsid w:val="00806CE7"/>
    <w:rsid w:val="00807864"/>
    <w:rsid w:val="008110ED"/>
    <w:rsid w:val="00820307"/>
    <w:rsid w:val="00822CE0"/>
    <w:rsid w:val="0082646C"/>
    <w:rsid w:val="00841AB1"/>
    <w:rsid w:val="0085062F"/>
    <w:rsid w:val="00856D71"/>
    <w:rsid w:val="00861B36"/>
    <w:rsid w:val="00862A9D"/>
    <w:rsid w:val="008660EC"/>
    <w:rsid w:val="0087013C"/>
    <w:rsid w:val="00875414"/>
    <w:rsid w:val="00877A2C"/>
    <w:rsid w:val="00884F24"/>
    <w:rsid w:val="00892EDD"/>
    <w:rsid w:val="00897DF7"/>
    <w:rsid w:val="008A5738"/>
    <w:rsid w:val="008A58B9"/>
    <w:rsid w:val="008A5E8B"/>
    <w:rsid w:val="008A6FD8"/>
    <w:rsid w:val="008C1A02"/>
    <w:rsid w:val="008D4070"/>
    <w:rsid w:val="008E1290"/>
    <w:rsid w:val="008F2CAE"/>
    <w:rsid w:val="00904520"/>
    <w:rsid w:val="009075C6"/>
    <w:rsid w:val="00914173"/>
    <w:rsid w:val="00926503"/>
    <w:rsid w:val="00926504"/>
    <w:rsid w:val="009304E3"/>
    <w:rsid w:val="00932137"/>
    <w:rsid w:val="00932D5F"/>
    <w:rsid w:val="0093356F"/>
    <w:rsid w:val="009359E9"/>
    <w:rsid w:val="00935E8C"/>
    <w:rsid w:val="00946D31"/>
    <w:rsid w:val="00947C81"/>
    <w:rsid w:val="009566DF"/>
    <w:rsid w:val="00957ED6"/>
    <w:rsid w:val="009632F5"/>
    <w:rsid w:val="00974095"/>
    <w:rsid w:val="00976065"/>
    <w:rsid w:val="00990555"/>
    <w:rsid w:val="009962BC"/>
    <w:rsid w:val="009A2A41"/>
    <w:rsid w:val="009B1221"/>
    <w:rsid w:val="009B1765"/>
    <w:rsid w:val="009B315E"/>
    <w:rsid w:val="009B565F"/>
    <w:rsid w:val="009B64AC"/>
    <w:rsid w:val="009D7181"/>
    <w:rsid w:val="009D7531"/>
    <w:rsid w:val="009E2A25"/>
    <w:rsid w:val="009E69A9"/>
    <w:rsid w:val="009F619F"/>
    <w:rsid w:val="00A00341"/>
    <w:rsid w:val="00A01D6D"/>
    <w:rsid w:val="00A15732"/>
    <w:rsid w:val="00A16A1D"/>
    <w:rsid w:val="00A1710D"/>
    <w:rsid w:val="00A24567"/>
    <w:rsid w:val="00A30385"/>
    <w:rsid w:val="00A32164"/>
    <w:rsid w:val="00A34731"/>
    <w:rsid w:val="00A37FFB"/>
    <w:rsid w:val="00A45F4F"/>
    <w:rsid w:val="00A5038E"/>
    <w:rsid w:val="00A52E21"/>
    <w:rsid w:val="00A52F9A"/>
    <w:rsid w:val="00A551AC"/>
    <w:rsid w:val="00A600A9"/>
    <w:rsid w:val="00A665F4"/>
    <w:rsid w:val="00A70138"/>
    <w:rsid w:val="00A82557"/>
    <w:rsid w:val="00AA55B7"/>
    <w:rsid w:val="00AA5B5A"/>
    <w:rsid w:val="00AA5B9E"/>
    <w:rsid w:val="00AB2012"/>
    <w:rsid w:val="00AB2407"/>
    <w:rsid w:val="00AB53DF"/>
    <w:rsid w:val="00AC1D3A"/>
    <w:rsid w:val="00AC2B0C"/>
    <w:rsid w:val="00AC334D"/>
    <w:rsid w:val="00AC6739"/>
    <w:rsid w:val="00AD1EF5"/>
    <w:rsid w:val="00AD68AC"/>
    <w:rsid w:val="00AE17D3"/>
    <w:rsid w:val="00AE2C1A"/>
    <w:rsid w:val="00AE3A2D"/>
    <w:rsid w:val="00AF7F0E"/>
    <w:rsid w:val="00B07E5C"/>
    <w:rsid w:val="00B10960"/>
    <w:rsid w:val="00B1516A"/>
    <w:rsid w:val="00B17E52"/>
    <w:rsid w:val="00B33983"/>
    <w:rsid w:val="00B351FA"/>
    <w:rsid w:val="00B4065B"/>
    <w:rsid w:val="00B44AEF"/>
    <w:rsid w:val="00B55D2D"/>
    <w:rsid w:val="00B55DA4"/>
    <w:rsid w:val="00B61810"/>
    <w:rsid w:val="00B650AF"/>
    <w:rsid w:val="00B66340"/>
    <w:rsid w:val="00B66925"/>
    <w:rsid w:val="00B6697B"/>
    <w:rsid w:val="00B811F7"/>
    <w:rsid w:val="00B81CC2"/>
    <w:rsid w:val="00B91603"/>
    <w:rsid w:val="00B91A1E"/>
    <w:rsid w:val="00B9417B"/>
    <w:rsid w:val="00B95109"/>
    <w:rsid w:val="00B97DE1"/>
    <w:rsid w:val="00BA5DC6"/>
    <w:rsid w:val="00BA6196"/>
    <w:rsid w:val="00BB765F"/>
    <w:rsid w:val="00BC2B5C"/>
    <w:rsid w:val="00BC6D8C"/>
    <w:rsid w:val="00BC73AE"/>
    <w:rsid w:val="00BD165D"/>
    <w:rsid w:val="00BE0789"/>
    <w:rsid w:val="00BF207F"/>
    <w:rsid w:val="00C063BA"/>
    <w:rsid w:val="00C10335"/>
    <w:rsid w:val="00C1513D"/>
    <w:rsid w:val="00C176F1"/>
    <w:rsid w:val="00C26C24"/>
    <w:rsid w:val="00C311C2"/>
    <w:rsid w:val="00C31329"/>
    <w:rsid w:val="00C34006"/>
    <w:rsid w:val="00C404EE"/>
    <w:rsid w:val="00C40AA9"/>
    <w:rsid w:val="00C41C57"/>
    <w:rsid w:val="00C426B1"/>
    <w:rsid w:val="00C4345D"/>
    <w:rsid w:val="00C4577B"/>
    <w:rsid w:val="00C53C0B"/>
    <w:rsid w:val="00C555FA"/>
    <w:rsid w:val="00C67F1E"/>
    <w:rsid w:val="00C737FF"/>
    <w:rsid w:val="00C82B6B"/>
    <w:rsid w:val="00C82C8D"/>
    <w:rsid w:val="00C85DD1"/>
    <w:rsid w:val="00C90D6A"/>
    <w:rsid w:val="00C92318"/>
    <w:rsid w:val="00C9257D"/>
    <w:rsid w:val="00C9414B"/>
    <w:rsid w:val="00CA26A1"/>
    <w:rsid w:val="00CA383E"/>
    <w:rsid w:val="00CA6386"/>
    <w:rsid w:val="00CC1095"/>
    <w:rsid w:val="00CC72B6"/>
    <w:rsid w:val="00CD191C"/>
    <w:rsid w:val="00CE2021"/>
    <w:rsid w:val="00CE4546"/>
    <w:rsid w:val="00D0218D"/>
    <w:rsid w:val="00D03348"/>
    <w:rsid w:val="00D07F5F"/>
    <w:rsid w:val="00D17542"/>
    <w:rsid w:val="00D17B06"/>
    <w:rsid w:val="00D251CC"/>
    <w:rsid w:val="00D37608"/>
    <w:rsid w:val="00D4054D"/>
    <w:rsid w:val="00D40DA1"/>
    <w:rsid w:val="00D43517"/>
    <w:rsid w:val="00D50794"/>
    <w:rsid w:val="00D66DD2"/>
    <w:rsid w:val="00D82E8C"/>
    <w:rsid w:val="00D8395F"/>
    <w:rsid w:val="00D917E0"/>
    <w:rsid w:val="00DA2529"/>
    <w:rsid w:val="00DB130A"/>
    <w:rsid w:val="00DB3C4C"/>
    <w:rsid w:val="00DB78E1"/>
    <w:rsid w:val="00DC10A1"/>
    <w:rsid w:val="00DC4254"/>
    <w:rsid w:val="00DC655F"/>
    <w:rsid w:val="00DC7653"/>
    <w:rsid w:val="00DD53EF"/>
    <w:rsid w:val="00DD5FBA"/>
    <w:rsid w:val="00DD6183"/>
    <w:rsid w:val="00DD7EBD"/>
    <w:rsid w:val="00DF02E5"/>
    <w:rsid w:val="00DF1DFC"/>
    <w:rsid w:val="00DF62B6"/>
    <w:rsid w:val="00DF6B8E"/>
    <w:rsid w:val="00E0343B"/>
    <w:rsid w:val="00E048FA"/>
    <w:rsid w:val="00E04CAF"/>
    <w:rsid w:val="00E05BBA"/>
    <w:rsid w:val="00E05F5C"/>
    <w:rsid w:val="00E06D96"/>
    <w:rsid w:val="00E07225"/>
    <w:rsid w:val="00E10F55"/>
    <w:rsid w:val="00E135E9"/>
    <w:rsid w:val="00E20185"/>
    <w:rsid w:val="00E24225"/>
    <w:rsid w:val="00E30045"/>
    <w:rsid w:val="00E375BB"/>
    <w:rsid w:val="00E52B76"/>
    <w:rsid w:val="00E5409F"/>
    <w:rsid w:val="00E67664"/>
    <w:rsid w:val="00E74342"/>
    <w:rsid w:val="00E81E2E"/>
    <w:rsid w:val="00E832B2"/>
    <w:rsid w:val="00E85FF4"/>
    <w:rsid w:val="00EA5753"/>
    <w:rsid w:val="00EA64C4"/>
    <w:rsid w:val="00EA71AE"/>
    <w:rsid w:val="00EB0D2E"/>
    <w:rsid w:val="00EB46AC"/>
    <w:rsid w:val="00EC1136"/>
    <w:rsid w:val="00EC39C0"/>
    <w:rsid w:val="00ED6F01"/>
    <w:rsid w:val="00ED73F7"/>
    <w:rsid w:val="00EE2094"/>
    <w:rsid w:val="00EF1A73"/>
    <w:rsid w:val="00EF221C"/>
    <w:rsid w:val="00EF50EB"/>
    <w:rsid w:val="00F021FA"/>
    <w:rsid w:val="00F11148"/>
    <w:rsid w:val="00F12672"/>
    <w:rsid w:val="00F14AB7"/>
    <w:rsid w:val="00F16F60"/>
    <w:rsid w:val="00F210C6"/>
    <w:rsid w:val="00F22858"/>
    <w:rsid w:val="00F26F76"/>
    <w:rsid w:val="00F61DDE"/>
    <w:rsid w:val="00F62E97"/>
    <w:rsid w:val="00F64209"/>
    <w:rsid w:val="00F74F18"/>
    <w:rsid w:val="00F901F4"/>
    <w:rsid w:val="00F93BF5"/>
    <w:rsid w:val="00F94AF8"/>
    <w:rsid w:val="00F95ABE"/>
    <w:rsid w:val="00FA184D"/>
    <w:rsid w:val="00FA3A24"/>
    <w:rsid w:val="00FA4B8B"/>
    <w:rsid w:val="00FC0F14"/>
    <w:rsid w:val="00FC5375"/>
    <w:rsid w:val="00FC570E"/>
    <w:rsid w:val="00FD0888"/>
    <w:rsid w:val="00FD364D"/>
    <w:rsid w:val="00FD59AF"/>
    <w:rsid w:val="00FE1AE6"/>
    <w:rsid w:val="00FF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basedOn w:val="DefaultParagraphFont"/>
    <w:uiPriority w:val="99"/>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473EF9"/>
    <w:pPr>
      <w:widowControl/>
      <w:tabs>
        <w:tab w:val="center" w:pos="4680"/>
        <w:tab w:val="right" w:pos="9360"/>
      </w:tabs>
      <w:spacing w:before="40"/>
      <w:ind w:firstLine="1080"/>
    </w:pPr>
    <w:rPr>
      <w:rFonts w:asciiTheme="minorHAnsi" w:hAnsiTheme="minorHAnsi" w:cs="News Gothic MT"/>
      <w:b/>
      <w:bCs/>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Heading1Char">
    <w:name w:val="Heading 1 Char"/>
    <w:link w:val="Heading1"/>
    <w:locked/>
    <w:rsid w:val="00B95109"/>
    <w:rPr>
      <w:rFonts w:ascii="Times New Roman Bold" w:hAnsi="Times New Roman Bold"/>
      <w:b/>
      <w:caps/>
      <w:snapToGrid w:val="0"/>
      <w:kern w:val="28"/>
      <w:sz w:val="22"/>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uiPriority w:val="99"/>
    <w:locked/>
    <w:rsid w:val="00B95109"/>
  </w:style>
  <w:style w:type="character" w:customStyle="1" w:styleId="ParaNumCharChar1">
    <w:name w:val="ParaNum Char Char1"/>
    <w:link w:val="ParaNum"/>
    <w:uiPriority w:val="99"/>
    <w:locked/>
    <w:rsid w:val="00B95109"/>
    <w:rPr>
      <w:snapToGrid w:val="0"/>
      <w:kern w:val="28"/>
      <w:sz w:val="22"/>
    </w:rPr>
  </w:style>
  <w:style w:type="paragraph" w:customStyle="1" w:styleId="Paranum0">
    <w:name w:val="Paranum"/>
    <w:basedOn w:val="Normal"/>
    <w:next w:val="CommentText"/>
    <w:rsid w:val="00914173"/>
    <w:pPr>
      <w:tabs>
        <w:tab w:val="num" w:pos="1080"/>
      </w:tabs>
      <w:autoSpaceDE w:val="0"/>
      <w:autoSpaceDN w:val="0"/>
      <w:adjustRightInd w:val="0"/>
      <w:spacing w:after="220"/>
      <w:ind w:firstLine="720"/>
      <w:jc w:val="both"/>
    </w:pPr>
    <w:rPr>
      <w:snapToGrid/>
      <w:kern w:val="0"/>
      <w:szCs w:val="22"/>
    </w:rPr>
  </w:style>
  <w:style w:type="character" w:customStyle="1" w:styleId="DeltaViewInsertion">
    <w:name w:val="DeltaView Insertion"/>
    <w:rsid w:val="00914173"/>
    <w:rPr>
      <w:color w:val="0000FF"/>
      <w:spacing w:val="0"/>
      <w:u w:val="double"/>
    </w:rPr>
  </w:style>
  <w:style w:type="paragraph" w:styleId="CommentText">
    <w:name w:val="annotation text"/>
    <w:basedOn w:val="Normal"/>
    <w:link w:val="CommentTextChar"/>
    <w:uiPriority w:val="99"/>
    <w:unhideWhenUsed/>
    <w:rsid w:val="00914173"/>
    <w:rPr>
      <w:sz w:val="20"/>
    </w:rPr>
  </w:style>
  <w:style w:type="character" w:customStyle="1" w:styleId="CommentTextChar">
    <w:name w:val="Comment Text Char"/>
    <w:basedOn w:val="DefaultParagraphFont"/>
    <w:link w:val="CommentText"/>
    <w:uiPriority w:val="99"/>
    <w:rsid w:val="00914173"/>
    <w:rPr>
      <w:snapToGrid w:val="0"/>
      <w:kern w:val="28"/>
    </w:rPr>
  </w:style>
  <w:style w:type="character" w:customStyle="1" w:styleId="ParaNumChar">
    <w:name w:val="ParaNum Char"/>
    <w:uiPriority w:val="99"/>
    <w:locked/>
    <w:rsid w:val="00875414"/>
    <w:rPr>
      <w:snapToGrid w:val="0"/>
      <w:kern w:val="28"/>
      <w:sz w:val="22"/>
    </w:rPr>
  </w:style>
  <w:style w:type="character" w:styleId="CommentReference">
    <w:name w:val="annotation reference"/>
    <w:uiPriority w:val="99"/>
    <w:rsid w:val="00875414"/>
    <w:rPr>
      <w:spacing w:val="0"/>
      <w:sz w:val="16"/>
      <w:szCs w:val="16"/>
    </w:rPr>
  </w:style>
  <w:style w:type="paragraph" w:styleId="IntenseQuote">
    <w:name w:val="Intense Quote"/>
    <w:basedOn w:val="Normal"/>
    <w:next w:val="Normal"/>
    <w:link w:val="IntenseQuoteChar"/>
    <w:uiPriority w:val="99"/>
    <w:qFormat/>
    <w:rsid w:val="00875414"/>
    <w:pPr>
      <w:pBdr>
        <w:bottom w:val="single" w:sz="4" w:space="4" w:color="4F81BD"/>
      </w:pBdr>
      <w:spacing w:before="200" w:after="280"/>
      <w:ind w:left="936" w:right="936"/>
    </w:pPr>
    <w:rPr>
      <w:b/>
      <w:bCs/>
      <w:i/>
      <w:iCs/>
      <w:snapToGrid/>
      <w:color w:val="4F81BD"/>
      <w:lang w:eastAsia="ja-JP"/>
    </w:rPr>
  </w:style>
  <w:style w:type="character" w:customStyle="1" w:styleId="IntenseQuoteChar">
    <w:name w:val="Intense Quote Char"/>
    <w:basedOn w:val="DefaultParagraphFont"/>
    <w:link w:val="IntenseQuote"/>
    <w:uiPriority w:val="99"/>
    <w:rsid w:val="00875414"/>
    <w:rPr>
      <w:b/>
      <w:bCs/>
      <w:i/>
      <w:iCs/>
      <w:color w:val="4F81BD"/>
      <w:kern w:val="28"/>
      <w:sz w:val="22"/>
      <w:lang w:eastAsia="ja-JP"/>
    </w:rPr>
  </w:style>
  <w:style w:type="paragraph" w:styleId="BalloonText">
    <w:name w:val="Balloon Text"/>
    <w:basedOn w:val="Normal"/>
    <w:link w:val="BalloonTextChar"/>
    <w:uiPriority w:val="99"/>
    <w:semiHidden/>
    <w:unhideWhenUsed/>
    <w:rsid w:val="00875414"/>
    <w:rPr>
      <w:rFonts w:ascii="Tahoma" w:hAnsi="Tahoma" w:cs="Tahoma"/>
      <w:sz w:val="16"/>
      <w:szCs w:val="16"/>
    </w:rPr>
  </w:style>
  <w:style w:type="character" w:customStyle="1" w:styleId="BalloonTextChar">
    <w:name w:val="Balloon Text Char"/>
    <w:basedOn w:val="DefaultParagraphFont"/>
    <w:link w:val="BalloonText"/>
    <w:uiPriority w:val="99"/>
    <w:semiHidden/>
    <w:rsid w:val="00875414"/>
    <w:rPr>
      <w:rFonts w:ascii="Tahoma" w:hAnsi="Tahoma" w:cs="Tahoma"/>
      <w:snapToGrid w:val="0"/>
      <w:kern w:val="28"/>
      <w:sz w:val="16"/>
      <w:szCs w:val="16"/>
    </w:rPr>
  </w:style>
  <w:style w:type="paragraph" w:styleId="CommentSubject">
    <w:name w:val="annotation subject"/>
    <w:basedOn w:val="CommentText"/>
    <w:next w:val="CommentText"/>
    <w:link w:val="CommentSubjectChar"/>
    <w:uiPriority w:val="99"/>
    <w:semiHidden/>
    <w:unhideWhenUsed/>
    <w:rsid w:val="00EB46AC"/>
    <w:rPr>
      <w:b/>
      <w:bCs/>
    </w:rPr>
  </w:style>
  <w:style w:type="character" w:customStyle="1" w:styleId="CommentSubjectChar">
    <w:name w:val="Comment Subject Char"/>
    <w:basedOn w:val="CommentTextChar"/>
    <w:link w:val="CommentSubject"/>
    <w:uiPriority w:val="99"/>
    <w:semiHidden/>
    <w:rsid w:val="00EB46AC"/>
    <w:rPr>
      <w:b/>
      <w:bCs/>
      <w:snapToGrid w:val="0"/>
      <w:kern w:val="28"/>
    </w:rPr>
  </w:style>
  <w:style w:type="table" w:styleId="TableGrid">
    <w:name w:val="Table Grid"/>
    <w:basedOn w:val="TableNormal"/>
    <w:uiPriority w:val="59"/>
    <w:rsid w:val="00D0334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66340"/>
    <w:rPr>
      <w:snapToGrid w:val="0"/>
      <w:kern w:val="28"/>
      <w:sz w:val="22"/>
    </w:rPr>
  </w:style>
  <w:style w:type="character" w:styleId="FollowedHyperlink">
    <w:name w:val="FollowedHyperlink"/>
    <w:basedOn w:val="DefaultParagraphFont"/>
    <w:uiPriority w:val="99"/>
    <w:semiHidden/>
    <w:unhideWhenUsed/>
    <w:rsid w:val="00084FD9"/>
    <w:rPr>
      <w:color w:val="800080" w:themeColor="followedHyperlink"/>
      <w:u w:val="single"/>
    </w:rPr>
  </w:style>
  <w:style w:type="character" w:customStyle="1" w:styleId="apple-style-span">
    <w:name w:val="apple-style-span"/>
    <w:basedOn w:val="DefaultParagraphFont"/>
    <w:rsid w:val="00DF6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basedOn w:val="DefaultParagraphFont"/>
    <w:uiPriority w:val="99"/>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473EF9"/>
    <w:pPr>
      <w:widowControl/>
      <w:tabs>
        <w:tab w:val="center" w:pos="4680"/>
        <w:tab w:val="right" w:pos="9360"/>
      </w:tabs>
      <w:spacing w:before="40"/>
      <w:ind w:firstLine="1080"/>
    </w:pPr>
    <w:rPr>
      <w:rFonts w:asciiTheme="minorHAnsi" w:hAnsiTheme="minorHAnsi" w:cs="News Gothic MT"/>
      <w:b/>
      <w:bCs/>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Heading1Char">
    <w:name w:val="Heading 1 Char"/>
    <w:link w:val="Heading1"/>
    <w:locked/>
    <w:rsid w:val="00B95109"/>
    <w:rPr>
      <w:rFonts w:ascii="Times New Roman Bold" w:hAnsi="Times New Roman Bold"/>
      <w:b/>
      <w:caps/>
      <w:snapToGrid w:val="0"/>
      <w:kern w:val="28"/>
      <w:sz w:val="22"/>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uiPriority w:val="99"/>
    <w:locked/>
    <w:rsid w:val="00B95109"/>
  </w:style>
  <w:style w:type="character" w:customStyle="1" w:styleId="ParaNumCharChar1">
    <w:name w:val="ParaNum Char Char1"/>
    <w:link w:val="ParaNum"/>
    <w:uiPriority w:val="99"/>
    <w:locked/>
    <w:rsid w:val="00B95109"/>
    <w:rPr>
      <w:snapToGrid w:val="0"/>
      <w:kern w:val="28"/>
      <w:sz w:val="22"/>
    </w:rPr>
  </w:style>
  <w:style w:type="paragraph" w:customStyle="1" w:styleId="Paranum0">
    <w:name w:val="Paranum"/>
    <w:basedOn w:val="Normal"/>
    <w:next w:val="CommentText"/>
    <w:rsid w:val="00914173"/>
    <w:pPr>
      <w:tabs>
        <w:tab w:val="num" w:pos="1080"/>
      </w:tabs>
      <w:autoSpaceDE w:val="0"/>
      <w:autoSpaceDN w:val="0"/>
      <w:adjustRightInd w:val="0"/>
      <w:spacing w:after="220"/>
      <w:ind w:firstLine="720"/>
      <w:jc w:val="both"/>
    </w:pPr>
    <w:rPr>
      <w:snapToGrid/>
      <w:kern w:val="0"/>
      <w:szCs w:val="22"/>
    </w:rPr>
  </w:style>
  <w:style w:type="character" w:customStyle="1" w:styleId="DeltaViewInsertion">
    <w:name w:val="DeltaView Insertion"/>
    <w:rsid w:val="00914173"/>
    <w:rPr>
      <w:color w:val="0000FF"/>
      <w:spacing w:val="0"/>
      <w:u w:val="double"/>
    </w:rPr>
  </w:style>
  <w:style w:type="paragraph" w:styleId="CommentText">
    <w:name w:val="annotation text"/>
    <w:basedOn w:val="Normal"/>
    <w:link w:val="CommentTextChar"/>
    <w:uiPriority w:val="99"/>
    <w:unhideWhenUsed/>
    <w:rsid w:val="00914173"/>
    <w:rPr>
      <w:sz w:val="20"/>
    </w:rPr>
  </w:style>
  <w:style w:type="character" w:customStyle="1" w:styleId="CommentTextChar">
    <w:name w:val="Comment Text Char"/>
    <w:basedOn w:val="DefaultParagraphFont"/>
    <w:link w:val="CommentText"/>
    <w:uiPriority w:val="99"/>
    <w:rsid w:val="00914173"/>
    <w:rPr>
      <w:snapToGrid w:val="0"/>
      <w:kern w:val="28"/>
    </w:rPr>
  </w:style>
  <w:style w:type="character" w:customStyle="1" w:styleId="ParaNumChar">
    <w:name w:val="ParaNum Char"/>
    <w:uiPriority w:val="99"/>
    <w:locked/>
    <w:rsid w:val="00875414"/>
    <w:rPr>
      <w:snapToGrid w:val="0"/>
      <w:kern w:val="28"/>
      <w:sz w:val="22"/>
    </w:rPr>
  </w:style>
  <w:style w:type="character" w:styleId="CommentReference">
    <w:name w:val="annotation reference"/>
    <w:uiPriority w:val="99"/>
    <w:rsid w:val="00875414"/>
    <w:rPr>
      <w:spacing w:val="0"/>
      <w:sz w:val="16"/>
      <w:szCs w:val="16"/>
    </w:rPr>
  </w:style>
  <w:style w:type="paragraph" w:styleId="IntenseQuote">
    <w:name w:val="Intense Quote"/>
    <w:basedOn w:val="Normal"/>
    <w:next w:val="Normal"/>
    <w:link w:val="IntenseQuoteChar"/>
    <w:uiPriority w:val="99"/>
    <w:qFormat/>
    <w:rsid w:val="00875414"/>
    <w:pPr>
      <w:pBdr>
        <w:bottom w:val="single" w:sz="4" w:space="4" w:color="4F81BD"/>
      </w:pBdr>
      <w:spacing w:before="200" w:after="280"/>
      <w:ind w:left="936" w:right="936"/>
    </w:pPr>
    <w:rPr>
      <w:b/>
      <w:bCs/>
      <w:i/>
      <w:iCs/>
      <w:snapToGrid/>
      <w:color w:val="4F81BD"/>
      <w:lang w:eastAsia="ja-JP"/>
    </w:rPr>
  </w:style>
  <w:style w:type="character" w:customStyle="1" w:styleId="IntenseQuoteChar">
    <w:name w:val="Intense Quote Char"/>
    <w:basedOn w:val="DefaultParagraphFont"/>
    <w:link w:val="IntenseQuote"/>
    <w:uiPriority w:val="99"/>
    <w:rsid w:val="00875414"/>
    <w:rPr>
      <w:b/>
      <w:bCs/>
      <w:i/>
      <w:iCs/>
      <w:color w:val="4F81BD"/>
      <w:kern w:val="28"/>
      <w:sz w:val="22"/>
      <w:lang w:eastAsia="ja-JP"/>
    </w:rPr>
  </w:style>
  <w:style w:type="paragraph" w:styleId="BalloonText">
    <w:name w:val="Balloon Text"/>
    <w:basedOn w:val="Normal"/>
    <w:link w:val="BalloonTextChar"/>
    <w:uiPriority w:val="99"/>
    <w:semiHidden/>
    <w:unhideWhenUsed/>
    <w:rsid w:val="00875414"/>
    <w:rPr>
      <w:rFonts w:ascii="Tahoma" w:hAnsi="Tahoma" w:cs="Tahoma"/>
      <w:sz w:val="16"/>
      <w:szCs w:val="16"/>
    </w:rPr>
  </w:style>
  <w:style w:type="character" w:customStyle="1" w:styleId="BalloonTextChar">
    <w:name w:val="Balloon Text Char"/>
    <w:basedOn w:val="DefaultParagraphFont"/>
    <w:link w:val="BalloonText"/>
    <w:uiPriority w:val="99"/>
    <w:semiHidden/>
    <w:rsid w:val="00875414"/>
    <w:rPr>
      <w:rFonts w:ascii="Tahoma" w:hAnsi="Tahoma" w:cs="Tahoma"/>
      <w:snapToGrid w:val="0"/>
      <w:kern w:val="28"/>
      <w:sz w:val="16"/>
      <w:szCs w:val="16"/>
    </w:rPr>
  </w:style>
  <w:style w:type="paragraph" w:styleId="CommentSubject">
    <w:name w:val="annotation subject"/>
    <w:basedOn w:val="CommentText"/>
    <w:next w:val="CommentText"/>
    <w:link w:val="CommentSubjectChar"/>
    <w:uiPriority w:val="99"/>
    <w:semiHidden/>
    <w:unhideWhenUsed/>
    <w:rsid w:val="00EB46AC"/>
    <w:rPr>
      <w:b/>
      <w:bCs/>
    </w:rPr>
  </w:style>
  <w:style w:type="character" w:customStyle="1" w:styleId="CommentSubjectChar">
    <w:name w:val="Comment Subject Char"/>
    <w:basedOn w:val="CommentTextChar"/>
    <w:link w:val="CommentSubject"/>
    <w:uiPriority w:val="99"/>
    <w:semiHidden/>
    <w:rsid w:val="00EB46AC"/>
    <w:rPr>
      <w:b/>
      <w:bCs/>
      <w:snapToGrid w:val="0"/>
      <w:kern w:val="28"/>
    </w:rPr>
  </w:style>
  <w:style w:type="table" w:styleId="TableGrid">
    <w:name w:val="Table Grid"/>
    <w:basedOn w:val="TableNormal"/>
    <w:uiPriority w:val="59"/>
    <w:rsid w:val="00D0334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66340"/>
    <w:rPr>
      <w:snapToGrid w:val="0"/>
      <w:kern w:val="28"/>
      <w:sz w:val="22"/>
    </w:rPr>
  </w:style>
  <w:style w:type="character" w:styleId="FollowedHyperlink">
    <w:name w:val="FollowedHyperlink"/>
    <w:basedOn w:val="DefaultParagraphFont"/>
    <w:uiPriority w:val="99"/>
    <w:semiHidden/>
    <w:unhideWhenUsed/>
    <w:rsid w:val="00084FD9"/>
    <w:rPr>
      <w:color w:val="800080" w:themeColor="followedHyperlink"/>
      <w:u w:val="single"/>
    </w:rPr>
  </w:style>
  <w:style w:type="character" w:customStyle="1" w:styleId="apple-style-span">
    <w:name w:val="apple-style-span"/>
    <w:basedOn w:val="DefaultParagraphFont"/>
    <w:rsid w:val="00DF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3993</Words>
  <Characters>22453</Characters>
  <Application>Microsoft Office Word</Application>
  <DocSecurity>0</DocSecurity>
  <Lines>321</Lines>
  <Paragraphs>73</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Manager/>
  <Company/>
  <LinksUpToDate>false</LinksUpToDate>
  <CharactersWithSpaces>26536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2014-10-15T20:55:00Z</cp:lastPrinted>
  <dcterms:created xsi:type="dcterms:W3CDTF">2014-10-16T15:57:00Z</dcterms:created>
  <dcterms:modified xsi:type="dcterms:W3CDTF">2014-10-16T15:57:00Z</dcterms:modified>
  <cp:category> </cp:category>
  <cp:contentStatus> </cp:contentStatus>
</cp:coreProperties>
</file>