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264FE1" w:rsidP="007115F7">
            <w:pPr>
              <w:tabs>
                <w:tab w:val="center" w:pos="4680"/>
              </w:tabs>
              <w:suppressAutoHyphens/>
              <w:rPr>
                <w:spacing w:val="-2"/>
              </w:rPr>
            </w:pPr>
            <w:r>
              <w:rPr>
                <w:spacing w:val="-2"/>
              </w:rPr>
              <w:t>Amendment of Part 15</w:t>
            </w:r>
            <w:r w:rsidR="002D0DC8">
              <w:rPr>
                <w:spacing w:val="-2"/>
              </w:rPr>
              <w:t xml:space="preserve"> Subpart D</w:t>
            </w:r>
            <w:r>
              <w:rPr>
                <w:spacing w:val="-2"/>
              </w:rPr>
              <w:t xml:space="preserve"> of the Commission’s Rules Regarding Unlicensed Personal Communications Service Devices in the 1920-1930 MHz Band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F56925"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tc>
      </w:tr>
    </w:tbl>
    <w:p w:rsidR="004C2EE3" w:rsidRDefault="004C2EE3" w:rsidP="0070224F"/>
    <w:p w:rsidR="00841AB1" w:rsidRDefault="00264FE1"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B798B">
        <w:rPr>
          <w:b/>
          <w:spacing w:val="-2"/>
        </w:rPr>
        <w:t xml:space="preserve">October </w:t>
      </w:r>
      <w:r w:rsidR="00C8433B">
        <w:rPr>
          <w:b/>
          <w:spacing w:val="-2"/>
        </w:rPr>
        <w:t>20</w:t>
      </w:r>
      <w:r w:rsidR="00C24A03">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B798B">
        <w:rPr>
          <w:b/>
          <w:spacing w:val="-2"/>
        </w:rPr>
        <w:t xml:space="preserve">October </w:t>
      </w:r>
      <w:r w:rsidR="00C8433B">
        <w:rPr>
          <w:b/>
          <w:spacing w:val="-2"/>
        </w:rPr>
        <w:t>20</w:t>
      </w:r>
      <w:r w:rsidR="00C24A03">
        <w:rPr>
          <w:b/>
          <w:spacing w:val="-2"/>
        </w:rPr>
        <w:t>, 2014</w:t>
      </w:r>
    </w:p>
    <w:p w:rsidR="00822CE0" w:rsidRDefault="00822CE0"/>
    <w:p w:rsidR="004C2EE3" w:rsidRDefault="004C2EE3">
      <w:pPr>
        <w:rPr>
          <w:spacing w:val="-2"/>
        </w:rPr>
      </w:pPr>
      <w:r>
        <w:t xml:space="preserve">By </w:t>
      </w:r>
      <w:r w:rsidR="004E4A22">
        <w:t>the</w:t>
      </w:r>
      <w:r w:rsidR="00A05EB7">
        <w:t xml:space="preserve"> Chief, Office of Engineering and Technology</w:t>
      </w:r>
      <w:r>
        <w:rPr>
          <w:spacing w:val="-2"/>
        </w:rPr>
        <w:t>:</w:t>
      </w:r>
    </w:p>
    <w:p w:rsidR="00822CE0" w:rsidRDefault="00822CE0">
      <w:pPr>
        <w:rPr>
          <w:spacing w:val="-2"/>
        </w:rPr>
      </w:pPr>
    </w:p>
    <w:p w:rsidR="00412FC5" w:rsidRDefault="00412FC5" w:rsidP="00412FC5"/>
    <w:p w:rsidR="00C553EB" w:rsidRDefault="00A05EB7" w:rsidP="003B7627">
      <w:pPr>
        <w:pStyle w:val="ParaNum"/>
        <w:spacing w:after="220"/>
      </w:pPr>
      <w:r>
        <w:t xml:space="preserve">By </w:t>
      </w:r>
      <w:r w:rsidR="0089023B">
        <w:t xml:space="preserve">this Order, </w:t>
      </w:r>
      <w:r w:rsidR="00C553EB">
        <w:t xml:space="preserve">and </w:t>
      </w:r>
      <w:r w:rsidR="007D3846">
        <w:t xml:space="preserve">pursuant to the authority delegated by the Commission, </w:t>
      </w:r>
      <w:r w:rsidR="0089023B">
        <w:t xml:space="preserve">we </w:t>
      </w:r>
      <w:r w:rsidR="00C553EB">
        <w:t>revise</w:t>
      </w:r>
      <w:r w:rsidR="00F56925">
        <w:t xml:space="preserve"> Part</w:t>
      </w:r>
      <w:r w:rsidR="00531C52">
        <w:t> </w:t>
      </w:r>
      <w:r w:rsidR="00F56925">
        <w:t xml:space="preserve">15 Subpart D of the Commission’s rules </w:t>
      </w:r>
      <w:r w:rsidR="00B22B40">
        <w:t xml:space="preserve">to remove </w:t>
      </w:r>
      <w:r w:rsidR="006D4397">
        <w:t xml:space="preserve">and reserve </w:t>
      </w:r>
      <w:r w:rsidR="00F56925">
        <w:t>Section</w:t>
      </w:r>
      <w:r w:rsidR="008A2072">
        <w:t> </w:t>
      </w:r>
      <w:r w:rsidR="00F56925">
        <w:t>15.307.</w:t>
      </w:r>
      <w:r w:rsidR="00433455">
        <w:rPr>
          <w:rStyle w:val="FootnoteReference"/>
        </w:rPr>
        <w:footnoteReference w:id="2"/>
      </w:r>
      <w:r w:rsidR="00187173">
        <w:t xml:space="preserve">  </w:t>
      </w:r>
      <w:r w:rsidR="00C553EB">
        <w:t>The practical effect of this decision is that applicants for certification of Unlicensed Personal Communications Service (UPCS) device</w:t>
      </w:r>
      <w:r w:rsidR="006A0B74">
        <w:t xml:space="preserve">s will no longer be required to be members of </w:t>
      </w:r>
      <w:r w:rsidR="00C553EB">
        <w:t>UTAM</w:t>
      </w:r>
      <w:r w:rsidR="006A0B74">
        <w:t>, Inc. (UTAM)</w:t>
      </w:r>
      <w:r w:rsidR="00C553EB">
        <w:t>.</w:t>
      </w:r>
      <w:r w:rsidR="00C553EB">
        <w:rPr>
          <w:rStyle w:val="FootnoteReference"/>
        </w:rPr>
        <w:footnoteReference w:id="3"/>
      </w:r>
    </w:p>
    <w:p w:rsidR="00C553EB" w:rsidRDefault="00C553EB" w:rsidP="00537426">
      <w:pPr>
        <w:pStyle w:val="ParaNum"/>
        <w:spacing w:after="220"/>
      </w:pPr>
      <w:r>
        <w:t xml:space="preserve">Section 15.307 </w:t>
      </w:r>
      <w:r w:rsidR="000E3344">
        <w:t>has served</w:t>
      </w:r>
      <w:r w:rsidR="0030603C">
        <w:t>, along with other Commission actions,</w:t>
      </w:r>
      <w:r>
        <w:t xml:space="preserve"> to ensure </w:t>
      </w:r>
      <w:r w:rsidR="001E08AF">
        <w:t xml:space="preserve">that UTAM is reimbursed for the costs it incurred </w:t>
      </w:r>
      <w:r>
        <w:t xml:space="preserve">in clearing the 1910-1930 MHz band of incumbent microwave licensees.  In a letter submitted to the Commission, UTAM indicated that </w:t>
      </w:r>
      <w:r w:rsidR="001E08AF">
        <w:t>this objective has been met.</w:t>
      </w:r>
      <w:r w:rsidR="001E08AF" w:rsidRPr="00462DD4">
        <w:rPr>
          <w:rStyle w:val="FootnoteReference"/>
          <w:sz w:val="24"/>
          <w:szCs w:val="24"/>
        </w:rPr>
        <w:footnoteReference w:id="4"/>
      </w:r>
      <w:r w:rsidR="001E08AF">
        <w:t xml:space="preserve">  </w:t>
      </w:r>
      <w:r w:rsidR="00244D02">
        <w:t>We agree, and conclude that</w:t>
      </w:r>
      <w:r w:rsidR="001E08AF">
        <w:t xml:space="preserve"> the rule no longer serves its intended purpose.  Moreover, because UTAM’s board of directors has proposed </w:t>
      </w:r>
      <w:r w:rsidR="00435D38">
        <w:t xml:space="preserve">to its membership </w:t>
      </w:r>
      <w:r w:rsidR="001E08AF">
        <w:t xml:space="preserve">a plan of dissolution </w:t>
      </w:r>
      <w:r w:rsidR="00435D38">
        <w:t xml:space="preserve">and </w:t>
      </w:r>
      <w:r w:rsidR="001E08AF">
        <w:t>cessation of all corporate activities,</w:t>
      </w:r>
      <w:r w:rsidR="000E3344">
        <w:rPr>
          <w:rStyle w:val="FootnoteReference"/>
        </w:rPr>
        <w:footnoteReference w:id="5"/>
      </w:r>
      <w:r w:rsidR="001E08AF">
        <w:t xml:space="preserve"> </w:t>
      </w:r>
      <w:r w:rsidR="00435D38">
        <w:t xml:space="preserve">we anticipate that </w:t>
      </w:r>
      <w:r w:rsidR="001E08AF">
        <w:t xml:space="preserve">it will soon become impossible for UPCS </w:t>
      </w:r>
      <w:r w:rsidR="00EE3421">
        <w:t>device manufacturers</w:t>
      </w:r>
      <w:r w:rsidR="001E08AF">
        <w:t xml:space="preserve"> to satisfy Section 15.307’s membership requirement.  We briefly describe the history of the band, </w:t>
      </w:r>
      <w:r w:rsidR="008849B1">
        <w:t xml:space="preserve">UTAM, </w:t>
      </w:r>
      <w:r w:rsidR="001E08AF">
        <w:t xml:space="preserve">and the rule </w:t>
      </w:r>
      <w:r w:rsidR="0030603C">
        <w:t xml:space="preserve">section </w:t>
      </w:r>
      <w:r w:rsidR="001E08AF">
        <w:t xml:space="preserve">below.  </w:t>
      </w:r>
    </w:p>
    <w:p w:rsidR="0066009A" w:rsidRDefault="004F279F" w:rsidP="00537426">
      <w:pPr>
        <w:pStyle w:val="ParaNum"/>
        <w:spacing w:after="220"/>
      </w:pPr>
      <w:r>
        <w:t>I</w:t>
      </w:r>
      <w:r w:rsidRPr="002F038B">
        <w:t>n 1993</w:t>
      </w:r>
      <w:r w:rsidRPr="0008741A">
        <w:t xml:space="preserve">, the Commission reallocated the 1910-1930 MHz band from the Private Operational Fixed Microwave Service (POFS) </w:t>
      </w:r>
      <w:r w:rsidRPr="008D23F4">
        <w:t>to UPCS use.</w:t>
      </w:r>
      <w:r w:rsidRPr="002F038B">
        <w:rPr>
          <w:rStyle w:val="FootnoteReference"/>
          <w:sz w:val="24"/>
          <w:szCs w:val="24"/>
        </w:rPr>
        <w:footnoteReference w:id="6"/>
      </w:r>
      <w:r w:rsidRPr="00381633">
        <w:t xml:space="preserve">  As part of this reallocation, the Commission designated UTAM to manage the transition of the 1910-1930 MHz band from POFS to UPCS use.</w:t>
      </w:r>
      <w:r w:rsidRPr="00381633">
        <w:rPr>
          <w:rStyle w:val="FootnoteReference"/>
          <w:sz w:val="24"/>
          <w:szCs w:val="24"/>
        </w:rPr>
        <w:footnoteReference w:id="7"/>
      </w:r>
      <w:r w:rsidR="0066009A">
        <w:t xml:space="preserve">  </w:t>
      </w:r>
      <w:r w:rsidR="0066009A" w:rsidRPr="002F038B">
        <w:t xml:space="preserve">Under the </w:t>
      </w:r>
      <w:r w:rsidR="0066009A" w:rsidRPr="002F038B">
        <w:lastRenderedPageBreak/>
        <w:t>relocation funding plan approved by the Commission, UTAM</w:t>
      </w:r>
      <w:r w:rsidR="007A452B">
        <w:t xml:space="preserve"> would </w:t>
      </w:r>
      <w:r w:rsidR="0066009A" w:rsidRPr="0008741A">
        <w:t>p</w:t>
      </w:r>
      <w:r w:rsidR="007A452B">
        <w:t>ay</w:t>
      </w:r>
      <w:r w:rsidR="0066009A" w:rsidRPr="0008741A">
        <w:t xml:space="preserve"> to relocate or agree to share the</w:t>
      </w:r>
      <w:r w:rsidR="0066009A">
        <w:t xml:space="preserve"> </w:t>
      </w:r>
      <w:r w:rsidR="0066009A" w:rsidRPr="0008741A">
        <w:t xml:space="preserve">costs to relocate incumbent services in the band, </w:t>
      </w:r>
      <w:r w:rsidR="007A452B">
        <w:t xml:space="preserve">and </w:t>
      </w:r>
      <w:r w:rsidR="007A452B" w:rsidRPr="002F038B">
        <w:t xml:space="preserve">future UPCS device </w:t>
      </w:r>
      <w:r w:rsidR="007A452B">
        <w:t>manufacture</w:t>
      </w:r>
      <w:r w:rsidR="00537EFA">
        <w:t>r</w:t>
      </w:r>
      <w:r w:rsidR="007A452B">
        <w:t>s would reimburse</w:t>
      </w:r>
      <w:r w:rsidR="0066009A" w:rsidRPr="0008741A">
        <w:t xml:space="preserve"> </w:t>
      </w:r>
      <w:r w:rsidR="0066009A">
        <w:t>UTAM</w:t>
      </w:r>
      <w:r w:rsidR="0066009A" w:rsidRPr="0008741A">
        <w:t xml:space="preserve"> for the</w:t>
      </w:r>
      <w:r w:rsidR="0066009A">
        <w:t xml:space="preserve">ir share of </w:t>
      </w:r>
      <w:r w:rsidR="007A452B">
        <w:t>the</w:t>
      </w:r>
      <w:r w:rsidR="0066009A">
        <w:t xml:space="preserve"> incurred costs.</w:t>
      </w:r>
      <w:r w:rsidR="0066009A">
        <w:rPr>
          <w:rStyle w:val="FootnoteReference"/>
          <w:sz w:val="24"/>
          <w:szCs w:val="24"/>
        </w:rPr>
        <w:footnoteReference w:id="8"/>
      </w:r>
      <w:r w:rsidR="0066009A">
        <w:t xml:space="preserve">  The UPCS device manufacture</w:t>
      </w:r>
      <w:r w:rsidR="00537EFA">
        <w:t>r</w:t>
      </w:r>
      <w:r w:rsidR="0066009A">
        <w:t xml:space="preserve">s </w:t>
      </w:r>
      <w:r w:rsidR="00435D38">
        <w:t xml:space="preserve">would </w:t>
      </w:r>
      <w:r w:rsidR="0066009A">
        <w:t xml:space="preserve">reimburse UTAM via a fee for each device sold (which </w:t>
      </w:r>
      <w:r w:rsidR="0030603C">
        <w:t>UTAM</w:t>
      </w:r>
      <w:r w:rsidR="0066009A">
        <w:t xml:space="preserve"> subsequently eliminated)</w:t>
      </w:r>
      <w:r w:rsidR="0030603C">
        <w:t>, as well as a membership fee set by UTAM</w:t>
      </w:r>
      <w:r w:rsidR="00244D02">
        <w:t>.</w:t>
      </w:r>
      <w:r w:rsidR="0066009A">
        <w:rPr>
          <w:rStyle w:val="FootnoteReference"/>
          <w:sz w:val="24"/>
          <w:szCs w:val="24"/>
        </w:rPr>
        <w:footnoteReference w:id="9"/>
      </w:r>
      <w:r w:rsidR="0066009A">
        <w:t xml:space="preserve">  To ensure that UTAM </w:t>
      </w:r>
      <w:r w:rsidR="007A452B">
        <w:t>received this reimbursement,</w:t>
      </w:r>
      <w:r w:rsidR="0066009A">
        <w:t xml:space="preserve"> the Commission required – via Section 15.307 – that </w:t>
      </w:r>
      <w:r w:rsidR="00435D38">
        <w:t xml:space="preserve">each application for certification of </w:t>
      </w:r>
      <w:r w:rsidR="0066009A">
        <w:t xml:space="preserve">UPCS equipment </w:t>
      </w:r>
      <w:r w:rsidR="00435D38">
        <w:t xml:space="preserve">be accompanied by an affidavit from UTAM certifying that the applicant was a </w:t>
      </w:r>
      <w:r w:rsidR="0066009A">
        <w:t>member</w:t>
      </w:r>
      <w:r w:rsidR="00435D38">
        <w:t xml:space="preserve"> of</w:t>
      </w:r>
      <w:r w:rsidR="0066009A">
        <w:t xml:space="preserve"> UTAM.</w:t>
      </w:r>
      <w:r w:rsidR="00435D38">
        <w:rPr>
          <w:rStyle w:val="FootnoteReference"/>
        </w:rPr>
        <w:footnoteReference w:id="10"/>
      </w:r>
      <w:r w:rsidR="000C47BA">
        <w:t xml:space="preserve">  </w:t>
      </w:r>
    </w:p>
    <w:p w:rsidR="00537426" w:rsidRDefault="004F279F" w:rsidP="00B0051C">
      <w:pPr>
        <w:pStyle w:val="ParaNum"/>
        <w:widowControl/>
        <w:spacing w:after="220"/>
      </w:pPr>
      <w:r>
        <w:t>In 2004, the Commission re-designated the 1910-1915 MHz and 1915-1920 MHz bands from UPCS use to Broadband PCS</w:t>
      </w:r>
      <w:bookmarkStart w:id="1" w:name="_Ref389735362"/>
      <w:r>
        <w:rPr>
          <w:rStyle w:val="FootnoteReference"/>
          <w:sz w:val="24"/>
          <w:szCs w:val="24"/>
        </w:rPr>
        <w:footnoteReference w:id="11"/>
      </w:r>
      <w:bookmarkEnd w:id="1"/>
      <w:r>
        <w:t xml:space="preserve"> and Advanced Wireless Service</w:t>
      </w:r>
      <w:bookmarkStart w:id="2" w:name="_Ref390061967"/>
      <w:r>
        <w:t xml:space="preserve"> (AWS)</w:t>
      </w:r>
      <w:r>
        <w:rPr>
          <w:rStyle w:val="FootnoteReference"/>
          <w:sz w:val="24"/>
          <w:szCs w:val="24"/>
        </w:rPr>
        <w:footnoteReference w:id="12"/>
      </w:r>
      <w:bookmarkEnd w:id="2"/>
      <w:r>
        <w:t xml:space="preserve"> operations, respectively.  As part of the 191</w:t>
      </w:r>
      <w:r w:rsidR="007A452B">
        <w:t>0</w:t>
      </w:r>
      <w:r>
        <w:t>-19</w:t>
      </w:r>
      <w:r w:rsidR="007A452B">
        <w:t>15</w:t>
      </w:r>
      <w:r>
        <w:t xml:space="preserve"> MHz band re</w:t>
      </w:r>
      <w:r>
        <w:noBreakHyphen/>
        <w:t xml:space="preserve">designation, the </w:t>
      </w:r>
      <w:r w:rsidRPr="006F4B83">
        <w:t>Commission</w:t>
      </w:r>
      <w:r>
        <w:t xml:space="preserve"> </w:t>
      </w:r>
      <w:r w:rsidRPr="006F4B83">
        <w:t xml:space="preserve">determined that UTAM was entitled to a reimbursement </w:t>
      </w:r>
      <w:r w:rsidR="007902E4" w:rsidRPr="006F4B83">
        <w:t xml:space="preserve">from </w:t>
      </w:r>
      <w:r w:rsidR="007902E4">
        <w:t xml:space="preserve">Nextel Communications, Inc. (the 1910-1915 MHz band licensee) for </w:t>
      </w:r>
      <w:r w:rsidRPr="006F4B83">
        <w:t>25</w:t>
      </w:r>
      <w:r>
        <w:t> </w:t>
      </w:r>
      <w:r w:rsidRPr="006F4B83">
        <w:t xml:space="preserve">percent – on a </w:t>
      </w:r>
      <w:r w:rsidRPr="00537426">
        <w:rPr>
          <w:i/>
        </w:rPr>
        <w:t>pro rata</w:t>
      </w:r>
      <w:r w:rsidRPr="006F4B83">
        <w:t xml:space="preserve"> basis – of the total </w:t>
      </w:r>
      <w:r>
        <w:t xml:space="preserve">relocation </w:t>
      </w:r>
      <w:r w:rsidRPr="006F4B83">
        <w:t>costs it had incurred in clearing the 1910</w:t>
      </w:r>
      <w:r w:rsidRPr="006F4B83">
        <w:noBreakHyphen/>
        <w:t xml:space="preserve">1930 MHz band of </w:t>
      </w:r>
      <w:r w:rsidRPr="006F4B83">
        <w:lastRenderedPageBreak/>
        <w:t>incumbent microwave stations</w:t>
      </w:r>
      <w:r w:rsidR="009F5E9C">
        <w:t>.</w:t>
      </w:r>
      <w:r w:rsidR="007902E4">
        <w:rPr>
          <w:rStyle w:val="FootnoteReference"/>
        </w:rPr>
        <w:footnoteReference w:id="13"/>
      </w:r>
      <w:r>
        <w:t xml:space="preserve">  In 2007, Sprint Nextel Corp. (</w:t>
      </w:r>
      <w:r w:rsidR="007902E4">
        <w:t>successor to</w:t>
      </w:r>
      <w:r>
        <w:t xml:space="preserve"> Nextel), reimbursed UTAM for </w:t>
      </w:r>
      <w:r w:rsidR="008F15DD">
        <w:t>these costs</w:t>
      </w:r>
      <w:r w:rsidR="0054744C">
        <w:t>.</w:t>
      </w:r>
      <w:r>
        <w:rPr>
          <w:rStyle w:val="FootnoteReference"/>
          <w:sz w:val="24"/>
          <w:szCs w:val="24"/>
        </w:rPr>
        <w:footnoteReference w:id="14"/>
      </w:r>
      <w:r w:rsidR="0070048C">
        <w:t xml:space="preserve">  </w:t>
      </w:r>
    </w:p>
    <w:p w:rsidR="00435D38" w:rsidRDefault="007902E4" w:rsidP="00537426">
      <w:pPr>
        <w:pStyle w:val="ParaNum"/>
        <w:spacing w:after="220"/>
      </w:pPr>
      <w:r>
        <w:t>Similarly, a</w:t>
      </w:r>
      <w:r w:rsidR="007A452B">
        <w:t>s part of the 1915-1920 MHz band re</w:t>
      </w:r>
      <w:r w:rsidR="007A452B">
        <w:noBreakHyphen/>
        <w:t xml:space="preserve">designation, the </w:t>
      </w:r>
      <w:r w:rsidR="007A452B" w:rsidRPr="006F4B83">
        <w:t>Commission</w:t>
      </w:r>
      <w:r w:rsidR="007A452B">
        <w:t xml:space="preserve"> </w:t>
      </w:r>
      <w:r w:rsidR="007A452B" w:rsidRPr="006F4B83">
        <w:t xml:space="preserve">determined that UTAM was entitled to a reimbursement </w:t>
      </w:r>
      <w:r w:rsidRPr="006F4B83">
        <w:t xml:space="preserve">from </w:t>
      </w:r>
      <w:r>
        <w:t xml:space="preserve">the future </w:t>
      </w:r>
      <w:r w:rsidRPr="006F4B83">
        <w:t>AWS licensee</w:t>
      </w:r>
      <w:r>
        <w:t>(</w:t>
      </w:r>
      <w:r w:rsidRPr="006F4B83">
        <w:t>s</w:t>
      </w:r>
      <w:r>
        <w:t>)</w:t>
      </w:r>
      <w:r w:rsidRPr="006F4B83">
        <w:t xml:space="preserve"> in the 1915</w:t>
      </w:r>
      <w:r w:rsidRPr="006F4B83">
        <w:noBreakHyphen/>
        <w:t xml:space="preserve">1920 MHz AWS-2 band </w:t>
      </w:r>
      <w:r w:rsidR="007A452B" w:rsidRPr="006F4B83">
        <w:t>f</w:t>
      </w:r>
      <w:r>
        <w:t>or</w:t>
      </w:r>
      <w:r w:rsidR="007A452B" w:rsidRPr="006F4B83">
        <w:t xml:space="preserve"> 25</w:t>
      </w:r>
      <w:r w:rsidR="007A452B">
        <w:t> </w:t>
      </w:r>
      <w:r w:rsidR="007A452B" w:rsidRPr="006F4B83">
        <w:t xml:space="preserve">percent – on a </w:t>
      </w:r>
      <w:r w:rsidR="007A452B" w:rsidRPr="00537426">
        <w:rPr>
          <w:i/>
        </w:rPr>
        <w:t>pro rata</w:t>
      </w:r>
      <w:r w:rsidR="007A452B" w:rsidRPr="006F4B83">
        <w:t xml:space="preserve"> basis – of the total </w:t>
      </w:r>
      <w:r w:rsidR="007A452B">
        <w:t xml:space="preserve">relocation </w:t>
      </w:r>
      <w:r w:rsidR="007A452B" w:rsidRPr="006F4B83">
        <w:t>costs it had incurred in clearing the 1910</w:t>
      </w:r>
      <w:r w:rsidR="007A452B" w:rsidRPr="006F4B83">
        <w:noBreakHyphen/>
        <w:t>1930 MHz band of incumbent microwave stations</w:t>
      </w:r>
      <w:r>
        <w:t>.</w:t>
      </w:r>
      <w:r>
        <w:rPr>
          <w:rStyle w:val="FootnoteReference"/>
          <w:sz w:val="24"/>
          <w:szCs w:val="24"/>
        </w:rPr>
        <w:footnoteReference w:id="15"/>
      </w:r>
      <w:r>
        <w:t xml:space="preserve">  </w:t>
      </w:r>
      <w:r w:rsidR="004F279F">
        <w:t>On May 29, 2014</w:t>
      </w:r>
      <w:r w:rsidR="004F279F" w:rsidRPr="00462DD4">
        <w:t xml:space="preserve">, </w:t>
      </w:r>
      <w:r w:rsidR="004F279F">
        <w:t>DISH</w:t>
      </w:r>
      <w:r w:rsidR="004F279F" w:rsidRPr="00462DD4">
        <w:t xml:space="preserve">, the </w:t>
      </w:r>
      <w:r>
        <w:t xml:space="preserve">sole </w:t>
      </w:r>
      <w:r w:rsidR="004F279F" w:rsidRPr="00462DD4">
        <w:t xml:space="preserve">licensee </w:t>
      </w:r>
      <w:r w:rsidR="006D4397">
        <w:t>in</w:t>
      </w:r>
      <w:r w:rsidR="006D4397" w:rsidRPr="00462DD4">
        <w:t xml:space="preserve"> </w:t>
      </w:r>
      <w:r w:rsidR="004F279F" w:rsidRPr="00462DD4">
        <w:t>the 1915-1920 MHz band, reimbursed UTAM for the</w:t>
      </w:r>
      <w:r>
        <w:t>se</w:t>
      </w:r>
      <w:r w:rsidR="004F279F" w:rsidRPr="00462DD4">
        <w:t xml:space="preserve"> </w:t>
      </w:r>
      <w:r>
        <w:t>c</w:t>
      </w:r>
      <w:r w:rsidR="004F279F">
        <w:t>ost</w:t>
      </w:r>
      <w:r w:rsidR="004F279F" w:rsidRPr="00462DD4">
        <w:t>s.</w:t>
      </w:r>
      <w:r w:rsidR="008F15DD">
        <w:rPr>
          <w:rStyle w:val="FootnoteReference"/>
        </w:rPr>
        <w:footnoteReference w:id="16"/>
      </w:r>
    </w:p>
    <w:p w:rsidR="00537426" w:rsidRDefault="00435D38" w:rsidP="00537426">
      <w:pPr>
        <w:pStyle w:val="ParaNum"/>
        <w:spacing w:after="220"/>
      </w:pPr>
      <w:r>
        <w:t xml:space="preserve">Based on the reimbursements paid by Sprint and DISH, as well as the </w:t>
      </w:r>
      <w:r w:rsidR="008F15DD">
        <w:t xml:space="preserve">membership and </w:t>
      </w:r>
      <w:r w:rsidR="00F23B23">
        <w:t xml:space="preserve"> </w:t>
      </w:r>
      <w:r w:rsidR="008F15DD">
        <w:t>device fees that have been</w:t>
      </w:r>
      <w:r>
        <w:t xml:space="preserve"> paid by UPCS device manufacture</w:t>
      </w:r>
      <w:r w:rsidR="00537EFA">
        <w:t>r</w:t>
      </w:r>
      <w:r>
        <w:t>s, UTAM</w:t>
      </w:r>
      <w:r w:rsidR="005465B8">
        <w:t xml:space="preserve"> </w:t>
      </w:r>
      <w:r w:rsidR="007902E4">
        <w:t xml:space="preserve">has determined </w:t>
      </w:r>
      <w:r w:rsidR="004F279F">
        <w:t xml:space="preserve">that </w:t>
      </w:r>
      <w:r>
        <w:t xml:space="preserve">it </w:t>
      </w:r>
      <w:r w:rsidR="008F15DD">
        <w:t>can</w:t>
      </w:r>
      <w:r>
        <w:t xml:space="preserve"> satisfy all of its</w:t>
      </w:r>
      <w:r w:rsidR="004F279F">
        <w:t xml:space="preserve"> financial obligations associated with clearing the entire 1910-1930 MHz band</w:t>
      </w:r>
      <w:r>
        <w:t xml:space="preserve">.  Accordingly, it </w:t>
      </w:r>
      <w:r w:rsidR="00711C81">
        <w:t xml:space="preserve">has prepared </w:t>
      </w:r>
      <w:r w:rsidR="004F279F">
        <w:t xml:space="preserve">a plan of dissolution </w:t>
      </w:r>
      <w:r w:rsidR="006D4397">
        <w:t>and</w:t>
      </w:r>
      <w:r w:rsidR="004F279F">
        <w:t xml:space="preserve"> cessation of all</w:t>
      </w:r>
      <w:r w:rsidR="00102BF1">
        <w:t xml:space="preserve"> corporate activities</w:t>
      </w:r>
      <w:r w:rsidR="007902E4">
        <w:t>.</w:t>
      </w:r>
      <w:r w:rsidR="007902E4" w:rsidRPr="007902E4">
        <w:rPr>
          <w:rStyle w:val="FootnoteReference"/>
          <w:sz w:val="24"/>
          <w:szCs w:val="24"/>
        </w:rPr>
        <w:t xml:space="preserve"> </w:t>
      </w:r>
      <w:r w:rsidR="007902E4" w:rsidRPr="00462DD4">
        <w:rPr>
          <w:rStyle w:val="FootnoteReference"/>
          <w:sz w:val="24"/>
          <w:szCs w:val="24"/>
        </w:rPr>
        <w:footnoteReference w:id="17"/>
      </w:r>
      <w:r w:rsidR="004F279F">
        <w:t xml:space="preserve"> </w:t>
      </w:r>
      <w:r w:rsidR="007902E4">
        <w:t xml:space="preserve"> It </w:t>
      </w:r>
      <w:r w:rsidR="00711C81">
        <w:t xml:space="preserve">has also </w:t>
      </w:r>
      <w:r w:rsidR="006D4397">
        <w:t xml:space="preserve">asked us to </w:t>
      </w:r>
      <w:r w:rsidR="004F279F">
        <w:t>suspend enforcement of Section 15.307 pending administrative action to eliminate the rule in its entirety.</w:t>
      </w:r>
      <w:r w:rsidR="007902E4">
        <w:rPr>
          <w:rStyle w:val="FootnoteReference"/>
        </w:rPr>
        <w:footnoteReference w:id="18"/>
      </w:r>
    </w:p>
    <w:p w:rsidR="00C24AC9" w:rsidRDefault="007902E4">
      <w:pPr>
        <w:pStyle w:val="ParaNum"/>
        <w:spacing w:after="220"/>
      </w:pPr>
      <w:r>
        <w:t>We find that there is good cause to eliminate the rule in its entirety</w:t>
      </w:r>
      <w:r w:rsidR="00711C81">
        <w:t xml:space="preserve">.  UTAM </w:t>
      </w:r>
      <w:r w:rsidR="0034134F">
        <w:t>no longer</w:t>
      </w:r>
      <w:r w:rsidR="00711C81">
        <w:t xml:space="preserve"> need</w:t>
      </w:r>
      <w:r w:rsidR="0034134F">
        <w:t>s</w:t>
      </w:r>
      <w:r w:rsidR="00711C81">
        <w:t xml:space="preserve"> the reimbursement funds that Section 15.307 is designed to provide, contin</w:t>
      </w:r>
      <w:r w:rsidR="0034134F">
        <w:t>ued application of the rule</w:t>
      </w:r>
      <w:r w:rsidR="00711C81">
        <w:t xml:space="preserve"> </w:t>
      </w:r>
      <w:r w:rsidR="0034134F">
        <w:t>imposes an unnecessary financial burden on</w:t>
      </w:r>
      <w:r w:rsidR="00711C81">
        <w:t xml:space="preserve"> </w:t>
      </w:r>
      <w:r w:rsidR="0034134F">
        <w:t>UPCS device manufacturers who may seek to develop new and innovative products, and it will no longer be possible to comply with the rule once UTAM dissolves</w:t>
      </w:r>
      <w:r w:rsidR="00711C81">
        <w:t xml:space="preserve">. </w:t>
      </w:r>
      <w:r>
        <w:t xml:space="preserve"> </w:t>
      </w:r>
      <w:r w:rsidR="00711C81">
        <w:t>We further determine</w:t>
      </w:r>
      <w:r>
        <w:t xml:space="preserve"> that we can take action</w:t>
      </w:r>
      <w:r w:rsidR="00711C81">
        <w:t xml:space="preserve"> to eliminate the rule</w:t>
      </w:r>
      <w:r>
        <w:t xml:space="preserve"> without notice and comment rulemaking procedures</w:t>
      </w:r>
      <w:r w:rsidR="00711C81">
        <w:t>,</w:t>
      </w:r>
      <w:r>
        <w:t xml:space="preserve"> pursuant to </w:t>
      </w:r>
      <w:r w:rsidRPr="006D4397">
        <w:t>Section 553(b)(B)</w:t>
      </w:r>
      <w:r>
        <w:t xml:space="preserve"> of the Administrative Procedure Act.</w:t>
      </w:r>
      <w:r>
        <w:rPr>
          <w:rStyle w:val="FootnoteReference"/>
        </w:rPr>
        <w:footnoteReference w:id="19"/>
      </w:r>
      <w:r w:rsidR="008F15DD">
        <w:t xml:space="preserve"> </w:t>
      </w:r>
      <w:r>
        <w:t xml:space="preserve"> </w:t>
      </w:r>
      <w:r w:rsidR="008F15DD" w:rsidRPr="006D4397">
        <w:t>Among other things, Section 553(b)(B) establishes an exception to the notice-and-comment requirement for cases in which the Commission finds good cause for concluding that notice and comment are “unnecessary.”</w:t>
      </w:r>
      <w:r w:rsidR="00EE3421">
        <w:rPr>
          <w:rStyle w:val="FootnoteReference"/>
        </w:rPr>
        <w:footnoteReference w:id="20"/>
      </w:r>
      <w:r w:rsidR="008F15DD" w:rsidRPr="006D4397">
        <w:t xml:space="preserve">  </w:t>
      </w:r>
      <w:r w:rsidR="008F15DD" w:rsidRPr="001314AC">
        <w:rPr>
          <w:color w:val="000000"/>
        </w:rPr>
        <w:t xml:space="preserve">We find that because Section </w:t>
      </w:r>
      <w:r w:rsidR="0087172D">
        <w:rPr>
          <w:color w:val="000000"/>
        </w:rPr>
        <w:t>15.</w:t>
      </w:r>
      <w:r w:rsidR="008F15DD" w:rsidRPr="001314AC">
        <w:rPr>
          <w:color w:val="000000"/>
        </w:rPr>
        <w:t xml:space="preserve">307 no longer has any purpose now </w:t>
      </w:r>
      <w:r w:rsidR="00F23B23">
        <w:rPr>
          <w:color w:val="000000"/>
        </w:rPr>
        <w:t xml:space="preserve">that </w:t>
      </w:r>
      <w:r w:rsidR="008F15DD" w:rsidRPr="001314AC">
        <w:rPr>
          <w:color w:val="000000"/>
        </w:rPr>
        <w:t xml:space="preserve">the relocation reimbursement obligations have been satisfied and UTAM is disbanding, the provisions of </w:t>
      </w:r>
      <w:r w:rsidR="0087172D">
        <w:rPr>
          <w:color w:val="000000"/>
        </w:rPr>
        <w:t xml:space="preserve">Section </w:t>
      </w:r>
      <w:r w:rsidR="008F15DD" w:rsidRPr="001314AC">
        <w:t>553(b)(B)</w:t>
      </w:r>
      <w:r w:rsidR="008F15DD">
        <w:t xml:space="preserve"> are applicable</w:t>
      </w:r>
      <w:r w:rsidR="006D4397">
        <w:t xml:space="preserve"> to this situation</w:t>
      </w:r>
      <w:r w:rsidR="008F15DD">
        <w:t xml:space="preserve">.  </w:t>
      </w:r>
    </w:p>
    <w:p w:rsidR="00C80285" w:rsidRDefault="00711C81" w:rsidP="00B0051C">
      <w:pPr>
        <w:pStyle w:val="ParaNum"/>
        <w:widowControl/>
        <w:spacing w:after="220"/>
      </w:pPr>
      <w:r>
        <w:t>We remove and reserve Section 15.307, e</w:t>
      </w:r>
      <w:r w:rsidR="00290976">
        <w:t>ffective upon publication of a summary of this Order in the Federal Register</w:t>
      </w:r>
      <w:r w:rsidR="008F15DD">
        <w:t xml:space="preserve">.  </w:t>
      </w:r>
      <w:r w:rsidR="006D4397">
        <w:t>Until that time, and effective immediately, we stay the effectiveness of the rule.  We take these actions under the delegated authority granted to OET.</w:t>
      </w:r>
      <w:r w:rsidR="006D4397">
        <w:rPr>
          <w:rStyle w:val="FootnoteReference"/>
        </w:rPr>
        <w:footnoteReference w:id="21"/>
      </w:r>
      <w:r w:rsidR="006D4397">
        <w:t xml:space="preserve">  Thus, upon release of this Order, </w:t>
      </w:r>
      <w:r w:rsidR="004F279F">
        <w:t xml:space="preserve">it will no longer be necessary for applicants for equipment certification of UPCS devices to obtain and submit to the Commission certification of membership in UTAM </w:t>
      </w:r>
      <w:r w:rsidR="006D4397">
        <w:t>pursuant to</w:t>
      </w:r>
      <w:r w:rsidR="004F279F">
        <w:t xml:space="preserve"> Section 15.307 of our rules.</w:t>
      </w:r>
    </w:p>
    <w:p w:rsidR="002B0D9E" w:rsidRDefault="002B0D9E" w:rsidP="002B0D9E">
      <w:pPr>
        <w:pStyle w:val="Heading1"/>
        <w:spacing w:after="220"/>
      </w:pPr>
      <w:r>
        <w:t>Procedural Matters</w:t>
      </w:r>
    </w:p>
    <w:p w:rsidR="002B0D9E" w:rsidRPr="002B0D9E" w:rsidRDefault="002B0D9E" w:rsidP="002B0D9E">
      <w:pPr>
        <w:pStyle w:val="Heading2"/>
      </w:pPr>
      <w:r>
        <w:t>Regulatory Flexibility Certification</w:t>
      </w:r>
    </w:p>
    <w:p w:rsidR="00A36280" w:rsidRDefault="00A36280" w:rsidP="00A36280">
      <w:pPr>
        <w:pStyle w:val="ParaNum"/>
        <w:spacing w:after="220"/>
      </w:pPr>
      <w:r>
        <w:t>Because this Order is being adopted without notice and comment, the Regulatory Flexibility Act</w:t>
      </w:r>
      <w:r>
        <w:rPr>
          <w:rStyle w:val="FootnoteReference"/>
        </w:rPr>
        <w:footnoteReference w:id="22"/>
      </w:r>
      <w:r>
        <w:t xml:space="preserve"> does not apply.</w:t>
      </w:r>
    </w:p>
    <w:p w:rsidR="002E1DC5" w:rsidRDefault="002E1DC5" w:rsidP="002E1DC5">
      <w:pPr>
        <w:pStyle w:val="Heading2"/>
      </w:pPr>
      <w:r>
        <w:t>Paperwork Reduction Analysis</w:t>
      </w:r>
    </w:p>
    <w:p w:rsidR="002E1DC5" w:rsidRDefault="002E1DC5" w:rsidP="00C54B9A">
      <w:pPr>
        <w:pStyle w:val="ParaNum"/>
        <w:widowControl/>
        <w:spacing w:after="220"/>
      </w:pPr>
      <w:r>
        <w:t>This Order does not contain any new or modified information collections subject to the Paperwork Reduction Act of 1995 (PRA), Public Law 104-13.</w:t>
      </w:r>
    </w:p>
    <w:p w:rsidR="002E1DC5" w:rsidRDefault="002E1DC5" w:rsidP="002E1DC5">
      <w:pPr>
        <w:pStyle w:val="Heading2"/>
      </w:pPr>
      <w:r>
        <w:t>Congressional Review Act</w:t>
      </w:r>
    </w:p>
    <w:p w:rsidR="003B7627" w:rsidRDefault="002E1DC5" w:rsidP="00BB5DAF">
      <w:pPr>
        <w:pStyle w:val="ParaNum"/>
        <w:spacing w:after="220"/>
      </w:pPr>
      <w:r>
        <w:t>The Co</w:t>
      </w:r>
      <w:r w:rsidR="00CD266A">
        <w:t xml:space="preserve">mmission will send a copy of this Order in a report to be sent to Congress and the Government Accountability Office pursuant to the Congressional Review Act, </w:t>
      </w:r>
      <w:r w:rsidR="00CD266A">
        <w:rPr>
          <w:i/>
        </w:rPr>
        <w:t>see</w:t>
      </w:r>
      <w:r w:rsidR="00CD266A">
        <w:t xml:space="preserve"> 5 U.S.C. §</w:t>
      </w:r>
      <w:r w:rsidR="00386E21">
        <w:t> </w:t>
      </w:r>
      <w:r w:rsidR="00CD266A">
        <w:t>801(a)(1)(A).</w:t>
      </w:r>
    </w:p>
    <w:p w:rsidR="00DB04F6" w:rsidRPr="00DB04F6" w:rsidRDefault="00DB04F6" w:rsidP="00DB04F6">
      <w:pPr>
        <w:pStyle w:val="Heading2"/>
      </w:pPr>
      <w:r>
        <w:t>Further Information</w:t>
      </w:r>
    </w:p>
    <w:p w:rsidR="00B14160" w:rsidRDefault="00B14160" w:rsidP="00A53950">
      <w:pPr>
        <w:pStyle w:val="ParaNum"/>
        <w:spacing w:after="220"/>
      </w:pPr>
      <w:r>
        <w:t xml:space="preserve">For further information, contact Patrick E. Forster, </w:t>
      </w:r>
      <w:r w:rsidR="00775DB7">
        <w:t xml:space="preserve">Senior Engineer, </w:t>
      </w:r>
      <w:r>
        <w:t>FCC Office of Engineering and Technology</w:t>
      </w:r>
      <w:r w:rsidR="00DB04F6">
        <w:t>, Room 7-A266, 445 12</w:t>
      </w:r>
      <w:r w:rsidR="00DB04F6" w:rsidRPr="00DB04F6">
        <w:rPr>
          <w:vertAlign w:val="superscript"/>
        </w:rPr>
        <w:t>th</w:t>
      </w:r>
      <w:r w:rsidR="00DB04F6">
        <w:t xml:space="preserve"> St., S.W., Washington, DC 20554, at 202-418-7061 or via the Internet at </w:t>
      </w:r>
      <w:hyperlink r:id="rId9" w:history="1">
        <w:r w:rsidR="00DB04F6" w:rsidRPr="008A3415">
          <w:rPr>
            <w:rStyle w:val="Hyperlink"/>
          </w:rPr>
          <w:t>Patrick.Forster@fcc.gov</w:t>
        </w:r>
      </w:hyperlink>
      <w:r w:rsidR="00DB04F6">
        <w:t>.</w:t>
      </w:r>
    </w:p>
    <w:p w:rsidR="00A16F48" w:rsidRDefault="00A16F48" w:rsidP="00A16F48">
      <w:pPr>
        <w:pStyle w:val="Heading1"/>
        <w:spacing w:after="220"/>
      </w:pPr>
      <w:r>
        <w:t>Ordering Clauses</w:t>
      </w:r>
    </w:p>
    <w:p w:rsidR="00A16F48" w:rsidRDefault="00A16F48" w:rsidP="00BB5DAF">
      <w:pPr>
        <w:pStyle w:val="ParaNum"/>
        <w:spacing w:after="220"/>
      </w:pPr>
      <w:r>
        <w:t xml:space="preserve">Accordingly, IT IS ORDERED, </w:t>
      </w:r>
      <w:r w:rsidR="00EC2B39">
        <w:t>pursuant to Sections 4(i)</w:t>
      </w:r>
      <w:r w:rsidR="00745E79">
        <w:t xml:space="preserve"> and </w:t>
      </w:r>
      <w:r w:rsidR="00EC2B39">
        <w:t>303(</w:t>
      </w:r>
      <w:r w:rsidR="00745E79">
        <w:t>r</w:t>
      </w:r>
      <w:r w:rsidR="00EC2B39">
        <w:t>) of the Communications Act of 1934, as amended, 47 U.S.C. §§ 154(i)</w:t>
      </w:r>
      <w:r w:rsidR="00745E79">
        <w:t xml:space="preserve"> and</w:t>
      </w:r>
      <w:r w:rsidR="00EC2B39">
        <w:t xml:space="preserve"> 303(</w:t>
      </w:r>
      <w:r w:rsidR="00745E79">
        <w:t>r</w:t>
      </w:r>
      <w:r w:rsidR="00EC2B39">
        <w:t>), that this Order is hereby ADOPTED.</w:t>
      </w:r>
    </w:p>
    <w:p w:rsidR="00EC2B39" w:rsidRDefault="00EC2B39" w:rsidP="00EC2B39">
      <w:pPr>
        <w:pStyle w:val="ParaNum"/>
        <w:widowControl/>
        <w:spacing w:after="220"/>
      </w:pPr>
      <w:r>
        <w:t>IT IS FURTHER ORDERED that Part 15 of the Commission’s rules IS AMENDED a</w:t>
      </w:r>
      <w:r w:rsidR="00386E21">
        <w:t>s set forth in Appendix A.  This</w:t>
      </w:r>
      <w:r>
        <w:t xml:space="preserve"> rule revision will take effect </w:t>
      </w:r>
      <w:r w:rsidR="00386E21">
        <w:t>upon publication of</w:t>
      </w:r>
      <w:r>
        <w:t xml:space="preserve"> a summary of the Order in the Federal Register.</w:t>
      </w:r>
    </w:p>
    <w:p w:rsidR="006D4397" w:rsidRDefault="006D4397" w:rsidP="00EC2B39">
      <w:pPr>
        <w:pStyle w:val="ParaNum"/>
        <w:widowControl/>
        <w:spacing w:after="220"/>
      </w:pPr>
      <w:r>
        <w:t>IT IS FURTHER ORDERED that the application of Section 15.307 of the Commission’s rules IS STAYED, effective upon the release of this Order.</w:t>
      </w:r>
    </w:p>
    <w:p w:rsidR="00EC2B39" w:rsidRDefault="00EC2B39" w:rsidP="00891CB1">
      <w:pPr>
        <w:pStyle w:val="ParaNum"/>
        <w:spacing w:after="220"/>
      </w:pPr>
      <w:r>
        <w:t xml:space="preserve">IT IS FURTHER ORDERED that the </w:t>
      </w:r>
      <w:r w:rsidR="00386E21">
        <w:t xml:space="preserve">Commission’s </w:t>
      </w:r>
      <w:r>
        <w:t>Consumer and Governmental Affairs Bureau, Reference Information Center, SHALL SEND a copy of this Order to the Chief Counsel for Advocacy of the Small Business Administration.</w:t>
      </w:r>
    </w:p>
    <w:p w:rsidR="00C8433B" w:rsidRDefault="00EC2B39" w:rsidP="00EC2B39">
      <w:pPr>
        <w:pStyle w:val="ParaNum"/>
        <w:spacing w:after="220"/>
      </w:pPr>
      <w:r>
        <w:t>IT IS FURTHERED ORDERED that the Commission SHALL SEND a copy of this Order in a report to be sent to Congress and the Government Accountability Office pursuant to the Congressional Review Act,</w:t>
      </w:r>
      <w:r>
        <w:rPr>
          <w:i/>
        </w:rPr>
        <w:t xml:space="preserve"> see</w:t>
      </w:r>
      <w:r>
        <w:t> 5 U.S.C. § 801(a)(1)(A).</w:t>
      </w:r>
      <w:r w:rsidR="00386E21">
        <w:t xml:space="preserve">  A copy of the Order (or a summary thereof) will also be published in the Federal Register.</w:t>
      </w:r>
    </w:p>
    <w:p w:rsidR="00C8433B" w:rsidRDefault="00C8433B">
      <w:pPr>
        <w:widowControl/>
      </w:pPr>
      <w:r>
        <w:br w:type="page"/>
      </w:r>
    </w:p>
    <w:p w:rsidR="00386E21" w:rsidRDefault="00980139" w:rsidP="006E32DA">
      <w:pPr>
        <w:pStyle w:val="ParaNum"/>
        <w:spacing w:after="220"/>
      </w:pPr>
      <w:r>
        <w:t>This action is taken under delegated authority pursuant to Section</w:t>
      </w:r>
      <w:r w:rsidR="00835854">
        <w:t>s</w:t>
      </w:r>
      <w:r>
        <w:t xml:space="preserve"> </w:t>
      </w:r>
      <w:r w:rsidR="00745E79">
        <w:t>0.31</w:t>
      </w:r>
      <w:r w:rsidR="00955D85">
        <w:t>(i)</w:t>
      </w:r>
      <w:r w:rsidR="00745E79">
        <w:t xml:space="preserve"> and</w:t>
      </w:r>
      <w:r w:rsidR="00835854">
        <w:t xml:space="preserve"> </w:t>
      </w:r>
      <w:r>
        <w:t>0.241(i) of the Commission’s rules, 47 C.F. R. §</w:t>
      </w:r>
      <w:r w:rsidR="00835854">
        <w:t>§</w:t>
      </w:r>
      <w:r>
        <w:t xml:space="preserve"> </w:t>
      </w:r>
      <w:r w:rsidR="00835854">
        <w:t>0.31</w:t>
      </w:r>
      <w:r w:rsidR="00955D85">
        <w:t>(i)</w:t>
      </w:r>
      <w:r w:rsidR="00745E79">
        <w:t xml:space="preserve"> and</w:t>
      </w:r>
      <w:r w:rsidR="00835854">
        <w:t xml:space="preserve"> </w:t>
      </w:r>
      <w:r>
        <w:t>0.241(i).</w:t>
      </w:r>
    </w:p>
    <w:p w:rsidR="00EC2B39" w:rsidRDefault="00EC2B39" w:rsidP="00EC2B39">
      <w:pPr>
        <w:pStyle w:val="ParaNum"/>
        <w:numPr>
          <w:ilvl w:val="0"/>
          <w:numId w:val="0"/>
        </w:numPr>
        <w:spacing w:after="220"/>
        <w:ind w:left="3600" w:firstLine="720"/>
      </w:pPr>
      <w:r>
        <w:t>FEDERAL COMMUNICATIONS COMMISSION</w:t>
      </w:r>
    </w:p>
    <w:p w:rsidR="00180FDF" w:rsidRDefault="00180FDF" w:rsidP="00EC2B39">
      <w:pPr>
        <w:pStyle w:val="ParaNum"/>
        <w:numPr>
          <w:ilvl w:val="0"/>
          <w:numId w:val="0"/>
        </w:numPr>
        <w:spacing w:after="0"/>
        <w:ind w:left="3600" w:firstLine="720"/>
      </w:pPr>
    </w:p>
    <w:p w:rsidR="00D22C21" w:rsidRDefault="00D22C21" w:rsidP="00EC2B39">
      <w:pPr>
        <w:pStyle w:val="ParaNum"/>
        <w:numPr>
          <w:ilvl w:val="0"/>
          <w:numId w:val="0"/>
        </w:numPr>
        <w:spacing w:after="0"/>
        <w:ind w:left="3600" w:firstLine="720"/>
      </w:pPr>
    </w:p>
    <w:p w:rsidR="00EC2B39" w:rsidRDefault="00EC2B39" w:rsidP="00EC2B39">
      <w:pPr>
        <w:pStyle w:val="ParaNum"/>
        <w:numPr>
          <w:ilvl w:val="0"/>
          <w:numId w:val="0"/>
        </w:numPr>
        <w:spacing w:after="0"/>
        <w:ind w:left="3600" w:firstLine="720"/>
      </w:pPr>
      <w:r>
        <w:t>Julius P. Knapp</w:t>
      </w:r>
    </w:p>
    <w:p w:rsidR="00EC2B39" w:rsidRDefault="00EC2B39" w:rsidP="00EC2B39">
      <w:pPr>
        <w:pStyle w:val="ParaNum"/>
        <w:numPr>
          <w:ilvl w:val="0"/>
          <w:numId w:val="0"/>
        </w:numPr>
        <w:spacing w:after="0"/>
        <w:ind w:left="3600" w:firstLine="720"/>
      </w:pPr>
      <w:r>
        <w:t>Chief, Office of Engineering and Technology</w:t>
      </w:r>
    </w:p>
    <w:p w:rsidR="00EC2B39" w:rsidRDefault="009D7F68" w:rsidP="00EC2B39">
      <w:pPr>
        <w:pStyle w:val="ParaNum"/>
        <w:numPr>
          <w:ilvl w:val="0"/>
          <w:numId w:val="0"/>
        </w:numPr>
        <w:spacing w:after="220"/>
        <w:jc w:val="center"/>
        <w:rPr>
          <w:b/>
        </w:rPr>
      </w:pPr>
      <w:r>
        <w:br w:type="page"/>
      </w:r>
      <w:r w:rsidR="00EC2B39">
        <w:rPr>
          <w:b/>
        </w:rPr>
        <w:t>APPENDIX A</w:t>
      </w:r>
    </w:p>
    <w:p w:rsidR="00EC2B39" w:rsidRDefault="00EC2B39" w:rsidP="00EC2B39">
      <w:pPr>
        <w:pStyle w:val="ParaNum"/>
        <w:numPr>
          <w:ilvl w:val="0"/>
          <w:numId w:val="0"/>
        </w:numPr>
        <w:spacing w:after="220"/>
        <w:jc w:val="center"/>
        <w:rPr>
          <w:b/>
        </w:rPr>
      </w:pPr>
      <w:r>
        <w:rPr>
          <w:b/>
        </w:rPr>
        <w:t>Final Rules</w:t>
      </w:r>
    </w:p>
    <w:p w:rsidR="00EC2B39" w:rsidRDefault="00EC2B39" w:rsidP="00EC2B39">
      <w:pPr>
        <w:pStyle w:val="ParaNum"/>
        <w:numPr>
          <w:ilvl w:val="0"/>
          <w:numId w:val="0"/>
        </w:numPr>
        <w:spacing w:after="220"/>
      </w:pPr>
      <w:r>
        <w:t>For the reasons discussed above, the Federal Communications Commission amends Title 47 of the Code of Federal Regulation, Part 15, to read as follows</w:t>
      </w:r>
      <w:r w:rsidR="008A7551">
        <w:t>:</w:t>
      </w:r>
    </w:p>
    <w:p w:rsidR="008A7551" w:rsidRDefault="008A7551" w:rsidP="008A7551">
      <w:pPr>
        <w:widowControl/>
        <w:rPr>
          <w:b/>
        </w:rPr>
      </w:pPr>
      <w:r>
        <w:rPr>
          <w:b/>
        </w:rPr>
        <w:t>Part 15 – RADIO FREQUENCY DEVICES</w:t>
      </w:r>
    </w:p>
    <w:p w:rsidR="008A7551" w:rsidRDefault="008A7551" w:rsidP="008A7551">
      <w:pPr>
        <w:widowControl/>
        <w:ind w:left="360"/>
        <w:rPr>
          <w:b/>
        </w:rPr>
      </w:pPr>
    </w:p>
    <w:p w:rsidR="008A7551" w:rsidRDefault="008A7551" w:rsidP="008A7551">
      <w:pPr>
        <w:widowControl/>
        <w:tabs>
          <w:tab w:val="left" w:pos="360"/>
        </w:tabs>
      </w:pPr>
      <w:r>
        <w:t>1.</w:t>
      </w:r>
      <w:r>
        <w:tab/>
        <w:t>The authority citation for Part 15 continues to read as follows:</w:t>
      </w:r>
    </w:p>
    <w:p w:rsidR="008A7551" w:rsidRDefault="008A7551" w:rsidP="008A7551">
      <w:pPr>
        <w:widowControl/>
        <w:ind w:left="360"/>
      </w:pPr>
    </w:p>
    <w:p w:rsidR="008A7551" w:rsidRDefault="008A7551" w:rsidP="008A7551">
      <w:pPr>
        <w:widowControl/>
      </w:pPr>
      <w:r>
        <w:rPr>
          <w:b/>
        </w:rPr>
        <w:t>A</w:t>
      </w:r>
      <w:r w:rsidR="00C8433B">
        <w:rPr>
          <w:b/>
        </w:rPr>
        <w:t>uthority</w:t>
      </w:r>
      <w:r>
        <w:rPr>
          <w:b/>
        </w:rPr>
        <w:t>:</w:t>
      </w:r>
      <w:r>
        <w:t xml:space="preserve">  47 U.S.C. 154, 302a, 303, 304, 307, 336, and 544a.</w:t>
      </w:r>
    </w:p>
    <w:p w:rsidR="008A7551" w:rsidRDefault="008A7551" w:rsidP="008A7551">
      <w:pPr>
        <w:widowControl/>
      </w:pPr>
    </w:p>
    <w:p w:rsidR="00C8433B" w:rsidRDefault="005F6036" w:rsidP="008A7551">
      <w:pPr>
        <w:widowControl/>
        <w:rPr>
          <w:b/>
        </w:rPr>
      </w:pPr>
      <w:r w:rsidRPr="005F6036">
        <w:rPr>
          <w:b/>
        </w:rPr>
        <w:t>§ 15.307</w:t>
      </w:r>
      <w:r>
        <w:rPr>
          <w:b/>
        </w:rPr>
        <w:t xml:space="preserve"> [Removed and Reserved]</w:t>
      </w:r>
    </w:p>
    <w:p w:rsidR="005F6036" w:rsidRPr="005F6036" w:rsidRDefault="005F6036" w:rsidP="008A7551">
      <w:pPr>
        <w:widowControl/>
      </w:pPr>
    </w:p>
    <w:p w:rsidR="008A7551" w:rsidRDefault="008A7551" w:rsidP="008A7551">
      <w:pPr>
        <w:widowControl/>
        <w:tabs>
          <w:tab w:val="left" w:pos="360"/>
        </w:tabs>
      </w:pPr>
      <w:r>
        <w:t>2.</w:t>
      </w:r>
      <w:r>
        <w:tab/>
      </w:r>
      <w:r w:rsidR="005F6036">
        <w:t xml:space="preserve">Section 15.307 is </w:t>
      </w:r>
      <w:r w:rsidR="00386E21">
        <w:t>remov</w:t>
      </w:r>
      <w:r w:rsidR="005F6036">
        <w:t>ed</w:t>
      </w:r>
      <w:r w:rsidR="00386E21">
        <w:t xml:space="preserve"> </w:t>
      </w:r>
      <w:r w:rsidR="006D4397">
        <w:t>and reserv</w:t>
      </w:r>
      <w:r w:rsidR="005F6036">
        <w:t>ed</w:t>
      </w:r>
      <w:r w:rsidR="00386E21">
        <w:t>.</w:t>
      </w:r>
    </w:p>
    <w:p w:rsidR="00C8433B" w:rsidRDefault="00C8433B" w:rsidP="008A7551">
      <w:pPr>
        <w:widowControl/>
        <w:tabs>
          <w:tab w:val="left" w:pos="360"/>
        </w:tabs>
      </w:pPr>
    </w:p>
    <w:sectPr w:rsidR="00C8433B"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23" w:rsidRDefault="00644123">
      <w:pPr>
        <w:spacing w:line="20" w:lineRule="exact"/>
      </w:pPr>
    </w:p>
  </w:endnote>
  <w:endnote w:type="continuationSeparator" w:id="0">
    <w:p w:rsidR="00644123" w:rsidRDefault="00644123">
      <w:r>
        <w:t xml:space="preserve"> </w:t>
      </w:r>
    </w:p>
  </w:endnote>
  <w:endnote w:type="continuationNotice" w:id="1">
    <w:p w:rsidR="00644123" w:rsidRDefault="006441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64140" w:rsidP="0055614C">
    <w:pPr>
      <w:pStyle w:val="Footer"/>
      <w:framePr w:wrap="around" w:vAnchor="text" w:hAnchor="margin" w:xAlign="center" w:y="1"/>
    </w:pPr>
    <w:r>
      <w:fldChar w:fldCharType="begin"/>
    </w:r>
    <w:r w:rsidR="00D25FB5">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64140" w:rsidP="0055614C">
    <w:pPr>
      <w:pStyle w:val="Footer"/>
      <w:framePr w:wrap="around" w:vAnchor="text" w:hAnchor="margin" w:xAlign="center" w:y="1"/>
    </w:pPr>
    <w:r>
      <w:fldChar w:fldCharType="begin"/>
    </w:r>
    <w:r w:rsidR="00D25FB5">
      <w:instrText xml:space="preserve">PAGE  </w:instrText>
    </w:r>
    <w:r>
      <w:fldChar w:fldCharType="separate"/>
    </w:r>
    <w:r w:rsidR="00444E3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23" w:rsidRDefault="00644123">
      <w:r>
        <w:separator/>
      </w:r>
    </w:p>
  </w:footnote>
  <w:footnote w:type="continuationSeparator" w:id="0">
    <w:p w:rsidR="00644123" w:rsidRDefault="00644123" w:rsidP="00C721AC">
      <w:pPr>
        <w:spacing w:before="120"/>
        <w:rPr>
          <w:sz w:val="20"/>
        </w:rPr>
      </w:pPr>
      <w:r>
        <w:rPr>
          <w:sz w:val="20"/>
        </w:rPr>
        <w:t xml:space="preserve">(Continued from previous page)  </w:t>
      </w:r>
      <w:r>
        <w:rPr>
          <w:sz w:val="20"/>
        </w:rPr>
        <w:separator/>
      </w:r>
    </w:p>
  </w:footnote>
  <w:footnote w:type="continuationNotice" w:id="1">
    <w:p w:rsidR="00644123" w:rsidRDefault="00644123" w:rsidP="00C721AC">
      <w:pPr>
        <w:jc w:val="right"/>
        <w:rPr>
          <w:sz w:val="20"/>
        </w:rPr>
      </w:pPr>
      <w:r>
        <w:rPr>
          <w:sz w:val="20"/>
        </w:rPr>
        <w:t>(continued….)</w:t>
      </w:r>
    </w:p>
  </w:footnote>
  <w:footnote w:id="2">
    <w:p w:rsidR="00433455" w:rsidRDefault="00433455">
      <w:pPr>
        <w:pStyle w:val="FootnoteText"/>
      </w:pPr>
      <w:r>
        <w:rPr>
          <w:rStyle w:val="FootnoteReference"/>
        </w:rPr>
        <w:footnoteRef/>
      </w:r>
      <w:r>
        <w:t xml:space="preserve"> </w:t>
      </w:r>
      <w:r w:rsidR="00244D02">
        <w:t>Part 15 Subpart D sets out the regulations for Unlicensed Personal Communications Service (UPCS) devices that operate in the 1920-1930 MHz band.  UPCS devices typically consist of cordless phones, headsets, and other popular consumer devices.  Se</w:t>
      </w:r>
      <w:r>
        <w:t xml:space="preserve">ction 15.307 </w:t>
      </w:r>
      <w:r w:rsidR="00244D02">
        <w:t>requires that</w:t>
      </w:r>
      <w:r>
        <w:t xml:space="preserve"> </w:t>
      </w:r>
      <w:r w:rsidR="006A0B74">
        <w:t>applicants for certification of Unlicensed Personal Communications Service (UPCS) devices submit with their application for equipment certification an affidavit from UTAM, Inc. (UTAM) certifying that they are a participating member of UTAM</w:t>
      </w:r>
      <w:r>
        <w:t>.</w:t>
      </w:r>
    </w:p>
  </w:footnote>
  <w:footnote w:id="3">
    <w:p w:rsidR="00C553EB" w:rsidRDefault="00C553EB" w:rsidP="00C553EB">
      <w:pPr>
        <w:pStyle w:val="FootnoteText"/>
      </w:pPr>
      <w:r>
        <w:rPr>
          <w:rStyle w:val="FootnoteReference"/>
        </w:rPr>
        <w:footnoteRef/>
      </w:r>
      <w:r>
        <w:t xml:space="preserve"> 47 C.F.R. § 15.307.  Under the Commission’s equipment authorization rules, UPCS devices operated or marketed for use in the United States must be certified.  47 C.F.R. §§ 2.907, 15.305.</w:t>
      </w:r>
    </w:p>
  </w:footnote>
  <w:footnote w:id="4">
    <w:p w:rsidR="001E08AF" w:rsidRDefault="001E08AF" w:rsidP="001E08AF">
      <w:pPr>
        <w:pStyle w:val="FootnoteText"/>
      </w:pPr>
      <w:r w:rsidRPr="00844135">
        <w:rPr>
          <w:rStyle w:val="FootnoteReference"/>
        </w:rPr>
        <w:footnoteRef/>
      </w:r>
      <w:r w:rsidRPr="00844135">
        <w:t xml:space="preserve"> </w:t>
      </w:r>
      <w:r w:rsidRPr="00844135">
        <w:rPr>
          <w:i/>
        </w:rPr>
        <w:t>See</w:t>
      </w:r>
      <w:r w:rsidRPr="00844135">
        <w:t xml:space="preserve"> Letter from</w:t>
      </w:r>
      <w:r>
        <w:t xml:space="preserve"> Eric DeSilva, Counsel to</w:t>
      </w:r>
      <w:r w:rsidRPr="00844135">
        <w:t xml:space="preserve"> UTAM, Inc., to Marlene H. Dortch, Secretary, Federal Communications Commission</w:t>
      </w:r>
      <w:r>
        <w:t>, GEN Docket No. 90-314</w:t>
      </w:r>
      <w:r w:rsidRPr="00844135">
        <w:t xml:space="preserve"> (filed June 11, 2014) at </w:t>
      </w:r>
      <w:r>
        <w:t>1-</w:t>
      </w:r>
      <w:r w:rsidRPr="00844135">
        <w:t>2</w:t>
      </w:r>
      <w:r w:rsidR="007902E4">
        <w:t xml:space="preserve"> (UTAM Letter)</w:t>
      </w:r>
      <w:r w:rsidRPr="00844135">
        <w:t xml:space="preserve">. </w:t>
      </w:r>
    </w:p>
  </w:footnote>
  <w:footnote w:id="5">
    <w:p w:rsidR="000E3344" w:rsidRPr="000E3344" w:rsidRDefault="000E3344">
      <w:pPr>
        <w:pStyle w:val="FootnoteText"/>
      </w:pPr>
      <w:r>
        <w:rPr>
          <w:rStyle w:val="FootnoteReference"/>
        </w:rPr>
        <w:footnoteRef/>
      </w:r>
      <w:r>
        <w:t xml:space="preserve"> </w:t>
      </w:r>
      <w:r w:rsidR="005501E0">
        <w:rPr>
          <w:i/>
        </w:rPr>
        <w:t>See id.</w:t>
      </w:r>
      <w:r>
        <w:t xml:space="preserve"> at 2.</w:t>
      </w:r>
    </w:p>
  </w:footnote>
  <w:footnote w:id="6">
    <w:p w:rsidR="004F279F" w:rsidRDefault="004F279F" w:rsidP="004F279F">
      <w:pPr>
        <w:pStyle w:val="FootnoteText"/>
      </w:pPr>
      <w:r>
        <w:rPr>
          <w:rStyle w:val="FootnoteReference"/>
        </w:rPr>
        <w:footnoteRef/>
      </w:r>
      <w:r>
        <w:t xml:space="preserve"> </w:t>
      </w:r>
      <w:r>
        <w:rPr>
          <w:i/>
        </w:rPr>
        <w:t xml:space="preserve">See </w:t>
      </w:r>
      <w:r>
        <w:t xml:space="preserve">Amendment of the Commission’s Rules to Establish New Personal Communications Services, GEN Docket No. 90-314, </w:t>
      </w:r>
      <w:r>
        <w:rPr>
          <w:i/>
        </w:rPr>
        <w:t>Second Report and Order</w:t>
      </w:r>
      <w:r>
        <w:t>, 8 FCC Rcd 7700, 7738 ¶ 88 (</w:t>
      </w:r>
      <w:r>
        <w:rPr>
          <w:i/>
        </w:rPr>
        <w:t>Broadband PCS Second R&amp;O</w:t>
      </w:r>
      <w:r>
        <w:t>) (1993)</w:t>
      </w:r>
      <w:r w:rsidR="00C24AC9">
        <w:t>.</w:t>
      </w:r>
    </w:p>
  </w:footnote>
  <w:footnote w:id="7">
    <w:p w:rsidR="004F279F" w:rsidRPr="00381633" w:rsidRDefault="004F279F" w:rsidP="004F279F">
      <w:pPr>
        <w:pStyle w:val="FootnoteText"/>
      </w:pPr>
      <w:r>
        <w:rPr>
          <w:rStyle w:val="FootnoteReference"/>
        </w:rPr>
        <w:footnoteRef/>
      </w:r>
      <w:r>
        <w:t xml:space="preserve"> </w:t>
      </w:r>
      <w:r>
        <w:rPr>
          <w:i/>
        </w:rPr>
        <w:t>See Broadband PCS Second R&amp;O</w:t>
      </w:r>
      <w:r>
        <w:t xml:space="preserve"> 8 FCC Rcd at 7738 ¶ 88, 7739 ¶ 91; Amendment of the Commission’s Rules to Establish New Personal Communications Services, GEN Docket No. 90-314, </w:t>
      </w:r>
      <w:r w:rsidRPr="00F473DE">
        <w:rPr>
          <w:i/>
        </w:rPr>
        <w:t>Fourth Memorandum Opinion and Order</w:t>
      </w:r>
      <w:r>
        <w:t xml:space="preserve">, 10 FCC Rcd 7955, 7967 </w:t>
      </w:r>
      <w:r>
        <w:rPr>
          <w:color w:val="000000"/>
        </w:rPr>
        <w:t>¶ 38 (1995) (</w:t>
      </w:r>
      <w:r>
        <w:rPr>
          <w:i/>
          <w:color w:val="000000"/>
        </w:rPr>
        <w:t>Broadband PCS Fourth MO&amp;O</w:t>
      </w:r>
      <w:r>
        <w:rPr>
          <w:color w:val="000000"/>
        </w:rPr>
        <w:t>); 47 C.F.R.</w:t>
      </w:r>
      <w:r w:rsidRPr="00F31A7A">
        <w:t xml:space="preserve"> </w:t>
      </w:r>
      <w:r w:rsidRPr="00FB1466">
        <w:t>§</w:t>
      </w:r>
      <w:r>
        <w:t xml:space="preserve"> 15.307.  UTAM was created in 1993 by representatives from a broad range of UPCS equipment manufacturers to facilitate the transition of the 1910-1930 MHz band from POFS to UPCS use.  </w:t>
      </w:r>
      <w:r>
        <w:rPr>
          <w:i/>
        </w:rPr>
        <w:t>See Broadband PCS Second R&amp;O</w:t>
      </w:r>
      <w:r>
        <w:t xml:space="preserve"> 8 FCC Rcd at 7736 ¶ 83 n.74.   </w:t>
      </w:r>
      <w:r w:rsidR="00244D02">
        <w:t xml:space="preserve">UTAM has furnished biannual reports in </w:t>
      </w:r>
      <w:r w:rsidR="00244D02">
        <w:rPr>
          <w:color w:val="000000"/>
        </w:rPr>
        <w:t>ET Docket No. 90-314 that describe</w:t>
      </w:r>
      <w:r w:rsidR="00244D02">
        <w:t xml:space="preserve">, </w:t>
      </w:r>
      <w:r w:rsidR="00244D02">
        <w:rPr>
          <w:i/>
        </w:rPr>
        <w:t>inter alia</w:t>
      </w:r>
      <w:r w:rsidR="00244D02">
        <w:t xml:space="preserve">, the status of the financial and band clearing plans, the extent of microwave relocation, and the extent of unlicensed PCS deployment.  </w:t>
      </w:r>
    </w:p>
  </w:footnote>
  <w:footnote w:id="8">
    <w:p w:rsidR="0066009A" w:rsidRPr="006A2A4B" w:rsidRDefault="0066009A" w:rsidP="0066009A">
      <w:pPr>
        <w:pStyle w:val="FootnoteText"/>
      </w:pPr>
      <w:r>
        <w:rPr>
          <w:rStyle w:val="FootnoteReference"/>
        </w:rPr>
        <w:footnoteRef/>
      </w:r>
      <w:r>
        <w:t xml:space="preserve"> </w:t>
      </w:r>
      <w:r>
        <w:rPr>
          <w:i/>
        </w:rPr>
        <w:t xml:space="preserve">See </w:t>
      </w:r>
      <w:r>
        <w:rPr>
          <w:i/>
          <w:color w:val="000000"/>
        </w:rPr>
        <w:t>Broadband PCS Fourth MO&amp;O</w:t>
      </w:r>
      <w:r>
        <w:t xml:space="preserve">, 10 FCC Rcd at 7963 </w:t>
      </w:r>
      <w:r>
        <w:rPr>
          <w:color w:val="000000"/>
        </w:rPr>
        <w:t>¶ 25.</w:t>
      </w:r>
      <w:r w:rsidR="00244D02">
        <w:rPr>
          <w:color w:val="000000"/>
        </w:rPr>
        <w:t xml:space="preserve">  </w:t>
      </w:r>
      <w:r w:rsidR="007A452B">
        <w:rPr>
          <w:color w:val="000000"/>
        </w:rPr>
        <w:t>B</w:t>
      </w:r>
      <w:r w:rsidR="00244D02">
        <w:t>ecause s</w:t>
      </w:r>
      <w:r w:rsidR="00244D02" w:rsidRPr="00E26F95">
        <w:t xml:space="preserve">ome of the POFS operations </w:t>
      </w:r>
      <w:r w:rsidR="00244D02">
        <w:t xml:space="preserve">in the 1910-1930 MHz band </w:t>
      </w:r>
      <w:r w:rsidR="00244D02" w:rsidRPr="00E26F95">
        <w:t>were paired with links in other spectrum assigned for licensed PCS operations</w:t>
      </w:r>
      <w:r w:rsidR="00244D02">
        <w:t>,</w:t>
      </w:r>
      <w:r w:rsidR="007A452B">
        <w:t xml:space="preserve"> UTAM in some cases engaged in cost-sharing arrangements </w:t>
      </w:r>
      <w:r w:rsidR="00C24AC9">
        <w:t>in which</w:t>
      </w:r>
      <w:r w:rsidR="007A452B">
        <w:t xml:space="preserve"> </w:t>
      </w:r>
      <w:r w:rsidR="00244D02" w:rsidRPr="00E26F95">
        <w:t>the PCS licensees assume</w:t>
      </w:r>
      <w:r w:rsidR="007A452B">
        <w:t>d</w:t>
      </w:r>
      <w:r w:rsidR="00244D02" w:rsidRPr="00E26F95">
        <w:t xml:space="preserve"> responsibility for relocating the paired POFS links and UTAM agreed to reimburse the PCS licensees a </w:t>
      </w:r>
      <w:r w:rsidR="00244D02" w:rsidRPr="00E26F95">
        <w:rPr>
          <w:i/>
        </w:rPr>
        <w:t>pro rata</w:t>
      </w:r>
      <w:r w:rsidR="00244D02" w:rsidRPr="00E26F95">
        <w:t xml:space="preserve"> share for the spectrum cleared in the 1910</w:t>
      </w:r>
      <w:r w:rsidR="00244D02" w:rsidRPr="00E26F95">
        <w:noBreakHyphen/>
        <w:t>1930 MHz band.</w:t>
      </w:r>
      <w:r w:rsidR="00244D02">
        <w:t xml:space="preserve">  </w:t>
      </w:r>
      <w:r w:rsidR="00C24AC9">
        <w:t xml:space="preserve">Similarly, where UTAM relocated a paired link that included spectrum outside the 1910-1930 MHz band, it was entitled to reimbursement from the PCS licensees operating in those frequencies.  </w:t>
      </w:r>
      <w:r w:rsidR="00244D02">
        <w:rPr>
          <w:i/>
        </w:rPr>
        <w:t>See</w:t>
      </w:r>
      <w:r w:rsidR="00244D02">
        <w:t xml:space="preserve"> Reply Comments of UTAM, Inc., GEN Docket No. 90-314 (filed Sept. 9, 1994), at 3-6.</w:t>
      </w:r>
      <w:r w:rsidR="00C24AC9">
        <w:t xml:space="preserve">  </w:t>
      </w:r>
    </w:p>
  </w:footnote>
  <w:footnote w:id="9">
    <w:p w:rsidR="0066009A" w:rsidRPr="00C7202F" w:rsidRDefault="0066009A" w:rsidP="0066009A">
      <w:pPr>
        <w:pStyle w:val="FootnoteText"/>
      </w:pPr>
      <w:r>
        <w:rPr>
          <w:rStyle w:val="FootnoteReference"/>
        </w:rPr>
        <w:footnoteRef/>
      </w:r>
      <w:r>
        <w:t xml:space="preserve"> </w:t>
      </w:r>
      <w:r>
        <w:rPr>
          <w:i/>
        </w:rPr>
        <w:t xml:space="preserve">See </w:t>
      </w:r>
      <w:r>
        <w:t xml:space="preserve">UTAM Plan for Financing and Managing 2 GHz Microwave Relocation, GEN Docket No. 90-314 (filed Aug. 1, 1994), at 34-38; UTAM Report to the FCC, GEN Docket No. 90-314 (filed Jan. 1, 2009) at </w:t>
      </w:r>
      <w:r w:rsidR="00C7202F">
        <w:t>4</w:t>
      </w:r>
      <w:r>
        <w:t>.</w:t>
      </w:r>
      <w:r w:rsidR="008849B1">
        <w:t xml:space="preserve">  In 2008, UTAM</w:t>
      </w:r>
      <w:r w:rsidR="00C7202F">
        <w:t xml:space="preserve"> suspended the fee per </w:t>
      </w:r>
      <w:r w:rsidR="00CB088E">
        <w:t xml:space="preserve">UPCS </w:t>
      </w:r>
      <w:r w:rsidR="00C7202F">
        <w:t xml:space="preserve">device sold but retained the </w:t>
      </w:r>
      <w:r w:rsidR="00F23B23">
        <w:t xml:space="preserve">UTAM </w:t>
      </w:r>
      <w:r w:rsidR="00C7202F">
        <w:t xml:space="preserve">membership fee.  </w:t>
      </w:r>
      <w:r w:rsidR="00C7202F">
        <w:rPr>
          <w:i/>
        </w:rPr>
        <w:t>See id.</w:t>
      </w:r>
      <w:r w:rsidR="00C7202F">
        <w:t xml:space="preserve"> at 4-5.</w:t>
      </w:r>
    </w:p>
  </w:footnote>
  <w:footnote w:id="10">
    <w:p w:rsidR="00435D38" w:rsidRDefault="00435D38">
      <w:pPr>
        <w:pStyle w:val="FootnoteText"/>
      </w:pPr>
      <w:r>
        <w:rPr>
          <w:rStyle w:val="FootnoteReference"/>
        </w:rPr>
        <w:footnoteRef/>
      </w:r>
      <w:r>
        <w:t xml:space="preserve"> </w:t>
      </w:r>
      <w:r w:rsidR="00DF08F6">
        <w:t xml:space="preserve">47 C.F.R. § 15.307.  </w:t>
      </w:r>
      <w:r>
        <w:t>Thus, manufacture</w:t>
      </w:r>
      <w:r w:rsidR="00C24AC9">
        <w:t>r</w:t>
      </w:r>
      <w:r>
        <w:t xml:space="preserve">s would not be able to </w:t>
      </w:r>
      <w:r w:rsidR="00C24AC9">
        <w:t xml:space="preserve">obtain certification for their UPCS equipment – and market such equipment – until after they had joined UTAM. </w:t>
      </w:r>
    </w:p>
  </w:footnote>
  <w:footnote w:id="11">
    <w:p w:rsidR="004F279F" w:rsidRDefault="004F279F" w:rsidP="004F279F">
      <w:pPr>
        <w:pStyle w:val="FootnoteText"/>
      </w:pPr>
      <w:r>
        <w:rPr>
          <w:rStyle w:val="FootnoteReference"/>
        </w:rPr>
        <w:footnoteRef/>
      </w:r>
      <w:r>
        <w:t xml:space="preserve"> </w:t>
      </w:r>
      <w:r>
        <w:rPr>
          <w:i/>
        </w:rPr>
        <w:t>See</w:t>
      </w:r>
      <w:r>
        <w:t xml:space="preserve"> Improving Public Safety Communications in the 800 MHz Band, Consolidating the 800 and 900 MHz Industrial/Land Transportation and Business Pool Channels, WT Docket 02-55, Amendment of Part 2 of the Commission’s Rules to Allocate Spectrum Below 3 GHz for Mobile and Fixed Services to Support the Introduction of New Advanced Wireless Services, including Third Generation Wireless Systems, ET Docket No. 00</w:t>
      </w:r>
      <w:r>
        <w:noBreakHyphen/>
        <w:t xml:space="preserve">258, Petition for Rule Making of the Wireless Information Networks Forum Concerning the Unlicensed Personal Communications Service, RM-9498, Petition for Rule Making of UT Starcom, Inc., Concerning the Unlicensed Personal Communications Service, RM-10024, Amendment of Section 2.106 of the Commission’s Rules to Allocate Spectrum at 2 GHz for use by the Mobile Satellite Service, ET Docket No. 95-18, </w:t>
      </w:r>
      <w:r>
        <w:rPr>
          <w:i/>
        </w:rPr>
        <w:t>Report and Order, Fourth Report and Order, Fourth Memorandum Opinion and Order, and Order</w:t>
      </w:r>
      <w:r>
        <w:t>, 19 FCC Rcd 14969, 15088 ¶ 227 (2004) (</w:t>
      </w:r>
      <w:r>
        <w:rPr>
          <w:i/>
        </w:rPr>
        <w:t>800 MHz R&amp;O</w:t>
      </w:r>
      <w:r>
        <w:t>).</w:t>
      </w:r>
    </w:p>
  </w:footnote>
  <w:footnote w:id="12">
    <w:p w:rsidR="004F279F" w:rsidRDefault="004F279F" w:rsidP="004F279F">
      <w:pPr>
        <w:pStyle w:val="FootnoteText"/>
      </w:pPr>
      <w:r>
        <w:rPr>
          <w:rStyle w:val="FootnoteReference"/>
        </w:rPr>
        <w:footnoteRef/>
      </w:r>
      <w:r>
        <w:t xml:space="preserve"> </w:t>
      </w:r>
      <w:r w:rsidRPr="006C75E3">
        <w:rPr>
          <w:i/>
        </w:rPr>
        <w:t>See</w:t>
      </w:r>
      <w:r>
        <w:t xml:space="preserve"> </w:t>
      </w:r>
      <w:r w:rsidRPr="006C75E3">
        <w:t>Amendment</w:t>
      </w:r>
      <w:r>
        <w:t xml:space="preserve"> of Part 2 of the Commission’s Rules to Allocate Spectrum Below 3 GHz for Mobile and Fixed Services to Support the Introduction of New Advanced Wireless Services, including Third Generation Wireless Systems, ET Docket No. 00</w:t>
      </w:r>
      <w:r>
        <w:noBreakHyphen/>
        <w:t>258, Petition for Rule Making of the Wireless Information Networks Forum Concerning the Unlicensed Personal Communications Service, RM</w:t>
      </w:r>
      <w:r>
        <w:noBreakHyphen/>
        <w:t xml:space="preserve">9498, Petition for Rule Making of UT Starcom, Inc., Concerning the Unlicensed Personal Communications Service, RM-10024, Amendment of Section 2.106 of the Commission’s Rules to Allocate Spectrum at 2 GHz for use by the Mobile-Satellite Service, ET Docket No. 95-18, </w:t>
      </w:r>
      <w:r>
        <w:rPr>
          <w:i/>
        </w:rPr>
        <w:t>Sixth Report and Order, Third Memorandum Opinion and Order, and Fifth Memorandum Opinion and Order</w:t>
      </w:r>
      <w:r>
        <w:t>, 19 FCC Rcd 20720, 20739-40 ¶¶ 40-41 (2004) (</w:t>
      </w:r>
      <w:r>
        <w:rPr>
          <w:i/>
        </w:rPr>
        <w:t>AWS Sixth R&amp;O</w:t>
      </w:r>
      <w:r>
        <w:t>).</w:t>
      </w:r>
    </w:p>
  </w:footnote>
  <w:footnote w:id="13">
    <w:p w:rsidR="007902E4" w:rsidRDefault="007902E4">
      <w:pPr>
        <w:pStyle w:val="FootnoteText"/>
      </w:pPr>
      <w:r>
        <w:rPr>
          <w:rStyle w:val="FootnoteReference"/>
        </w:rPr>
        <w:footnoteRef/>
      </w:r>
      <w:r>
        <w:t xml:space="preserve"> </w:t>
      </w:r>
      <w:r w:rsidR="009F5E9C">
        <w:rPr>
          <w:i/>
        </w:rPr>
        <w:t>See</w:t>
      </w:r>
      <w:r w:rsidR="009F5E9C">
        <w:t xml:space="preserve"> </w:t>
      </w:r>
      <w:r w:rsidR="009F5E9C">
        <w:rPr>
          <w:i/>
        </w:rPr>
        <w:t>800 MHz R&amp;O</w:t>
      </w:r>
      <w:r w:rsidR="009F5E9C">
        <w:t xml:space="preserve">, 19 FCC Rcd at 15093 ¶ 245.  In the </w:t>
      </w:r>
      <w:r w:rsidR="009F5E9C">
        <w:rPr>
          <w:i/>
        </w:rPr>
        <w:t>800 MHz R&amp;</w:t>
      </w:r>
      <w:r w:rsidR="009F5E9C" w:rsidRPr="00B0051C">
        <w:t>O</w:t>
      </w:r>
      <w:r w:rsidR="009F5E9C">
        <w:t xml:space="preserve">, </w:t>
      </w:r>
      <w:r w:rsidR="009F5E9C">
        <w:rPr>
          <w:szCs w:val="22"/>
        </w:rPr>
        <w:t>t</w:t>
      </w:r>
      <w:r w:rsidRPr="009F5E9C">
        <w:rPr>
          <w:szCs w:val="22"/>
        </w:rPr>
        <w:t>he</w:t>
      </w:r>
      <w:r w:rsidR="00510ECF">
        <w:rPr>
          <w:szCs w:val="22"/>
        </w:rPr>
        <w:t xml:space="preserve"> Commission assigned the 1910</w:t>
      </w:r>
      <w:r w:rsidR="00510ECF">
        <w:rPr>
          <w:szCs w:val="22"/>
        </w:rPr>
        <w:noBreakHyphen/>
      </w:r>
      <w:r w:rsidRPr="005E21D6">
        <w:rPr>
          <w:szCs w:val="22"/>
        </w:rPr>
        <w:t>1915</w:t>
      </w:r>
      <w:r w:rsidR="00510ECF">
        <w:rPr>
          <w:szCs w:val="22"/>
        </w:rPr>
        <w:t> </w:t>
      </w:r>
      <w:r w:rsidRPr="005E21D6">
        <w:rPr>
          <w:szCs w:val="22"/>
        </w:rPr>
        <w:t>MHz band to Nextel as replacement spectrum for its operations being relocated from the 800 MHz band.</w:t>
      </w:r>
      <w:r w:rsidR="009F5E9C">
        <w:rPr>
          <w:szCs w:val="22"/>
        </w:rPr>
        <w:t xml:space="preserve">  </w:t>
      </w:r>
      <w:r>
        <w:rPr>
          <w:sz w:val="24"/>
          <w:szCs w:val="24"/>
        </w:rPr>
        <w:t xml:space="preserve"> </w:t>
      </w:r>
      <w:r w:rsidR="009F5E9C">
        <w:rPr>
          <w:i/>
        </w:rPr>
        <w:t>See</w:t>
      </w:r>
      <w:r w:rsidR="009F5E9C">
        <w:t xml:space="preserve"> </w:t>
      </w:r>
      <w:r w:rsidR="009F5E9C">
        <w:rPr>
          <w:i/>
        </w:rPr>
        <w:t>800 MHz R&amp;O</w:t>
      </w:r>
      <w:r w:rsidR="009F5E9C">
        <w:t xml:space="preserve">, 19 FCC Rcd at 15085 ¶ 223.  </w:t>
      </w:r>
      <w:r>
        <w:rPr>
          <w:sz w:val="24"/>
          <w:szCs w:val="24"/>
        </w:rPr>
        <w:t xml:space="preserve"> </w:t>
      </w:r>
    </w:p>
  </w:footnote>
  <w:footnote w:id="14">
    <w:p w:rsidR="004F279F" w:rsidRPr="005E21D6" w:rsidRDefault="004F279F" w:rsidP="004F279F">
      <w:pPr>
        <w:pStyle w:val="FootnoteText"/>
      </w:pPr>
      <w:r>
        <w:rPr>
          <w:rStyle w:val="FootnoteReference"/>
        </w:rPr>
        <w:footnoteRef/>
      </w:r>
      <w:r>
        <w:t xml:space="preserve"> </w:t>
      </w:r>
      <w:r w:rsidR="009F5E9C">
        <w:rPr>
          <w:i/>
        </w:rPr>
        <w:t>See</w:t>
      </w:r>
      <w:r w:rsidR="009F5E9C">
        <w:t xml:space="preserve"> UTAM Report to the FCC, GEN Docket No. 90-314 (filed Jan. 4, 2008), at 4-5. </w:t>
      </w:r>
    </w:p>
  </w:footnote>
  <w:footnote w:id="15">
    <w:p w:rsidR="007902E4" w:rsidRPr="00E42953" w:rsidRDefault="007902E4" w:rsidP="007902E4">
      <w:pPr>
        <w:pStyle w:val="FootnoteText"/>
      </w:pPr>
      <w:r>
        <w:rPr>
          <w:rStyle w:val="FootnoteReference"/>
        </w:rPr>
        <w:footnoteRef/>
      </w:r>
      <w:r>
        <w:t xml:space="preserve"> </w:t>
      </w:r>
      <w:r>
        <w:rPr>
          <w:i/>
        </w:rPr>
        <w:t>See AWS Sixth R&amp;O</w:t>
      </w:r>
      <w:r>
        <w:t xml:space="preserve">, 19 FCC Rcd at 20745-46 ¶¶ 53-55.  </w:t>
      </w:r>
    </w:p>
  </w:footnote>
  <w:footnote w:id="16">
    <w:p w:rsidR="008F15DD" w:rsidRDefault="008F15DD">
      <w:pPr>
        <w:pStyle w:val="FootnoteText"/>
      </w:pPr>
      <w:r>
        <w:rPr>
          <w:rStyle w:val="FootnoteReference"/>
        </w:rPr>
        <w:footnoteRef/>
      </w:r>
      <w:r>
        <w:t xml:space="preserve"> </w:t>
      </w:r>
      <w:r w:rsidR="009F5E9C" w:rsidRPr="00844135">
        <w:rPr>
          <w:i/>
        </w:rPr>
        <w:t>See</w:t>
      </w:r>
      <w:r w:rsidR="009F5E9C" w:rsidRPr="00844135">
        <w:t xml:space="preserve"> </w:t>
      </w:r>
      <w:r w:rsidR="009F5E9C">
        <w:t xml:space="preserve">UTAM </w:t>
      </w:r>
      <w:r w:rsidR="009F5E9C" w:rsidRPr="00844135">
        <w:t>Letter at 2.</w:t>
      </w:r>
      <w:r w:rsidR="009F5E9C">
        <w:t xml:space="preserve"> </w:t>
      </w:r>
    </w:p>
  </w:footnote>
  <w:footnote w:id="17">
    <w:p w:rsidR="007902E4" w:rsidRDefault="007902E4" w:rsidP="007902E4">
      <w:pPr>
        <w:pStyle w:val="FootnoteText"/>
      </w:pPr>
      <w:r w:rsidRPr="00844135">
        <w:rPr>
          <w:rStyle w:val="FootnoteReference"/>
        </w:rPr>
        <w:footnoteRef/>
      </w:r>
      <w:r w:rsidRPr="00844135">
        <w:t xml:space="preserve"> </w:t>
      </w:r>
      <w:r w:rsidRPr="00844135">
        <w:rPr>
          <w:i/>
        </w:rPr>
        <w:t>See</w:t>
      </w:r>
      <w:r w:rsidRPr="00844135">
        <w:t xml:space="preserve"> </w:t>
      </w:r>
      <w:r w:rsidR="005501E0">
        <w:rPr>
          <w:i/>
        </w:rPr>
        <w:t>id.</w:t>
      </w:r>
      <w:r w:rsidRPr="00844135">
        <w:t xml:space="preserve"> at </w:t>
      </w:r>
      <w:r>
        <w:t>1-</w:t>
      </w:r>
      <w:r w:rsidRPr="00844135">
        <w:t xml:space="preserve">2. </w:t>
      </w:r>
    </w:p>
  </w:footnote>
  <w:footnote w:id="18">
    <w:p w:rsidR="007902E4" w:rsidRPr="001314AC" w:rsidRDefault="007902E4">
      <w:pPr>
        <w:pStyle w:val="FootnoteText"/>
        <w:rPr>
          <w:i/>
        </w:rPr>
      </w:pPr>
      <w:r>
        <w:rPr>
          <w:rStyle w:val="FootnoteReference"/>
        </w:rPr>
        <w:footnoteRef/>
      </w:r>
      <w:r>
        <w:t xml:space="preserve"> </w:t>
      </w:r>
      <w:r>
        <w:rPr>
          <w:i/>
        </w:rPr>
        <w:t>Id.</w:t>
      </w:r>
    </w:p>
  </w:footnote>
  <w:footnote w:id="19">
    <w:p w:rsidR="007902E4" w:rsidRPr="00F9461D" w:rsidRDefault="007902E4">
      <w:pPr>
        <w:pStyle w:val="FootnoteText"/>
      </w:pPr>
      <w:r>
        <w:rPr>
          <w:rStyle w:val="FootnoteReference"/>
        </w:rPr>
        <w:footnoteRef/>
      </w:r>
      <w:r>
        <w:t xml:space="preserve"> </w:t>
      </w:r>
      <w:r w:rsidR="00F9461D">
        <w:rPr>
          <w:i/>
        </w:rPr>
        <w:t xml:space="preserve">See </w:t>
      </w:r>
      <w:r w:rsidR="00F9461D">
        <w:t>5 U.S.C. § 553(b)(B)</w:t>
      </w:r>
      <w:r w:rsidR="00F23B23">
        <w:t xml:space="preserve">.  </w:t>
      </w:r>
      <w:r w:rsidR="00F23B23">
        <w:rPr>
          <w:color w:val="000000"/>
        </w:rPr>
        <w:t> </w:t>
      </w:r>
    </w:p>
  </w:footnote>
  <w:footnote w:id="20">
    <w:p w:rsidR="00EE3421" w:rsidRDefault="00EE3421">
      <w:pPr>
        <w:pStyle w:val="FootnoteText"/>
      </w:pPr>
      <w:r>
        <w:rPr>
          <w:rStyle w:val="FootnoteReference"/>
        </w:rPr>
        <w:footnoteRef/>
      </w:r>
      <w:r>
        <w:t xml:space="preserve"> </w:t>
      </w:r>
      <w:r>
        <w:rPr>
          <w:i/>
        </w:rPr>
        <w:t xml:space="preserve">See </w:t>
      </w:r>
      <w:r>
        <w:rPr>
          <w:i/>
          <w:iCs/>
          <w:color w:val="000000"/>
        </w:rPr>
        <w:t>Utility Solid Waste Activities Group v. EPA</w:t>
      </w:r>
      <w:r>
        <w:rPr>
          <w:color w:val="000000"/>
        </w:rPr>
        <w:t xml:space="preserve">, 236 F.3d 749, 755 (D.C. Cir. 2001), </w:t>
      </w:r>
      <w:r>
        <w:rPr>
          <w:i/>
          <w:iCs/>
          <w:color w:val="000000"/>
        </w:rPr>
        <w:t>citing Texaco v. FPC</w:t>
      </w:r>
      <w:r>
        <w:rPr>
          <w:color w:val="000000"/>
        </w:rPr>
        <w:t>, 412 F.2d 740, 743 (3</w:t>
      </w:r>
      <w:r>
        <w:rPr>
          <w:color w:val="000000"/>
          <w:vertAlign w:val="superscript"/>
        </w:rPr>
        <w:t>rd</w:t>
      </w:r>
      <w:r>
        <w:rPr>
          <w:color w:val="000000"/>
        </w:rPr>
        <w:t xml:space="preserve"> Cir. 1969).</w:t>
      </w:r>
    </w:p>
  </w:footnote>
  <w:footnote w:id="21">
    <w:p w:rsidR="006D4397" w:rsidRPr="00B22B40" w:rsidRDefault="006D4397" w:rsidP="006D4397">
      <w:pPr>
        <w:pStyle w:val="FootnoteText"/>
      </w:pPr>
      <w:r>
        <w:rPr>
          <w:rStyle w:val="FootnoteReference"/>
        </w:rPr>
        <w:footnoteRef/>
      </w:r>
      <w:r>
        <w:t xml:space="preserve"> Under Section 0.31(i) of the Commission’s rules, the Office of Engineering and Technology has the duty and responsibility to administer Parts 2, 5, 15, and 18 of Chapter 47, including licensing, recordkeeping, and rule making.  Under Section 0.241(i) of the Commiss</w:t>
      </w:r>
      <w:r w:rsidR="00763A65">
        <w:t>i</w:t>
      </w:r>
      <w:r>
        <w:t xml:space="preserve">on’s rules, the Chief of the Office of Engineering and Technology is delegated authority to make nonsubstantive, editorial revisions to the Commission’s rules and regulations contained in Parts 2, 4, 5, 15, and 18 of Chapter 47.  </w:t>
      </w:r>
      <w:r w:rsidRPr="00C54B9A">
        <w:rPr>
          <w:i/>
        </w:rPr>
        <w:t>See</w:t>
      </w:r>
      <w:r>
        <w:t xml:space="preserve"> </w:t>
      </w:r>
      <w:r w:rsidRPr="00C54B9A">
        <w:t>47</w:t>
      </w:r>
      <w:r>
        <w:t xml:space="preserve"> C.F.R. §§ 0.31(i), 0.241(i).   </w:t>
      </w:r>
    </w:p>
  </w:footnote>
  <w:footnote w:id="22">
    <w:p w:rsidR="00A36280" w:rsidRPr="00452585" w:rsidRDefault="00A36280" w:rsidP="00A36280">
      <w:pPr>
        <w:pStyle w:val="FootnoteText"/>
      </w:pPr>
      <w:r>
        <w:rPr>
          <w:rStyle w:val="FootnoteReference"/>
        </w:rPr>
        <w:footnoteRef/>
      </w:r>
      <w:r w:rsidR="00C54B9A">
        <w:t xml:space="preserve"> 5 U.S.C. </w:t>
      </w:r>
      <w:r>
        <w:t>§§ 601</w:t>
      </w:r>
      <w:r>
        <w:rPr>
          <w:i/>
        </w:rPr>
        <w:t>, 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C3" w:rsidRDefault="00697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F2C3A">
      <w:t>DA 14-</w:t>
    </w:r>
    <w:r w:rsidR="00763A65">
      <w:t>1507</w:t>
    </w:r>
  </w:p>
  <w:p w:rsidR="00D25FB5" w:rsidRDefault="0034325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43256" w:rsidP="00810B6F">
    <w:pPr>
      <w:pStyle w:val="Header"/>
      <w:rPr>
        <w:b w:val="0"/>
      </w:rPr>
    </w:pPr>
    <w:r>
      <w:rPr>
        <w:noProof/>
        <w:snapToGrid/>
        <w:sz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EE721E">
      <w:t xml:space="preserve"> </w:t>
    </w:r>
    <w:r w:rsidR="00F56925">
      <w:t xml:space="preserve"> </w:t>
    </w:r>
    <w:r w:rsidR="00D25FB5">
      <w:tab/>
      <w:t>Federal Communications Commission</w:t>
    </w:r>
    <w:r w:rsidR="00EE721E">
      <w:t xml:space="preserve"> </w:t>
    </w:r>
    <w:r w:rsidR="00F56925">
      <w:t xml:space="preserve"> </w:t>
    </w:r>
    <w:r w:rsidR="00D25FB5" w:rsidRPr="00F56925">
      <w:rPr>
        <w:sz w:val="18"/>
        <w:szCs w:val="18"/>
      </w:rPr>
      <w:tab/>
    </w:r>
    <w:r w:rsidR="00264FE1">
      <w:t>DA 14-</w:t>
    </w:r>
    <w:r w:rsidR="00763A65">
      <w:t>1507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A0C015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F1426B5"/>
    <w:multiLevelType w:val="multilevel"/>
    <w:tmpl w:val="4AD43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474534D"/>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2087"/>
    <w:rsid w:val="000022E7"/>
    <w:rsid w:val="0000326A"/>
    <w:rsid w:val="000064B8"/>
    <w:rsid w:val="00006AB9"/>
    <w:rsid w:val="000317FC"/>
    <w:rsid w:val="00036039"/>
    <w:rsid w:val="00037F90"/>
    <w:rsid w:val="00043BFF"/>
    <w:rsid w:val="00044568"/>
    <w:rsid w:val="00051FF9"/>
    <w:rsid w:val="0005582E"/>
    <w:rsid w:val="00072622"/>
    <w:rsid w:val="00074889"/>
    <w:rsid w:val="00077154"/>
    <w:rsid w:val="00081315"/>
    <w:rsid w:val="00081980"/>
    <w:rsid w:val="000875BF"/>
    <w:rsid w:val="000905B6"/>
    <w:rsid w:val="000932B2"/>
    <w:rsid w:val="0009508B"/>
    <w:rsid w:val="00096D8C"/>
    <w:rsid w:val="000A0F49"/>
    <w:rsid w:val="000A124A"/>
    <w:rsid w:val="000A7FF3"/>
    <w:rsid w:val="000C0B65"/>
    <w:rsid w:val="000C2160"/>
    <w:rsid w:val="000C34DE"/>
    <w:rsid w:val="000C47BA"/>
    <w:rsid w:val="000C4FE5"/>
    <w:rsid w:val="000C579F"/>
    <w:rsid w:val="000C7A08"/>
    <w:rsid w:val="000D1949"/>
    <w:rsid w:val="000E05FE"/>
    <w:rsid w:val="000E1608"/>
    <w:rsid w:val="000E3344"/>
    <w:rsid w:val="000E3D42"/>
    <w:rsid w:val="000E5AA2"/>
    <w:rsid w:val="000E5CD3"/>
    <w:rsid w:val="000E6597"/>
    <w:rsid w:val="000F05CA"/>
    <w:rsid w:val="00102BF1"/>
    <w:rsid w:val="00110B46"/>
    <w:rsid w:val="00112667"/>
    <w:rsid w:val="00113797"/>
    <w:rsid w:val="00116F04"/>
    <w:rsid w:val="001202B6"/>
    <w:rsid w:val="00122702"/>
    <w:rsid w:val="00122BD5"/>
    <w:rsid w:val="0013146C"/>
    <w:rsid w:val="001314AC"/>
    <w:rsid w:val="00133F79"/>
    <w:rsid w:val="00146027"/>
    <w:rsid w:val="00175E82"/>
    <w:rsid w:val="00180FDF"/>
    <w:rsid w:val="00181B2E"/>
    <w:rsid w:val="00182E4E"/>
    <w:rsid w:val="00185BE5"/>
    <w:rsid w:val="00187173"/>
    <w:rsid w:val="00190C40"/>
    <w:rsid w:val="00194A66"/>
    <w:rsid w:val="001A4B02"/>
    <w:rsid w:val="001A6C61"/>
    <w:rsid w:val="001D6BCF"/>
    <w:rsid w:val="001D7956"/>
    <w:rsid w:val="001E004B"/>
    <w:rsid w:val="001E01CA"/>
    <w:rsid w:val="001E08AF"/>
    <w:rsid w:val="001E48A6"/>
    <w:rsid w:val="001F7895"/>
    <w:rsid w:val="002015D9"/>
    <w:rsid w:val="0020782C"/>
    <w:rsid w:val="00211BC6"/>
    <w:rsid w:val="00213913"/>
    <w:rsid w:val="00213F50"/>
    <w:rsid w:val="002224BF"/>
    <w:rsid w:val="00240C89"/>
    <w:rsid w:val="00243091"/>
    <w:rsid w:val="00244BA8"/>
    <w:rsid w:val="00244D02"/>
    <w:rsid w:val="00254DC9"/>
    <w:rsid w:val="00261134"/>
    <w:rsid w:val="00264140"/>
    <w:rsid w:val="00264FE1"/>
    <w:rsid w:val="00275CF5"/>
    <w:rsid w:val="0027649C"/>
    <w:rsid w:val="0028301F"/>
    <w:rsid w:val="00285017"/>
    <w:rsid w:val="002903D1"/>
    <w:rsid w:val="00290976"/>
    <w:rsid w:val="00297A19"/>
    <w:rsid w:val="002A2D2E"/>
    <w:rsid w:val="002A3255"/>
    <w:rsid w:val="002A66F8"/>
    <w:rsid w:val="002B0D9E"/>
    <w:rsid w:val="002B29D9"/>
    <w:rsid w:val="002B2BF1"/>
    <w:rsid w:val="002B6984"/>
    <w:rsid w:val="002C00E8"/>
    <w:rsid w:val="002C5386"/>
    <w:rsid w:val="002D0DC8"/>
    <w:rsid w:val="002D31F4"/>
    <w:rsid w:val="002D59A7"/>
    <w:rsid w:val="002D7D06"/>
    <w:rsid w:val="002E1DC5"/>
    <w:rsid w:val="002F481A"/>
    <w:rsid w:val="002F5487"/>
    <w:rsid w:val="0030603C"/>
    <w:rsid w:val="00313243"/>
    <w:rsid w:val="00314F7D"/>
    <w:rsid w:val="00325633"/>
    <w:rsid w:val="00325D29"/>
    <w:rsid w:val="00335BD3"/>
    <w:rsid w:val="00337D32"/>
    <w:rsid w:val="0034134F"/>
    <w:rsid w:val="00343256"/>
    <w:rsid w:val="00343749"/>
    <w:rsid w:val="00344F13"/>
    <w:rsid w:val="00352FC7"/>
    <w:rsid w:val="003618FA"/>
    <w:rsid w:val="00365188"/>
    <w:rsid w:val="003660ED"/>
    <w:rsid w:val="00375A4C"/>
    <w:rsid w:val="003776A5"/>
    <w:rsid w:val="003822D7"/>
    <w:rsid w:val="00386E21"/>
    <w:rsid w:val="00393C1E"/>
    <w:rsid w:val="00397C35"/>
    <w:rsid w:val="003B0550"/>
    <w:rsid w:val="003B15A2"/>
    <w:rsid w:val="003B467E"/>
    <w:rsid w:val="003B694F"/>
    <w:rsid w:val="003B74EB"/>
    <w:rsid w:val="003B7627"/>
    <w:rsid w:val="003C53B9"/>
    <w:rsid w:val="003D345F"/>
    <w:rsid w:val="003D6475"/>
    <w:rsid w:val="003E021C"/>
    <w:rsid w:val="003E42B8"/>
    <w:rsid w:val="003E6ED2"/>
    <w:rsid w:val="003F171C"/>
    <w:rsid w:val="003F34AF"/>
    <w:rsid w:val="003F3A18"/>
    <w:rsid w:val="003F4C28"/>
    <w:rsid w:val="00411B56"/>
    <w:rsid w:val="00412890"/>
    <w:rsid w:val="00412FC5"/>
    <w:rsid w:val="00414038"/>
    <w:rsid w:val="00422276"/>
    <w:rsid w:val="00423836"/>
    <w:rsid w:val="004242F1"/>
    <w:rsid w:val="00424DF9"/>
    <w:rsid w:val="00430407"/>
    <w:rsid w:val="00430BE7"/>
    <w:rsid w:val="00433455"/>
    <w:rsid w:val="00435D38"/>
    <w:rsid w:val="0044279B"/>
    <w:rsid w:val="00444267"/>
    <w:rsid w:val="00444E3B"/>
    <w:rsid w:val="00445A00"/>
    <w:rsid w:val="00445B1D"/>
    <w:rsid w:val="00451B0F"/>
    <w:rsid w:val="00452585"/>
    <w:rsid w:val="004569F8"/>
    <w:rsid w:val="00467E80"/>
    <w:rsid w:val="00473F4E"/>
    <w:rsid w:val="00475161"/>
    <w:rsid w:val="00475A17"/>
    <w:rsid w:val="00476A0E"/>
    <w:rsid w:val="00492EF0"/>
    <w:rsid w:val="00495048"/>
    <w:rsid w:val="004961EF"/>
    <w:rsid w:val="004A53BE"/>
    <w:rsid w:val="004C1E47"/>
    <w:rsid w:val="004C2EE3"/>
    <w:rsid w:val="004D1135"/>
    <w:rsid w:val="004D43B7"/>
    <w:rsid w:val="004E4A22"/>
    <w:rsid w:val="004E5AD0"/>
    <w:rsid w:val="004E64FA"/>
    <w:rsid w:val="004F279F"/>
    <w:rsid w:val="004F2D6A"/>
    <w:rsid w:val="004F5FD7"/>
    <w:rsid w:val="004F7808"/>
    <w:rsid w:val="005063DF"/>
    <w:rsid w:val="00510ECF"/>
    <w:rsid w:val="00511968"/>
    <w:rsid w:val="005132C4"/>
    <w:rsid w:val="00513CB1"/>
    <w:rsid w:val="005167EE"/>
    <w:rsid w:val="005204CA"/>
    <w:rsid w:val="0053051E"/>
    <w:rsid w:val="00531C52"/>
    <w:rsid w:val="00533684"/>
    <w:rsid w:val="00537426"/>
    <w:rsid w:val="0053758B"/>
    <w:rsid w:val="00537EFA"/>
    <w:rsid w:val="005465B8"/>
    <w:rsid w:val="00546D82"/>
    <w:rsid w:val="0054744C"/>
    <w:rsid w:val="00547E71"/>
    <w:rsid w:val="005501E0"/>
    <w:rsid w:val="0055614C"/>
    <w:rsid w:val="00562093"/>
    <w:rsid w:val="005624DF"/>
    <w:rsid w:val="00563043"/>
    <w:rsid w:val="00567FBB"/>
    <w:rsid w:val="00577B6A"/>
    <w:rsid w:val="00581129"/>
    <w:rsid w:val="005842DA"/>
    <w:rsid w:val="005C41A4"/>
    <w:rsid w:val="005D3E47"/>
    <w:rsid w:val="005E14C2"/>
    <w:rsid w:val="005F08DB"/>
    <w:rsid w:val="005F3B02"/>
    <w:rsid w:val="005F6036"/>
    <w:rsid w:val="00606AA6"/>
    <w:rsid w:val="00607BA5"/>
    <w:rsid w:val="0061180A"/>
    <w:rsid w:val="0061456E"/>
    <w:rsid w:val="00623FBF"/>
    <w:rsid w:val="00626EB6"/>
    <w:rsid w:val="00626EDE"/>
    <w:rsid w:val="00627E8E"/>
    <w:rsid w:val="00630824"/>
    <w:rsid w:val="0063238F"/>
    <w:rsid w:val="00635378"/>
    <w:rsid w:val="00642AA0"/>
    <w:rsid w:val="00643970"/>
    <w:rsid w:val="00644123"/>
    <w:rsid w:val="00644FCC"/>
    <w:rsid w:val="006450BF"/>
    <w:rsid w:val="00651152"/>
    <w:rsid w:val="00653582"/>
    <w:rsid w:val="00655D03"/>
    <w:rsid w:val="0066009A"/>
    <w:rsid w:val="006806DD"/>
    <w:rsid w:val="00683388"/>
    <w:rsid w:val="00683F84"/>
    <w:rsid w:val="0069171F"/>
    <w:rsid w:val="0069579D"/>
    <w:rsid w:val="006970BA"/>
    <w:rsid w:val="00697EC3"/>
    <w:rsid w:val="006A0B74"/>
    <w:rsid w:val="006A6A81"/>
    <w:rsid w:val="006C081B"/>
    <w:rsid w:val="006C1055"/>
    <w:rsid w:val="006D4397"/>
    <w:rsid w:val="006D5D80"/>
    <w:rsid w:val="006E1182"/>
    <w:rsid w:val="006E168A"/>
    <w:rsid w:val="006E32DA"/>
    <w:rsid w:val="006E6756"/>
    <w:rsid w:val="006F6C2C"/>
    <w:rsid w:val="006F6EDF"/>
    <w:rsid w:val="006F7393"/>
    <w:rsid w:val="0070048C"/>
    <w:rsid w:val="0070224F"/>
    <w:rsid w:val="00706F40"/>
    <w:rsid w:val="00710C7C"/>
    <w:rsid w:val="007115F7"/>
    <w:rsid w:val="00711C81"/>
    <w:rsid w:val="007164B2"/>
    <w:rsid w:val="0071681B"/>
    <w:rsid w:val="007322C2"/>
    <w:rsid w:val="00745E79"/>
    <w:rsid w:val="0075231C"/>
    <w:rsid w:val="007558BC"/>
    <w:rsid w:val="00762983"/>
    <w:rsid w:val="00763A65"/>
    <w:rsid w:val="00775DB7"/>
    <w:rsid w:val="007761CF"/>
    <w:rsid w:val="007807FF"/>
    <w:rsid w:val="00781AED"/>
    <w:rsid w:val="00785689"/>
    <w:rsid w:val="007902E4"/>
    <w:rsid w:val="00790DA3"/>
    <w:rsid w:val="00792317"/>
    <w:rsid w:val="00792BEC"/>
    <w:rsid w:val="0079754B"/>
    <w:rsid w:val="007A0D8A"/>
    <w:rsid w:val="007A1E6D"/>
    <w:rsid w:val="007A3AA2"/>
    <w:rsid w:val="007A452B"/>
    <w:rsid w:val="007A630D"/>
    <w:rsid w:val="007B0EB2"/>
    <w:rsid w:val="007B2942"/>
    <w:rsid w:val="007B41B7"/>
    <w:rsid w:val="007D17B5"/>
    <w:rsid w:val="007D3846"/>
    <w:rsid w:val="007D40BC"/>
    <w:rsid w:val="007E17C1"/>
    <w:rsid w:val="007F57AA"/>
    <w:rsid w:val="007F703B"/>
    <w:rsid w:val="00810B6F"/>
    <w:rsid w:val="00811936"/>
    <w:rsid w:val="00815B71"/>
    <w:rsid w:val="00822CE0"/>
    <w:rsid w:val="008274CF"/>
    <w:rsid w:val="00835854"/>
    <w:rsid w:val="00836E9C"/>
    <w:rsid w:val="00840A3A"/>
    <w:rsid w:val="00840B5A"/>
    <w:rsid w:val="00841AB1"/>
    <w:rsid w:val="00860FE5"/>
    <w:rsid w:val="00870495"/>
    <w:rsid w:val="0087172D"/>
    <w:rsid w:val="008849B1"/>
    <w:rsid w:val="00885626"/>
    <w:rsid w:val="00886F6A"/>
    <w:rsid w:val="0089023B"/>
    <w:rsid w:val="00891CB1"/>
    <w:rsid w:val="008A2072"/>
    <w:rsid w:val="008A3311"/>
    <w:rsid w:val="008A7551"/>
    <w:rsid w:val="008B18D9"/>
    <w:rsid w:val="008B699E"/>
    <w:rsid w:val="008B715D"/>
    <w:rsid w:val="008C10D0"/>
    <w:rsid w:val="008C68F1"/>
    <w:rsid w:val="008C6C1E"/>
    <w:rsid w:val="008C72DC"/>
    <w:rsid w:val="008D207A"/>
    <w:rsid w:val="008E622B"/>
    <w:rsid w:val="008F095E"/>
    <w:rsid w:val="008F15DD"/>
    <w:rsid w:val="008F37C8"/>
    <w:rsid w:val="008F60B7"/>
    <w:rsid w:val="00905D12"/>
    <w:rsid w:val="009079CE"/>
    <w:rsid w:val="009104B2"/>
    <w:rsid w:val="009143A1"/>
    <w:rsid w:val="00916BCA"/>
    <w:rsid w:val="00921803"/>
    <w:rsid w:val="00923F96"/>
    <w:rsid w:val="00926503"/>
    <w:rsid w:val="00932CB4"/>
    <w:rsid w:val="00940590"/>
    <w:rsid w:val="00942C2B"/>
    <w:rsid w:val="0095041A"/>
    <w:rsid w:val="00955D85"/>
    <w:rsid w:val="009621B7"/>
    <w:rsid w:val="009726D8"/>
    <w:rsid w:val="00975784"/>
    <w:rsid w:val="00975C31"/>
    <w:rsid w:val="00976968"/>
    <w:rsid w:val="00980139"/>
    <w:rsid w:val="00982C10"/>
    <w:rsid w:val="00983A55"/>
    <w:rsid w:val="00983A93"/>
    <w:rsid w:val="0098466C"/>
    <w:rsid w:val="009A4724"/>
    <w:rsid w:val="009B798B"/>
    <w:rsid w:val="009C63A9"/>
    <w:rsid w:val="009D0B69"/>
    <w:rsid w:val="009D5BBB"/>
    <w:rsid w:val="009D7861"/>
    <w:rsid w:val="009D7F68"/>
    <w:rsid w:val="009D7F93"/>
    <w:rsid w:val="009E6987"/>
    <w:rsid w:val="009F2E29"/>
    <w:rsid w:val="009F5E9C"/>
    <w:rsid w:val="009F6F7F"/>
    <w:rsid w:val="009F76DB"/>
    <w:rsid w:val="00A05EB7"/>
    <w:rsid w:val="00A07665"/>
    <w:rsid w:val="00A1255E"/>
    <w:rsid w:val="00A16F48"/>
    <w:rsid w:val="00A21283"/>
    <w:rsid w:val="00A2530B"/>
    <w:rsid w:val="00A2680F"/>
    <w:rsid w:val="00A27DE8"/>
    <w:rsid w:val="00A32C3B"/>
    <w:rsid w:val="00A34655"/>
    <w:rsid w:val="00A36280"/>
    <w:rsid w:val="00A40E3B"/>
    <w:rsid w:val="00A45F4F"/>
    <w:rsid w:val="00A47A1A"/>
    <w:rsid w:val="00A53950"/>
    <w:rsid w:val="00A600A9"/>
    <w:rsid w:val="00A6773A"/>
    <w:rsid w:val="00A731C6"/>
    <w:rsid w:val="00A828CE"/>
    <w:rsid w:val="00A93804"/>
    <w:rsid w:val="00A9391F"/>
    <w:rsid w:val="00A93A33"/>
    <w:rsid w:val="00AA2ADF"/>
    <w:rsid w:val="00AA55B7"/>
    <w:rsid w:val="00AA5B9E"/>
    <w:rsid w:val="00AB13D6"/>
    <w:rsid w:val="00AB2407"/>
    <w:rsid w:val="00AB53DF"/>
    <w:rsid w:val="00AB7188"/>
    <w:rsid w:val="00AC0E37"/>
    <w:rsid w:val="00AC6A2C"/>
    <w:rsid w:val="00AD2F81"/>
    <w:rsid w:val="00AE7523"/>
    <w:rsid w:val="00AF26CB"/>
    <w:rsid w:val="00B0051C"/>
    <w:rsid w:val="00B07E5C"/>
    <w:rsid w:val="00B13494"/>
    <w:rsid w:val="00B14160"/>
    <w:rsid w:val="00B14DD0"/>
    <w:rsid w:val="00B22B40"/>
    <w:rsid w:val="00B23953"/>
    <w:rsid w:val="00B27228"/>
    <w:rsid w:val="00B30823"/>
    <w:rsid w:val="00B4547B"/>
    <w:rsid w:val="00B45944"/>
    <w:rsid w:val="00B47A0F"/>
    <w:rsid w:val="00B51158"/>
    <w:rsid w:val="00B652FD"/>
    <w:rsid w:val="00B811F7"/>
    <w:rsid w:val="00B93F1F"/>
    <w:rsid w:val="00BA5DC6"/>
    <w:rsid w:val="00BA6196"/>
    <w:rsid w:val="00BB2CF3"/>
    <w:rsid w:val="00BB35F1"/>
    <w:rsid w:val="00BB5378"/>
    <w:rsid w:val="00BB5DAF"/>
    <w:rsid w:val="00BC027E"/>
    <w:rsid w:val="00BC0EB0"/>
    <w:rsid w:val="00BC244E"/>
    <w:rsid w:val="00BC50AF"/>
    <w:rsid w:val="00BC6D1E"/>
    <w:rsid w:val="00BC6D8C"/>
    <w:rsid w:val="00BD0B0C"/>
    <w:rsid w:val="00BD7A34"/>
    <w:rsid w:val="00BF203D"/>
    <w:rsid w:val="00C00806"/>
    <w:rsid w:val="00C02845"/>
    <w:rsid w:val="00C04E94"/>
    <w:rsid w:val="00C22985"/>
    <w:rsid w:val="00C24A03"/>
    <w:rsid w:val="00C24AC9"/>
    <w:rsid w:val="00C34006"/>
    <w:rsid w:val="00C426B1"/>
    <w:rsid w:val="00C44367"/>
    <w:rsid w:val="00C54B9A"/>
    <w:rsid w:val="00C553EB"/>
    <w:rsid w:val="00C61D41"/>
    <w:rsid w:val="00C62299"/>
    <w:rsid w:val="00C636CD"/>
    <w:rsid w:val="00C66160"/>
    <w:rsid w:val="00C66894"/>
    <w:rsid w:val="00C66FE4"/>
    <w:rsid w:val="00C7202F"/>
    <w:rsid w:val="00C721AC"/>
    <w:rsid w:val="00C80285"/>
    <w:rsid w:val="00C8293E"/>
    <w:rsid w:val="00C8359D"/>
    <w:rsid w:val="00C8433B"/>
    <w:rsid w:val="00C85B3D"/>
    <w:rsid w:val="00C86841"/>
    <w:rsid w:val="00C87805"/>
    <w:rsid w:val="00C90D6A"/>
    <w:rsid w:val="00CA247E"/>
    <w:rsid w:val="00CA4862"/>
    <w:rsid w:val="00CB088E"/>
    <w:rsid w:val="00CB5195"/>
    <w:rsid w:val="00CC25D0"/>
    <w:rsid w:val="00CC72B6"/>
    <w:rsid w:val="00CD266A"/>
    <w:rsid w:val="00CD55EF"/>
    <w:rsid w:val="00CD5B2E"/>
    <w:rsid w:val="00CD5D1F"/>
    <w:rsid w:val="00CE10C9"/>
    <w:rsid w:val="00CE1849"/>
    <w:rsid w:val="00CE679D"/>
    <w:rsid w:val="00CE74FF"/>
    <w:rsid w:val="00CE77DE"/>
    <w:rsid w:val="00CF5087"/>
    <w:rsid w:val="00D012B0"/>
    <w:rsid w:val="00D0218D"/>
    <w:rsid w:val="00D172D2"/>
    <w:rsid w:val="00D22A23"/>
    <w:rsid w:val="00D22C21"/>
    <w:rsid w:val="00D25FB5"/>
    <w:rsid w:val="00D4037D"/>
    <w:rsid w:val="00D44223"/>
    <w:rsid w:val="00D45DCE"/>
    <w:rsid w:val="00D84A91"/>
    <w:rsid w:val="00D85561"/>
    <w:rsid w:val="00D94CA7"/>
    <w:rsid w:val="00DA14C7"/>
    <w:rsid w:val="00DA203D"/>
    <w:rsid w:val="00DA2529"/>
    <w:rsid w:val="00DB04F6"/>
    <w:rsid w:val="00DB130A"/>
    <w:rsid w:val="00DB2EBB"/>
    <w:rsid w:val="00DB52D6"/>
    <w:rsid w:val="00DC10A1"/>
    <w:rsid w:val="00DC655F"/>
    <w:rsid w:val="00DD0B59"/>
    <w:rsid w:val="00DD7EBD"/>
    <w:rsid w:val="00DE05CE"/>
    <w:rsid w:val="00DF08F6"/>
    <w:rsid w:val="00DF2C3A"/>
    <w:rsid w:val="00DF62B6"/>
    <w:rsid w:val="00E07225"/>
    <w:rsid w:val="00E2421B"/>
    <w:rsid w:val="00E25458"/>
    <w:rsid w:val="00E2569C"/>
    <w:rsid w:val="00E302AC"/>
    <w:rsid w:val="00E5409F"/>
    <w:rsid w:val="00E56A36"/>
    <w:rsid w:val="00E7598C"/>
    <w:rsid w:val="00E9505F"/>
    <w:rsid w:val="00E9659C"/>
    <w:rsid w:val="00EA562B"/>
    <w:rsid w:val="00EC2B39"/>
    <w:rsid w:val="00ED0285"/>
    <w:rsid w:val="00ED4069"/>
    <w:rsid w:val="00EE3421"/>
    <w:rsid w:val="00EE5DA3"/>
    <w:rsid w:val="00EE6488"/>
    <w:rsid w:val="00EE721E"/>
    <w:rsid w:val="00EE7933"/>
    <w:rsid w:val="00EF4C4F"/>
    <w:rsid w:val="00EF5CF1"/>
    <w:rsid w:val="00F0060C"/>
    <w:rsid w:val="00F021FA"/>
    <w:rsid w:val="00F06289"/>
    <w:rsid w:val="00F11291"/>
    <w:rsid w:val="00F154DB"/>
    <w:rsid w:val="00F22392"/>
    <w:rsid w:val="00F23B23"/>
    <w:rsid w:val="00F23ED7"/>
    <w:rsid w:val="00F324E5"/>
    <w:rsid w:val="00F44478"/>
    <w:rsid w:val="00F5102A"/>
    <w:rsid w:val="00F5148E"/>
    <w:rsid w:val="00F564F6"/>
    <w:rsid w:val="00F56925"/>
    <w:rsid w:val="00F62E97"/>
    <w:rsid w:val="00F64209"/>
    <w:rsid w:val="00F659CC"/>
    <w:rsid w:val="00F65B92"/>
    <w:rsid w:val="00F752EC"/>
    <w:rsid w:val="00F803EC"/>
    <w:rsid w:val="00F8188A"/>
    <w:rsid w:val="00F9040E"/>
    <w:rsid w:val="00F93BF5"/>
    <w:rsid w:val="00F9461D"/>
    <w:rsid w:val="00F94B7C"/>
    <w:rsid w:val="00F9556D"/>
    <w:rsid w:val="00F95E45"/>
    <w:rsid w:val="00FA3B31"/>
    <w:rsid w:val="00FA52BF"/>
    <w:rsid w:val="00FB0BEA"/>
    <w:rsid w:val="00FB3CC7"/>
    <w:rsid w:val="00FB6921"/>
    <w:rsid w:val="00FC0156"/>
    <w:rsid w:val="00FC30FC"/>
    <w:rsid w:val="00FC466E"/>
    <w:rsid w:val="00FE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1DC5"/>
    <w:pPr>
      <w:keepNext/>
      <w:numPr>
        <w:ilvl w:val="1"/>
        <w:numId w:val="3"/>
      </w:numPr>
      <w:spacing w:after="2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sid w:val="00923F96"/>
    <w:rPr>
      <w:sz w:val="20"/>
    </w:rPr>
  </w:style>
  <w:style w:type="character" w:styleId="EndnoteReference">
    <w:name w:val="endnote reference"/>
    <w:semiHidden/>
    <w:rsid w:val="00923F96"/>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2"/>
    <w:rsid w:val="000E3D42"/>
    <w:pPr>
      <w:spacing w:after="120"/>
    </w:pPr>
  </w:style>
  <w:style w:type="character" w:styleId="FootnoteReference">
    <w:name w:val="footnote reference"/>
    <w:aliases w:val="Appel note de bas de p,Style 12,(NECG) Footnote Reference,Style 124,o,fr,Style 3,Footnote Reference/"/>
    <w:rsid w:val="00A32C3B"/>
    <w:rPr>
      <w:rFonts w:ascii="Times New Roman" w:hAnsi="Times New Roman"/>
      <w:dstrike w:val="0"/>
      <w:color w:val="auto"/>
      <w:sz w:val="20"/>
      <w:vertAlign w:val="superscript"/>
    </w:rPr>
  </w:style>
  <w:style w:type="paragraph" w:styleId="TOC1">
    <w:name w:val="toc 1"/>
    <w:basedOn w:val="Normal"/>
    <w:next w:val="Normal"/>
    <w:semiHidden/>
    <w:rsid w:val="00923F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3F96"/>
    <w:pPr>
      <w:tabs>
        <w:tab w:val="left" w:pos="720"/>
        <w:tab w:val="right" w:leader="dot" w:pos="9360"/>
      </w:tabs>
      <w:suppressAutoHyphens/>
      <w:ind w:left="720" w:right="720" w:hanging="360"/>
    </w:pPr>
    <w:rPr>
      <w:noProof/>
    </w:rPr>
  </w:style>
  <w:style w:type="paragraph" w:styleId="TOC3">
    <w:name w:val="toc 3"/>
    <w:basedOn w:val="Normal"/>
    <w:next w:val="Normal"/>
    <w:semiHidden/>
    <w:rsid w:val="00923F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3F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3F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3F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3F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3F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3F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3F96"/>
    <w:pPr>
      <w:tabs>
        <w:tab w:val="right" w:pos="9360"/>
      </w:tabs>
      <w:suppressAutoHyphens/>
    </w:pPr>
  </w:style>
  <w:style w:type="character" w:customStyle="1" w:styleId="EquationCaption">
    <w:name w:val="_Equation Caption"/>
    <w:rsid w:val="00923F96"/>
  </w:style>
  <w:style w:type="paragraph" w:styleId="Header">
    <w:name w:val="header"/>
    <w:basedOn w:val="Normal"/>
    <w:autoRedefine/>
    <w:rsid w:val="00923F96"/>
    <w:pPr>
      <w:tabs>
        <w:tab w:val="center" w:pos="4680"/>
        <w:tab w:val="right" w:pos="9360"/>
      </w:tabs>
    </w:pPr>
    <w:rPr>
      <w:b/>
    </w:rPr>
  </w:style>
  <w:style w:type="paragraph" w:styleId="Footer">
    <w:name w:val="footer"/>
    <w:basedOn w:val="Normal"/>
    <w:rsid w:val="00923F96"/>
    <w:pPr>
      <w:tabs>
        <w:tab w:val="center" w:pos="4320"/>
        <w:tab w:val="right" w:pos="8640"/>
      </w:tabs>
    </w:pPr>
  </w:style>
  <w:style w:type="character" w:styleId="PageNumber">
    <w:name w:val="page number"/>
    <w:basedOn w:val="DefaultParagraphFont"/>
    <w:rsid w:val="00923F96"/>
  </w:style>
  <w:style w:type="paragraph" w:styleId="BlockText">
    <w:name w:val="Block Text"/>
    <w:basedOn w:val="Normal"/>
    <w:rsid w:val="00923F96"/>
    <w:pPr>
      <w:spacing w:after="240"/>
      <w:ind w:left="1440" w:right="1440"/>
    </w:pPr>
  </w:style>
  <w:style w:type="paragraph" w:customStyle="1" w:styleId="Paratitle">
    <w:name w:val="Para title"/>
    <w:basedOn w:val="Normal"/>
    <w:rsid w:val="00923F96"/>
    <w:pPr>
      <w:tabs>
        <w:tab w:val="center" w:pos="9270"/>
      </w:tabs>
      <w:spacing w:after="240"/>
    </w:pPr>
    <w:rPr>
      <w:spacing w:val="-2"/>
    </w:rPr>
  </w:style>
  <w:style w:type="paragraph" w:customStyle="1" w:styleId="Bullet">
    <w:name w:val="Bullet"/>
    <w:basedOn w:val="Normal"/>
    <w:rsid w:val="00923F96"/>
    <w:pPr>
      <w:tabs>
        <w:tab w:val="left" w:pos="2160"/>
      </w:tabs>
      <w:spacing w:after="220"/>
      <w:ind w:left="2160" w:hanging="720"/>
    </w:pPr>
  </w:style>
  <w:style w:type="paragraph" w:customStyle="1" w:styleId="TableFormat">
    <w:name w:val="TableFormat"/>
    <w:basedOn w:val="Bullet"/>
    <w:rsid w:val="00923F96"/>
    <w:pPr>
      <w:tabs>
        <w:tab w:val="clear" w:pos="2160"/>
        <w:tab w:val="left" w:pos="5040"/>
      </w:tabs>
      <w:ind w:left="5040" w:hanging="3600"/>
    </w:pPr>
  </w:style>
  <w:style w:type="paragraph" w:customStyle="1" w:styleId="TOCTitle">
    <w:name w:val="TOC Title"/>
    <w:basedOn w:val="Normal"/>
    <w:rsid w:val="00923F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1,Footnote Text Char1 Char Char1,Footnote Text Char Char Char Char1,Footnote Text Char1 Char Char Char Char1,Footnote Text Char Char Char Char1 Char Char1,Footnote Text Char1 Char Char Char Char Char Char1"/>
    <w:link w:val="FootnoteText"/>
    <w:rsid w:val="00932CB4"/>
    <w:rPr>
      <w:lang w:val="en-US" w:eastAsia="en-US" w:bidi="ar-SA"/>
    </w:rPr>
  </w:style>
  <w:style w:type="character" w:customStyle="1" w:styleId="FootnoteTextChar1">
    <w:name w:val="Footnote Text Char1"/>
    <w:aliases w:val="Footnote Text Char Char,Footnote Text Char1 Char Char,Footnote Text Char Char Char Char,Footnote Text Char1 Char Char Char Char,Footnote Text Char Char Char Char1 Char Char,Footnote Text Char1 Char Char Char Char Char Char,f Char"/>
    <w:rsid w:val="00BB5DAF"/>
  </w:style>
  <w:style w:type="character" w:customStyle="1" w:styleId="ParaNumChar">
    <w:name w:val="ParaNum Char"/>
    <w:basedOn w:val="DefaultParagraphFont"/>
    <w:link w:val="ParaNum"/>
    <w:rsid w:val="00EC2B39"/>
    <w:rPr>
      <w:snapToGrid w:val="0"/>
      <w:kern w:val="28"/>
      <w:sz w:val="22"/>
    </w:rPr>
  </w:style>
  <w:style w:type="paragraph" w:styleId="BalloonText">
    <w:name w:val="Balloon Text"/>
    <w:basedOn w:val="Normal"/>
    <w:link w:val="BalloonTextChar"/>
    <w:rsid w:val="00EE721E"/>
    <w:rPr>
      <w:rFonts w:ascii="Tahoma" w:hAnsi="Tahoma" w:cs="Tahoma"/>
      <w:sz w:val="16"/>
      <w:szCs w:val="16"/>
    </w:rPr>
  </w:style>
  <w:style w:type="character" w:customStyle="1" w:styleId="BalloonTextChar">
    <w:name w:val="Balloon Text Char"/>
    <w:basedOn w:val="DefaultParagraphFont"/>
    <w:link w:val="BalloonText"/>
    <w:rsid w:val="00EE721E"/>
    <w:rPr>
      <w:rFonts w:ascii="Tahoma" w:hAnsi="Tahoma" w:cs="Tahoma"/>
      <w:snapToGrid w:val="0"/>
      <w:kern w:val="28"/>
      <w:sz w:val="16"/>
      <w:szCs w:val="16"/>
    </w:rPr>
  </w:style>
  <w:style w:type="character" w:styleId="CommentReference">
    <w:name w:val="annotation reference"/>
    <w:basedOn w:val="DefaultParagraphFont"/>
    <w:rsid w:val="00C553EB"/>
    <w:rPr>
      <w:sz w:val="16"/>
      <w:szCs w:val="16"/>
    </w:rPr>
  </w:style>
  <w:style w:type="paragraph" w:styleId="CommentText">
    <w:name w:val="annotation text"/>
    <w:basedOn w:val="Normal"/>
    <w:link w:val="CommentTextChar"/>
    <w:rsid w:val="00C553EB"/>
    <w:rPr>
      <w:sz w:val="20"/>
    </w:rPr>
  </w:style>
  <w:style w:type="character" w:customStyle="1" w:styleId="CommentTextChar">
    <w:name w:val="Comment Text Char"/>
    <w:basedOn w:val="DefaultParagraphFont"/>
    <w:link w:val="CommentText"/>
    <w:rsid w:val="00C553EB"/>
    <w:rPr>
      <w:snapToGrid w:val="0"/>
      <w:kern w:val="28"/>
    </w:rPr>
  </w:style>
  <w:style w:type="paragraph" w:styleId="CommentSubject">
    <w:name w:val="annotation subject"/>
    <w:basedOn w:val="CommentText"/>
    <w:next w:val="CommentText"/>
    <w:link w:val="CommentSubjectChar"/>
    <w:rsid w:val="00C553EB"/>
    <w:rPr>
      <w:b/>
      <w:bCs/>
    </w:rPr>
  </w:style>
  <w:style w:type="character" w:customStyle="1" w:styleId="CommentSubjectChar">
    <w:name w:val="Comment Subject Char"/>
    <w:basedOn w:val="CommentTextChar"/>
    <w:link w:val="CommentSubject"/>
    <w:rsid w:val="00C553E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1DC5"/>
    <w:pPr>
      <w:keepNext/>
      <w:numPr>
        <w:ilvl w:val="1"/>
        <w:numId w:val="3"/>
      </w:numPr>
      <w:spacing w:after="2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sid w:val="00923F96"/>
    <w:rPr>
      <w:sz w:val="20"/>
    </w:rPr>
  </w:style>
  <w:style w:type="character" w:styleId="EndnoteReference">
    <w:name w:val="endnote reference"/>
    <w:semiHidden/>
    <w:rsid w:val="00923F96"/>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2"/>
    <w:rsid w:val="000E3D42"/>
    <w:pPr>
      <w:spacing w:after="120"/>
    </w:pPr>
  </w:style>
  <w:style w:type="character" w:styleId="FootnoteReference">
    <w:name w:val="footnote reference"/>
    <w:aliases w:val="Appel note de bas de p,Style 12,(NECG) Footnote Reference,Style 124,o,fr,Style 3,Footnote Reference/"/>
    <w:rsid w:val="00A32C3B"/>
    <w:rPr>
      <w:rFonts w:ascii="Times New Roman" w:hAnsi="Times New Roman"/>
      <w:dstrike w:val="0"/>
      <w:color w:val="auto"/>
      <w:sz w:val="20"/>
      <w:vertAlign w:val="superscript"/>
    </w:rPr>
  </w:style>
  <w:style w:type="paragraph" w:styleId="TOC1">
    <w:name w:val="toc 1"/>
    <w:basedOn w:val="Normal"/>
    <w:next w:val="Normal"/>
    <w:semiHidden/>
    <w:rsid w:val="00923F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3F96"/>
    <w:pPr>
      <w:tabs>
        <w:tab w:val="left" w:pos="720"/>
        <w:tab w:val="right" w:leader="dot" w:pos="9360"/>
      </w:tabs>
      <w:suppressAutoHyphens/>
      <w:ind w:left="720" w:right="720" w:hanging="360"/>
    </w:pPr>
    <w:rPr>
      <w:noProof/>
    </w:rPr>
  </w:style>
  <w:style w:type="paragraph" w:styleId="TOC3">
    <w:name w:val="toc 3"/>
    <w:basedOn w:val="Normal"/>
    <w:next w:val="Normal"/>
    <w:semiHidden/>
    <w:rsid w:val="00923F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3F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3F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3F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3F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3F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3F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3F96"/>
    <w:pPr>
      <w:tabs>
        <w:tab w:val="right" w:pos="9360"/>
      </w:tabs>
      <w:suppressAutoHyphens/>
    </w:pPr>
  </w:style>
  <w:style w:type="character" w:customStyle="1" w:styleId="EquationCaption">
    <w:name w:val="_Equation Caption"/>
    <w:rsid w:val="00923F96"/>
  </w:style>
  <w:style w:type="paragraph" w:styleId="Header">
    <w:name w:val="header"/>
    <w:basedOn w:val="Normal"/>
    <w:autoRedefine/>
    <w:rsid w:val="00923F96"/>
    <w:pPr>
      <w:tabs>
        <w:tab w:val="center" w:pos="4680"/>
        <w:tab w:val="right" w:pos="9360"/>
      </w:tabs>
    </w:pPr>
    <w:rPr>
      <w:b/>
    </w:rPr>
  </w:style>
  <w:style w:type="paragraph" w:styleId="Footer">
    <w:name w:val="footer"/>
    <w:basedOn w:val="Normal"/>
    <w:rsid w:val="00923F96"/>
    <w:pPr>
      <w:tabs>
        <w:tab w:val="center" w:pos="4320"/>
        <w:tab w:val="right" w:pos="8640"/>
      </w:tabs>
    </w:pPr>
  </w:style>
  <w:style w:type="character" w:styleId="PageNumber">
    <w:name w:val="page number"/>
    <w:basedOn w:val="DefaultParagraphFont"/>
    <w:rsid w:val="00923F96"/>
  </w:style>
  <w:style w:type="paragraph" w:styleId="BlockText">
    <w:name w:val="Block Text"/>
    <w:basedOn w:val="Normal"/>
    <w:rsid w:val="00923F96"/>
    <w:pPr>
      <w:spacing w:after="240"/>
      <w:ind w:left="1440" w:right="1440"/>
    </w:pPr>
  </w:style>
  <w:style w:type="paragraph" w:customStyle="1" w:styleId="Paratitle">
    <w:name w:val="Para title"/>
    <w:basedOn w:val="Normal"/>
    <w:rsid w:val="00923F96"/>
    <w:pPr>
      <w:tabs>
        <w:tab w:val="center" w:pos="9270"/>
      </w:tabs>
      <w:spacing w:after="240"/>
    </w:pPr>
    <w:rPr>
      <w:spacing w:val="-2"/>
    </w:rPr>
  </w:style>
  <w:style w:type="paragraph" w:customStyle="1" w:styleId="Bullet">
    <w:name w:val="Bullet"/>
    <w:basedOn w:val="Normal"/>
    <w:rsid w:val="00923F96"/>
    <w:pPr>
      <w:tabs>
        <w:tab w:val="left" w:pos="2160"/>
      </w:tabs>
      <w:spacing w:after="220"/>
      <w:ind w:left="2160" w:hanging="720"/>
    </w:pPr>
  </w:style>
  <w:style w:type="paragraph" w:customStyle="1" w:styleId="TableFormat">
    <w:name w:val="TableFormat"/>
    <w:basedOn w:val="Bullet"/>
    <w:rsid w:val="00923F96"/>
    <w:pPr>
      <w:tabs>
        <w:tab w:val="clear" w:pos="2160"/>
        <w:tab w:val="left" w:pos="5040"/>
      </w:tabs>
      <w:ind w:left="5040" w:hanging="3600"/>
    </w:pPr>
  </w:style>
  <w:style w:type="paragraph" w:customStyle="1" w:styleId="TOCTitle">
    <w:name w:val="TOC Title"/>
    <w:basedOn w:val="Normal"/>
    <w:rsid w:val="00923F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1,Footnote Text Char1 Char Char1,Footnote Text Char Char Char Char1,Footnote Text Char1 Char Char Char Char1,Footnote Text Char Char Char Char1 Char Char1,Footnote Text Char1 Char Char Char Char Char Char1"/>
    <w:link w:val="FootnoteText"/>
    <w:rsid w:val="00932CB4"/>
    <w:rPr>
      <w:lang w:val="en-US" w:eastAsia="en-US" w:bidi="ar-SA"/>
    </w:rPr>
  </w:style>
  <w:style w:type="character" w:customStyle="1" w:styleId="FootnoteTextChar1">
    <w:name w:val="Footnote Text Char1"/>
    <w:aliases w:val="Footnote Text Char Char,Footnote Text Char1 Char Char,Footnote Text Char Char Char Char,Footnote Text Char1 Char Char Char Char,Footnote Text Char Char Char Char1 Char Char,Footnote Text Char1 Char Char Char Char Char Char,f Char"/>
    <w:rsid w:val="00BB5DAF"/>
  </w:style>
  <w:style w:type="character" w:customStyle="1" w:styleId="ParaNumChar">
    <w:name w:val="ParaNum Char"/>
    <w:basedOn w:val="DefaultParagraphFont"/>
    <w:link w:val="ParaNum"/>
    <w:rsid w:val="00EC2B39"/>
    <w:rPr>
      <w:snapToGrid w:val="0"/>
      <w:kern w:val="28"/>
      <w:sz w:val="22"/>
    </w:rPr>
  </w:style>
  <w:style w:type="paragraph" w:styleId="BalloonText">
    <w:name w:val="Balloon Text"/>
    <w:basedOn w:val="Normal"/>
    <w:link w:val="BalloonTextChar"/>
    <w:rsid w:val="00EE721E"/>
    <w:rPr>
      <w:rFonts w:ascii="Tahoma" w:hAnsi="Tahoma" w:cs="Tahoma"/>
      <w:sz w:val="16"/>
      <w:szCs w:val="16"/>
    </w:rPr>
  </w:style>
  <w:style w:type="character" w:customStyle="1" w:styleId="BalloonTextChar">
    <w:name w:val="Balloon Text Char"/>
    <w:basedOn w:val="DefaultParagraphFont"/>
    <w:link w:val="BalloonText"/>
    <w:rsid w:val="00EE721E"/>
    <w:rPr>
      <w:rFonts w:ascii="Tahoma" w:hAnsi="Tahoma" w:cs="Tahoma"/>
      <w:snapToGrid w:val="0"/>
      <w:kern w:val="28"/>
      <w:sz w:val="16"/>
      <w:szCs w:val="16"/>
    </w:rPr>
  </w:style>
  <w:style w:type="character" w:styleId="CommentReference">
    <w:name w:val="annotation reference"/>
    <w:basedOn w:val="DefaultParagraphFont"/>
    <w:rsid w:val="00C553EB"/>
    <w:rPr>
      <w:sz w:val="16"/>
      <w:szCs w:val="16"/>
    </w:rPr>
  </w:style>
  <w:style w:type="paragraph" w:styleId="CommentText">
    <w:name w:val="annotation text"/>
    <w:basedOn w:val="Normal"/>
    <w:link w:val="CommentTextChar"/>
    <w:rsid w:val="00C553EB"/>
    <w:rPr>
      <w:sz w:val="20"/>
    </w:rPr>
  </w:style>
  <w:style w:type="character" w:customStyle="1" w:styleId="CommentTextChar">
    <w:name w:val="Comment Text Char"/>
    <w:basedOn w:val="DefaultParagraphFont"/>
    <w:link w:val="CommentText"/>
    <w:rsid w:val="00C553EB"/>
    <w:rPr>
      <w:snapToGrid w:val="0"/>
      <w:kern w:val="28"/>
    </w:rPr>
  </w:style>
  <w:style w:type="paragraph" w:styleId="CommentSubject">
    <w:name w:val="annotation subject"/>
    <w:basedOn w:val="CommentText"/>
    <w:next w:val="CommentText"/>
    <w:link w:val="CommentSubjectChar"/>
    <w:rsid w:val="00C553EB"/>
    <w:rPr>
      <w:b/>
      <w:bCs/>
    </w:rPr>
  </w:style>
  <w:style w:type="character" w:customStyle="1" w:styleId="CommentSubjectChar">
    <w:name w:val="Comment Subject Char"/>
    <w:basedOn w:val="CommentTextChar"/>
    <w:link w:val="CommentSubject"/>
    <w:rsid w:val="00C553E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8851">
      <w:bodyDiv w:val="1"/>
      <w:marLeft w:val="0"/>
      <w:marRight w:val="0"/>
      <w:marTop w:val="0"/>
      <w:marBottom w:val="0"/>
      <w:divBdr>
        <w:top w:val="none" w:sz="0" w:space="0" w:color="auto"/>
        <w:left w:val="none" w:sz="0" w:space="0" w:color="auto"/>
        <w:bottom w:val="none" w:sz="0" w:space="0" w:color="auto"/>
        <w:right w:val="none" w:sz="0" w:space="0" w:color="auto"/>
      </w:divBdr>
      <w:divsChild>
        <w:div w:id="1727487909">
          <w:marLeft w:val="0"/>
          <w:marRight w:val="0"/>
          <w:marTop w:val="0"/>
          <w:marBottom w:val="0"/>
          <w:divBdr>
            <w:top w:val="none" w:sz="0" w:space="0" w:color="auto"/>
            <w:left w:val="none" w:sz="0" w:space="0" w:color="auto"/>
            <w:bottom w:val="none" w:sz="0" w:space="0" w:color="auto"/>
            <w:right w:val="none" w:sz="0" w:space="0" w:color="auto"/>
          </w:divBdr>
        </w:div>
        <w:div w:id="1463306473">
          <w:marLeft w:val="0"/>
          <w:marRight w:val="0"/>
          <w:marTop w:val="0"/>
          <w:marBottom w:val="0"/>
          <w:divBdr>
            <w:top w:val="none" w:sz="0" w:space="0" w:color="auto"/>
            <w:left w:val="none" w:sz="0" w:space="0" w:color="auto"/>
            <w:bottom w:val="none" w:sz="0" w:space="0" w:color="auto"/>
            <w:right w:val="none" w:sz="0" w:space="0" w:color="auto"/>
          </w:divBdr>
        </w:div>
        <w:div w:id="536354387">
          <w:marLeft w:val="0"/>
          <w:marRight w:val="0"/>
          <w:marTop w:val="0"/>
          <w:marBottom w:val="0"/>
          <w:divBdr>
            <w:top w:val="none" w:sz="0" w:space="0" w:color="auto"/>
            <w:left w:val="none" w:sz="0" w:space="0" w:color="auto"/>
            <w:bottom w:val="none" w:sz="0" w:space="0" w:color="auto"/>
            <w:right w:val="none" w:sz="0" w:space="0" w:color="auto"/>
          </w:divBdr>
        </w:div>
        <w:div w:id="1826847830">
          <w:marLeft w:val="0"/>
          <w:marRight w:val="0"/>
          <w:marTop w:val="0"/>
          <w:marBottom w:val="0"/>
          <w:divBdr>
            <w:top w:val="none" w:sz="0" w:space="0" w:color="auto"/>
            <w:left w:val="none" w:sz="0" w:space="0" w:color="auto"/>
            <w:bottom w:val="none" w:sz="0" w:space="0" w:color="auto"/>
            <w:right w:val="none" w:sz="0" w:space="0" w:color="auto"/>
          </w:divBdr>
        </w:div>
        <w:div w:id="324626294">
          <w:marLeft w:val="0"/>
          <w:marRight w:val="0"/>
          <w:marTop w:val="0"/>
          <w:marBottom w:val="0"/>
          <w:divBdr>
            <w:top w:val="none" w:sz="0" w:space="0" w:color="auto"/>
            <w:left w:val="none" w:sz="0" w:space="0" w:color="auto"/>
            <w:bottom w:val="none" w:sz="0" w:space="0" w:color="auto"/>
            <w:right w:val="none" w:sz="0" w:space="0" w:color="auto"/>
          </w:divBdr>
        </w:div>
        <w:div w:id="1259486584">
          <w:marLeft w:val="0"/>
          <w:marRight w:val="0"/>
          <w:marTop w:val="0"/>
          <w:marBottom w:val="0"/>
          <w:divBdr>
            <w:top w:val="none" w:sz="0" w:space="0" w:color="auto"/>
            <w:left w:val="none" w:sz="0" w:space="0" w:color="auto"/>
            <w:bottom w:val="none" w:sz="0" w:space="0" w:color="auto"/>
            <w:right w:val="none" w:sz="0" w:space="0" w:color="auto"/>
          </w:divBdr>
        </w:div>
        <w:div w:id="1015811323">
          <w:marLeft w:val="0"/>
          <w:marRight w:val="0"/>
          <w:marTop w:val="0"/>
          <w:marBottom w:val="0"/>
          <w:divBdr>
            <w:top w:val="none" w:sz="0" w:space="0" w:color="auto"/>
            <w:left w:val="none" w:sz="0" w:space="0" w:color="auto"/>
            <w:bottom w:val="none" w:sz="0" w:space="0" w:color="auto"/>
            <w:right w:val="none" w:sz="0" w:space="0" w:color="auto"/>
          </w:divBdr>
        </w:div>
        <w:div w:id="187839202">
          <w:marLeft w:val="0"/>
          <w:marRight w:val="0"/>
          <w:marTop w:val="0"/>
          <w:marBottom w:val="0"/>
          <w:divBdr>
            <w:top w:val="none" w:sz="0" w:space="0" w:color="auto"/>
            <w:left w:val="none" w:sz="0" w:space="0" w:color="auto"/>
            <w:bottom w:val="none" w:sz="0" w:space="0" w:color="auto"/>
            <w:right w:val="none" w:sz="0" w:space="0" w:color="auto"/>
          </w:divBdr>
        </w:div>
        <w:div w:id="262343038">
          <w:marLeft w:val="0"/>
          <w:marRight w:val="0"/>
          <w:marTop w:val="0"/>
          <w:marBottom w:val="0"/>
          <w:divBdr>
            <w:top w:val="none" w:sz="0" w:space="0" w:color="auto"/>
            <w:left w:val="none" w:sz="0" w:space="0" w:color="auto"/>
            <w:bottom w:val="none" w:sz="0" w:space="0" w:color="auto"/>
            <w:right w:val="none" w:sz="0" w:space="0" w:color="auto"/>
          </w:divBdr>
        </w:div>
        <w:div w:id="1053114502">
          <w:marLeft w:val="0"/>
          <w:marRight w:val="0"/>
          <w:marTop w:val="0"/>
          <w:marBottom w:val="0"/>
          <w:divBdr>
            <w:top w:val="none" w:sz="0" w:space="0" w:color="auto"/>
            <w:left w:val="none" w:sz="0" w:space="0" w:color="auto"/>
            <w:bottom w:val="none" w:sz="0" w:space="0" w:color="auto"/>
            <w:right w:val="none" w:sz="0" w:space="0" w:color="auto"/>
          </w:divBdr>
        </w:div>
        <w:div w:id="1746217839">
          <w:marLeft w:val="0"/>
          <w:marRight w:val="0"/>
          <w:marTop w:val="0"/>
          <w:marBottom w:val="0"/>
          <w:divBdr>
            <w:top w:val="none" w:sz="0" w:space="0" w:color="auto"/>
            <w:left w:val="none" w:sz="0" w:space="0" w:color="auto"/>
            <w:bottom w:val="none" w:sz="0" w:space="0" w:color="auto"/>
            <w:right w:val="none" w:sz="0" w:space="0" w:color="auto"/>
          </w:divBdr>
        </w:div>
        <w:div w:id="1500268583">
          <w:marLeft w:val="0"/>
          <w:marRight w:val="0"/>
          <w:marTop w:val="0"/>
          <w:marBottom w:val="0"/>
          <w:divBdr>
            <w:top w:val="none" w:sz="0" w:space="0" w:color="auto"/>
            <w:left w:val="none" w:sz="0" w:space="0" w:color="auto"/>
            <w:bottom w:val="none" w:sz="0" w:space="0" w:color="auto"/>
            <w:right w:val="none" w:sz="0" w:space="0" w:color="auto"/>
          </w:divBdr>
        </w:div>
        <w:div w:id="296841719">
          <w:marLeft w:val="0"/>
          <w:marRight w:val="0"/>
          <w:marTop w:val="0"/>
          <w:marBottom w:val="0"/>
          <w:divBdr>
            <w:top w:val="none" w:sz="0" w:space="0" w:color="auto"/>
            <w:left w:val="none" w:sz="0" w:space="0" w:color="auto"/>
            <w:bottom w:val="none" w:sz="0" w:space="0" w:color="auto"/>
            <w:right w:val="none" w:sz="0" w:space="0" w:color="auto"/>
          </w:divBdr>
        </w:div>
        <w:div w:id="1113012596">
          <w:marLeft w:val="0"/>
          <w:marRight w:val="0"/>
          <w:marTop w:val="0"/>
          <w:marBottom w:val="0"/>
          <w:divBdr>
            <w:top w:val="none" w:sz="0" w:space="0" w:color="auto"/>
            <w:left w:val="none" w:sz="0" w:space="0" w:color="auto"/>
            <w:bottom w:val="none" w:sz="0" w:space="0" w:color="auto"/>
            <w:right w:val="none" w:sz="0" w:space="0" w:color="auto"/>
          </w:divBdr>
        </w:div>
        <w:div w:id="1105424252">
          <w:marLeft w:val="0"/>
          <w:marRight w:val="0"/>
          <w:marTop w:val="0"/>
          <w:marBottom w:val="0"/>
          <w:divBdr>
            <w:top w:val="none" w:sz="0" w:space="0" w:color="auto"/>
            <w:left w:val="none" w:sz="0" w:space="0" w:color="auto"/>
            <w:bottom w:val="none" w:sz="0" w:space="0" w:color="auto"/>
            <w:right w:val="none" w:sz="0" w:space="0" w:color="auto"/>
          </w:divBdr>
        </w:div>
        <w:div w:id="467364378">
          <w:marLeft w:val="0"/>
          <w:marRight w:val="0"/>
          <w:marTop w:val="0"/>
          <w:marBottom w:val="0"/>
          <w:divBdr>
            <w:top w:val="none" w:sz="0" w:space="0" w:color="auto"/>
            <w:left w:val="none" w:sz="0" w:space="0" w:color="auto"/>
            <w:bottom w:val="none" w:sz="0" w:space="0" w:color="auto"/>
            <w:right w:val="none" w:sz="0" w:space="0" w:color="auto"/>
          </w:divBdr>
        </w:div>
        <w:div w:id="227111342">
          <w:marLeft w:val="0"/>
          <w:marRight w:val="0"/>
          <w:marTop w:val="0"/>
          <w:marBottom w:val="0"/>
          <w:divBdr>
            <w:top w:val="none" w:sz="0" w:space="0" w:color="auto"/>
            <w:left w:val="none" w:sz="0" w:space="0" w:color="auto"/>
            <w:bottom w:val="none" w:sz="0" w:space="0" w:color="auto"/>
            <w:right w:val="none" w:sz="0" w:space="0" w:color="auto"/>
          </w:divBdr>
        </w:div>
        <w:div w:id="1535775071">
          <w:marLeft w:val="0"/>
          <w:marRight w:val="0"/>
          <w:marTop w:val="0"/>
          <w:marBottom w:val="0"/>
          <w:divBdr>
            <w:top w:val="none" w:sz="0" w:space="0" w:color="auto"/>
            <w:left w:val="none" w:sz="0" w:space="0" w:color="auto"/>
            <w:bottom w:val="none" w:sz="0" w:space="0" w:color="auto"/>
            <w:right w:val="none" w:sz="0" w:space="0" w:color="auto"/>
          </w:divBdr>
        </w:div>
        <w:div w:id="2073188599">
          <w:marLeft w:val="0"/>
          <w:marRight w:val="0"/>
          <w:marTop w:val="0"/>
          <w:marBottom w:val="0"/>
          <w:divBdr>
            <w:top w:val="none" w:sz="0" w:space="0" w:color="auto"/>
            <w:left w:val="none" w:sz="0" w:space="0" w:color="auto"/>
            <w:bottom w:val="none" w:sz="0" w:space="0" w:color="auto"/>
            <w:right w:val="none" w:sz="0" w:space="0" w:color="auto"/>
          </w:divBdr>
        </w:div>
        <w:div w:id="488446194">
          <w:marLeft w:val="0"/>
          <w:marRight w:val="0"/>
          <w:marTop w:val="0"/>
          <w:marBottom w:val="0"/>
          <w:divBdr>
            <w:top w:val="none" w:sz="0" w:space="0" w:color="auto"/>
            <w:left w:val="none" w:sz="0" w:space="0" w:color="auto"/>
            <w:bottom w:val="none" w:sz="0" w:space="0" w:color="auto"/>
            <w:right w:val="none" w:sz="0" w:space="0" w:color="auto"/>
          </w:divBdr>
        </w:div>
        <w:div w:id="62604916">
          <w:marLeft w:val="0"/>
          <w:marRight w:val="0"/>
          <w:marTop w:val="0"/>
          <w:marBottom w:val="0"/>
          <w:divBdr>
            <w:top w:val="none" w:sz="0" w:space="0" w:color="auto"/>
            <w:left w:val="none" w:sz="0" w:space="0" w:color="auto"/>
            <w:bottom w:val="none" w:sz="0" w:space="0" w:color="auto"/>
            <w:right w:val="none" w:sz="0" w:space="0" w:color="auto"/>
          </w:divBdr>
        </w:div>
        <w:div w:id="2128379892">
          <w:marLeft w:val="0"/>
          <w:marRight w:val="0"/>
          <w:marTop w:val="0"/>
          <w:marBottom w:val="0"/>
          <w:divBdr>
            <w:top w:val="none" w:sz="0" w:space="0" w:color="auto"/>
            <w:left w:val="none" w:sz="0" w:space="0" w:color="auto"/>
            <w:bottom w:val="none" w:sz="0" w:space="0" w:color="auto"/>
            <w:right w:val="none" w:sz="0" w:space="0" w:color="auto"/>
          </w:divBdr>
        </w:div>
        <w:div w:id="1946111118">
          <w:marLeft w:val="0"/>
          <w:marRight w:val="0"/>
          <w:marTop w:val="0"/>
          <w:marBottom w:val="0"/>
          <w:divBdr>
            <w:top w:val="none" w:sz="0" w:space="0" w:color="auto"/>
            <w:left w:val="none" w:sz="0" w:space="0" w:color="auto"/>
            <w:bottom w:val="none" w:sz="0" w:space="0" w:color="auto"/>
            <w:right w:val="none" w:sz="0" w:space="0" w:color="auto"/>
          </w:divBdr>
        </w:div>
        <w:div w:id="153684403">
          <w:marLeft w:val="0"/>
          <w:marRight w:val="0"/>
          <w:marTop w:val="0"/>
          <w:marBottom w:val="0"/>
          <w:divBdr>
            <w:top w:val="none" w:sz="0" w:space="0" w:color="auto"/>
            <w:left w:val="none" w:sz="0" w:space="0" w:color="auto"/>
            <w:bottom w:val="none" w:sz="0" w:space="0" w:color="auto"/>
            <w:right w:val="none" w:sz="0" w:space="0" w:color="auto"/>
          </w:divBdr>
        </w:div>
        <w:div w:id="739526373">
          <w:marLeft w:val="0"/>
          <w:marRight w:val="0"/>
          <w:marTop w:val="0"/>
          <w:marBottom w:val="0"/>
          <w:divBdr>
            <w:top w:val="none" w:sz="0" w:space="0" w:color="auto"/>
            <w:left w:val="none" w:sz="0" w:space="0" w:color="auto"/>
            <w:bottom w:val="none" w:sz="0" w:space="0" w:color="auto"/>
            <w:right w:val="none" w:sz="0" w:space="0" w:color="auto"/>
          </w:divBdr>
        </w:div>
        <w:div w:id="1778402655">
          <w:marLeft w:val="0"/>
          <w:marRight w:val="0"/>
          <w:marTop w:val="0"/>
          <w:marBottom w:val="0"/>
          <w:divBdr>
            <w:top w:val="none" w:sz="0" w:space="0" w:color="auto"/>
            <w:left w:val="none" w:sz="0" w:space="0" w:color="auto"/>
            <w:bottom w:val="none" w:sz="0" w:space="0" w:color="auto"/>
            <w:right w:val="none" w:sz="0" w:space="0" w:color="auto"/>
          </w:divBdr>
        </w:div>
        <w:div w:id="1679386196">
          <w:marLeft w:val="0"/>
          <w:marRight w:val="0"/>
          <w:marTop w:val="0"/>
          <w:marBottom w:val="0"/>
          <w:divBdr>
            <w:top w:val="none" w:sz="0" w:space="0" w:color="auto"/>
            <w:left w:val="none" w:sz="0" w:space="0" w:color="auto"/>
            <w:bottom w:val="none" w:sz="0" w:space="0" w:color="auto"/>
            <w:right w:val="none" w:sz="0" w:space="0" w:color="auto"/>
          </w:divBdr>
        </w:div>
        <w:div w:id="1322077037">
          <w:marLeft w:val="0"/>
          <w:marRight w:val="0"/>
          <w:marTop w:val="0"/>
          <w:marBottom w:val="0"/>
          <w:divBdr>
            <w:top w:val="none" w:sz="0" w:space="0" w:color="auto"/>
            <w:left w:val="none" w:sz="0" w:space="0" w:color="auto"/>
            <w:bottom w:val="none" w:sz="0" w:space="0" w:color="auto"/>
            <w:right w:val="none" w:sz="0" w:space="0" w:color="auto"/>
          </w:divBdr>
        </w:div>
        <w:div w:id="770973096">
          <w:marLeft w:val="0"/>
          <w:marRight w:val="0"/>
          <w:marTop w:val="0"/>
          <w:marBottom w:val="0"/>
          <w:divBdr>
            <w:top w:val="none" w:sz="0" w:space="0" w:color="auto"/>
            <w:left w:val="none" w:sz="0" w:space="0" w:color="auto"/>
            <w:bottom w:val="none" w:sz="0" w:space="0" w:color="auto"/>
            <w:right w:val="none" w:sz="0" w:space="0" w:color="auto"/>
          </w:divBdr>
        </w:div>
        <w:div w:id="1084647200">
          <w:marLeft w:val="0"/>
          <w:marRight w:val="0"/>
          <w:marTop w:val="0"/>
          <w:marBottom w:val="0"/>
          <w:divBdr>
            <w:top w:val="none" w:sz="0" w:space="0" w:color="auto"/>
            <w:left w:val="none" w:sz="0" w:space="0" w:color="auto"/>
            <w:bottom w:val="none" w:sz="0" w:space="0" w:color="auto"/>
            <w:right w:val="none" w:sz="0" w:space="0" w:color="auto"/>
          </w:divBdr>
        </w:div>
        <w:div w:id="1792356813">
          <w:marLeft w:val="0"/>
          <w:marRight w:val="0"/>
          <w:marTop w:val="0"/>
          <w:marBottom w:val="0"/>
          <w:divBdr>
            <w:top w:val="none" w:sz="0" w:space="0" w:color="auto"/>
            <w:left w:val="none" w:sz="0" w:space="0" w:color="auto"/>
            <w:bottom w:val="none" w:sz="0" w:space="0" w:color="auto"/>
            <w:right w:val="none" w:sz="0" w:space="0" w:color="auto"/>
          </w:divBdr>
        </w:div>
        <w:div w:id="443772668">
          <w:marLeft w:val="0"/>
          <w:marRight w:val="0"/>
          <w:marTop w:val="0"/>
          <w:marBottom w:val="0"/>
          <w:divBdr>
            <w:top w:val="none" w:sz="0" w:space="0" w:color="auto"/>
            <w:left w:val="none" w:sz="0" w:space="0" w:color="auto"/>
            <w:bottom w:val="none" w:sz="0" w:space="0" w:color="auto"/>
            <w:right w:val="none" w:sz="0" w:space="0" w:color="auto"/>
          </w:divBdr>
        </w:div>
        <w:div w:id="1463646897">
          <w:marLeft w:val="0"/>
          <w:marRight w:val="0"/>
          <w:marTop w:val="0"/>
          <w:marBottom w:val="0"/>
          <w:divBdr>
            <w:top w:val="none" w:sz="0" w:space="0" w:color="auto"/>
            <w:left w:val="none" w:sz="0" w:space="0" w:color="auto"/>
            <w:bottom w:val="none" w:sz="0" w:space="0" w:color="auto"/>
            <w:right w:val="none" w:sz="0" w:space="0" w:color="auto"/>
          </w:divBdr>
        </w:div>
        <w:div w:id="31660929">
          <w:marLeft w:val="0"/>
          <w:marRight w:val="0"/>
          <w:marTop w:val="0"/>
          <w:marBottom w:val="0"/>
          <w:divBdr>
            <w:top w:val="none" w:sz="0" w:space="0" w:color="auto"/>
            <w:left w:val="none" w:sz="0" w:space="0" w:color="auto"/>
            <w:bottom w:val="none" w:sz="0" w:space="0" w:color="auto"/>
            <w:right w:val="none" w:sz="0" w:space="0" w:color="auto"/>
          </w:divBdr>
        </w:div>
        <w:div w:id="1000886655">
          <w:marLeft w:val="0"/>
          <w:marRight w:val="0"/>
          <w:marTop w:val="0"/>
          <w:marBottom w:val="0"/>
          <w:divBdr>
            <w:top w:val="none" w:sz="0" w:space="0" w:color="auto"/>
            <w:left w:val="none" w:sz="0" w:space="0" w:color="auto"/>
            <w:bottom w:val="none" w:sz="0" w:space="0" w:color="auto"/>
            <w:right w:val="none" w:sz="0" w:space="0" w:color="auto"/>
          </w:divBdr>
        </w:div>
        <w:div w:id="187566493">
          <w:marLeft w:val="0"/>
          <w:marRight w:val="0"/>
          <w:marTop w:val="0"/>
          <w:marBottom w:val="0"/>
          <w:divBdr>
            <w:top w:val="none" w:sz="0" w:space="0" w:color="auto"/>
            <w:left w:val="none" w:sz="0" w:space="0" w:color="auto"/>
            <w:bottom w:val="none" w:sz="0" w:space="0" w:color="auto"/>
            <w:right w:val="none" w:sz="0" w:space="0" w:color="auto"/>
          </w:divBdr>
        </w:div>
        <w:div w:id="1472476755">
          <w:marLeft w:val="0"/>
          <w:marRight w:val="0"/>
          <w:marTop w:val="0"/>
          <w:marBottom w:val="0"/>
          <w:divBdr>
            <w:top w:val="none" w:sz="0" w:space="0" w:color="auto"/>
            <w:left w:val="none" w:sz="0" w:space="0" w:color="auto"/>
            <w:bottom w:val="none" w:sz="0" w:space="0" w:color="auto"/>
            <w:right w:val="none" w:sz="0" w:space="0" w:color="auto"/>
          </w:divBdr>
        </w:div>
        <w:div w:id="677537221">
          <w:marLeft w:val="0"/>
          <w:marRight w:val="0"/>
          <w:marTop w:val="0"/>
          <w:marBottom w:val="0"/>
          <w:divBdr>
            <w:top w:val="none" w:sz="0" w:space="0" w:color="auto"/>
            <w:left w:val="none" w:sz="0" w:space="0" w:color="auto"/>
            <w:bottom w:val="none" w:sz="0" w:space="0" w:color="auto"/>
            <w:right w:val="none" w:sz="0" w:space="0" w:color="auto"/>
          </w:divBdr>
        </w:div>
        <w:div w:id="1666400836">
          <w:marLeft w:val="0"/>
          <w:marRight w:val="0"/>
          <w:marTop w:val="0"/>
          <w:marBottom w:val="0"/>
          <w:divBdr>
            <w:top w:val="none" w:sz="0" w:space="0" w:color="auto"/>
            <w:left w:val="none" w:sz="0" w:space="0" w:color="auto"/>
            <w:bottom w:val="none" w:sz="0" w:space="0" w:color="auto"/>
            <w:right w:val="none" w:sz="0" w:space="0" w:color="auto"/>
          </w:divBdr>
        </w:div>
        <w:div w:id="1037587265">
          <w:marLeft w:val="0"/>
          <w:marRight w:val="0"/>
          <w:marTop w:val="0"/>
          <w:marBottom w:val="0"/>
          <w:divBdr>
            <w:top w:val="none" w:sz="0" w:space="0" w:color="auto"/>
            <w:left w:val="none" w:sz="0" w:space="0" w:color="auto"/>
            <w:bottom w:val="none" w:sz="0" w:space="0" w:color="auto"/>
            <w:right w:val="none" w:sz="0" w:space="0" w:color="auto"/>
          </w:divBdr>
        </w:div>
      </w:divsChild>
    </w:div>
    <w:div w:id="1918513751">
      <w:bodyDiv w:val="1"/>
      <w:marLeft w:val="0"/>
      <w:marRight w:val="0"/>
      <w:marTop w:val="0"/>
      <w:marBottom w:val="0"/>
      <w:divBdr>
        <w:top w:val="none" w:sz="0" w:space="0" w:color="auto"/>
        <w:left w:val="none" w:sz="0" w:space="0" w:color="auto"/>
        <w:bottom w:val="none" w:sz="0" w:space="0" w:color="auto"/>
        <w:right w:val="none" w:sz="0" w:space="0" w:color="auto"/>
      </w:divBdr>
      <w:divsChild>
        <w:div w:id="1075006229">
          <w:marLeft w:val="0"/>
          <w:marRight w:val="0"/>
          <w:marTop w:val="0"/>
          <w:marBottom w:val="0"/>
          <w:divBdr>
            <w:top w:val="none" w:sz="0" w:space="0" w:color="auto"/>
            <w:left w:val="none" w:sz="0" w:space="0" w:color="auto"/>
            <w:bottom w:val="none" w:sz="0" w:space="0" w:color="auto"/>
            <w:right w:val="none" w:sz="0" w:space="0" w:color="auto"/>
          </w:divBdr>
        </w:div>
        <w:div w:id="242880404">
          <w:marLeft w:val="0"/>
          <w:marRight w:val="0"/>
          <w:marTop w:val="0"/>
          <w:marBottom w:val="0"/>
          <w:divBdr>
            <w:top w:val="none" w:sz="0" w:space="0" w:color="auto"/>
            <w:left w:val="none" w:sz="0" w:space="0" w:color="auto"/>
            <w:bottom w:val="none" w:sz="0" w:space="0" w:color="auto"/>
            <w:right w:val="none" w:sz="0" w:space="0" w:color="auto"/>
          </w:divBdr>
        </w:div>
        <w:div w:id="629357162">
          <w:marLeft w:val="0"/>
          <w:marRight w:val="0"/>
          <w:marTop w:val="0"/>
          <w:marBottom w:val="0"/>
          <w:divBdr>
            <w:top w:val="none" w:sz="0" w:space="0" w:color="auto"/>
            <w:left w:val="none" w:sz="0" w:space="0" w:color="auto"/>
            <w:bottom w:val="none" w:sz="0" w:space="0" w:color="auto"/>
            <w:right w:val="none" w:sz="0" w:space="0" w:color="auto"/>
          </w:divBdr>
        </w:div>
        <w:div w:id="323120482">
          <w:marLeft w:val="0"/>
          <w:marRight w:val="0"/>
          <w:marTop w:val="0"/>
          <w:marBottom w:val="0"/>
          <w:divBdr>
            <w:top w:val="none" w:sz="0" w:space="0" w:color="auto"/>
            <w:left w:val="none" w:sz="0" w:space="0" w:color="auto"/>
            <w:bottom w:val="none" w:sz="0" w:space="0" w:color="auto"/>
            <w:right w:val="none" w:sz="0" w:space="0" w:color="auto"/>
          </w:divBdr>
        </w:div>
        <w:div w:id="1761556804">
          <w:marLeft w:val="0"/>
          <w:marRight w:val="0"/>
          <w:marTop w:val="0"/>
          <w:marBottom w:val="0"/>
          <w:divBdr>
            <w:top w:val="none" w:sz="0" w:space="0" w:color="auto"/>
            <w:left w:val="none" w:sz="0" w:space="0" w:color="auto"/>
            <w:bottom w:val="none" w:sz="0" w:space="0" w:color="auto"/>
            <w:right w:val="none" w:sz="0" w:space="0" w:color="auto"/>
          </w:divBdr>
        </w:div>
        <w:div w:id="112751811">
          <w:marLeft w:val="0"/>
          <w:marRight w:val="0"/>
          <w:marTop w:val="0"/>
          <w:marBottom w:val="0"/>
          <w:divBdr>
            <w:top w:val="none" w:sz="0" w:space="0" w:color="auto"/>
            <w:left w:val="none" w:sz="0" w:space="0" w:color="auto"/>
            <w:bottom w:val="none" w:sz="0" w:space="0" w:color="auto"/>
            <w:right w:val="none" w:sz="0" w:space="0" w:color="auto"/>
          </w:divBdr>
        </w:div>
        <w:div w:id="362171699">
          <w:marLeft w:val="0"/>
          <w:marRight w:val="0"/>
          <w:marTop w:val="0"/>
          <w:marBottom w:val="0"/>
          <w:divBdr>
            <w:top w:val="none" w:sz="0" w:space="0" w:color="auto"/>
            <w:left w:val="none" w:sz="0" w:space="0" w:color="auto"/>
            <w:bottom w:val="none" w:sz="0" w:space="0" w:color="auto"/>
            <w:right w:val="none" w:sz="0" w:space="0" w:color="auto"/>
          </w:divBdr>
        </w:div>
        <w:div w:id="1079255343">
          <w:marLeft w:val="0"/>
          <w:marRight w:val="0"/>
          <w:marTop w:val="0"/>
          <w:marBottom w:val="0"/>
          <w:divBdr>
            <w:top w:val="none" w:sz="0" w:space="0" w:color="auto"/>
            <w:left w:val="none" w:sz="0" w:space="0" w:color="auto"/>
            <w:bottom w:val="none" w:sz="0" w:space="0" w:color="auto"/>
            <w:right w:val="none" w:sz="0" w:space="0" w:color="auto"/>
          </w:divBdr>
        </w:div>
        <w:div w:id="248806286">
          <w:marLeft w:val="0"/>
          <w:marRight w:val="0"/>
          <w:marTop w:val="0"/>
          <w:marBottom w:val="0"/>
          <w:divBdr>
            <w:top w:val="none" w:sz="0" w:space="0" w:color="auto"/>
            <w:left w:val="none" w:sz="0" w:space="0" w:color="auto"/>
            <w:bottom w:val="none" w:sz="0" w:space="0" w:color="auto"/>
            <w:right w:val="none" w:sz="0" w:space="0" w:color="auto"/>
          </w:divBdr>
        </w:div>
        <w:div w:id="786655640">
          <w:marLeft w:val="0"/>
          <w:marRight w:val="0"/>
          <w:marTop w:val="0"/>
          <w:marBottom w:val="0"/>
          <w:divBdr>
            <w:top w:val="none" w:sz="0" w:space="0" w:color="auto"/>
            <w:left w:val="none" w:sz="0" w:space="0" w:color="auto"/>
            <w:bottom w:val="none" w:sz="0" w:space="0" w:color="auto"/>
            <w:right w:val="none" w:sz="0" w:space="0" w:color="auto"/>
          </w:divBdr>
        </w:div>
        <w:div w:id="335379520">
          <w:marLeft w:val="0"/>
          <w:marRight w:val="0"/>
          <w:marTop w:val="0"/>
          <w:marBottom w:val="0"/>
          <w:divBdr>
            <w:top w:val="none" w:sz="0" w:space="0" w:color="auto"/>
            <w:left w:val="none" w:sz="0" w:space="0" w:color="auto"/>
            <w:bottom w:val="none" w:sz="0" w:space="0" w:color="auto"/>
            <w:right w:val="none" w:sz="0" w:space="0" w:color="auto"/>
          </w:divBdr>
        </w:div>
        <w:div w:id="1472669607">
          <w:marLeft w:val="0"/>
          <w:marRight w:val="0"/>
          <w:marTop w:val="0"/>
          <w:marBottom w:val="0"/>
          <w:divBdr>
            <w:top w:val="none" w:sz="0" w:space="0" w:color="auto"/>
            <w:left w:val="none" w:sz="0" w:space="0" w:color="auto"/>
            <w:bottom w:val="none" w:sz="0" w:space="0" w:color="auto"/>
            <w:right w:val="none" w:sz="0" w:space="0" w:color="auto"/>
          </w:divBdr>
        </w:div>
        <w:div w:id="1054040491">
          <w:marLeft w:val="0"/>
          <w:marRight w:val="0"/>
          <w:marTop w:val="0"/>
          <w:marBottom w:val="0"/>
          <w:divBdr>
            <w:top w:val="none" w:sz="0" w:space="0" w:color="auto"/>
            <w:left w:val="none" w:sz="0" w:space="0" w:color="auto"/>
            <w:bottom w:val="none" w:sz="0" w:space="0" w:color="auto"/>
            <w:right w:val="none" w:sz="0" w:space="0" w:color="auto"/>
          </w:divBdr>
        </w:div>
        <w:div w:id="238753171">
          <w:marLeft w:val="0"/>
          <w:marRight w:val="0"/>
          <w:marTop w:val="0"/>
          <w:marBottom w:val="0"/>
          <w:divBdr>
            <w:top w:val="none" w:sz="0" w:space="0" w:color="auto"/>
            <w:left w:val="none" w:sz="0" w:space="0" w:color="auto"/>
            <w:bottom w:val="none" w:sz="0" w:space="0" w:color="auto"/>
            <w:right w:val="none" w:sz="0" w:space="0" w:color="auto"/>
          </w:divBdr>
        </w:div>
        <w:div w:id="618999144">
          <w:marLeft w:val="0"/>
          <w:marRight w:val="0"/>
          <w:marTop w:val="0"/>
          <w:marBottom w:val="0"/>
          <w:divBdr>
            <w:top w:val="none" w:sz="0" w:space="0" w:color="auto"/>
            <w:left w:val="none" w:sz="0" w:space="0" w:color="auto"/>
            <w:bottom w:val="none" w:sz="0" w:space="0" w:color="auto"/>
            <w:right w:val="none" w:sz="0" w:space="0" w:color="auto"/>
          </w:divBdr>
        </w:div>
        <w:div w:id="2098279883">
          <w:marLeft w:val="0"/>
          <w:marRight w:val="0"/>
          <w:marTop w:val="0"/>
          <w:marBottom w:val="0"/>
          <w:divBdr>
            <w:top w:val="none" w:sz="0" w:space="0" w:color="auto"/>
            <w:left w:val="none" w:sz="0" w:space="0" w:color="auto"/>
            <w:bottom w:val="none" w:sz="0" w:space="0" w:color="auto"/>
            <w:right w:val="none" w:sz="0" w:space="0" w:color="auto"/>
          </w:divBdr>
        </w:div>
        <w:div w:id="1108240050">
          <w:marLeft w:val="0"/>
          <w:marRight w:val="0"/>
          <w:marTop w:val="0"/>
          <w:marBottom w:val="0"/>
          <w:divBdr>
            <w:top w:val="none" w:sz="0" w:space="0" w:color="auto"/>
            <w:left w:val="none" w:sz="0" w:space="0" w:color="auto"/>
            <w:bottom w:val="none" w:sz="0" w:space="0" w:color="auto"/>
            <w:right w:val="none" w:sz="0" w:space="0" w:color="auto"/>
          </w:divBdr>
        </w:div>
        <w:div w:id="1619097808">
          <w:marLeft w:val="0"/>
          <w:marRight w:val="0"/>
          <w:marTop w:val="0"/>
          <w:marBottom w:val="0"/>
          <w:divBdr>
            <w:top w:val="none" w:sz="0" w:space="0" w:color="auto"/>
            <w:left w:val="none" w:sz="0" w:space="0" w:color="auto"/>
            <w:bottom w:val="none" w:sz="0" w:space="0" w:color="auto"/>
            <w:right w:val="none" w:sz="0" w:space="0" w:color="auto"/>
          </w:divBdr>
        </w:div>
        <w:div w:id="1795634909">
          <w:marLeft w:val="0"/>
          <w:marRight w:val="0"/>
          <w:marTop w:val="0"/>
          <w:marBottom w:val="0"/>
          <w:divBdr>
            <w:top w:val="none" w:sz="0" w:space="0" w:color="auto"/>
            <w:left w:val="none" w:sz="0" w:space="0" w:color="auto"/>
            <w:bottom w:val="none" w:sz="0" w:space="0" w:color="auto"/>
            <w:right w:val="none" w:sz="0" w:space="0" w:color="auto"/>
          </w:divBdr>
        </w:div>
        <w:div w:id="1290431693">
          <w:marLeft w:val="0"/>
          <w:marRight w:val="0"/>
          <w:marTop w:val="0"/>
          <w:marBottom w:val="0"/>
          <w:divBdr>
            <w:top w:val="none" w:sz="0" w:space="0" w:color="auto"/>
            <w:left w:val="none" w:sz="0" w:space="0" w:color="auto"/>
            <w:bottom w:val="none" w:sz="0" w:space="0" w:color="auto"/>
            <w:right w:val="none" w:sz="0" w:space="0" w:color="auto"/>
          </w:divBdr>
        </w:div>
        <w:div w:id="527715342">
          <w:marLeft w:val="0"/>
          <w:marRight w:val="0"/>
          <w:marTop w:val="0"/>
          <w:marBottom w:val="0"/>
          <w:divBdr>
            <w:top w:val="none" w:sz="0" w:space="0" w:color="auto"/>
            <w:left w:val="none" w:sz="0" w:space="0" w:color="auto"/>
            <w:bottom w:val="none" w:sz="0" w:space="0" w:color="auto"/>
            <w:right w:val="none" w:sz="0" w:space="0" w:color="auto"/>
          </w:divBdr>
        </w:div>
        <w:div w:id="1164588242">
          <w:marLeft w:val="0"/>
          <w:marRight w:val="0"/>
          <w:marTop w:val="0"/>
          <w:marBottom w:val="0"/>
          <w:divBdr>
            <w:top w:val="none" w:sz="0" w:space="0" w:color="auto"/>
            <w:left w:val="none" w:sz="0" w:space="0" w:color="auto"/>
            <w:bottom w:val="none" w:sz="0" w:space="0" w:color="auto"/>
            <w:right w:val="none" w:sz="0" w:space="0" w:color="auto"/>
          </w:divBdr>
        </w:div>
        <w:div w:id="2081637393">
          <w:marLeft w:val="0"/>
          <w:marRight w:val="0"/>
          <w:marTop w:val="0"/>
          <w:marBottom w:val="0"/>
          <w:divBdr>
            <w:top w:val="none" w:sz="0" w:space="0" w:color="auto"/>
            <w:left w:val="none" w:sz="0" w:space="0" w:color="auto"/>
            <w:bottom w:val="none" w:sz="0" w:space="0" w:color="auto"/>
            <w:right w:val="none" w:sz="0" w:space="0" w:color="auto"/>
          </w:divBdr>
        </w:div>
        <w:div w:id="1380590989">
          <w:marLeft w:val="0"/>
          <w:marRight w:val="0"/>
          <w:marTop w:val="0"/>
          <w:marBottom w:val="0"/>
          <w:divBdr>
            <w:top w:val="none" w:sz="0" w:space="0" w:color="auto"/>
            <w:left w:val="none" w:sz="0" w:space="0" w:color="auto"/>
            <w:bottom w:val="none" w:sz="0" w:space="0" w:color="auto"/>
            <w:right w:val="none" w:sz="0" w:space="0" w:color="auto"/>
          </w:divBdr>
        </w:div>
        <w:div w:id="481391343">
          <w:marLeft w:val="0"/>
          <w:marRight w:val="0"/>
          <w:marTop w:val="0"/>
          <w:marBottom w:val="0"/>
          <w:divBdr>
            <w:top w:val="none" w:sz="0" w:space="0" w:color="auto"/>
            <w:left w:val="none" w:sz="0" w:space="0" w:color="auto"/>
            <w:bottom w:val="none" w:sz="0" w:space="0" w:color="auto"/>
            <w:right w:val="none" w:sz="0" w:space="0" w:color="auto"/>
          </w:divBdr>
        </w:div>
        <w:div w:id="1615792651">
          <w:marLeft w:val="0"/>
          <w:marRight w:val="0"/>
          <w:marTop w:val="0"/>
          <w:marBottom w:val="0"/>
          <w:divBdr>
            <w:top w:val="none" w:sz="0" w:space="0" w:color="auto"/>
            <w:left w:val="none" w:sz="0" w:space="0" w:color="auto"/>
            <w:bottom w:val="none" w:sz="0" w:space="0" w:color="auto"/>
            <w:right w:val="none" w:sz="0" w:space="0" w:color="auto"/>
          </w:divBdr>
        </w:div>
        <w:div w:id="1144934512">
          <w:marLeft w:val="0"/>
          <w:marRight w:val="0"/>
          <w:marTop w:val="0"/>
          <w:marBottom w:val="0"/>
          <w:divBdr>
            <w:top w:val="none" w:sz="0" w:space="0" w:color="auto"/>
            <w:left w:val="none" w:sz="0" w:space="0" w:color="auto"/>
            <w:bottom w:val="none" w:sz="0" w:space="0" w:color="auto"/>
            <w:right w:val="none" w:sz="0" w:space="0" w:color="auto"/>
          </w:divBdr>
        </w:div>
        <w:div w:id="1760634559">
          <w:marLeft w:val="0"/>
          <w:marRight w:val="0"/>
          <w:marTop w:val="0"/>
          <w:marBottom w:val="0"/>
          <w:divBdr>
            <w:top w:val="none" w:sz="0" w:space="0" w:color="auto"/>
            <w:left w:val="none" w:sz="0" w:space="0" w:color="auto"/>
            <w:bottom w:val="none" w:sz="0" w:space="0" w:color="auto"/>
            <w:right w:val="none" w:sz="0" w:space="0" w:color="auto"/>
          </w:divBdr>
        </w:div>
        <w:div w:id="2078429622">
          <w:marLeft w:val="0"/>
          <w:marRight w:val="0"/>
          <w:marTop w:val="0"/>
          <w:marBottom w:val="0"/>
          <w:divBdr>
            <w:top w:val="none" w:sz="0" w:space="0" w:color="auto"/>
            <w:left w:val="none" w:sz="0" w:space="0" w:color="auto"/>
            <w:bottom w:val="none" w:sz="0" w:space="0" w:color="auto"/>
            <w:right w:val="none" w:sz="0" w:space="0" w:color="auto"/>
          </w:divBdr>
        </w:div>
        <w:div w:id="1290236898">
          <w:marLeft w:val="0"/>
          <w:marRight w:val="0"/>
          <w:marTop w:val="0"/>
          <w:marBottom w:val="0"/>
          <w:divBdr>
            <w:top w:val="none" w:sz="0" w:space="0" w:color="auto"/>
            <w:left w:val="none" w:sz="0" w:space="0" w:color="auto"/>
            <w:bottom w:val="none" w:sz="0" w:space="0" w:color="auto"/>
            <w:right w:val="none" w:sz="0" w:space="0" w:color="auto"/>
          </w:divBdr>
        </w:div>
        <w:div w:id="1040519935">
          <w:marLeft w:val="0"/>
          <w:marRight w:val="0"/>
          <w:marTop w:val="0"/>
          <w:marBottom w:val="0"/>
          <w:divBdr>
            <w:top w:val="none" w:sz="0" w:space="0" w:color="auto"/>
            <w:left w:val="none" w:sz="0" w:space="0" w:color="auto"/>
            <w:bottom w:val="none" w:sz="0" w:space="0" w:color="auto"/>
            <w:right w:val="none" w:sz="0" w:space="0" w:color="auto"/>
          </w:divBdr>
        </w:div>
        <w:div w:id="1539010502">
          <w:marLeft w:val="0"/>
          <w:marRight w:val="0"/>
          <w:marTop w:val="0"/>
          <w:marBottom w:val="0"/>
          <w:divBdr>
            <w:top w:val="none" w:sz="0" w:space="0" w:color="auto"/>
            <w:left w:val="none" w:sz="0" w:space="0" w:color="auto"/>
            <w:bottom w:val="none" w:sz="0" w:space="0" w:color="auto"/>
            <w:right w:val="none" w:sz="0" w:space="0" w:color="auto"/>
          </w:divBdr>
        </w:div>
        <w:div w:id="520819376">
          <w:marLeft w:val="0"/>
          <w:marRight w:val="0"/>
          <w:marTop w:val="0"/>
          <w:marBottom w:val="0"/>
          <w:divBdr>
            <w:top w:val="none" w:sz="0" w:space="0" w:color="auto"/>
            <w:left w:val="none" w:sz="0" w:space="0" w:color="auto"/>
            <w:bottom w:val="none" w:sz="0" w:space="0" w:color="auto"/>
            <w:right w:val="none" w:sz="0" w:space="0" w:color="auto"/>
          </w:divBdr>
        </w:div>
        <w:div w:id="1709408194">
          <w:marLeft w:val="0"/>
          <w:marRight w:val="0"/>
          <w:marTop w:val="0"/>
          <w:marBottom w:val="0"/>
          <w:divBdr>
            <w:top w:val="none" w:sz="0" w:space="0" w:color="auto"/>
            <w:left w:val="none" w:sz="0" w:space="0" w:color="auto"/>
            <w:bottom w:val="none" w:sz="0" w:space="0" w:color="auto"/>
            <w:right w:val="none" w:sz="0" w:space="0" w:color="auto"/>
          </w:divBdr>
        </w:div>
        <w:div w:id="1825314154">
          <w:marLeft w:val="0"/>
          <w:marRight w:val="0"/>
          <w:marTop w:val="0"/>
          <w:marBottom w:val="0"/>
          <w:divBdr>
            <w:top w:val="none" w:sz="0" w:space="0" w:color="auto"/>
            <w:left w:val="none" w:sz="0" w:space="0" w:color="auto"/>
            <w:bottom w:val="none" w:sz="0" w:space="0" w:color="auto"/>
            <w:right w:val="none" w:sz="0" w:space="0" w:color="auto"/>
          </w:divBdr>
        </w:div>
        <w:div w:id="9920213">
          <w:marLeft w:val="0"/>
          <w:marRight w:val="0"/>
          <w:marTop w:val="0"/>
          <w:marBottom w:val="0"/>
          <w:divBdr>
            <w:top w:val="none" w:sz="0" w:space="0" w:color="auto"/>
            <w:left w:val="none" w:sz="0" w:space="0" w:color="auto"/>
            <w:bottom w:val="none" w:sz="0" w:space="0" w:color="auto"/>
            <w:right w:val="none" w:sz="0" w:space="0" w:color="auto"/>
          </w:divBdr>
        </w:div>
        <w:div w:id="827481526">
          <w:marLeft w:val="0"/>
          <w:marRight w:val="0"/>
          <w:marTop w:val="0"/>
          <w:marBottom w:val="0"/>
          <w:divBdr>
            <w:top w:val="none" w:sz="0" w:space="0" w:color="auto"/>
            <w:left w:val="none" w:sz="0" w:space="0" w:color="auto"/>
            <w:bottom w:val="none" w:sz="0" w:space="0" w:color="auto"/>
            <w:right w:val="none" w:sz="0" w:space="0" w:color="auto"/>
          </w:divBdr>
        </w:div>
        <w:div w:id="538667481">
          <w:marLeft w:val="0"/>
          <w:marRight w:val="0"/>
          <w:marTop w:val="0"/>
          <w:marBottom w:val="0"/>
          <w:divBdr>
            <w:top w:val="none" w:sz="0" w:space="0" w:color="auto"/>
            <w:left w:val="none" w:sz="0" w:space="0" w:color="auto"/>
            <w:bottom w:val="none" w:sz="0" w:space="0" w:color="auto"/>
            <w:right w:val="none" w:sz="0" w:space="0" w:color="auto"/>
          </w:divBdr>
        </w:div>
        <w:div w:id="1366448438">
          <w:marLeft w:val="0"/>
          <w:marRight w:val="0"/>
          <w:marTop w:val="0"/>
          <w:marBottom w:val="0"/>
          <w:divBdr>
            <w:top w:val="none" w:sz="0" w:space="0" w:color="auto"/>
            <w:left w:val="none" w:sz="0" w:space="0" w:color="auto"/>
            <w:bottom w:val="none" w:sz="0" w:space="0" w:color="auto"/>
            <w:right w:val="none" w:sz="0" w:space="0" w:color="auto"/>
          </w:divBdr>
        </w:div>
        <w:div w:id="12793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trick.Forster@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6782</Characters>
  <Application>Microsoft Office Word</Application>
  <DocSecurity>0</DocSecurity>
  <Lines>137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8059</CharactersWithSpaces>
  <SharedDoc>false</SharedDoc>
  <HyperlinkBase> </HyperlinkBase>
  <HLinks>
    <vt:vector size="6" baseType="variant">
      <vt:variant>
        <vt:i4>6225993</vt:i4>
      </vt:variant>
      <vt:variant>
        <vt:i4>0</vt:i4>
      </vt:variant>
      <vt:variant>
        <vt:i4>0</vt:i4>
      </vt:variant>
      <vt:variant>
        <vt:i4>5</vt:i4>
      </vt:variant>
      <vt:variant>
        <vt:lpwstr>http://www.dect.org/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2014-10-20T15:13:00Z</dcterms:created>
  <dcterms:modified xsi:type="dcterms:W3CDTF">2014-10-20T15:13:00Z</dcterms:modified>
  <cp:category> </cp:category>
  <cp:contentStatus> </cp:contentStatus>
</cp:coreProperties>
</file>