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t xml:space="preserve">DA </w:t>
      </w:r>
      <w:r w:rsidR="004B400A" w:rsidRPr="004B400A">
        <w:rPr>
          <w:b/>
          <w:szCs w:val="22"/>
        </w:rPr>
        <w:t>14-1513</w:t>
      </w:r>
    </w:p>
    <w:p w:rsidR="006B61F6" w:rsidRPr="00CE559B" w:rsidRDefault="006B61F6" w:rsidP="00CB35C6">
      <w:pPr>
        <w:jc w:val="right"/>
        <w:rPr>
          <w:b/>
          <w:szCs w:val="22"/>
        </w:rPr>
      </w:pP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r>
      <w:r w:rsidRPr="00CE559B">
        <w:rPr>
          <w:b/>
          <w:szCs w:val="22"/>
        </w:rPr>
        <w:tab/>
        <w:t xml:space="preserve">Released: </w:t>
      </w:r>
      <w:r w:rsidR="00420907">
        <w:rPr>
          <w:b/>
          <w:szCs w:val="22"/>
        </w:rPr>
        <w:t xml:space="preserve">October </w:t>
      </w:r>
      <w:r w:rsidR="00D1613E">
        <w:rPr>
          <w:b/>
          <w:szCs w:val="22"/>
        </w:rPr>
        <w:t>20</w:t>
      </w:r>
      <w:r w:rsidR="00420907">
        <w:rPr>
          <w:b/>
          <w:szCs w:val="22"/>
        </w:rPr>
        <w:t>, 2014</w:t>
      </w:r>
    </w:p>
    <w:p w:rsidR="00304C68" w:rsidRPr="00CE559B" w:rsidRDefault="00304C68">
      <w:pPr>
        <w:rPr>
          <w:b/>
          <w:szCs w:val="22"/>
        </w:rPr>
      </w:pPr>
    </w:p>
    <w:p w:rsidR="002441AE" w:rsidRPr="00CE559B" w:rsidRDefault="002441AE">
      <w:pPr>
        <w:rPr>
          <w:b/>
          <w:szCs w:val="22"/>
        </w:rPr>
      </w:pPr>
    </w:p>
    <w:p w:rsidR="00FD2319" w:rsidRPr="00CE559B" w:rsidRDefault="007E2582" w:rsidP="00420907">
      <w:pPr>
        <w:pStyle w:val="BlockText"/>
        <w:widowControl/>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sidRPr="00CE559B">
        <w:rPr>
          <w:b/>
          <w:kern w:val="0"/>
          <w:szCs w:val="22"/>
        </w:rPr>
        <w:t xml:space="preserve">MEDIA BUREAU </w:t>
      </w:r>
      <w:r w:rsidR="00FF5BC0">
        <w:rPr>
          <w:b/>
          <w:kern w:val="0"/>
          <w:szCs w:val="22"/>
        </w:rPr>
        <w:t>EXTENDS</w:t>
      </w:r>
      <w:r w:rsidR="00420907">
        <w:rPr>
          <w:b/>
          <w:kern w:val="0"/>
          <w:szCs w:val="22"/>
        </w:rPr>
        <w:t xml:space="preserve"> THE FILING DATE FOR TIME-SHARES SUMBITTED IN RESPONSE TO THE JULY 9, 2014</w:t>
      </w:r>
      <w:r w:rsidR="00F72212">
        <w:rPr>
          <w:b/>
          <w:kern w:val="0"/>
          <w:szCs w:val="22"/>
        </w:rPr>
        <w:t>,</w:t>
      </w:r>
      <w:r w:rsidR="00420907">
        <w:rPr>
          <w:b/>
          <w:kern w:val="0"/>
          <w:szCs w:val="22"/>
        </w:rPr>
        <w:t xml:space="preserve"> PUBLIC NOTICE IDENTIFYING </w:t>
      </w:r>
      <w:r w:rsidR="003E2760">
        <w:rPr>
          <w:b/>
          <w:kern w:val="0"/>
          <w:szCs w:val="22"/>
        </w:rPr>
        <w:t xml:space="preserve">TENTATIVE SELECTEES IN </w:t>
      </w:r>
      <w:r w:rsidR="00420907">
        <w:rPr>
          <w:b/>
          <w:kern w:val="0"/>
          <w:szCs w:val="22"/>
        </w:rPr>
        <w:t>79 GROUPS OF MUTUALLY EXCLUSIVE APPLICATIONS</w:t>
      </w:r>
    </w:p>
    <w:p w:rsidR="006B61F6" w:rsidRPr="00CE559B" w:rsidRDefault="006B61F6">
      <w:pPr>
        <w:pStyle w:val="BlockText"/>
        <w:widowControl/>
        <w:tabs>
          <w:tab w:val="left" w:pos="810"/>
        </w:tabs>
        <w:spacing w:after="0"/>
        <w:ind w:left="720" w:right="0"/>
        <w:jc w:val="center"/>
        <w:rPr>
          <w:b/>
          <w:szCs w:val="22"/>
        </w:rPr>
      </w:pPr>
    </w:p>
    <w:p w:rsidR="00D7098B" w:rsidRDefault="00304C68" w:rsidP="009A0BDC">
      <w:pPr>
        <w:tabs>
          <w:tab w:val="left" w:pos="1"/>
          <w:tab w:val="left" w:pos="720"/>
          <w:tab w:val="left" w:pos="1440"/>
          <w:tab w:val="right" w:pos="9360"/>
        </w:tabs>
        <w:rPr>
          <w:szCs w:val="22"/>
        </w:rPr>
      </w:pPr>
      <w:r w:rsidRPr="00CE559B">
        <w:rPr>
          <w:szCs w:val="22"/>
        </w:rPr>
        <w:tab/>
      </w:r>
      <w:r w:rsidR="00F72212">
        <w:rPr>
          <w:szCs w:val="22"/>
        </w:rPr>
        <w:t>By t</w:t>
      </w:r>
      <w:r w:rsidR="00D16724">
        <w:rPr>
          <w:szCs w:val="22"/>
        </w:rPr>
        <w:t xml:space="preserve">his Public Notice </w:t>
      </w:r>
      <w:r w:rsidR="009A0BDC">
        <w:rPr>
          <w:szCs w:val="22"/>
        </w:rPr>
        <w:t xml:space="preserve">the </w:t>
      </w:r>
      <w:r w:rsidR="003C7D17">
        <w:rPr>
          <w:szCs w:val="22"/>
        </w:rPr>
        <w:t>Media Bureau (</w:t>
      </w:r>
      <w:r w:rsidR="00DE35F9">
        <w:rPr>
          <w:szCs w:val="22"/>
        </w:rPr>
        <w:t>“</w:t>
      </w:r>
      <w:r w:rsidR="003C7D17">
        <w:rPr>
          <w:szCs w:val="22"/>
        </w:rPr>
        <w:t>Bureau</w:t>
      </w:r>
      <w:r w:rsidR="00DE35F9">
        <w:rPr>
          <w:szCs w:val="22"/>
        </w:rPr>
        <w:t>”</w:t>
      </w:r>
      <w:r w:rsidR="003C7D17">
        <w:rPr>
          <w:szCs w:val="22"/>
        </w:rPr>
        <w:t xml:space="preserve">) </w:t>
      </w:r>
      <w:r w:rsidR="009A0BDC">
        <w:rPr>
          <w:szCs w:val="22"/>
        </w:rPr>
        <w:t>announce</w:t>
      </w:r>
      <w:r w:rsidR="008C12C6">
        <w:rPr>
          <w:szCs w:val="22"/>
        </w:rPr>
        <w:t>s it will accept all time-share agreements</w:t>
      </w:r>
      <w:r w:rsidR="009A0BDC">
        <w:rPr>
          <w:szCs w:val="22"/>
        </w:rPr>
        <w:t xml:space="preserve"> </w:t>
      </w:r>
      <w:r w:rsidR="001805C1">
        <w:rPr>
          <w:szCs w:val="22"/>
        </w:rPr>
        <w:t xml:space="preserve">submitted by October 8, 2014, 6:00 p.m. EDT, that were </w:t>
      </w:r>
      <w:r w:rsidR="009A0BDC">
        <w:rPr>
          <w:szCs w:val="22"/>
        </w:rPr>
        <w:t xml:space="preserve">filed in response to the </w:t>
      </w:r>
      <w:r w:rsidR="004D5F60">
        <w:rPr>
          <w:szCs w:val="22"/>
        </w:rPr>
        <w:t>July 9, 2014</w:t>
      </w:r>
      <w:r w:rsidR="008C12C6">
        <w:rPr>
          <w:szCs w:val="22"/>
        </w:rPr>
        <w:t>,</w:t>
      </w:r>
      <w:r w:rsidR="004D5F60">
        <w:rPr>
          <w:szCs w:val="22"/>
        </w:rPr>
        <w:t xml:space="preserve"> Public Notice identifying </w:t>
      </w:r>
      <w:r w:rsidR="003E2760">
        <w:rPr>
          <w:szCs w:val="22"/>
        </w:rPr>
        <w:t xml:space="preserve">tentative selectees in </w:t>
      </w:r>
      <w:r w:rsidR="004D5F60">
        <w:rPr>
          <w:szCs w:val="22"/>
        </w:rPr>
        <w:t xml:space="preserve">79 groups of </w:t>
      </w:r>
      <w:r w:rsidR="004D5F60" w:rsidRPr="009834C3">
        <w:rPr>
          <w:szCs w:val="22"/>
        </w:rPr>
        <w:t>mutually exclusive (“MX”) application</w:t>
      </w:r>
      <w:r w:rsidR="004D5F60">
        <w:rPr>
          <w:szCs w:val="22"/>
        </w:rPr>
        <w:t>s filed in the October 2013 low power FM window.</w:t>
      </w:r>
      <w:r w:rsidR="004D5F60">
        <w:rPr>
          <w:rStyle w:val="FootnoteReference"/>
          <w:szCs w:val="22"/>
        </w:rPr>
        <w:footnoteReference w:id="1"/>
      </w:r>
    </w:p>
    <w:p w:rsidR="00F15DD4" w:rsidRDefault="00F15DD4" w:rsidP="009A0BDC">
      <w:pPr>
        <w:tabs>
          <w:tab w:val="left" w:pos="1"/>
          <w:tab w:val="left" w:pos="720"/>
          <w:tab w:val="left" w:pos="1440"/>
          <w:tab w:val="right" w:pos="9360"/>
        </w:tabs>
        <w:rPr>
          <w:szCs w:val="22"/>
        </w:rPr>
      </w:pPr>
    </w:p>
    <w:p w:rsidR="00F15DD4" w:rsidRDefault="00ED291C" w:rsidP="009A0BDC">
      <w:pPr>
        <w:tabs>
          <w:tab w:val="left" w:pos="1"/>
          <w:tab w:val="left" w:pos="720"/>
          <w:tab w:val="left" w:pos="1440"/>
          <w:tab w:val="right" w:pos="9360"/>
        </w:tabs>
        <w:rPr>
          <w:szCs w:val="22"/>
        </w:rPr>
      </w:pPr>
      <w:r>
        <w:rPr>
          <w:b/>
          <w:szCs w:val="22"/>
        </w:rPr>
        <w:t xml:space="preserve">July Public Notice:  </w:t>
      </w:r>
      <w:r>
        <w:rPr>
          <w:szCs w:val="22"/>
        </w:rPr>
        <w:t xml:space="preserve">The </w:t>
      </w:r>
      <w:r>
        <w:rPr>
          <w:i/>
          <w:szCs w:val="22"/>
        </w:rPr>
        <w:t>July PN</w:t>
      </w:r>
      <w:r>
        <w:rPr>
          <w:szCs w:val="22"/>
        </w:rPr>
        <w:t xml:space="preserve"> </w:t>
      </w:r>
      <w:r w:rsidR="003E2760">
        <w:rPr>
          <w:szCs w:val="22"/>
        </w:rPr>
        <w:t xml:space="preserve">identified tentative selectees in 79 MX groups.  </w:t>
      </w:r>
      <w:r w:rsidR="00DA2709">
        <w:rPr>
          <w:szCs w:val="22"/>
        </w:rPr>
        <w:t>T</w:t>
      </w:r>
      <w:r w:rsidR="00507614">
        <w:rPr>
          <w:szCs w:val="22"/>
        </w:rPr>
        <w:t>he</w:t>
      </w:r>
      <w:r w:rsidR="00DA2709">
        <w:rPr>
          <w:szCs w:val="22"/>
        </w:rPr>
        <w:t xml:space="preserve"> </w:t>
      </w:r>
      <w:r w:rsidR="008C12C6">
        <w:rPr>
          <w:szCs w:val="22"/>
        </w:rPr>
        <w:t xml:space="preserve">Commission gave </w:t>
      </w:r>
      <w:r w:rsidR="00DA2709">
        <w:rPr>
          <w:szCs w:val="22"/>
        </w:rPr>
        <w:t xml:space="preserve">MX groups with multiple tentative selectees </w:t>
      </w:r>
      <w:r w:rsidR="008C12C6">
        <w:rPr>
          <w:szCs w:val="22"/>
        </w:rPr>
        <w:t xml:space="preserve">the option of proposing a time-share agreement </w:t>
      </w:r>
      <w:r w:rsidR="00DA2709">
        <w:rPr>
          <w:szCs w:val="22"/>
        </w:rPr>
        <w:t>to share</w:t>
      </w:r>
      <w:r w:rsidR="008C12C6">
        <w:rPr>
          <w:szCs w:val="22"/>
        </w:rPr>
        <w:t xml:space="preserve"> the </w:t>
      </w:r>
      <w:r w:rsidR="00DA2709">
        <w:rPr>
          <w:szCs w:val="22"/>
        </w:rPr>
        <w:t>use of the frequency</w:t>
      </w:r>
      <w:r w:rsidR="008C12C6">
        <w:rPr>
          <w:szCs w:val="22"/>
        </w:rPr>
        <w:t>.</w:t>
      </w:r>
      <w:r w:rsidR="008C12C6">
        <w:rPr>
          <w:rStyle w:val="FootnoteReference"/>
          <w:szCs w:val="22"/>
        </w:rPr>
        <w:footnoteReference w:id="2"/>
      </w:r>
      <w:r w:rsidR="008C12C6">
        <w:rPr>
          <w:szCs w:val="22"/>
        </w:rPr>
        <w:t xml:space="preserve">  T</w:t>
      </w:r>
      <w:r w:rsidR="00DA2709">
        <w:rPr>
          <w:szCs w:val="22"/>
        </w:rPr>
        <w:t xml:space="preserve">he Commission </w:t>
      </w:r>
      <w:r w:rsidR="008C12C6">
        <w:rPr>
          <w:szCs w:val="22"/>
        </w:rPr>
        <w:t>stated that the</w:t>
      </w:r>
      <w:r w:rsidR="00DA2709">
        <w:rPr>
          <w:szCs w:val="22"/>
        </w:rPr>
        <w:t xml:space="preserve"> time-share proposals </w:t>
      </w:r>
      <w:r w:rsidR="008C12C6">
        <w:rPr>
          <w:szCs w:val="22"/>
        </w:rPr>
        <w:t xml:space="preserve">were </w:t>
      </w:r>
      <w:r w:rsidR="00DA2709">
        <w:rPr>
          <w:szCs w:val="22"/>
        </w:rPr>
        <w:t xml:space="preserve">to be submitted “within 90-days of the release of [the </w:t>
      </w:r>
      <w:r w:rsidR="00DA2709">
        <w:rPr>
          <w:i/>
          <w:szCs w:val="22"/>
        </w:rPr>
        <w:t>July PN</w:t>
      </w:r>
      <w:r w:rsidR="00DA2709">
        <w:rPr>
          <w:szCs w:val="22"/>
        </w:rPr>
        <w:t>].”</w:t>
      </w:r>
      <w:r w:rsidR="00DA2709">
        <w:rPr>
          <w:rStyle w:val="FootnoteReference"/>
          <w:szCs w:val="22"/>
        </w:rPr>
        <w:footnoteReference w:id="3"/>
      </w:r>
      <w:r w:rsidR="00DA2709">
        <w:rPr>
          <w:szCs w:val="22"/>
        </w:rPr>
        <w:t xml:space="preserve">  As stated above, the </w:t>
      </w:r>
      <w:r w:rsidR="00DA2709">
        <w:rPr>
          <w:i/>
          <w:szCs w:val="22"/>
        </w:rPr>
        <w:t>July PN</w:t>
      </w:r>
      <w:r w:rsidR="00DA2709">
        <w:rPr>
          <w:szCs w:val="22"/>
        </w:rPr>
        <w:t xml:space="preserve"> was released on July 9, 2014</w:t>
      </w:r>
      <w:r w:rsidR="007D0552">
        <w:rPr>
          <w:szCs w:val="22"/>
        </w:rPr>
        <w:t>, which would have required time-share proposals to be due by October 7, 2014.</w:t>
      </w:r>
    </w:p>
    <w:p w:rsidR="007D0552" w:rsidRDefault="007D0552" w:rsidP="009A0BDC">
      <w:pPr>
        <w:tabs>
          <w:tab w:val="left" w:pos="1"/>
          <w:tab w:val="left" w:pos="720"/>
          <w:tab w:val="left" w:pos="1440"/>
          <w:tab w:val="right" w:pos="9360"/>
        </w:tabs>
        <w:rPr>
          <w:szCs w:val="22"/>
        </w:rPr>
      </w:pPr>
    </w:p>
    <w:p w:rsidR="007D0552" w:rsidRDefault="007D0552" w:rsidP="009A0BDC">
      <w:pPr>
        <w:tabs>
          <w:tab w:val="left" w:pos="1"/>
          <w:tab w:val="left" w:pos="720"/>
          <w:tab w:val="left" w:pos="1440"/>
          <w:tab w:val="right" w:pos="9360"/>
        </w:tabs>
        <w:rPr>
          <w:color w:val="000000"/>
          <w:szCs w:val="22"/>
        </w:rPr>
      </w:pPr>
      <w:r>
        <w:rPr>
          <w:szCs w:val="22"/>
        </w:rPr>
        <w:t xml:space="preserve">However, it has come to the </w:t>
      </w:r>
      <w:r w:rsidR="003C7D17">
        <w:rPr>
          <w:szCs w:val="22"/>
        </w:rPr>
        <w:t xml:space="preserve">Bureau’s </w:t>
      </w:r>
      <w:r>
        <w:rPr>
          <w:szCs w:val="22"/>
        </w:rPr>
        <w:t>attention that</w:t>
      </w:r>
      <w:r w:rsidR="0084092F">
        <w:rPr>
          <w:szCs w:val="22"/>
        </w:rPr>
        <w:t xml:space="preserve"> the</w:t>
      </w:r>
      <w:r>
        <w:rPr>
          <w:szCs w:val="22"/>
        </w:rPr>
        <w:t xml:space="preserve"> </w:t>
      </w:r>
      <w:r>
        <w:rPr>
          <w:i/>
          <w:szCs w:val="22"/>
        </w:rPr>
        <w:t>July PN</w:t>
      </w:r>
      <w:r>
        <w:rPr>
          <w:szCs w:val="22"/>
        </w:rPr>
        <w:t xml:space="preserve"> caused confusion among </w:t>
      </w:r>
      <w:r w:rsidR="0084092F">
        <w:rPr>
          <w:szCs w:val="22"/>
        </w:rPr>
        <w:t>s</w:t>
      </w:r>
      <w:r>
        <w:rPr>
          <w:szCs w:val="22"/>
        </w:rPr>
        <w:t xml:space="preserve">ome applicants.  </w:t>
      </w:r>
      <w:r w:rsidR="001B4AFB">
        <w:rPr>
          <w:szCs w:val="22"/>
        </w:rPr>
        <w:t>T</w:t>
      </w:r>
      <w:r w:rsidR="00073DC8">
        <w:rPr>
          <w:szCs w:val="22"/>
        </w:rPr>
        <w:t xml:space="preserve">he </w:t>
      </w:r>
      <w:r w:rsidR="00073DC8">
        <w:rPr>
          <w:i/>
          <w:szCs w:val="22"/>
        </w:rPr>
        <w:t>July PN</w:t>
      </w:r>
      <w:r w:rsidR="0084092F">
        <w:rPr>
          <w:szCs w:val="22"/>
        </w:rPr>
        <w:t xml:space="preserve"> </w:t>
      </w:r>
      <w:r w:rsidR="003C7D17">
        <w:rPr>
          <w:szCs w:val="22"/>
        </w:rPr>
        <w:t xml:space="preserve">also established </w:t>
      </w:r>
      <w:r w:rsidR="002A4F25">
        <w:rPr>
          <w:szCs w:val="22"/>
        </w:rPr>
        <w:t xml:space="preserve">a </w:t>
      </w:r>
      <w:r w:rsidR="008E342D">
        <w:rPr>
          <w:szCs w:val="22"/>
        </w:rPr>
        <w:t xml:space="preserve">deadline for </w:t>
      </w:r>
      <w:r w:rsidR="00473C9B">
        <w:rPr>
          <w:szCs w:val="22"/>
        </w:rPr>
        <w:t xml:space="preserve">MX applicants to file </w:t>
      </w:r>
      <w:r w:rsidR="008E342D">
        <w:rPr>
          <w:szCs w:val="22"/>
        </w:rPr>
        <w:t>major amendments</w:t>
      </w:r>
      <w:r w:rsidR="002A4F25">
        <w:rPr>
          <w:szCs w:val="22"/>
        </w:rPr>
        <w:t xml:space="preserve"> to remove technical conflicts among </w:t>
      </w:r>
      <w:r w:rsidR="00473C9B">
        <w:rPr>
          <w:szCs w:val="22"/>
        </w:rPr>
        <w:t xml:space="preserve">the </w:t>
      </w:r>
      <w:r w:rsidR="006D238B">
        <w:rPr>
          <w:szCs w:val="22"/>
        </w:rPr>
        <w:t>MX applicants</w:t>
      </w:r>
      <w:r w:rsidR="008E342D">
        <w:rPr>
          <w:szCs w:val="22"/>
        </w:rPr>
        <w:t>.</w:t>
      </w:r>
      <w:r w:rsidR="002A4F25">
        <w:rPr>
          <w:rStyle w:val="FootnoteReference"/>
          <w:szCs w:val="22"/>
        </w:rPr>
        <w:footnoteReference w:id="4"/>
      </w:r>
      <w:r w:rsidR="008E342D">
        <w:rPr>
          <w:szCs w:val="22"/>
        </w:rPr>
        <w:t xml:space="preserve">  The Commission </w:t>
      </w:r>
      <w:r w:rsidR="00073DC8">
        <w:rPr>
          <w:szCs w:val="22"/>
        </w:rPr>
        <w:t>stated</w:t>
      </w:r>
      <w:r w:rsidR="00507614">
        <w:rPr>
          <w:szCs w:val="22"/>
        </w:rPr>
        <w:t>:</w:t>
      </w:r>
      <w:r w:rsidR="0084092F">
        <w:rPr>
          <w:szCs w:val="22"/>
        </w:rPr>
        <w:t xml:space="preserve"> “</w:t>
      </w:r>
      <w:r w:rsidR="0084092F" w:rsidRPr="00D63C1E">
        <w:rPr>
          <w:color w:val="000000"/>
          <w:szCs w:val="22"/>
        </w:rPr>
        <w:t>Starting</w:t>
      </w:r>
      <w:r w:rsidR="0084092F">
        <w:rPr>
          <w:color w:val="000000"/>
          <w:szCs w:val="22"/>
        </w:rPr>
        <w:t xml:space="preserve"> July 10, 2014, </w:t>
      </w:r>
      <w:r w:rsidR="0084092F" w:rsidRPr="00D63C1E">
        <w:rPr>
          <w:color w:val="000000"/>
          <w:szCs w:val="22"/>
        </w:rPr>
        <w:t xml:space="preserve">at 12:01 a.m. </w:t>
      </w:r>
      <w:r w:rsidR="0084092F">
        <w:rPr>
          <w:color w:val="000000"/>
          <w:szCs w:val="22"/>
        </w:rPr>
        <w:t>EDT, the first business day after the date of</w:t>
      </w:r>
      <w:r w:rsidR="0084092F" w:rsidRPr="006C4E7B">
        <w:rPr>
          <w:color w:val="000000"/>
          <w:szCs w:val="22"/>
        </w:rPr>
        <w:t xml:space="preserve"> release of </w:t>
      </w:r>
      <w:r w:rsidR="0084092F">
        <w:rPr>
          <w:color w:val="000000"/>
          <w:szCs w:val="22"/>
        </w:rPr>
        <w:t xml:space="preserve">[the </w:t>
      </w:r>
      <w:r w:rsidR="0084092F">
        <w:rPr>
          <w:i/>
          <w:color w:val="000000"/>
          <w:szCs w:val="22"/>
        </w:rPr>
        <w:t>July PN</w:t>
      </w:r>
      <w:r w:rsidR="0084092F">
        <w:rPr>
          <w:color w:val="000000"/>
          <w:szCs w:val="22"/>
        </w:rPr>
        <w:t>]</w:t>
      </w:r>
      <w:r w:rsidR="0084092F" w:rsidRPr="006C4E7B">
        <w:rPr>
          <w:color w:val="000000"/>
          <w:szCs w:val="22"/>
        </w:rPr>
        <w:t xml:space="preserve">, we open a 90-day period to permit the MX applicants </w:t>
      </w:r>
      <w:r w:rsidR="0084092F">
        <w:rPr>
          <w:color w:val="000000"/>
          <w:szCs w:val="22"/>
        </w:rPr>
        <w:t>…</w:t>
      </w:r>
      <w:r w:rsidR="0084092F" w:rsidRPr="006C4E7B">
        <w:rPr>
          <w:color w:val="000000"/>
          <w:szCs w:val="22"/>
        </w:rPr>
        <w:t>to file major amendments</w:t>
      </w:r>
      <w:r w:rsidR="0084092F">
        <w:rPr>
          <w:color w:val="000000"/>
          <w:szCs w:val="22"/>
        </w:rPr>
        <w:t>…</w:t>
      </w:r>
      <w:r w:rsidR="0084092F" w:rsidRPr="006C4E7B">
        <w:rPr>
          <w:color w:val="000000"/>
          <w:szCs w:val="22"/>
        </w:rPr>
        <w:t>.</w:t>
      </w:r>
      <w:r w:rsidR="0084092F">
        <w:rPr>
          <w:color w:val="000000"/>
          <w:szCs w:val="22"/>
        </w:rPr>
        <w:t xml:space="preserve">  This 90-day period for filing major change amendments ends October 8, 2014, at 6:00 p.m. EDT.”</w:t>
      </w:r>
      <w:r w:rsidR="0084092F">
        <w:rPr>
          <w:rStyle w:val="FootnoteReference"/>
          <w:color w:val="000000"/>
          <w:szCs w:val="22"/>
        </w:rPr>
        <w:footnoteReference w:id="5"/>
      </w:r>
      <w:r w:rsidR="0084092F">
        <w:rPr>
          <w:color w:val="000000"/>
          <w:szCs w:val="22"/>
        </w:rPr>
        <w:t xml:space="preserve">  </w:t>
      </w:r>
    </w:p>
    <w:p w:rsidR="0084092F" w:rsidRDefault="0084092F" w:rsidP="009A0BDC">
      <w:pPr>
        <w:tabs>
          <w:tab w:val="left" w:pos="1"/>
          <w:tab w:val="left" w:pos="720"/>
          <w:tab w:val="left" w:pos="1440"/>
          <w:tab w:val="right" w:pos="9360"/>
        </w:tabs>
        <w:rPr>
          <w:color w:val="000000"/>
          <w:szCs w:val="22"/>
        </w:rPr>
      </w:pPr>
    </w:p>
    <w:p w:rsidR="009A0BDC" w:rsidRDefault="0084092F" w:rsidP="009A0BDC">
      <w:pPr>
        <w:tabs>
          <w:tab w:val="left" w:pos="1"/>
          <w:tab w:val="left" w:pos="720"/>
          <w:tab w:val="left" w:pos="1440"/>
          <w:tab w:val="right" w:pos="9360"/>
        </w:tabs>
        <w:rPr>
          <w:szCs w:val="22"/>
        </w:rPr>
      </w:pPr>
      <w:r>
        <w:rPr>
          <w:color w:val="000000"/>
          <w:szCs w:val="22"/>
        </w:rPr>
        <w:t xml:space="preserve">Based on the deadline stated </w:t>
      </w:r>
      <w:r w:rsidR="00C43C69">
        <w:rPr>
          <w:color w:val="000000"/>
          <w:szCs w:val="22"/>
        </w:rPr>
        <w:t xml:space="preserve">in the </w:t>
      </w:r>
      <w:r w:rsidR="00C43C69">
        <w:rPr>
          <w:i/>
          <w:color w:val="000000"/>
          <w:szCs w:val="22"/>
        </w:rPr>
        <w:t xml:space="preserve">July PN </w:t>
      </w:r>
      <w:r>
        <w:rPr>
          <w:color w:val="000000"/>
          <w:szCs w:val="22"/>
        </w:rPr>
        <w:t xml:space="preserve">for major amendments, some applicants believed that time-share proposals were also due by October 8, 2014, at 6:00 p.m. EDT.  </w:t>
      </w:r>
      <w:r w:rsidR="008C12C6">
        <w:rPr>
          <w:color w:val="000000"/>
          <w:szCs w:val="22"/>
        </w:rPr>
        <w:t xml:space="preserve">To ensure fairness in the processing of time-share proposals, the </w:t>
      </w:r>
      <w:r w:rsidR="00CB63B2">
        <w:rPr>
          <w:color w:val="000000"/>
          <w:szCs w:val="22"/>
        </w:rPr>
        <w:t>Bureau</w:t>
      </w:r>
      <w:r w:rsidR="008C12C6">
        <w:rPr>
          <w:color w:val="000000"/>
          <w:szCs w:val="22"/>
        </w:rPr>
        <w:t xml:space="preserve"> will accept </w:t>
      </w:r>
      <w:r w:rsidR="008C12C6">
        <w:rPr>
          <w:szCs w:val="22"/>
        </w:rPr>
        <w:t>time-share agreements that were submitted by October 8, 2014, 6:00 p.m. EDT.</w:t>
      </w:r>
      <w:r w:rsidR="009945FF">
        <w:rPr>
          <w:rStyle w:val="FootnoteReference"/>
          <w:szCs w:val="22"/>
        </w:rPr>
        <w:footnoteReference w:id="6"/>
      </w:r>
    </w:p>
    <w:p w:rsidR="00617439" w:rsidRDefault="00617439" w:rsidP="009A0BDC">
      <w:pPr>
        <w:tabs>
          <w:tab w:val="left" w:pos="1"/>
          <w:tab w:val="left" w:pos="720"/>
          <w:tab w:val="left" w:pos="1440"/>
          <w:tab w:val="right" w:pos="9360"/>
        </w:tabs>
        <w:rPr>
          <w:szCs w:val="22"/>
        </w:rPr>
      </w:pPr>
    </w:p>
    <w:p w:rsidR="004633D0" w:rsidRPr="00CE559B" w:rsidRDefault="004633D0" w:rsidP="004633D0">
      <w:pPr>
        <w:rPr>
          <w:szCs w:val="22"/>
        </w:rPr>
      </w:pPr>
      <w:r w:rsidRPr="00CE559B">
        <w:rPr>
          <w:szCs w:val="22"/>
        </w:rPr>
        <w:lastRenderedPageBreak/>
        <w:t>For additional information, contact:</w:t>
      </w:r>
    </w:p>
    <w:p w:rsidR="007B7100" w:rsidRPr="00CE559B" w:rsidRDefault="007B7100" w:rsidP="004633D0">
      <w:pPr>
        <w:rPr>
          <w:szCs w:val="22"/>
        </w:rPr>
      </w:pPr>
    </w:p>
    <w:p w:rsidR="004633D0" w:rsidRPr="00CE559B" w:rsidRDefault="004633D0" w:rsidP="004633D0">
      <w:pPr>
        <w:numPr>
          <w:ilvl w:val="0"/>
          <w:numId w:val="6"/>
        </w:numPr>
        <w:rPr>
          <w:szCs w:val="22"/>
        </w:rPr>
      </w:pPr>
      <w:r w:rsidRPr="00CE559B">
        <w:rPr>
          <w:szCs w:val="22"/>
        </w:rPr>
        <w:t>Electronic filing assistance:  Konrad Herling or David Trout</w:t>
      </w:r>
      <w:r w:rsidR="0073648E" w:rsidRPr="00CE559B">
        <w:rPr>
          <w:szCs w:val="22"/>
        </w:rPr>
        <w:t>,</w:t>
      </w:r>
      <w:r w:rsidRPr="00CE559B">
        <w:rPr>
          <w:szCs w:val="22"/>
        </w:rPr>
        <w:t xml:space="preserve"> (202) 418-2662</w:t>
      </w:r>
    </w:p>
    <w:p w:rsidR="004633D0" w:rsidRPr="00CE559B" w:rsidRDefault="00983405" w:rsidP="004633D0">
      <w:pPr>
        <w:numPr>
          <w:ilvl w:val="0"/>
          <w:numId w:val="6"/>
        </w:numPr>
        <w:rPr>
          <w:szCs w:val="22"/>
        </w:rPr>
      </w:pPr>
      <w:r w:rsidRPr="00CE559B">
        <w:rPr>
          <w:szCs w:val="22"/>
        </w:rPr>
        <w:t xml:space="preserve">Legal inquiries:  Tom Hutton or </w:t>
      </w:r>
      <w:r w:rsidR="004633D0" w:rsidRPr="00CE559B">
        <w:rPr>
          <w:szCs w:val="22"/>
        </w:rPr>
        <w:t xml:space="preserve">Parul </w:t>
      </w:r>
      <w:r w:rsidR="00CB35C6" w:rsidRPr="00CE559B">
        <w:rPr>
          <w:szCs w:val="22"/>
        </w:rPr>
        <w:t xml:space="preserve">P. </w:t>
      </w:r>
      <w:r w:rsidR="004633D0" w:rsidRPr="00CE559B">
        <w:rPr>
          <w:szCs w:val="22"/>
        </w:rPr>
        <w:t>Desai, (202) 418-2700</w:t>
      </w:r>
    </w:p>
    <w:p w:rsidR="006B61F6" w:rsidRPr="002D1BD4" w:rsidRDefault="004633D0" w:rsidP="00F079F9">
      <w:pPr>
        <w:numPr>
          <w:ilvl w:val="0"/>
          <w:numId w:val="6"/>
        </w:numPr>
        <w:suppressAutoHyphens/>
        <w:rPr>
          <w:b/>
          <w:szCs w:val="22"/>
        </w:rPr>
      </w:pPr>
      <w:r w:rsidRPr="00F079F9">
        <w:rPr>
          <w:szCs w:val="22"/>
        </w:rPr>
        <w:t xml:space="preserve">Engineering inquiries:  James Bradshaw or </w:t>
      </w:r>
      <w:r w:rsidR="00983405" w:rsidRPr="00F079F9">
        <w:rPr>
          <w:szCs w:val="22"/>
        </w:rPr>
        <w:t>Gary Loehrs</w:t>
      </w:r>
      <w:r w:rsidRPr="00F079F9">
        <w:rPr>
          <w:szCs w:val="22"/>
        </w:rPr>
        <w:t>, (202) 418-2700</w:t>
      </w:r>
    </w:p>
    <w:p w:rsidR="002D1BD4" w:rsidRPr="004A58C2" w:rsidRDefault="002D1BD4" w:rsidP="002D1BD4">
      <w:pPr>
        <w:numPr>
          <w:ilvl w:val="0"/>
          <w:numId w:val="6"/>
        </w:numPr>
        <w:rPr>
          <w:rFonts w:ascii="Times" w:hAnsi="Times"/>
          <w:szCs w:val="22"/>
        </w:rPr>
      </w:pPr>
      <w:r>
        <w:rPr>
          <w:rFonts w:ascii="Times" w:hAnsi="Times"/>
          <w:szCs w:val="22"/>
        </w:rPr>
        <w:t>Press inquiries:  Janice Wise, (202) 418-8165</w:t>
      </w:r>
    </w:p>
    <w:p w:rsidR="002D1BD4" w:rsidRPr="00F079F9" w:rsidRDefault="002D1BD4" w:rsidP="002D1BD4">
      <w:pPr>
        <w:suppressAutoHyphens/>
        <w:ind w:left="360"/>
        <w:rPr>
          <w:b/>
          <w:szCs w:val="22"/>
        </w:rPr>
      </w:pPr>
    </w:p>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6B61F6" w:rsidRPr="00CE559B" w:rsidRDefault="006B61F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CE559B">
        <w:rPr>
          <w:color w:val="000000"/>
          <w:szCs w:val="22"/>
        </w:rPr>
        <w:t>– FCC</w:t>
      </w:r>
      <w:r w:rsidRPr="00CE559B">
        <w:rPr>
          <w:b/>
          <w:color w:val="000000"/>
          <w:szCs w:val="22"/>
        </w:rPr>
        <w:t xml:space="preserve"> </w:t>
      </w:r>
      <w:r w:rsidRPr="00CE559B">
        <w:rPr>
          <w:color w:val="000000"/>
          <w:szCs w:val="22"/>
        </w:rPr>
        <w:t>–</w:t>
      </w:r>
    </w:p>
    <w:sectPr w:rsidR="006B61F6" w:rsidRPr="00CE559B" w:rsidSect="008F2EE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03" w:rsidRDefault="00361903">
      <w:r>
        <w:separator/>
      </w:r>
    </w:p>
  </w:endnote>
  <w:endnote w:type="continuationSeparator" w:id="0">
    <w:p w:rsidR="00361903" w:rsidRDefault="00361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1" w:rsidRDefault="00B14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Default="00FD2319">
    <w:pPr>
      <w:pStyle w:val="Footer"/>
      <w:jc w:val="center"/>
    </w:pPr>
    <w:r>
      <w:rPr>
        <w:rStyle w:val="PageNumber"/>
      </w:rPr>
      <w:fldChar w:fldCharType="begin"/>
    </w:r>
    <w:r>
      <w:rPr>
        <w:rStyle w:val="PageNumber"/>
      </w:rPr>
      <w:instrText xml:space="preserve"> PAGE </w:instrText>
    </w:r>
    <w:r>
      <w:rPr>
        <w:rStyle w:val="PageNumber"/>
      </w:rPr>
      <w:fldChar w:fldCharType="separate"/>
    </w:r>
    <w:r w:rsidR="004B400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1" w:rsidRDefault="00B145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03" w:rsidRDefault="00361903">
      <w:r>
        <w:separator/>
      </w:r>
    </w:p>
  </w:footnote>
  <w:footnote w:type="continuationSeparator" w:id="0">
    <w:p w:rsidR="00361903" w:rsidRDefault="00361903">
      <w:r>
        <w:continuationSeparator/>
      </w:r>
    </w:p>
  </w:footnote>
  <w:footnote w:id="1">
    <w:p w:rsidR="004D5F60" w:rsidRPr="009945FF" w:rsidRDefault="004D5F60" w:rsidP="008C12C6">
      <w:pPr>
        <w:pStyle w:val="FootnoteText"/>
        <w:spacing w:after="120"/>
        <w:rPr>
          <w:sz w:val="20"/>
        </w:rPr>
      </w:pPr>
      <w:r w:rsidRPr="009945FF">
        <w:rPr>
          <w:rStyle w:val="FootnoteReference"/>
          <w:sz w:val="20"/>
        </w:rPr>
        <w:footnoteRef/>
      </w:r>
      <w:r w:rsidRPr="009945FF">
        <w:rPr>
          <w:sz w:val="20"/>
        </w:rPr>
        <w:t xml:space="preserve"> </w:t>
      </w:r>
      <w:r w:rsidR="006E48A3" w:rsidRPr="009945FF">
        <w:rPr>
          <w:i/>
          <w:sz w:val="20"/>
        </w:rPr>
        <w:t>See</w:t>
      </w:r>
      <w:r w:rsidR="002C7E57" w:rsidRPr="009945FF">
        <w:rPr>
          <w:i/>
          <w:sz w:val="20"/>
        </w:rPr>
        <w:t xml:space="preserve"> FCC Names Tentative Selectees of Mutually Exclusive LPFM Applications</w:t>
      </w:r>
      <w:r w:rsidR="002C7E57" w:rsidRPr="009945FF">
        <w:rPr>
          <w:sz w:val="20"/>
        </w:rPr>
        <w:t>, Public Notice, 29 FCC Rcd 8665 (MB 2014)</w:t>
      </w:r>
      <w:r w:rsidR="00E10AA6" w:rsidRPr="009945FF">
        <w:rPr>
          <w:sz w:val="20"/>
        </w:rPr>
        <w:t xml:space="preserve"> (“</w:t>
      </w:r>
      <w:r w:rsidR="00E10AA6" w:rsidRPr="009945FF">
        <w:rPr>
          <w:i/>
          <w:sz w:val="20"/>
        </w:rPr>
        <w:t>July PN</w:t>
      </w:r>
      <w:r w:rsidR="00E10AA6" w:rsidRPr="009945FF">
        <w:rPr>
          <w:sz w:val="20"/>
        </w:rPr>
        <w:t>”)</w:t>
      </w:r>
      <w:r w:rsidR="002C7E57" w:rsidRPr="009945FF">
        <w:rPr>
          <w:sz w:val="20"/>
        </w:rPr>
        <w:t>.</w:t>
      </w:r>
    </w:p>
  </w:footnote>
  <w:footnote w:id="2">
    <w:p w:rsidR="008C12C6" w:rsidRPr="009945FF" w:rsidRDefault="008C12C6">
      <w:pPr>
        <w:pStyle w:val="FootnoteText"/>
        <w:rPr>
          <w:sz w:val="20"/>
        </w:rPr>
      </w:pPr>
      <w:r w:rsidRPr="009945FF">
        <w:rPr>
          <w:rStyle w:val="FootnoteReference"/>
          <w:sz w:val="20"/>
        </w:rPr>
        <w:footnoteRef/>
      </w:r>
      <w:r w:rsidRPr="009945FF">
        <w:rPr>
          <w:sz w:val="20"/>
        </w:rPr>
        <w:t xml:space="preserve"> </w:t>
      </w:r>
      <w:r w:rsidRPr="009945FF">
        <w:rPr>
          <w:i/>
          <w:sz w:val="20"/>
        </w:rPr>
        <w:t>Id</w:t>
      </w:r>
      <w:r w:rsidRPr="009945FF">
        <w:rPr>
          <w:sz w:val="20"/>
        </w:rPr>
        <w:t>. at 8670.</w:t>
      </w:r>
    </w:p>
  </w:footnote>
  <w:footnote w:id="3">
    <w:p w:rsidR="00DA2709" w:rsidRPr="009945FF" w:rsidRDefault="00DA2709" w:rsidP="008C12C6">
      <w:pPr>
        <w:pStyle w:val="FootnoteText"/>
        <w:spacing w:after="120"/>
        <w:ind w:left="720" w:hanging="720"/>
        <w:rPr>
          <w:sz w:val="20"/>
        </w:rPr>
      </w:pPr>
      <w:r w:rsidRPr="009945FF">
        <w:rPr>
          <w:rStyle w:val="FootnoteReference"/>
          <w:sz w:val="20"/>
        </w:rPr>
        <w:footnoteRef/>
      </w:r>
      <w:r w:rsidRPr="009945FF">
        <w:rPr>
          <w:sz w:val="20"/>
        </w:rPr>
        <w:t xml:space="preserve"> </w:t>
      </w:r>
      <w:r w:rsidR="008C12C6" w:rsidRPr="009945FF">
        <w:rPr>
          <w:i/>
          <w:sz w:val="20"/>
        </w:rPr>
        <w:t>Id</w:t>
      </w:r>
      <w:r w:rsidR="008C12C6" w:rsidRPr="009945FF">
        <w:rPr>
          <w:sz w:val="20"/>
        </w:rPr>
        <w:t>.</w:t>
      </w:r>
    </w:p>
  </w:footnote>
  <w:footnote w:id="4">
    <w:p w:rsidR="002A4F25" w:rsidRPr="009945FF" w:rsidRDefault="002A4F25">
      <w:pPr>
        <w:pStyle w:val="FootnoteText"/>
        <w:rPr>
          <w:sz w:val="20"/>
        </w:rPr>
      </w:pPr>
      <w:r w:rsidRPr="009945FF">
        <w:rPr>
          <w:rStyle w:val="FootnoteReference"/>
          <w:sz w:val="20"/>
        </w:rPr>
        <w:footnoteRef/>
      </w:r>
      <w:r w:rsidRPr="009945FF">
        <w:rPr>
          <w:sz w:val="20"/>
        </w:rPr>
        <w:t xml:space="preserve"> </w:t>
      </w:r>
      <w:r w:rsidRPr="009945FF">
        <w:rPr>
          <w:i/>
          <w:sz w:val="20"/>
        </w:rPr>
        <w:t>Id</w:t>
      </w:r>
      <w:r w:rsidRPr="009945FF">
        <w:rPr>
          <w:sz w:val="20"/>
        </w:rPr>
        <w:t>. at 8671.</w:t>
      </w:r>
    </w:p>
  </w:footnote>
  <w:footnote w:id="5">
    <w:p w:rsidR="0084092F" w:rsidRPr="009945FF" w:rsidRDefault="0084092F" w:rsidP="008C12C6">
      <w:pPr>
        <w:pStyle w:val="FootnoteText"/>
        <w:spacing w:after="120"/>
        <w:rPr>
          <w:sz w:val="20"/>
        </w:rPr>
      </w:pPr>
      <w:r w:rsidRPr="009945FF">
        <w:rPr>
          <w:rStyle w:val="FootnoteReference"/>
          <w:sz w:val="20"/>
        </w:rPr>
        <w:footnoteRef/>
      </w:r>
      <w:r w:rsidRPr="009945FF">
        <w:rPr>
          <w:sz w:val="20"/>
        </w:rPr>
        <w:t xml:space="preserve"> </w:t>
      </w:r>
      <w:r w:rsidRPr="009945FF">
        <w:rPr>
          <w:i/>
          <w:sz w:val="20"/>
        </w:rPr>
        <w:t>Id</w:t>
      </w:r>
      <w:r w:rsidR="002A4F25" w:rsidRPr="009945FF">
        <w:rPr>
          <w:sz w:val="20"/>
        </w:rPr>
        <w:t>.</w:t>
      </w:r>
    </w:p>
  </w:footnote>
  <w:footnote w:id="6">
    <w:p w:rsidR="009945FF" w:rsidRPr="009945FF" w:rsidRDefault="009945FF">
      <w:pPr>
        <w:pStyle w:val="FootnoteText"/>
        <w:rPr>
          <w:sz w:val="20"/>
        </w:rPr>
      </w:pPr>
      <w:r w:rsidRPr="009945FF">
        <w:rPr>
          <w:rStyle w:val="FootnoteReference"/>
          <w:sz w:val="20"/>
        </w:rPr>
        <w:footnoteRef/>
      </w:r>
      <w:r w:rsidRPr="009945FF">
        <w:rPr>
          <w:sz w:val="20"/>
        </w:rPr>
        <w:t xml:space="preserve"> </w:t>
      </w:r>
      <w:r w:rsidRPr="004F29DC">
        <w:rPr>
          <w:sz w:val="20"/>
        </w:rPr>
        <w:t xml:space="preserve">The </w:t>
      </w:r>
      <w:r w:rsidR="00047D6A">
        <w:rPr>
          <w:sz w:val="20"/>
        </w:rPr>
        <w:t>Bureau</w:t>
      </w:r>
      <w:r w:rsidRPr="004F29DC">
        <w:rPr>
          <w:sz w:val="20"/>
        </w:rPr>
        <w:t xml:space="preserve"> will also accept a time-share proposal that has been </w:t>
      </w:r>
      <w:r w:rsidR="004F29DC" w:rsidRPr="004F29DC">
        <w:rPr>
          <w:sz w:val="20"/>
        </w:rPr>
        <w:t xml:space="preserve">submitted by </w:t>
      </w:r>
      <w:r w:rsidR="004F29DC" w:rsidRPr="004F29DC">
        <w:rPr>
          <w:color w:val="000000"/>
          <w:sz w:val="20"/>
        </w:rPr>
        <w:t>October 8, 2014, at 6:00 p.m. EDT</w:t>
      </w:r>
      <w:r w:rsidR="004F29DC">
        <w:rPr>
          <w:color w:val="000000"/>
          <w:sz w:val="20"/>
        </w:rPr>
        <w:t xml:space="preserve">, which has been </w:t>
      </w:r>
      <w:r w:rsidRPr="004F29DC">
        <w:rPr>
          <w:sz w:val="20"/>
        </w:rPr>
        <w:t xml:space="preserve">signed by all the parties to the proposal and submitted by at least one </w:t>
      </w:r>
      <w:r w:rsidR="00BA22BB" w:rsidRPr="004F29DC">
        <w:rPr>
          <w:sz w:val="20"/>
        </w:rPr>
        <w:t>party</w:t>
      </w:r>
      <w:r w:rsidR="00E34B2B" w:rsidRPr="004F29DC">
        <w:rPr>
          <w:sz w:val="20"/>
        </w:rPr>
        <w:t xml:space="preserve"> </w:t>
      </w:r>
      <w:r w:rsidRPr="004F29DC">
        <w:rPr>
          <w:sz w:val="20"/>
        </w:rPr>
        <w:t>as an amendment to its application.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1" w:rsidRDefault="00B14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D1" w:rsidRDefault="00B145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319" w:rsidRPr="004A5145" w:rsidRDefault="00FD2319">
    <w:pPr>
      <w:pStyle w:val="Header"/>
      <w:tabs>
        <w:tab w:val="clear" w:pos="4320"/>
        <w:tab w:val="clear" w:pos="8640"/>
      </w:tabs>
      <w:spacing w:before="40"/>
      <w:ind w:firstLine="1080"/>
      <w:rPr>
        <w:rFonts w:ascii="Arial" w:hAnsi="Arial" w:cs="Arial"/>
        <w:b/>
        <w:kern w:val="28"/>
        <w:sz w:val="96"/>
      </w:rPr>
    </w:pPr>
    <w:r w:rsidRPr="004A5145">
      <w:rPr>
        <w:rFonts w:ascii="Arial" w:hAnsi="Arial" w:cs="Arial"/>
        <w:b/>
        <w:noProof/>
        <w:sz w:val="24"/>
      </w:rPr>
      <mc:AlternateContent>
        <mc:Choice Requires="wps">
          <w:drawing>
            <wp:anchor distT="0" distB="0" distL="114300" distR="114300" simplePos="0" relativeHeight="251656192" behindDoc="0" locked="0" layoutInCell="1" allowOverlap="1" wp14:anchorId="5C253434" wp14:editId="1A5087D5">
              <wp:simplePos x="0" y="0"/>
              <wp:positionH relativeFrom="column">
                <wp:posOffset>51435</wp:posOffset>
              </wp:positionH>
              <wp:positionV relativeFrom="paragraph">
                <wp:posOffset>688340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FD2319" w:rsidRDefault="00FD2319">
                    <w:pPr>
                      <w:rPr>
                        <w:rFonts w:ascii="Arial" w:hAnsi="Arial"/>
                        <w:b/>
                      </w:rPr>
                    </w:pPr>
                    <w:r>
                      <w:rPr>
                        <w:rFonts w:ascii="Arial" w:hAnsi="Arial"/>
                        <w:b/>
                      </w:rPr>
                      <w:t>Federal Communications Commission</w:t>
                    </w:r>
                  </w:p>
                  <w:p w:rsidR="00FD2319" w:rsidRDefault="00FD23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D2319" w:rsidRDefault="00FD2319">
                    <w:pPr>
                      <w:rPr>
                        <w:rFonts w:ascii="Arial" w:hAnsi="Arial"/>
                        <w:sz w:val="24"/>
                      </w:rPr>
                    </w:pPr>
                    <w:r>
                      <w:rPr>
                        <w:rFonts w:ascii="Arial" w:hAnsi="Arial"/>
                        <w:b/>
                      </w:rPr>
                      <w:t>Washington, D.C. 20554</w:t>
                    </w:r>
                  </w:p>
                </w:txbxContent>
              </v:textbox>
            </v:shape>
          </w:pict>
        </mc:Fallback>
      </mc:AlternateContent>
    </w:r>
    <w:r w:rsidRPr="004A5145">
      <w:rPr>
        <w:rFonts w:ascii="Arial" w:hAnsi="Arial" w:cs="Arial"/>
        <w:b/>
        <w:noProof/>
        <w:sz w:val="24"/>
      </w:rPr>
      <w:drawing>
        <wp:anchor distT="0" distB="0" distL="114300" distR="114300" simplePos="0" relativeHeight="251659264" behindDoc="0" locked="0" layoutInCell="0" allowOverlap="1" wp14:anchorId="733A0002" wp14:editId="131F3CD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4A5145">
      <w:rPr>
        <w:rFonts w:ascii="Arial" w:hAnsi="Arial" w:cs="Arial"/>
        <w:b/>
        <w:kern w:val="28"/>
        <w:sz w:val="96"/>
      </w:rPr>
      <w:t>PUBLIC NOTICE</w:t>
    </w:r>
  </w:p>
  <w:p w:rsidR="00FD2319" w:rsidRDefault="00FD231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3023235</wp:posOffset>
              </wp:positionH>
              <wp:positionV relativeFrom="paragraph">
                <wp:posOffset>76200</wp:posOffset>
              </wp:positionV>
              <wp:extent cx="297180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1" w:name="_Hlt233824"/>
                          <w:r>
                            <w:rPr>
                              <w:rFonts w:ascii="Arial" w:hAnsi="Arial"/>
                              <w:b/>
                              <w:sz w:val="16"/>
                              <w:szCs w:val="16"/>
                            </w:rPr>
                            <w:t>h</w:t>
                          </w:r>
                          <w:bookmarkEnd w:id="1"/>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8.05pt;margin-top:6pt;width:23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" stroked="f">
              <v:textbox inset=",0,,0">
                <w:txbxContent>
                  <w:p w:rsidR="00FD2319" w:rsidRDefault="00FD2319">
                    <w:pPr>
                      <w:spacing w:before="40"/>
                      <w:jc w:val="right"/>
                      <w:rPr>
                        <w:rFonts w:ascii="Arial" w:hAnsi="Arial"/>
                        <w:b/>
                        <w:sz w:val="16"/>
                        <w:szCs w:val="16"/>
                      </w:rPr>
                    </w:pPr>
                    <w:r>
                      <w:rPr>
                        <w:rFonts w:ascii="Arial" w:hAnsi="Arial"/>
                        <w:b/>
                        <w:sz w:val="16"/>
                        <w:szCs w:val="16"/>
                      </w:rPr>
                      <w:t>News Media Information 202 / 418-0500</w:t>
                    </w:r>
                  </w:p>
                  <w:p w:rsidR="00FD2319" w:rsidRDefault="00FD2319">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FD2319" w:rsidRDefault="00FD2319">
                    <w:pPr>
                      <w:jc w:val="right"/>
                      <w:rPr>
                        <w:rFonts w:ascii="Arial" w:hAnsi="Arial"/>
                        <w:b/>
                        <w:szCs w:val="22"/>
                      </w:rPr>
                    </w:pPr>
                    <w:r>
                      <w:rPr>
                        <w:rFonts w:ascii="Arial" w:hAnsi="Arial"/>
                        <w:b/>
                        <w:sz w:val="16"/>
                        <w:szCs w:val="16"/>
                      </w:rPr>
                      <w:t>TTY: 1-888-835-5322</w:t>
                    </w:r>
                  </w:p>
                  <w:p w:rsidR="00FD2319" w:rsidRDefault="00FD2319">
                    <w:pPr>
                      <w:jc w:val="right"/>
                    </w:pPr>
                  </w:p>
                </w:txbxContent>
              </v:textbox>
            </v:shape>
          </w:pict>
        </mc:Fallback>
      </mc:AlternateContent>
    </w:r>
    <w:r>
      <w:rPr>
        <w:rFonts w:ascii="Arial" w:hAnsi="Arial"/>
        <w:b/>
        <w:noProof/>
      </w:rPr>
      <mc:AlternateContent>
        <mc:Choice Requires="wps">
          <w:drawing>
            <wp:anchor distT="4294967295" distB="4294967295" distL="114300" distR="114300" simplePos="0" relativeHeight="251657216" behindDoc="0" locked="0" layoutInCell="1" allowOverlap="1">
              <wp:simplePos x="0" y="0"/>
              <wp:positionH relativeFrom="column">
                <wp:posOffset>-291465</wp:posOffset>
              </wp:positionH>
              <wp:positionV relativeFrom="paragraph">
                <wp:posOffset>647699</wp:posOffset>
              </wp:positionV>
              <wp:extent cx="65151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95pt,51pt" to="490.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"/>
          </w:pict>
        </mc:Fallback>
      </mc:AlternateContent>
    </w:r>
  </w:p>
  <w:p w:rsidR="00FD2319" w:rsidRDefault="00FD23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A1821"/>
    <w:multiLevelType w:val="hybridMultilevel"/>
    <w:tmpl w:val="D8360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4A45E3C"/>
    <w:multiLevelType w:val="hybridMultilevel"/>
    <w:tmpl w:val="AC8C2408"/>
    <w:lvl w:ilvl="0" w:tplc="9038305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F17CE7"/>
    <w:multiLevelType w:val="hybridMultilevel"/>
    <w:tmpl w:val="F4725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13"/>
    <w:rsid w:val="00025375"/>
    <w:rsid w:val="000475BD"/>
    <w:rsid w:val="00047D6A"/>
    <w:rsid w:val="00073DC8"/>
    <w:rsid w:val="00093FDC"/>
    <w:rsid w:val="0009632B"/>
    <w:rsid w:val="0009692D"/>
    <w:rsid w:val="000A2AB9"/>
    <w:rsid w:val="000B1129"/>
    <w:rsid w:val="000C4793"/>
    <w:rsid w:val="000D310E"/>
    <w:rsid w:val="000D4FF1"/>
    <w:rsid w:val="000E0EEC"/>
    <w:rsid w:val="000F3D30"/>
    <w:rsid w:val="000F73B2"/>
    <w:rsid w:val="00101815"/>
    <w:rsid w:val="0010288F"/>
    <w:rsid w:val="001476D8"/>
    <w:rsid w:val="00161186"/>
    <w:rsid w:val="001635A4"/>
    <w:rsid w:val="0016581C"/>
    <w:rsid w:val="00167152"/>
    <w:rsid w:val="001805C1"/>
    <w:rsid w:val="00182316"/>
    <w:rsid w:val="001906B3"/>
    <w:rsid w:val="00197869"/>
    <w:rsid w:val="001B4AFB"/>
    <w:rsid w:val="001C2E33"/>
    <w:rsid w:val="001C6EDE"/>
    <w:rsid w:val="001D63A7"/>
    <w:rsid w:val="001E51DC"/>
    <w:rsid w:val="002227AB"/>
    <w:rsid w:val="002441AE"/>
    <w:rsid w:val="00247148"/>
    <w:rsid w:val="0025139C"/>
    <w:rsid w:val="002673AC"/>
    <w:rsid w:val="002718DF"/>
    <w:rsid w:val="0027566E"/>
    <w:rsid w:val="00277A31"/>
    <w:rsid w:val="00283A4C"/>
    <w:rsid w:val="002A42E0"/>
    <w:rsid w:val="002A4F25"/>
    <w:rsid w:val="002C4311"/>
    <w:rsid w:val="002C7E57"/>
    <w:rsid w:val="002D1BD4"/>
    <w:rsid w:val="002E1296"/>
    <w:rsid w:val="002E66EE"/>
    <w:rsid w:val="002F138F"/>
    <w:rsid w:val="002F20F6"/>
    <w:rsid w:val="002F239C"/>
    <w:rsid w:val="00304C68"/>
    <w:rsid w:val="00306EF0"/>
    <w:rsid w:val="00337D09"/>
    <w:rsid w:val="00340470"/>
    <w:rsid w:val="00345755"/>
    <w:rsid w:val="003459D4"/>
    <w:rsid w:val="00361903"/>
    <w:rsid w:val="003732A2"/>
    <w:rsid w:val="003773FF"/>
    <w:rsid w:val="00383225"/>
    <w:rsid w:val="0039163E"/>
    <w:rsid w:val="003A3BF0"/>
    <w:rsid w:val="003A4E01"/>
    <w:rsid w:val="003A6484"/>
    <w:rsid w:val="003A6F0C"/>
    <w:rsid w:val="003A7564"/>
    <w:rsid w:val="003B0571"/>
    <w:rsid w:val="003C0A2E"/>
    <w:rsid w:val="003C4E0C"/>
    <w:rsid w:val="003C7D17"/>
    <w:rsid w:val="003D57FB"/>
    <w:rsid w:val="003E2760"/>
    <w:rsid w:val="003E308B"/>
    <w:rsid w:val="003E3D30"/>
    <w:rsid w:val="003F3EA6"/>
    <w:rsid w:val="003F6CA9"/>
    <w:rsid w:val="00420907"/>
    <w:rsid w:val="0043344C"/>
    <w:rsid w:val="004367ED"/>
    <w:rsid w:val="0044214C"/>
    <w:rsid w:val="0044311A"/>
    <w:rsid w:val="00454235"/>
    <w:rsid w:val="00457D1F"/>
    <w:rsid w:val="004633D0"/>
    <w:rsid w:val="0046667A"/>
    <w:rsid w:val="00473C9B"/>
    <w:rsid w:val="00483353"/>
    <w:rsid w:val="00485197"/>
    <w:rsid w:val="004867CB"/>
    <w:rsid w:val="004A198B"/>
    <w:rsid w:val="004A5145"/>
    <w:rsid w:val="004A58C2"/>
    <w:rsid w:val="004B400A"/>
    <w:rsid w:val="004C1D94"/>
    <w:rsid w:val="004D59DA"/>
    <w:rsid w:val="004D5F60"/>
    <w:rsid w:val="004F0C50"/>
    <w:rsid w:val="004F29DC"/>
    <w:rsid w:val="00503195"/>
    <w:rsid w:val="00503E77"/>
    <w:rsid w:val="00506057"/>
    <w:rsid w:val="00506E0A"/>
    <w:rsid w:val="00507614"/>
    <w:rsid w:val="00511404"/>
    <w:rsid w:val="00522D6B"/>
    <w:rsid w:val="005264E3"/>
    <w:rsid w:val="00530F83"/>
    <w:rsid w:val="00553BB9"/>
    <w:rsid w:val="005851DF"/>
    <w:rsid w:val="00597D7A"/>
    <w:rsid w:val="005A06D7"/>
    <w:rsid w:val="005D26C8"/>
    <w:rsid w:val="00607293"/>
    <w:rsid w:val="00607718"/>
    <w:rsid w:val="00607907"/>
    <w:rsid w:val="006158B8"/>
    <w:rsid w:val="00617439"/>
    <w:rsid w:val="006269B6"/>
    <w:rsid w:val="00641538"/>
    <w:rsid w:val="00643433"/>
    <w:rsid w:val="00645963"/>
    <w:rsid w:val="0065051A"/>
    <w:rsid w:val="00650526"/>
    <w:rsid w:val="00650C9D"/>
    <w:rsid w:val="006671CF"/>
    <w:rsid w:val="00670FC5"/>
    <w:rsid w:val="006734A5"/>
    <w:rsid w:val="00676689"/>
    <w:rsid w:val="0069382E"/>
    <w:rsid w:val="006946A8"/>
    <w:rsid w:val="006A2718"/>
    <w:rsid w:val="006A2EC6"/>
    <w:rsid w:val="006A6637"/>
    <w:rsid w:val="006B61F6"/>
    <w:rsid w:val="006B78C1"/>
    <w:rsid w:val="006C0165"/>
    <w:rsid w:val="006C21F6"/>
    <w:rsid w:val="006D238B"/>
    <w:rsid w:val="006D62B2"/>
    <w:rsid w:val="006E377C"/>
    <w:rsid w:val="006E48A3"/>
    <w:rsid w:val="006E641D"/>
    <w:rsid w:val="006F151E"/>
    <w:rsid w:val="00707C73"/>
    <w:rsid w:val="00723C7E"/>
    <w:rsid w:val="0073648E"/>
    <w:rsid w:val="00742DE5"/>
    <w:rsid w:val="00767C18"/>
    <w:rsid w:val="00790B51"/>
    <w:rsid w:val="007A2EA0"/>
    <w:rsid w:val="007B0136"/>
    <w:rsid w:val="007B7100"/>
    <w:rsid w:val="007C7FEB"/>
    <w:rsid w:val="007D02DD"/>
    <w:rsid w:val="007D0552"/>
    <w:rsid w:val="007D4318"/>
    <w:rsid w:val="007E2582"/>
    <w:rsid w:val="007F10A6"/>
    <w:rsid w:val="007F2228"/>
    <w:rsid w:val="00803F4C"/>
    <w:rsid w:val="00832FA9"/>
    <w:rsid w:val="0084092F"/>
    <w:rsid w:val="00845107"/>
    <w:rsid w:val="00857431"/>
    <w:rsid w:val="00863B17"/>
    <w:rsid w:val="00865256"/>
    <w:rsid w:val="00867E46"/>
    <w:rsid w:val="00880590"/>
    <w:rsid w:val="00884E98"/>
    <w:rsid w:val="00885566"/>
    <w:rsid w:val="0088586E"/>
    <w:rsid w:val="008A1D14"/>
    <w:rsid w:val="008A4159"/>
    <w:rsid w:val="008B40BB"/>
    <w:rsid w:val="008C12C6"/>
    <w:rsid w:val="008C68DB"/>
    <w:rsid w:val="008E342D"/>
    <w:rsid w:val="008F2302"/>
    <w:rsid w:val="008F2EEA"/>
    <w:rsid w:val="00902500"/>
    <w:rsid w:val="00915068"/>
    <w:rsid w:val="0091668F"/>
    <w:rsid w:val="00936027"/>
    <w:rsid w:val="00953001"/>
    <w:rsid w:val="0096725E"/>
    <w:rsid w:val="0096779D"/>
    <w:rsid w:val="00983405"/>
    <w:rsid w:val="00984F49"/>
    <w:rsid w:val="009945FF"/>
    <w:rsid w:val="009970AA"/>
    <w:rsid w:val="009A0BDC"/>
    <w:rsid w:val="009B09BC"/>
    <w:rsid w:val="009C0AE0"/>
    <w:rsid w:val="009D0920"/>
    <w:rsid w:val="009E29FD"/>
    <w:rsid w:val="00A15C05"/>
    <w:rsid w:val="00A328CD"/>
    <w:rsid w:val="00A36450"/>
    <w:rsid w:val="00A47E3B"/>
    <w:rsid w:val="00A5069A"/>
    <w:rsid w:val="00A77135"/>
    <w:rsid w:val="00A836D7"/>
    <w:rsid w:val="00A84005"/>
    <w:rsid w:val="00A87A79"/>
    <w:rsid w:val="00AB4E12"/>
    <w:rsid w:val="00AC3580"/>
    <w:rsid w:val="00AD2FF3"/>
    <w:rsid w:val="00AE557F"/>
    <w:rsid w:val="00AF6B27"/>
    <w:rsid w:val="00B004FA"/>
    <w:rsid w:val="00B06730"/>
    <w:rsid w:val="00B145D1"/>
    <w:rsid w:val="00B34D43"/>
    <w:rsid w:val="00B40EBD"/>
    <w:rsid w:val="00B43420"/>
    <w:rsid w:val="00B63E8C"/>
    <w:rsid w:val="00B66813"/>
    <w:rsid w:val="00B77A70"/>
    <w:rsid w:val="00B8617A"/>
    <w:rsid w:val="00BA22BB"/>
    <w:rsid w:val="00BC6CA5"/>
    <w:rsid w:val="00BF5CB1"/>
    <w:rsid w:val="00C01B42"/>
    <w:rsid w:val="00C05ED3"/>
    <w:rsid w:val="00C205D1"/>
    <w:rsid w:val="00C21694"/>
    <w:rsid w:val="00C238CE"/>
    <w:rsid w:val="00C3296E"/>
    <w:rsid w:val="00C404C3"/>
    <w:rsid w:val="00C40ED2"/>
    <w:rsid w:val="00C43C69"/>
    <w:rsid w:val="00C47929"/>
    <w:rsid w:val="00C530DA"/>
    <w:rsid w:val="00C66BCA"/>
    <w:rsid w:val="00C70154"/>
    <w:rsid w:val="00C732A7"/>
    <w:rsid w:val="00C75473"/>
    <w:rsid w:val="00CA291E"/>
    <w:rsid w:val="00CB00AD"/>
    <w:rsid w:val="00CB35C6"/>
    <w:rsid w:val="00CB4957"/>
    <w:rsid w:val="00CB63B2"/>
    <w:rsid w:val="00CC21B5"/>
    <w:rsid w:val="00CC262D"/>
    <w:rsid w:val="00CC7402"/>
    <w:rsid w:val="00CD0C53"/>
    <w:rsid w:val="00CE3DB8"/>
    <w:rsid w:val="00CE559B"/>
    <w:rsid w:val="00CF2582"/>
    <w:rsid w:val="00D05C2F"/>
    <w:rsid w:val="00D05E28"/>
    <w:rsid w:val="00D072F9"/>
    <w:rsid w:val="00D11743"/>
    <w:rsid w:val="00D138EF"/>
    <w:rsid w:val="00D1613E"/>
    <w:rsid w:val="00D16724"/>
    <w:rsid w:val="00D20563"/>
    <w:rsid w:val="00D235F3"/>
    <w:rsid w:val="00D3236D"/>
    <w:rsid w:val="00D422A7"/>
    <w:rsid w:val="00D51593"/>
    <w:rsid w:val="00D54E7B"/>
    <w:rsid w:val="00D5708B"/>
    <w:rsid w:val="00D659C0"/>
    <w:rsid w:val="00D7098B"/>
    <w:rsid w:val="00D7607A"/>
    <w:rsid w:val="00D909D7"/>
    <w:rsid w:val="00D935C8"/>
    <w:rsid w:val="00DA2709"/>
    <w:rsid w:val="00DA4B53"/>
    <w:rsid w:val="00DB34CC"/>
    <w:rsid w:val="00DB43C2"/>
    <w:rsid w:val="00DC1695"/>
    <w:rsid w:val="00DC1F02"/>
    <w:rsid w:val="00DC2FA5"/>
    <w:rsid w:val="00DD01AD"/>
    <w:rsid w:val="00DE35F9"/>
    <w:rsid w:val="00DE4E8D"/>
    <w:rsid w:val="00DF174E"/>
    <w:rsid w:val="00E006A0"/>
    <w:rsid w:val="00E00D94"/>
    <w:rsid w:val="00E10AA6"/>
    <w:rsid w:val="00E159BC"/>
    <w:rsid w:val="00E34B2B"/>
    <w:rsid w:val="00E54E1B"/>
    <w:rsid w:val="00E62475"/>
    <w:rsid w:val="00E657C6"/>
    <w:rsid w:val="00E77189"/>
    <w:rsid w:val="00E84721"/>
    <w:rsid w:val="00E86817"/>
    <w:rsid w:val="00E872C0"/>
    <w:rsid w:val="00E93264"/>
    <w:rsid w:val="00EA268C"/>
    <w:rsid w:val="00EA541E"/>
    <w:rsid w:val="00EA5E84"/>
    <w:rsid w:val="00EB3419"/>
    <w:rsid w:val="00EC0DF7"/>
    <w:rsid w:val="00EC5213"/>
    <w:rsid w:val="00ED291C"/>
    <w:rsid w:val="00EE54F2"/>
    <w:rsid w:val="00EF1DF7"/>
    <w:rsid w:val="00F00C7D"/>
    <w:rsid w:val="00F01732"/>
    <w:rsid w:val="00F079F9"/>
    <w:rsid w:val="00F12726"/>
    <w:rsid w:val="00F13E48"/>
    <w:rsid w:val="00F15DD4"/>
    <w:rsid w:val="00F319B9"/>
    <w:rsid w:val="00F35593"/>
    <w:rsid w:val="00F43402"/>
    <w:rsid w:val="00F72212"/>
    <w:rsid w:val="00F73895"/>
    <w:rsid w:val="00F821C1"/>
    <w:rsid w:val="00FA0DB9"/>
    <w:rsid w:val="00FA19F2"/>
    <w:rsid w:val="00FD2319"/>
    <w:rsid w:val="00FF2E0B"/>
    <w:rsid w:val="00FF37F7"/>
    <w:rsid w:val="00FF5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aliases w:val="Style 12,(NECG) Footnote Reference,o,fr,Style 3,Appel note de bas de p,Style 124,Style 13"/>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EEA"/>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F2EEA"/>
    <w:rPr>
      <w:rFonts w:ascii="Tahoma" w:hAnsi="Tahoma" w:cs="Tahoma"/>
      <w:sz w:val="16"/>
      <w:szCs w:val="16"/>
    </w:rPr>
  </w:style>
  <w:style w:type="character" w:customStyle="1" w:styleId="BalloonTextChar">
    <w:name w:val="Balloon Text Char"/>
    <w:basedOn w:val="DefaultParagraphFont"/>
    <w:link w:val="BalloonText"/>
    <w:uiPriority w:val="99"/>
    <w:semiHidden/>
    <w:rsid w:val="0014289E"/>
    <w:rPr>
      <w:rFonts w:ascii="Lucida Grande" w:hAnsi="Lucida Grande"/>
      <w:sz w:val="18"/>
      <w:szCs w:val="18"/>
    </w:rPr>
  </w:style>
  <w:style w:type="paragraph" w:styleId="Header">
    <w:name w:val="header"/>
    <w:basedOn w:val="Normal"/>
    <w:rsid w:val="008F2EEA"/>
    <w:pPr>
      <w:tabs>
        <w:tab w:val="center" w:pos="4320"/>
        <w:tab w:val="right" w:pos="8640"/>
      </w:tabs>
    </w:pPr>
  </w:style>
  <w:style w:type="paragraph" w:styleId="Footer">
    <w:name w:val="footer"/>
    <w:basedOn w:val="Normal"/>
    <w:rsid w:val="008F2EEA"/>
    <w:pPr>
      <w:tabs>
        <w:tab w:val="center" w:pos="4320"/>
        <w:tab w:val="right" w:pos="8640"/>
      </w:tabs>
    </w:pPr>
  </w:style>
  <w:style w:type="character" w:styleId="FootnoteReference">
    <w:name w:val="footnote reference"/>
    <w:aliases w:val="Style 12,(NECG) Footnote Reference,o,fr,Style 3,Appel note de bas de p,Style 124,Style 13"/>
    <w:semiHidden/>
    <w:rsid w:val="008F2EEA"/>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link w:val="FootnoteTextChar1"/>
    <w:semiHidden/>
    <w:rsid w:val="008F2EEA"/>
    <w:pPr>
      <w:tabs>
        <w:tab w:val="left" w:pos="720"/>
      </w:tabs>
      <w:spacing w:after="200"/>
    </w:pPr>
  </w:style>
  <w:style w:type="character" w:styleId="PageNumber">
    <w:name w:val="page number"/>
    <w:basedOn w:val="DefaultParagraphFont"/>
    <w:rsid w:val="008F2EEA"/>
  </w:style>
  <w:style w:type="paragraph" w:styleId="BodyTextIndent">
    <w:name w:val="Body Text Indent"/>
    <w:basedOn w:val="Normal"/>
    <w:rsid w:val="008F2EE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rsid w:val="008F2EEA"/>
    <w:pPr>
      <w:spacing w:before="100" w:beforeAutospacing="1" w:after="100" w:afterAutospacing="1"/>
    </w:pPr>
    <w:rPr>
      <w:sz w:val="24"/>
      <w:szCs w:val="24"/>
    </w:rPr>
  </w:style>
  <w:style w:type="character" w:styleId="Strong">
    <w:name w:val="Strong"/>
    <w:qFormat/>
    <w:rsid w:val="008F2EEA"/>
    <w:rPr>
      <w:b/>
      <w:bCs/>
    </w:rPr>
  </w:style>
  <w:style w:type="paragraph" w:styleId="BlockText">
    <w:name w:val="Block Text"/>
    <w:basedOn w:val="Normal"/>
    <w:rsid w:val="008F2EEA"/>
    <w:pPr>
      <w:widowControl w:val="0"/>
      <w:spacing w:after="240"/>
      <w:ind w:left="1440" w:right="1440"/>
      <w:jc w:val="both"/>
    </w:pPr>
    <w:rPr>
      <w:snapToGrid w:val="0"/>
      <w:kern w:val="28"/>
    </w:rPr>
  </w:style>
  <w:style w:type="character" w:styleId="Hyperlink">
    <w:name w:val="Hyperlink"/>
    <w:rsid w:val="008F2EEA"/>
    <w:rPr>
      <w:color w:val="0000FF"/>
      <w:u w:val="single"/>
    </w:rPr>
  </w:style>
  <w:style w:type="paragraph" w:customStyle="1" w:styleId="Normal12">
    <w:name w:val="Normal 12"/>
    <w:basedOn w:val="Normal"/>
    <w:rsid w:val="00643433"/>
    <w:pPr>
      <w:ind w:firstLine="720"/>
    </w:pPr>
    <w:rPr>
      <w:sz w:val="24"/>
    </w:rPr>
  </w:style>
  <w:style w:type="character" w:styleId="FollowedHyperlink">
    <w:name w:val="FollowedHyperlink"/>
    <w:rsid w:val="007D02DD"/>
    <w:rPr>
      <w:color w:val="800080"/>
      <w:u w:val="single"/>
    </w:rPr>
  </w:style>
  <w:style w:type="character" w:styleId="CommentReference">
    <w:name w:val="annotation reference"/>
    <w:basedOn w:val="DefaultParagraphFont"/>
    <w:rsid w:val="002F239C"/>
    <w:rPr>
      <w:sz w:val="16"/>
      <w:szCs w:val="16"/>
    </w:rPr>
  </w:style>
  <w:style w:type="paragraph" w:styleId="CommentText">
    <w:name w:val="annotation text"/>
    <w:basedOn w:val="Normal"/>
    <w:link w:val="CommentTextChar"/>
    <w:rsid w:val="002F239C"/>
    <w:rPr>
      <w:sz w:val="20"/>
    </w:rPr>
  </w:style>
  <w:style w:type="character" w:customStyle="1" w:styleId="CommentTextChar">
    <w:name w:val="Comment Text Char"/>
    <w:basedOn w:val="DefaultParagraphFont"/>
    <w:link w:val="CommentText"/>
    <w:rsid w:val="002F239C"/>
    <w:rPr>
      <w:rFonts w:eastAsia="Times New Roman"/>
    </w:rPr>
  </w:style>
  <w:style w:type="paragraph" w:styleId="CommentSubject">
    <w:name w:val="annotation subject"/>
    <w:basedOn w:val="CommentText"/>
    <w:next w:val="CommentText"/>
    <w:link w:val="CommentSubjectChar"/>
    <w:rsid w:val="002F239C"/>
    <w:rPr>
      <w:b/>
      <w:bCs/>
    </w:rPr>
  </w:style>
  <w:style w:type="character" w:customStyle="1" w:styleId="CommentSubjectChar">
    <w:name w:val="Comment Subject Char"/>
    <w:basedOn w:val="CommentTextChar"/>
    <w:link w:val="CommentSubject"/>
    <w:rsid w:val="002F239C"/>
    <w:rPr>
      <w:rFonts w:eastAsia="Times New Roman"/>
      <w:b/>
      <w:bCs/>
    </w:rPr>
  </w:style>
  <w:style w:type="character" w:customStyle="1" w:styleId="documentbody1">
    <w:name w:val="documentbody1"/>
    <w:basedOn w:val="DefaultParagraphFont"/>
    <w:rsid w:val="00A36450"/>
    <w:rPr>
      <w:rFonts w:ascii="Verdana" w:hAnsi="Verdana" w:hint="default"/>
      <w:sz w:val="19"/>
      <w:szCs w:val="19"/>
    </w:rPr>
  </w:style>
  <w:style w:type="paragraph" w:styleId="BodyText2">
    <w:name w:val="Body Text 2"/>
    <w:basedOn w:val="Normal"/>
    <w:link w:val="BodyText2Char"/>
    <w:rsid w:val="00CE559B"/>
    <w:pPr>
      <w:spacing w:after="120" w:line="480" w:lineRule="auto"/>
    </w:pPr>
  </w:style>
  <w:style w:type="character" w:customStyle="1" w:styleId="BodyText2Char">
    <w:name w:val="Body Text 2 Char"/>
    <w:basedOn w:val="DefaultParagraphFont"/>
    <w:link w:val="BodyText2"/>
    <w:rsid w:val="00CE559B"/>
    <w:rPr>
      <w:rFonts w:eastAsia="Times New Roman"/>
      <w:sz w:val="22"/>
    </w:rPr>
  </w:style>
  <w:style w:type="paragraph" w:styleId="ListParagraph">
    <w:name w:val="List Paragraph"/>
    <w:basedOn w:val="Normal"/>
    <w:uiPriority w:val="34"/>
    <w:qFormat/>
    <w:rsid w:val="0088586E"/>
    <w:pPr>
      <w:ind w:left="720"/>
      <w:contextualSpacing/>
    </w:pPr>
  </w:style>
  <w:style w:type="character" w:customStyle="1" w:styleId="ptext-0">
    <w:name w:val="ptext-0"/>
    <w:basedOn w:val="DefaultParagraphFont"/>
    <w:rsid w:val="003D57FB"/>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
    <w:basedOn w:val="DefaultParagraphFont"/>
    <w:link w:val="FootnoteText"/>
    <w:semiHidden/>
    <w:locked/>
    <w:rsid w:val="00E657C6"/>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375">
      <w:bodyDiv w:val="1"/>
      <w:marLeft w:val="0"/>
      <w:marRight w:val="0"/>
      <w:marTop w:val="0"/>
      <w:marBottom w:val="0"/>
      <w:divBdr>
        <w:top w:val="none" w:sz="0" w:space="0" w:color="auto"/>
        <w:left w:val="none" w:sz="0" w:space="0" w:color="auto"/>
        <w:bottom w:val="none" w:sz="0" w:space="0" w:color="auto"/>
        <w:right w:val="none" w:sz="0" w:space="0" w:color="auto"/>
      </w:divBdr>
    </w:div>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552613">
      <w:bodyDiv w:val="1"/>
      <w:marLeft w:val="0"/>
      <w:marRight w:val="0"/>
      <w:marTop w:val="0"/>
      <w:marBottom w:val="0"/>
      <w:divBdr>
        <w:top w:val="none" w:sz="0" w:space="0" w:color="auto"/>
        <w:left w:val="none" w:sz="0" w:space="0" w:color="auto"/>
        <w:bottom w:val="none" w:sz="0" w:space="0" w:color="auto"/>
        <w:right w:val="none" w:sz="0" w:space="0" w:color="auto"/>
      </w:divBdr>
    </w:div>
    <w:div w:id="213236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1886</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2269</CharactersWithSpaces>
  <SharedDoc>false</SharedDoc>
  <HyperlinkBase> </HyperlinkBase>
  <HLinks>
    <vt:vector size="12" baseType="variant">
      <vt:variant>
        <vt:i4>4128819</vt:i4>
      </vt:variant>
      <vt:variant>
        <vt:i4>3</vt:i4>
      </vt:variant>
      <vt:variant>
        <vt:i4>0</vt:i4>
      </vt:variant>
      <vt:variant>
        <vt:i4>5</vt:i4>
      </vt:variant>
      <vt:variant>
        <vt:lpwstr>http://www.fcc.gov/mmb/asd/lpfm</vt:lpwstr>
      </vt:variant>
      <vt:variant>
        <vt:lpwstr/>
      </vt:variant>
      <vt:variant>
        <vt:i4>327801</vt:i4>
      </vt:variant>
      <vt:variant>
        <vt:i4>0</vt:i4>
      </vt:variant>
      <vt:variant>
        <vt:i4>0</vt:i4>
      </vt:variant>
      <vt:variant>
        <vt:i4>5</vt:i4>
      </vt:variant>
      <vt:variant>
        <vt:lpwstr>http://licensing.fcc.gov/prod/cdbs/pubacc/prod/cdbs_pa.htm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2012-06-05T14:24:00Z</cp:lastPrinted>
  <dcterms:created xsi:type="dcterms:W3CDTF">2014-10-20T15:12:00Z</dcterms:created>
  <dcterms:modified xsi:type="dcterms:W3CDTF">2014-10-20T15:12:00Z</dcterms:modified>
  <cp:category> </cp:category>
  <cp:contentStatus> </cp:contentStatus>
</cp:coreProperties>
</file>